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yumc-20260204.htm"/>
      <w:bookmarkStart w:id="1" w:name="ksyumc20260204"/>
      <w:bookmarkEnd w:id="0"/>
      <w:bookmarkEnd w:id="1"/>
      <w:r>
        <w:rPr/>
        <w:t> </w:t>
      </w:r>
    </w:p>
    <w:p>
      <w:pPr>
        <w:pStyle w:val="TextBody"/>
        <w:pBdr>
          <w:bottom w:val="double" w:sz="6" w:space="1" w:color="000000"/>
        </w:pBdr>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aps/>
          <w:color w:val="000000"/>
          <w:sz w:val="24"/>
        </w:rPr>
      </w:pPr>
      <w:r>
        <w:rPr>
          <w:rFonts w:ascii="Times New Roman" w:hAnsi="Times New Roman"/>
          <w:b/>
          <w:caps/>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February 4,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Yum China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2236"/>
        <w:gridCol w:w="146"/>
        <w:gridCol w:w="10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81-2421743</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3136"/>
        <w:gridCol w:w="146"/>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101 East Park Boulevard, Suite 805</w:t>
            </w:r>
          </w:p>
          <w:p>
            <w:pPr>
              <w:pStyle w:val="TableContents"/>
              <w:bidi w:val="0"/>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Yum China Building</w:t>
            </w:r>
          </w:p>
          <w:p>
            <w:pPr>
              <w:pStyle w:val="TableContents"/>
              <w:bidi w:val="0"/>
              <w:jc w:val="center"/>
              <w:rPr>
                <w:rFonts w:ascii="Times New Roman" w:hAnsi="Times New Roman"/>
                <w:b/>
                <w:color w:val="000000"/>
                <w:sz w:val="20"/>
              </w:rPr>
            </w:pPr>
            <w:r>
              <w:rPr>
                <w:rFonts w:ascii="Times New Roman" w:hAnsi="Times New Roman"/>
                <w:b/>
                <w:color w:val="000000"/>
                <w:sz w:val="20"/>
              </w:rPr>
              <w:t>20 Tian Yao Qiao Road</w:t>
            </w:r>
          </w:p>
          <w:p>
            <w:pPr>
              <w:pStyle w:val="TableContents"/>
              <w:bidi w:val="0"/>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r>
        <w:trPr/>
        <w:tc>
          <w:tcPr>
            <w:tcW w:w="56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including zip code, of principal executive offices)</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bookmarkStart w:id="2" w:name="ole_link1"/>
      <w:bookmarkStart w:id="3" w:name="ole_link2"/>
      <w:bookmarkEnd w:id="2"/>
      <w:bookmarkEnd w:id="3"/>
      <w:r>
        <w:rPr/>
        <w:t> </w:t>
      </w:r>
    </w:p>
    <w:tbl>
      <w:tblPr>
        <w:tblW w:w="8103" w:type="dxa"/>
        <w:jc w:val="left"/>
        <w:tblInd w:w="0" w:type="dxa"/>
        <w:tblLayout w:type="fixed"/>
        <w:tblCellMar>
          <w:top w:w="28" w:type="dxa"/>
          <w:left w:w="28" w:type="dxa"/>
          <w:bottom w:w="28" w:type="dxa"/>
          <w:right w:w="28" w:type="dxa"/>
        </w:tblCellMar>
      </w:tblPr>
      <w:tblGrid>
        <w:gridCol w:w="3496"/>
        <w:gridCol w:w="826"/>
        <w:gridCol w:w="3781"/>
      </w:tblGrid>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3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The Stock Exchange of Hong Kong Limited</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4, 2026, Yum China Holdings, Inc. (the “Company”) issued a press release announcing its unaudited results for the full year and fourth quarter ended December 31, 2025. A copy of the press release is being furnished as Exhibit 99.1 to this Current Report on Form 8-K.</w:t>
      </w:r>
    </w:p>
    <w:p>
      <w:pPr>
        <w:pStyle w:val="TextBody"/>
        <w:bidi w:val="0"/>
        <w:jc w:val="left"/>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furnished with this report:</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1786"/>
        <w:gridCol w:w="866"/>
        <w:gridCol w:w="7321"/>
      </w:tblGrid>
      <w:tr>
        <w:trPr/>
        <w:tc>
          <w:tcPr>
            <w:tcW w:w="17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32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786"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No.</w:t>
            </w:r>
          </w:p>
        </w:tc>
        <w:tc>
          <w:tcPr>
            <w:tcW w:w="866"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21"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Description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99.1</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yumc-ex99_1.htm">
              <w:r>
                <w:rPr>
                  <w:rStyle w:val="InternetLink"/>
                  <w:rFonts w:ascii="Times New Roman" w:hAnsi="Times New Roman"/>
                  <w:color w:val="0000FF"/>
                  <w:sz w:val="20"/>
                  <w:u w:val="single"/>
                </w:rPr>
                <w:t>Press Release of Yum China Holdings, Inc. issued February 4, 2026.</w:t>
              </w:r>
            </w:hyperlink>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104</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0"/>
                <w:u w:val="single"/>
              </w:rPr>
            </w:pPr>
            <w:r>
              <w:rPr>
                <w:rFonts w:ascii="Times New Roman" w:hAnsi="Times New Roman"/>
                <w:color w:val="0000FF"/>
                <w:sz w:val="20"/>
                <w:u w:val="single"/>
              </w:rPr>
              <w:t>Cover Page Interactive Data File (embedded within the Inline XBRL document)</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981"/>
        <w:gridCol w:w="146"/>
        <w:gridCol w:w="406"/>
        <w:gridCol w:w="146"/>
        <w:gridCol w:w="631"/>
        <w:gridCol w:w="146"/>
        <w:gridCol w:w="171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CHINA HOLDINGS, INC.</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Pingping Liu</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Pingping Liu</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yumc-ex99_1.htm"/>
      <w:bookmarkStart w:id="5" w:name="ksyumcex99_1"/>
      <w:bookmarkEnd w:id="4"/>
      <w:bookmarkEnd w:id="5"/>
      <w:r>
        <w:rPr>
          <w:rFonts w:ascii="Times New Roman" w:hAnsi="Times New Roman"/>
          <w:b/>
          <w:color w:val="000000"/>
          <w:sz w:val="20"/>
        </w:rPr>
        <w:t>Exhibit 99.1</w:t>
      </w:r>
      <w:r>
        <w:br w:type="page"/>
      </w:r>
    </w:p>
    <w:p>
      <w:pPr>
        <w:pStyle w:val="TextBody"/>
        <w:bidi w:val="0"/>
        <w:jc w:val="left"/>
        <w:rPr/>
      </w:pPr>
      <w:r>
        <w:rPr/>
        <w:drawing>
          <wp:inline distT="0" distB="0" distL="0" distR="0">
            <wp:extent cx="6858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6858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Yum China Reports Fourth Quarter 2025 Results</w:t>
      </w:r>
    </w:p>
    <w:p>
      <w:pPr>
        <w:pStyle w:val="TextBody"/>
        <w:bidi w:val="0"/>
        <w:jc w:val="center"/>
        <w:rPr>
          <w:rFonts w:ascii="Times New Roman" w:hAnsi="Times New Roman"/>
          <w:color w:val="000000"/>
          <w:sz w:val="20"/>
        </w:rPr>
      </w:pPr>
      <w:r>
        <w:rPr>
          <w:rFonts w:ascii="Times New Roman" w:hAnsi="Times New Roman"/>
          <w:color w:val="000000"/>
          <w:sz w:val="20"/>
        </w:rPr>
        <w:t>Fourth Quarter Same</w:t>
        <w:noBreakHyphen/>
        <w:t xml:space="preserve">Store Sales Increased 3%, System Sales Grew 7% and Operating Profit Up 25% </w:t>
      </w:r>
    </w:p>
    <w:p>
      <w:pPr>
        <w:pStyle w:val="TextBody"/>
        <w:bidi w:val="0"/>
        <w:jc w:val="center"/>
        <w:rPr>
          <w:rFonts w:ascii="Times New Roman" w:hAnsi="Times New Roman"/>
          <w:color w:val="000000"/>
          <w:sz w:val="20"/>
        </w:rPr>
      </w:pPr>
      <w:r>
        <w:rPr>
          <w:rFonts w:ascii="Times New Roman" w:hAnsi="Times New Roman"/>
          <w:color w:val="000000"/>
          <w:sz w:val="20"/>
        </w:rPr>
        <w:t>Full Year Operating Profit Rose 11%; Diluted EPS Up 8%, or 14% Excluding Mark-to-Market and F/X Impact</w:t>
      </w:r>
    </w:p>
    <w:p>
      <w:pPr>
        <w:pStyle w:val="TextBody"/>
        <w:bidi w:val="0"/>
        <w:jc w:val="center"/>
        <w:rPr>
          <w:rFonts w:ascii="Times New Roman" w:hAnsi="Times New Roman"/>
          <w:color w:val="000000"/>
          <w:sz w:val="20"/>
        </w:rPr>
      </w:pPr>
      <w:r>
        <w:rPr>
          <w:rFonts w:ascii="Times New Roman" w:hAnsi="Times New Roman"/>
          <w:color w:val="000000"/>
          <w:sz w:val="20"/>
        </w:rPr>
        <w:t>Increase Dividend by 21% and On Track to Return $1.5 billion to Shareholders in 2026</w:t>
      </w:r>
    </w:p>
    <w:p>
      <w:pPr>
        <w:pStyle w:val="TextBody"/>
        <w:bidi w:val="0"/>
        <w:jc w:val="both"/>
        <w:rPr>
          <w:rFonts w:ascii="Times New Roman" w:hAnsi="Times New Roman"/>
          <w:color w:val="000000"/>
          <w:sz w:val="20"/>
        </w:rPr>
      </w:pPr>
      <w:r>
        <w:rPr>
          <w:rFonts w:ascii="Times New Roman" w:hAnsi="Times New Roman"/>
          <w:color w:val="000000"/>
          <w:sz w:val="20"/>
        </w:rPr>
        <w:t>Shanghai, China (February 4, 2026) – Yum China Holdings, Inc. (the “Company” or “Yum China”) (NYSE: YUMC and HKEX: 9987) today reported unaudited results for the fourth quarter and year ended December 31, 2025.</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Fourth Quarter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system sales </w:t>
      </w:r>
      <w:r>
        <w:rPr>
          <w:rFonts w:ascii="Times New Roman" w:hAnsi="Times New Roman"/>
          <w:color w:val="000000"/>
          <w:sz w:val="20"/>
        </w:rPr>
        <w:t>grew 7% year over year (“YoY”), excluding foreign currency translation (“F/X”).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Same-store sales grew </w:t>
      </w:r>
      <w:r>
        <w:rPr>
          <w:rFonts w:ascii="Times New Roman" w:hAnsi="Times New Roman"/>
          <w:color w:val="000000"/>
          <w:sz w:val="20"/>
        </w:rPr>
        <w:t xml:space="preserve">3% YoY, the third consecutive quarter of growth. Same-store transactions grew 4% YoY, the 12th consecutive quarter of growth.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revenues </w:t>
      </w:r>
      <w:r>
        <w:rPr>
          <w:rFonts w:ascii="Times New Roman" w:hAnsi="Times New Roman"/>
          <w:color w:val="000000"/>
          <w:sz w:val="20"/>
        </w:rPr>
        <w:t>increased 9% YoY to $2.8 billion, or a 7% increase excluding F/X.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Opened a fourth-quarter record of 587 </w:t>
      </w:r>
      <w:r>
        <w:rPr>
          <w:rFonts w:ascii="Times New Roman" w:hAnsi="Times New Roman"/>
          <w:b/>
          <w:color w:val="000000"/>
          <w:sz w:val="20"/>
        </w:rPr>
        <w:t>net new stores</w:t>
      </w:r>
      <w:r>
        <w:rPr>
          <w:rFonts w:ascii="Times New Roman" w:hAnsi="Times New Roman"/>
          <w:color w:val="000000"/>
          <w:sz w:val="20"/>
        </w:rPr>
        <w:t>,</w:t>
      </w:r>
      <w:r>
        <w:rPr>
          <w:color w:val="000000"/>
        </w:rPr>
        <w:t xml:space="preserve"> </w:t>
      </w:r>
      <w:r>
        <w:rPr>
          <w:rFonts w:ascii="Times New Roman" w:hAnsi="Times New Roman"/>
          <w:color w:val="000000"/>
          <w:sz w:val="20"/>
        </w:rPr>
        <w:t xml:space="preserve">of which 36% were opened by franchisees.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Operating profit </w:t>
      </w:r>
      <w:r>
        <w:rPr>
          <w:rFonts w:ascii="Times New Roman" w:hAnsi="Times New Roman"/>
          <w:color w:val="000000"/>
          <w:sz w:val="20"/>
        </w:rPr>
        <w:t xml:space="preserve">grew 25% YoY to $187 million. </w:t>
      </w:r>
      <w:r>
        <w:rPr>
          <w:rFonts w:ascii="Times New Roman" w:hAnsi="Times New Roman"/>
          <w:b/>
          <w:color w:val="000000"/>
          <w:sz w:val="20"/>
        </w:rPr>
        <w:t>Core operating profit</w:t>
      </w:r>
      <w:r>
        <w:rPr>
          <w:color w:val="000000"/>
        </w:rPr>
        <w:t xml:space="preserve"> </w:t>
      </w:r>
      <w:r>
        <w:rPr>
          <w:rFonts w:ascii="Times New Roman" w:hAnsi="Times New Roman"/>
          <w:color w:val="000000"/>
          <w:sz w:val="20"/>
        </w:rPr>
        <w:t xml:space="preserve">grew 23% YoY.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 margin </w:t>
      </w:r>
      <w:r>
        <w:rPr>
          <w:rFonts w:ascii="Times New Roman" w:hAnsi="Times New Roman"/>
          <w:color w:val="000000"/>
          <w:sz w:val="20"/>
        </w:rPr>
        <w:t>was 6.6%, an increase of 80 basis points YoY.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Restaurant margin </w:t>
      </w:r>
      <w:r>
        <w:rPr>
          <w:rFonts w:ascii="Times New Roman" w:hAnsi="Times New Roman"/>
          <w:color w:val="000000"/>
          <w:sz w:val="20"/>
        </w:rPr>
        <w:t xml:space="preserve">was 13.0%, an increase of 70 basis points YoY, driven primarily by improvements in Food and Paper and Occupancy and Other Operating expenses ratios.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Diluted EPS </w:t>
      </w:r>
      <w:r>
        <w:rPr>
          <w:rFonts w:ascii="Times New Roman" w:hAnsi="Times New Roman"/>
          <w:color w:val="000000"/>
          <w:sz w:val="20"/>
        </w:rPr>
        <w:t>increased 33% YoY to $0.40, or up 29% excluding F/X, and up 21% further excluding the impact</w:t>
      </w:r>
      <w:r>
        <w:rPr>
          <w:rFonts w:ascii="Times New Roman" w:hAnsi="Times New Roman"/>
          <w:color w:val="000000"/>
          <w:sz w:val="13"/>
        </w:rPr>
        <w:t>1</w:t>
      </w:r>
      <w:r>
        <w:rPr>
          <w:color w:val="000000"/>
        </w:rPr>
        <w:t xml:space="preserve"> </w:t>
      </w:r>
      <w:r>
        <w:rPr>
          <w:rFonts w:ascii="Times New Roman" w:hAnsi="Times New Roman"/>
          <w:color w:val="000000"/>
          <w:sz w:val="20"/>
        </w:rPr>
        <w:t xml:space="preserve">of the mark-to-market equity investments.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Delivery sales</w:t>
      </w:r>
      <w:r>
        <w:rPr>
          <w:color w:val="000000"/>
        </w:rPr>
        <w:t xml:space="preserve"> </w:t>
      </w:r>
      <w:r>
        <w:rPr>
          <w:rFonts w:ascii="Times New Roman" w:hAnsi="Times New Roman"/>
          <w:color w:val="000000"/>
          <w:sz w:val="20"/>
        </w:rPr>
        <w:t xml:space="preserve">grew 34% YoY. Delivery contributed approximately 53% of total Company sales, up from 42% in the same quarter last year.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Full Year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system sales </w:t>
      </w:r>
      <w:r>
        <w:rPr>
          <w:rFonts w:ascii="Times New Roman" w:hAnsi="Times New Roman"/>
          <w:color w:val="000000"/>
          <w:sz w:val="20"/>
        </w:rPr>
        <w:t xml:space="preserve">grew 4% YoY, excluding F/X.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Same-store sales </w:t>
      </w:r>
      <w:r>
        <w:rPr>
          <w:rFonts w:ascii="Times New Roman" w:hAnsi="Times New Roman"/>
          <w:color w:val="000000"/>
          <w:sz w:val="20"/>
        </w:rPr>
        <w:t xml:space="preserve">grew 1% YoY.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revenues </w:t>
      </w:r>
      <w:r>
        <w:rPr>
          <w:rFonts w:ascii="Times New Roman" w:hAnsi="Times New Roman"/>
          <w:color w:val="000000"/>
          <w:sz w:val="20"/>
        </w:rPr>
        <w:t>increased 4% YoY to $11.8 billion, also a 4% increase excluding F/X.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Opened 1,706 </w:t>
      </w:r>
      <w:r>
        <w:rPr>
          <w:rFonts w:ascii="Times New Roman" w:hAnsi="Times New Roman"/>
          <w:b/>
          <w:color w:val="000000"/>
          <w:sz w:val="20"/>
        </w:rPr>
        <w:t>net new stores</w:t>
      </w:r>
      <w:r>
        <w:rPr>
          <w:rFonts w:ascii="Times New Roman" w:hAnsi="Times New Roman"/>
          <w:color w:val="000000"/>
          <w:sz w:val="20"/>
        </w:rPr>
        <w:t>, of which 31% were opened by franchisees.</w:t>
      </w:r>
      <w:r>
        <w:rPr>
          <w:color w:val="000000"/>
        </w:rPr>
        <w:t xml:space="preserve"> </w:t>
      </w:r>
      <w:r>
        <w:rPr>
          <w:rFonts w:ascii="Times New Roman" w:hAnsi="Times New Roman"/>
          <w:b/>
          <w:color w:val="000000"/>
          <w:sz w:val="20"/>
        </w:rPr>
        <w:t>Total store count</w:t>
      </w:r>
      <w:r>
        <w:rPr>
          <w:color w:val="000000"/>
        </w:rPr>
        <w:t xml:space="preserve"> </w:t>
      </w:r>
      <w:r>
        <w:rPr>
          <w:rFonts w:ascii="Times New Roman" w:hAnsi="Times New Roman"/>
          <w:color w:val="000000"/>
          <w:sz w:val="20"/>
        </w:rPr>
        <w:t>reached 18,101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Operating profit</w:t>
      </w:r>
      <w:r>
        <w:rPr>
          <w:color w:val="000000"/>
        </w:rPr>
        <w:t xml:space="preserve"> </w:t>
      </w:r>
      <w:r>
        <w:rPr>
          <w:rFonts w:ascii="Times New Roman" w:hAnsi="Times New Roman"/>
          <w:color w:val="000000"/>
          <w:sz w:val="20"/>
        </w:rPr>
        <w:t xml:space="preserve">grew 11% YoY to $1.3 billion. </w:t>
      </w:r>
      <w:r>
        <w:rPr>
          <w:rFonts w:ascii="Times New Roman" w:hAnsi="Times New Roman"/>
          <w:b/>
          <w:color w:val="000000"/>
          <w:sz w:val="20"/>
        </w:rPr>
        <w:t>Core operating profit</w:t>
      </w:r>
      <w:r>
        <w:rPr>
          <w:color w:val="000000"/>
        </w:rPr>
        <w:t xml:space="preserve"> </w:t>
      </w:r>
      <w:r>
        <w:rPr>
          <w:rFonts w:ascii="Times New Roman" w:hAnsi="Times New Roman"/>
          <w:color w:val="000000"/>
          <w:sz w:val="20"/>
        </w:rPr>
        <w:t xml:space="preserve">also grew 11% YoY.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 margin </w:t>
      </w:r>
      <w:r>
        <w:rPr>
          <w:rFonts w:ascii="Times New Roman" w:hAnsi="Times New Roman"/>
          <w:color w:val="000000"/>
          <w:sz w:val="20"/>
        </w:rPr>
        <w:t>was 10.9%, up 60 basis points YoY.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Restaurant margin </w:t>
      </w:r>
      <w:r>
        <w:rPr>
          <w:rFonts w:ascii="Times New Roman" w:hAnsi="Times New Roman"/>
          <w:color w:val="000000"/>
          <w:sz w:val="20"/>
        </w:rPr>
        <w:t xml:space="preserve">was 16.3%, an increase of 60 basis points YoY, driven primarily by improvements in Food and Paper and Occupancy and Other Operating expenses ratios.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Diluted EPS </w:t>
      </w:r>
      <w:r>
        <w:rPr>
          <w:rFonts w:ascii="Times New Roman" w:hAnsi="Times New Roman"/>
          <w:color w:val="000000"/>
          <w:sz w:val="20"/>
        </w:rPr>
        <w:t>increased</w:t>
      </w:r>
      <w:r>
        <w:rPr>
          <w:color w:val="000000"/>
        </w:rPr>
        <w:t xml:space="preserve"> </w:t>
      </w:r>
      <w:r>
        <w:rPr>
          <w:rFonts w:ascii="Times New Roman" w:hAnsi="Times New Roman"/>
          <w:color w:val="000000"/>
          <w:sz w:val="20"/>
        </w:rPr>
        <w:t>8% YoY to $2.51, also up 8% excluding F/X, and up 14% further excluding the impact</w:t>
      </w:r>
      <w:r>
        <w:rPr>
          <w:rFonts w:ascii="Times New Roman" w:hAnsi="Times New Roman"/>
          <w:color w:val="000000"/>
          <w:sz w:val="13"/>
        </w:rPr>
        <w:t>2</w:t>
      </w:r>
      <w:r>
        <w:rPr>
          <w:color w:val="000000"/>
        </w:rPr>
        <w:t xml:space="preserve"> </w:t>
      </w:r>
      <w:r>
        <w:rPr>
          <w:rFonts w:ascii="Times New Roman" w:hAnsi="Times New Roman"/>
          <w:color w:val="000000"/>
          <w:sz w:val="20"/>
        </w:rPr>
        <w:t xml:space="preserve">of the mark-to-market equity investments.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Returned $1.5 billion to shareholders in 2025 through $353 million in </w:t>
      </w:r>
      <w:r>
        <w:rPr>
          <w:rFonts w:ascii="Times New Roman" w:hAnsi="Times New Roman"/>
          <w:b/>
          <w:color w:val="000000"/>
          <w:sz w:val="20"/>
        </w:rPr>
        <w:t xml:space="preserve">cash dividends </w:t>
      </w:r>
      <w:r>
        <w:rPr>
          <w:rFonts w:ascii="Times New Roman" w:hAnsi="Times New Roman"/>
          <w:color w:val="000000"/>
          <w:sz w:val="20"/>
        </w:rPr>
        <w:t>and</w:t>
      </w:r>
      <w:r>
        <w:rPr>
          <w:color w:val="000000"/>
        </w:rPr>
        <w:t xml:space="preserve"> </w:t>
      </w:r>
      <w:r>
        <w:rPr>
          <w:rFonts w:ascii="Times New Roman" w:hAnsi="Times New Roman"/>
          <w:color w:val="000000"/>
          <w:sz w:val="20"/>
        </w:rPr>
        <w:t xml:space="preserve">$1.14 billion in </w:t>
      </w:r>
      <w:r>
        <w:rPr>
          <w:rFonts w:ascii="Times New Roman" w:hAnsi="Times New Roman"/>
          <w:b/>
          <w:color w:val="000000"/>
          <w:sz w:val="20"/>
        </w:rPr>
        <w:t>share repurchases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Delivery sales</w:t>
      </w:r>
      <w:r>
        <w:rPr>
          <w:color w:val="000000"/>
        </w:rPr>
        <w:t xml:space="preserve"> </w:t>
      </w:r>
      <w:r>
        <w:rPr>
          <w:rFonts w:ascii="Times New Roman" w:hAnsi="Times New Roman"/>
          <w:color w:val="000000"/>
          <w:sz w:val="20"/>
        </w:rPr>
        <w:t xml:space="preserve">grew 25% YoY. Delivery contributed approximately 48% of total Company sales, up from 39% last year.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Total membership</w:t>
      </w:r>
      <w:r>
        <w:rPr>
          <w:color w:val="000000"/>
        </w:rPr>
        <w:t xml:space="preserve"> </w:t>
      </w:r>
      <w:r>
        <w:rPr>
          <w:rFonts w:ascii="Times New Roman" w:hAnsi="Times New Roman"/>
          <w:color w:val="000000"/>
          <w:sz w:val="20"/>
        </w:rPr>
        <w:t xml:space="preserve">of KFC and Pizza Hut exceeded 590 million, up 13% YoY. </w:t>
      </w:r>
      <w:r>
        <w:rPr>
          <w:rFonts w:ascii="Times New Roman" w:hAnsi="Times New Roman"/>
          <w:b/>
          <w:color w:val="000000"/>
          <w:sz w:val="20"/>
        </w:rPr>
        <w:t>Active Members</w:t>
      </w:r>
      <w:r>
        <w:rPr>
          <w:rFonts w:ascii="Times New Roman" w:hAnsi="Times New Roman"/>
          <w:color w:val="000000"/>
          <w:sz w:val="20"/>
        </w:rPr>
        <w:t>, defined as those who transacted</w:t>
      </w:r>
      <w:r>
        <w:rPr>
          <w:color w:val="000000"/>
        </w:rPr>
        <w:t xml:space="preserve"> </w:t>
      </w:r>
      <w:r>
        <w:rPr>
          <w:rFonts w:ascii="Times New Roman" w:hAnsi="Times New Roman"/>
          <w:color w:val="000000"/>
          <w:sz w:val="20"/>
        </w:rPr>
        <w:t>in the past 12 months, of KFC or Pizza Hut, exceeded 265 million, representing a 13% YoY increase.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0"/>
        </w:rPr>
        <w:t xml:space="preserve">1 </w:t>
      </w:r>
      <w:r>
        <w:rPr>
          <w:rFonts w:ascii="Times New Roman" w:hAnsi="Times New Roman"/>
          <w:color w:val="000000"/>
          <w:sz w:val="15"/>
        </w:rPr>
        <w:t>Refers to a 1 cent favorable F/X impact, a lower mark-to-market loss of 0.1 cent in the fourth quarter of 2025, compared with a loss of 2 cents in the fourth quarter of 2024.</w:t>
      </w:r>
    </w:p>
    <w:p>
      <w:pPr>
        <w:pStyle w:val="TextBody"/>
        <w:bidi w:val="0"/>
        <w:jc w:val="both"/>
        <w:rPr>
          <w:rFonts w:ascii="Times New Roman" w:hAnsi="Times New Roman"/>
          <w:sz w:val="20"/>
        </w:rPr>
      </w:pPr>
      <w:r>
        <w:rPr>
          <w:rFonts w:ascii="Times New Roman" w:hAnsi="Times New Roman"/>
          <w:color w:val="000000"/>
          <w:sz w:val="10"/>
        </w:rPr>
        <w:t xml:space="preserve">2 </w:t>
      </w:r>
      <w:r>
        <w:rPr>
          <w:rFonts w:ascii="Times New Roman" w:hAnsi="Times New Roman"/>
          <w:color w:val="000000"/>
          <w:sz w:val="15"/>
        </w:rPr>
        <w:t>Refers to an unfavorable impact from a mark-to-market loss of 6 cents in full year 2025 and a mark-to-market gain of 8 cents in full year 2024, and minimal F/X impact.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CEO Comments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Joey Wat, CEO of Yum China, commented, “Our fourth quarter performance capped off 2025 on a high note. Thanks to our team’s hard work, we delivered same-store sales growth for three consecutive quarters and same-store transactions growth for twelve consecutive quarters. System sales growth sequentially improved to 7%, and operating profit increased 25% year-over-year in the fourth quarter. KFC has unlocked new consumption occasions through its KCOFFEE cafe and KPRO side-by-side modules. Pizza Hut has enhanced its value-for-money proposition and developed the WOW model to expand into previously untapped locations, especially in lower-tier cities.” </w:t>
      </w:r>
    </w:p>
    <w:p>
      <w:pPr>
        <w:pStyle w:val="TextBody"/>
        <w:bidi w:val="0"/>
        <w:jc w:val="both"/>
        <w:rPr>
          <w:rFonts w:ascii="Times New Roman" w:hAnsi="Times New Roman"/>
          <w:color w:val="000000"/>
          <w:sz w:val="20"/>
        </w:rPr>
      </w:pPr>
      <w:r>
        <w:rPr>
          <w:rFonts w:ascii="Times New Roman" w:hAnsi="Times New Roman"/>
          <w:color w:val="000000"/>
          <w:sz w:val="20"/>
        </w:rPr>
        <w:t xml:space="preserve">Wat concluded, “Looking ahead, we are on track to reach over 20,000 stores in 2026 and are targeting more than 30,000 stores by 2030 with an equity-and-franchise hybrid model. We are also broadening our addressable market through front-end segmentation and back-end consolidation. As discussed at our Investor Day, we remain committed to executing our RGM 3.0 strategy, with a dual focus on innovation and operational efficiency.” </w:t>
      </w:r>
    </w:p>
    <w:p>
      <w:pPr>
        <w:pStyle w:val="TextBody"/>
        <w:bidi w:val="0"/>
        <w:jc w:val="left"/>
        <w:rPr/>
      </w:pPr>
      <w:r>
        <w:rPr/>
        <w:t> </w:t>
      </w:r>
    </w:p>
    <w:p>
      <w:pPr>
        <w:pStyle w:val="TextBody"/>
        <w:bidi w:val="0"/>
        <w:jc w:val="left"/>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Key Financial Results</w:t>
      </w:r>
    </w:p>
    <w:tbl>
      <w:tblPr>
        <w:tblW w:w="10205" w:type="dxa"/>
        <w:jc w:val="left"/>
        <w:tblInd w:w="0" w:type="dxa"/>
        <w:tblLayout w:type="fixed"/>
        <w:tblCellMar>
          <w:top w:w="28" w:type="dxa"/>
          <w:left w:w="28" w:type="dxa"/>
          <w:bottom w:w="28" w:type="dxa"/>
          <w:right w:w="28" w:type="dxa"/>
        </w:tblCellMar>
      </w:tblPr>
      <w:tblGrid>
        <w:gridCol w:w="2031"/>
        <w:gridCol w:w="146"/>
        <w:gridCol w:w="466"/>
        <w:gridCol w:w="146"/>
        <w:gridCol w:w="146"/>
        <w:gridCol w:w="146"/>
        <w:gridCol w:w="466"/>
        <w:gridCol w:w="166"/>
        <w:gridCol w:w="146"/>
        <w:gridCol w:w="211"/>
        <w:gridCol w:w="675"/>
        <w:gridCol w:w="146"/>
        <w:gridCol w:w="146"/>
        <w:gridCol w:w="157"/>
        <w:gridCol w:w="503"/>
        <w:gridCol w:w="146"/>
        <w:gridCol w:w="146"/>
        <w:gridCol w:w="146"/>
        <w:gridCol w:w="146"/>
        <w:gridCol w:w="571"/>
        <w:gridCol w:w="146"/>
        <w:gridCol w:w="146"/>
        <w:gridCol w:w="146"/>
        <w:gridCol w:w="571"/>
        <w:gridCol w:w="166"/>
        <w:gridCol w:w="146"/>
        <w:gridCol w:w="211"/>
        <w:gridCol w:w="675"/>
        <w:gridCol w:w="146"/>
        <w:gridCol w:w="146"/>
        <w:gridCol w:w="157"/>
        <w:gridCol w:w="503"/>
        <w:gridCol w:w="194"/>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3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666"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Fourth Quarter</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76"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Full Year</w:t>
            </w:r>
          </w:p>
        </w:tc>
        <w:tc>
          <w:tcPr>
            <w:tcW w:w="19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Sales Growth </w:t>
            </w:r>
            <w:r>
              <w:rPr>
                <w:rFonts w:ascii="Times New Roman" w:hAnsi="Times New Roman"/>
                <w:color w:val="000000"/>
                <w:sz w:val="13"/>
              </w:rPr>
              <w:t>(3)</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Same-Store Sales Growth </w:t>
            </w:r>
            <w:r>
              <w:rPr>
                <w:rFonts w:ascii="Times New Roman" w:hAnsi="Times New Roman"/>
                <w:color w:val="000000"/>
                <w:sz w:val="13"/>
              </w:rPr>
              <w:t>(3)</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Operating Profit </w:t>
            </w:r>
            <w:r>
              <w:rPr>
                <w:rFonts w:ascii="Times New Roman" w:hAnsi="Times New Roman"/>
                <w:color w:val="000000"/>
                <w:sz w:val="13"/>
              </w:rPr>
              <w:t xml:space="preserve">(4)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Operating Profit </w:t>
            </w: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color w:val="000000"/>
                <w:sz w:val="13"/>
              </w:rPr>
              <w:t xml:space="preserve">(5)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 Margin </w:t>
            </w:r>
            <w:r>
              <w:rPr>
                <w:rFonts w:ascii="Times New Roman" w:hAnsi="Times New Roman"/>
                <w:color w:val="000000"/>
                <w:sz w:val="13"/>
              </w:rPr>
              <w:t xml:space="preserve">(6) </w:t>
            </w:r>
            <w:r>
              <w:rPr>
                <w:rFonts w:ascii="Times New Roman" w:hAnsi="Times New Roman"/>
                <w:color w:val="000000"/>
                <w:sz w:val="20"/>
              </w:rPr>
              <w:t>(%)</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 Margin </w:t>
            </w: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color w:val="000000"/>
                <w:sz w:val="13"/>
              </w:rPr>
              <w:t>(7)</w:t>
            </w:r>
            <w:r>
              <w:rPr>
                <w:rFonts w:ascii="Times New Roman" w:hAnsi="Times New Roman"/>
                <w:color w:val="000000"/>
                <w:sz w:val="20"/>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w:t>
            </w:r>
            <w:r>
              <w:rPr>
                <w:rFonts w:ascii="Times New Roman" w:hAnsi="Times New Roman"/>
                <w:color w:val="000000"/>
                <w:sz w:val="13"/>
              </w:rPr>
              <w:t xml:space="preserve">(4)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w:t>
              <w:br/>
              <w:t>  Per Common Share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3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Diluted Earnings </w:t>
              <w:br/>
              <w:t xml:space="preserve">  Per Common Share </w:t>
            </w:r>
            <w:r>
              <w:rPr>
                <w:rFonts w:ascii="Times New Roman" w:hAnsi="Times New Roman"/>
                <w:color w:val="000000"/>
                <w:sz w:val="13"/>
              </w:rPr>
              <w:t xml:space="preserve">(4) </w:t>
            </w: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0"/>
        </w:rPr>
        <w:t xml:space="preserve">3 </w:t>
      </w:r>
      <w:r>
        <w:rPr>
          <w:rFonts w:ascii="Times New Roman" w:hAnsi="Times New Roman"/>
          <w:color w:val="000000"/>
          <w:sz w:val="15"/>
        </w:rPr>
        <w:t>System sales and same-store sales percentages exclude the impact of F/X. Effective January 1, 2018, temporary store closures are normalized in the same-store sales calculation by excluding the period during which stores are temporarily closed.</w:t>
      </w:r>
    </w:p>
    <w:p>
      <w:pPr>
        <w:pStyle w:val="TextBody"/>
        <w:bidi w:val="0"/>
        <w:jc w:val="both"/>
        <w:rPr>
          <w:rFonts w:ascii="Times New Roman" w:hAnsi="Times New Roman"/>
          <w:sz w:val="20"/>
        </w:rPr>
      </w:pPr>
      <w:r>
        <w:rPr>
          <w:rFonts w:ascii="Times New Roman" w:hAnsi="Times New Roman"/>
          <w:color w:val="000000"/>
          <w:sz w:val="10"/>
        </w:rPr>
        <w:t xml:space="preserve">4 </w:t>
      </w:r>
      <w:r>
        <w:rPr>
          <w:rFonts w:ascii="Times New Roman" w:hAnsi="Times New Roman"/>
          <w:color w:val="000000"/>
          <w:sz w:val="15"/>
        </w:rPr>
        <w:t>See “Reconciliation of Reported GAAP Results to Non-GAAP Measures” included in the accompanying tables of this release for further details.</w:t>
      </w:r>
    </w:p>
    <w:p>
      <w:pPr>
        <w:pStyle w:val="TextBody"/>
        <w:bidi w:val="0"/>
        <w:jc w:val="both"/>
        <w:rPr>
          <w:rFonts w:ascii="Times New Roman" w:hAnsi="Times New Roman"/>
          <w:sz w:val="20"/>
        </w:rPr>
      </w:pPr>
      <w:r>
        <w:rPr>
          <w:rFonts w:ascii="Times New Roman" w:hAnsi="Times New Roman"/>
          <w:color w:val="000000"/>
          <w:sz w:val="10"/>
        </w:rPr>
        <w:t xml:space="preserve">5 </w:t>
      </w:r>
      <w:r>
        <w:rPr>
          <w:rFonts w:ascii="Times New Roman" w:hAnsi="Times New Roman"/>
          <w:color w:val="000000"/>
          <w:sz w:val="15"/>
        </w:rPr>
        <w:t>Core operating profit is defined as operating profit adjusted for special items, further excluding items affecting comparability and the impact of F/X. The Company uses core operating profit for the purposes of evaluating the performance of its core operations. Current period amounts are derived by translating results at average exchange rates of the prior year period.</w:t>
      </w:r>
    </w:p>
    <w:p>
      <w:pPr>
        <w:pStyle w:val="TextBody"/>
        <w:bidi w:val="0"/>
        <w:jc w:val="both"/>
        <w:rPr>
          <w:rFonts w:ascii="Times New Roman" w:hAnsi="Times New Roman"/>
          <w:sz w:val="20"/>
        </w:rPr>
      </w:pPr>
      <w:r>
        <w:rPr>
          <w:rFonts w:ascii="Times New Roman" w:hAnsi="Times New Roman"/>
          <w:color w:val="000000"/>
          <w:sz w:val="10"/>
        </w:rPr>
        <w:t xml:space="preserve">6 </w:t>
      </w:r>
      <w:r>
        <w:rPr>
          <w:rFonts w:ascii="Times New Roman" w:hAnsi="Times New Roman"/>
          <w:color w:val="000000"/>
          <w:sz w:val="15"/>
        </w:rPr>
        <w:t>OP margin refers to operating profit as a percentage of total revenues.</w:t>
      </w:r>
    </w:p>
    <w:p>
      <w:pPr>
        <w:pStyle w:val="TextBody"/>
        <w:bidi w:val="0"/>
        <w:jc w:val="both"/>
        <w:rPr>
          <w:rFonts w:ascii="Times New Roman" w:hAnsi="Times New Roman"/>
          <w:sz w:val="20"/>
        </w:rPr>
      </w:pPr>
      <w:r>
        <w:rPr>
          <w:rFonts w:ascii="Times New Roman" w:hAnsi="Times New Roman"/>
          <w:color w:val="000000"/>
          <w:sz w:val="10"/>
        </w:rPr>
        <w:t>7</w:t>
      </w:r>
      <w:r>
        <w:rPr>
          <w:rFonts w:ascii="Times New Roman" w:hAnsi="Times New Roman"/>
          <w:color w:val="000000"/>
          <w:sz w:val="20"/>
        </w:rPr>
        <w:t xml:space="preserve"> </w:t>
      </w:r>
      <w:r>
        <w:rPr>
          <w:rFonts w:ascii="Times New Roman" w:hAnsi="Times New Roman"/>
          <w:color w:val="000000"/>
          <w:sz w:val="15"/>
        </w:rPr>
        <w:t>Core OP margin refers to core operating profit as a percentage of total revenues excluding F/X.</w:t>
      </w:r>
    </w:p>
    <w:p>
      <w:pPr>
        <w:pStyle w:val="TextBody"/>
        <w:bidi w:val="0"/>
        <w:jc w:val="left"/>
        <w:rPr>
          <w:rFonts w:ascii="Times New Roman" w:hAnsi="Times New Roman"/>
          <w:sz w:val="20"/>
        </w:rPr>
      </w:pPr>
      <w:r>
        <w:rPr>
          <w:rFonts w:ascii="Times New Roman" w:hAnsi="Times New Roman"/>
          <w:i/>
          <w:color w:val="000000"/>
          <w:sz w:val="15"/>
        </w:rPr>
        <w:t>Note</w:t>
      </w:r>
      <w:r>
        <w:rPr>
          <w:rFonts w:ascii="Times New Roman" w:hAnsi="Times New Roman"/>
          <w:color w:val="000000"/>
          <w:sz w:val="15"/>
        </w:rPr>
        <w:t>: All comparisons are versus the same period a year ago.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Percentages may not recompute due to rounding.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NM refers to not meaningful.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Returns to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on track to return $1.5 billion each year from 2024 to 2026, which is annually around 8% of our market capitalization as of February 3,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the Company returned $1.5 billion for the full year and $539 million in the fourth quarter. For the full year, Yum China repurchased 24.7 million shares of common stock, which is equivalent to approximately 7% of its outstanding shares as of December 31,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2026, the Company plans to return $1.5 billion in capital to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Yum China’s board of directors (the "Board") declared a 21% increase in the cash dividend, raising it to $0.29 per share on Yum China’s common stock, payable on March 25, 2026, to shareholders of record as of the close of business on March 4,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share repurchase agreements in the U.S. and Hong Kong for an aggregate repurchase amount of approximately US$460 million through open market transactions for the first half of 2026. The share repurchase agreements include approximately US$350 million under Rule 10b5-1 of the U.S. Securities Exchange Act of 1934 in the U.S. and approximately HK$880 million for a similar program in Hong Kong.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Starting in 2027, the Company plans to return approximately 100% of annual free cash flow after subsidiaries' dividend payments to non-controlling interests. This is anticipated to translate into an average annual return of approximately $900 million to over $1 billion in 2027 and 2028, and to exceed $1 billion in 2028.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KFC</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07"/>
        <w:gridCol w:w="146"/>
        <w:gridCol w:w="676"/>
        <w:gridCol w:w="146"/>
        <w:gridCol w:w="146"/>
        <w:gridCol w:w="146"/>
        <w:gridCol w:w="676"/>
        <w:gridCol w:w="166"/>
        <w:gridCol w:w="146"/>
        <w:gridCol w:w="211"/>
        <w:gridCol w:w="675"/>
        <w:gridCol w:w="146"/>
        <w:gridCol w:w="146"/>
        <w:gridCol w:w="156"/>
        <w:gridCol w:w="498"/>
        <w:gridCol w:w="146"/>
        <w:gridCol w:w="146"/>
        <w:gridCol w:w="676"/>
        <w:gridCol w:w="146"/>
        <w:gridCol w:w="146"/>
        <w:gridCol w:w="146"/>
        <w:gridCol w:w="676"/>
        <w:gridCol w:w="166"/>
        <w:gridCol w:w="146"/>
        <w:gridCol w:w="211"/>
        <w:gridCol w:w="675"/>
        <w:gridCol w:w="146"/>
        <w:gridCol w:w="146"/>
        <w:gridCol w:w="156"/>
        <w:gridCol w:w="498"/>
        <w:gridCol w:w="192"/>
      </w:tblGrid>
      <w:tr>
        <w:trPr/>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07"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4080"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Fourth Quarter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4080"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Full Year</w:t>
            </w:r>
          </w:p>
        </w:tc>
        <w:tc>
          <w:tcPr>
            <w:tcW w:w="19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Fourth Quarter: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System sales for KFC grew 8% YoY. Same-store sales increased 3% YoY, and same-store transactions grew 3% YoY. Ticket average was flat YoY, as growth in smaller orders was offset by increased delivery mix,</w:t>
      </w:r>
      <w:r>
        <w:rPr>
          <w:color w:val="000000"/>
        </w:rPr>
        <w:t xml:space="preserve"> </w:t>
      </w:r>
      <w:r>
        <w:rPr>
          <w:rFonts w:ascii="Times New Roman" w:hAnsi="Times New Roman"/>
          <w:color w:val="000000"/>
          <w:sz w:val="20"/>
        </w:rPr>
        <w:t>which carries a relatively higher ticket average.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34% YoY, contributing approximately 53% of KFC’s Company sales, up from 42% in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increased 16% YoY to $223 million. Core operating profit increased 14%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10.5%, an increase of 60 basis points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14.0%, expanding 70 basis points YoY, primarily due to streamlined operations and favorable commodity prices, partially offset by the impact of increased rider cost due to the higher delivery mix and wage inflation in low single digits.</w:t>
      </w:r>
    </w:p>
    <w:p>
      <w:pPr>
        <w:pStyle w:val="TextBody"/>
        <w:bidi w:val="0"/>
        <w:jc w:val="both"/>
        <w:rPr>
          <w:rFonts w:ascii="Times New Roman" w:hAnsi="Times New Roman"/>
          <w:color w:val="000000"/>
          <w:sz w:val="20"/>
        </w:rPr>
      </w:pPr>
      <w:r>
        <w:rPr>
          <w:rFonts w:ascii="Times New Roman" w:hAnsi="Times New Roman"/>
          <w:color w:val="000000"/>
          <w:sz w:val="20"/>
        </w:rPr>
        <w:t xml:space="preserve">Full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System sales for KFC grew 5% YoY. Same-store sales grew 1%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26% YoY, contributing approximately 48% of KFC’s Company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KFC opened 1,349 net new stores in 2025, with 504 net new stores opened by franchisees, accounting for 37%. Total store count reached 12,997 stores at year-end 2025, of which 15% are operated by franchisees.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was $1.3 billion, up 8% YoY. Core operating profit also increased 8%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 margin was 14.5%, an increase of 50 basis points YoY.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17.4%, expanding 50 basis points YoY, primarily due to favorable commodity prices and streamlined operations, partially offset by the impact of increased rider cost due to the higher delivery mix and value-for-money offerings.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Pizza Hut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8"/>
        <w:gridCol w:w="146"/>
        <w:gridCol w:w="571"/>
        <w:gridCol w:w="146"/>
        <w:gridCol w:w="146"/>
        <w:gridCol w:w="146"/>
        <w:gridCol w:w="571"/>
        <w:gridCol w:w="166"/>
        <w:gridCol w:w="146"/>
        <w:gridCol w:w="211"/>
        <w:gridCol w:w="675"/>
        <w:gridCol w:w="146"/>
        <w:gridCol w:w="146"/>
        <w:gridCol w:w="161"/>
        <w:gridCol w:w="516"/>
        <w:gridCol w:w="146"/>
        <w:gridCol w:w="146"/>
        <w:gridCol w:w="571"/>
        <w:gridCol w:w="146"/>
        <w:gridCol w:w="146"/>
        <w:gridCol w:w="146"/>
        <w:gridCol w:w="571"/>
        <w:gridCol w:w="166"/>
        <w:gridCol w:w="146"/>
        <w:gridCol w:w="211"/>
        <w:gridCol w:w="675"/>
        <w:gridCol w:w="146"/>
        <w:gridCol w:w="146"/>
        <w:gridCol w:w="161"/>
        <w:gridCol w:w="516"/>
        <w:gridCol w:w="195"/>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8"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389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Fourth Quarter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89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Full Year</w:t>
            </w:r>
          </w:p>
        </w:tc>
        <w:tc>
          <w:tcPr>
            <w:tcW w:w="1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Fourth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for Pizza Hut grew 6% YoY. Same-store sales increased 1% YoY. Same-store transactions grew 13% YoY, the 12th consecutive quarter of growth. Ticket average was 11% lower YoY, consistent with our mass-market strategy and driven mainly by better value-for-money.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33% YoY, contributing approximately 54% of Pizza Hut’s Company sales, up from 42% in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grew 52% YoY to $20 million, a fourth-quarter record high. Core operating profit increased 51%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3.7%, an increase of 110 basis points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9.9%, expanding 60 basis points YoY, primarily due to streamlined operations and automation, favorable commodity prices, partially offset by the impact of increased cost associated with higher delivery sales mix and value-for-money offerings.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Full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for Pizza Hut grew 4% YoY. Same-store sales grew 1% YoY.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22% YoY, contributing approximately 47% of Pizza Hut’s Company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Pizza Hut opened a record 444 net new stores in 2025, with 139 net new stores opened by franchisees, accounting for 31%. Total store count reached 4,168 stores at year-end 2025, of which 8% are operated by franchisees.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was $183 million, up 19% YoY. Core operating profit increased 20%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7.9%, an increase of 110 basis points YoY, and a record level since the Company’s listing in 2016.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Restaurant margin was 12.8%, expanding 80 basis points YoY, primarily due to favorable commodity prices, streamlined operations and automation, partially offset by the impact of value-for-money offerings and increased cost associated with higher delivery sales mix.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2026 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targets: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stores of over 20,000, or more than 1,900 net new stores.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40-50% franchise mix of net new stores for both KFC and Pizza Hut.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of approximately $600 million to $700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 billion capital return to shareholders.</w:t>
      </w:r>
    </w:p>
    <w:p>
      <w:pPr>
        <w:pStyle w:val="TextBody"/>
        <w:bidi w:val="0"/>
        <w:jc w:val="left"/>
        <w:rPr>
          <w:rFonts w:ascii="Times New Roman" w:hAnsi="Times New Roman"/>
          <w:b/>
          <w:color w:val="000000"/>
          <w:sz w:val="20"/>
        </w:rPr>
      </w:pPr>
      <w:r>
        <w:rPr>
          <w:rFonts w:ascii="Times New Roman" w:hAnsi="Times New Roman"/>
          <w:b/>
          <w:color w:val="000000"/>
          <w:sz w:val="20"/>
        </w:rPr>
        <w:t>Other Updates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Yum China has been named a Top Employer in China by the Top Employers Institute for the eighth consecutive year and ranked first in the restaurant industry for the fifth year in a row. These recognitions highlight the Company’s unwavering commitment to fostering an outstanding workplace and employee experience.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on Non-GAAP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Reported GAAP results include items that are excluded from non-GAAP measures. See “Reconciliation of Reported GAAP Results to Non-GAAP Measures” and “Segment Results” within this release for non-GAAP reconciliation details.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Conference Call</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China’s management will hold an earnings conference call at 7:00 a.m. U.S. Eastern Time on Wednesday, February 4, 2026 (8:00 p.m. Beijing/Hong Kong Time on Wednesday, February 4, 2026). </w:t>
      </w:r>
    </w:p>
    <w:p>
      <w:pPr>
        <w:pStyle w:val="TextBody"/>
        <w:bidi w:val="0"/>
        <w:jc w:val="left"/>
        <w:rPr>
          <w:rFonts w:ascii="Times New Roman" w:hAnsi="Times New Roman"/>
          <w:sz w:val="20"/>
        </w:rPr>
      </w:pPr>
      <w:r>
        <w:rPr>
          <w:rFonts w:ascii="Times New Roman" w:hAnsi="Times New Roman"/>
          <w:color w:val="000000"/>
          <w:sz w:val="20"/>
        </w:rPr>
        <w:t xml:space="preserve">A live webcast of the call may be accessed at </w:t>
      </w:r>
      <w:r>
        <w:rPr>
          <w:rFonts w:ascii="Times New Roman" w:hAnsi="Times New Roman"/>
          <w:sz w:val="20"/>
        </w:rPr>
        <w:t>https://edge.media-server.com/mmc/p/yzqfdybh</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join by phone, please register in advance through the link provided below. Upon registering, you will be provided with participant dial-in numbers and a unique access PIN.</w:t>
      </w:r>
    </w:p>
    <w:p>
      <w:pPr>
        <w:pStyle w:val="TextBody"/>
        <w:bidi w:val="0"/>
        <w:jc w:val="left"/>
        <w:rPr>
          <w:rFonts w:ascii="Times New Roman" w:hAnsi="Times New Roman"/>
          <w:sz w:val="20"/>
        </w:rPr>
      </w:pPr>
      <w:r>
        <w:rPr>
          <w:rFonts w:ascii="Times New Roman" w:hAnsi="Times New Roman"/>
          <w:color w:val="000000"/>
          <w:sz w:val="20"/>
        </w:rPr>
        <w:t xml:space="preserve">Pre-registration Link: </w:t>
      </w:r>
      <w:r>
        <w:rPr>
          <w:rFonts w:ascii="Times New Roman" w:hAnsi="Times New Roman"/>
          <w:sz w:val="20"/>
        </w:rPr>
        <w:t>https://register-conf.media-server.com/register/BI94a8d7c07e5f45f2823c62b0f012cf5f</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 replay of the webcast will be available two hours after the event and will remain accessible until February 3, 2027. Earnings release accompanying slides will be available at the Company’s Investor Relations website </w:t>
      </w:r>
      <w:r>
        <w:rPr>
          <w:rFonts w:ascii="Times New Roman" w:hAnsi="Times New Roman"/>
          <w:sz w:val="20"/>
        </w:rPr>
        <w:t>http://ir.yumchina.com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 xml:space="preserve">For important news and information regarding Yum China, including our filings with the U.S. Securities and Exchange Commission and the Hong Kong Stock Exchange, visit Yum China's Investor Relations website at </w:t>
      </w:r>
      <w:r>
        <w:rPr>
          <w:rFonts w:ascii="Times New Roman" w:hAnsi="Times New Roman"/>
          <w:sz w:val="20"/>
        </w:rPr>
        <w:t>http://ir.yumchina.com</w:t>
      </w:r>
      <w:r>
        <w:rPr>
          <w:rFonts w:ascii="Times New Roman" w:hAnsi="Times New Roman"/>
          <w:color w:val="000000"/>
          <w:sz w:val="20"/>
        </w:rPr>
        <w:t>. Yum China uses this website as a primary channel for disclosing key information to its investors, some of which may contain material and previously non-public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and Section 21E of the Securities Exchange Act of 1934, including statements under the section titled “2026 Outlook.”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investments, store openings, net new stores, franchise mix of net new stores, capital expenditures, capital returns, dividend and share repurchase plans, CAGR for system sales, operating profit and EPS, earnings, performance and returns, anticipated effects of population and macroeconomic trends, execution of the Company’s RGM 3.0 strategy, the anticipated effects of our innovation, digital and delivery capabilities and investments on growth and beliefs regarding the long-term drivers of Yum China’s business.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and regulatory conditions in China and the U.S., and those set forth under the caption “Risk Factors” in our most recent Annual Report on Form 10-K and subsequent Quarterly Reports on Form 10-Q. Our plan of capital returns to shareholders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 “Management’s Discussion and Analysis of Financial Condition and Results of Operations” in our Annual Report on Form 10-K and subsequent Quarterly Reports on Form 10-Q) for additional detail about factors that could affect our financial and other results.</w:t>
      </w:r>
    </w:p>
    <w:p>
      <w:pPr>
        <w:pStyle w:val="TextBody"/>
        <w:bidi w:val="0"/>
        <w:jc w:val="both"/>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About Yum China Holdings, Inc.</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Yum China is the largest restaurant company in China with a mission to make every life taste beautiful. The Company operates over 18,000 restaurants under six brands across over 2,500 cities in China. KFC and Pizza Hut are the leading brands in the quick-service and casual dining restaurant spaces in China, respectively.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w:t>
      </w:r>
      <w:r>
        <w:rPr>
          <w:rFonts w:ascii="Times New Roman" w:hAnsi="Times New Roman"/>
          <w:sz w:val="20"/>
        </w:rPr>
        <w:t>http://ir.yumchina.com</w:t>
      </w:r>
      <w:r>
        <w:rPr>
          <w:rFonts w:ascii="Times New Roman" w:hAnsi="Times New Roman"/>
          <w:color w:val="0000FF"/>
          <w:sz w:val="20"/>
          <w:u w:val="single"/>
        </w:rPr>
        <w:t>.</w:t>
      </w:r>
      <w:r>
        <w:rPr>
          <w:rFonts w:ascii="Times New Roman" w:hAnsi="Times New Roman"/>
          <w:color w:val="0000FF"/>
          <w:sz w:val="20"/>
        </w:rPr>
        <w:t xml:space="preserve"> </w:t>
      </w:r>
    </w:p>
    <w:p>
      <w:pPr>
        <w:pStyle w:val="TextBody"/>
        <w:bidi w:val="0"/>
        <w:spacing w:before="80" w:after="283"/>
        <w:jc w:val="both"/>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Contacts</w:t>
      </w:r>
    </w:p>
    <w:p>
      <w:pPr>
        <w:pStyle w:val="TextBody"/>
        <w:bidi w:val="0"/>
        <w:jc w:val="both"/>
        <w:rPr/>
      </w:pPr>
      <w:r>
        <w:rPr/>
        <w:t> </w:t>
      </w:r>
    </w:p>
    <w:tbl>
      <w:tblPr>
        <w:tblW w:w="2438" w:type="dxa"/>
        <w:jc w:val="left"/>
        <w:tblInd w:w="0" w:type="dxa"/>
        <w:tblLayout w:type="fixed"/>
        <w:tblCellMar>
          <w:top w:w="28" w:type="dxa"/>
          <w:left w:w="28" w:type="dxa"/>
          <w:bottom w:w="28" w:type="dxa"/>
          <w:right w:w="28" w:type="dxa"/>
        </w:tblCellMar>
      </w:tblPr>
      <w:tblGrid>
        <w:gridCol w:w="161"/>
        <w:gridCol w:w="146"/>
        <w:gridCol w:w="21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Investor Relations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Tel: +86 21 2407 7556 </w:t>
            </w:r>
          </w:p>
          <w:p>
            <w:pPr>
              <w:pStyle w:val="TableContents"/>
              <w:bidi w:val="0"/>
              <w:jc w:val="left"/>
              <w:rPr>
                <w:rFonts w:ascii="Times New Roman" w:hAnsi="Times New Roman"/>
                <w:sz w:val="20"/>
              </w:rPr>
            </w:pPr>
            <w:r>
              <w:rPr>
                <w:rFonts w:ascii="Times New Roman" w:hAnsi="Times New Roman"/>
                <w:sz w:val="20"/>
              </w:rPr>
              <w:t>IR@YumChina.com</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Media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Tel: +86 21 2407 3824</w:t>
            </w:r>
          </w:p>
          <w:p>
            <w:pPr>
              <w:pStyle w:val="TableContents"/>
              <w:bidi w:val="0"/>
              <w:spacing w:before="0" w:after="283"/>
              <w:jc w:val="left"/>
              <w:rPr>
                <w:rFonts w:ascii="Times New Roman" w:hAnsi="Times New Roman"/>
                <w:sz w:val="20"/>
              </w:rPr>
            </w:pPr>
            <w:r>
              <w:rPr>
                <w:rFonts w:ascii="Times New Roman" w:hAnsi="Times New Roman"/>
                <w:sz w:val="20"/>
              </w:rPr>
              <w:t>Media@YumChina.com</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ummary_of_results"/>
      <w:bookmarkEnd w:id="6"/>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US$ million,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5"/>
        <w:gridCol w:w="146"/>
        <w:gridCol w:w="228"/>
        <w:gridCol w:w="596"/>
        <w:gridCol w:w="256"/>
        <w:gridCol w:w="146"/>
        <w:gridCol w:w="228"/>
        <w:gridCol w:w="596"/>
        <w:gridCol w:w="256"/>
        <w:gridCol w:w="146"/>
        <w:gridCol w:w="146"/>
        <w:gridCol w:w="391"/>
        <w:gridCol w:w="166"/>
        <w:gridCol w:w="451"/>
        <w:gridCol w:w="146"/>
        <w:gridCol w:w="212"/>
        <w:gridCol w:w="651"/>
        <w:gridCol w:w="256"/>
        <w:gridCol w:w="146"/>
        <w:gridCol w:w="212"/>
        <w:gridCol w:w="651"/>
        <w:gridCol w:w="256"/>
        <w:gridCol w:w="146"/>
        <w:gridCol w:w="146"/>
        <w:gridCol w:w="391"/>
        <w:gridCol w:w="166"/>
        <w:gridCol w:w="499"/>
      </w:tblGrid>
      <w:tr>
        <w:trPr/>
        <w:tc>
          <w:tcPr>
            <w:tcW w:w="2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Income Before Income Taxes and </w:t>
              <w:br/>
              <w:t xml:space="preserve">  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 NM refers to not meaningful.</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kfc_global_operating_results"/>
      <w:bookmarkEnd w:id="7"/>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KFC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7"/>
        <w:gridCol w:w="146"/>
        <w:gridCol w:w="234"/>
        <w:gridCol w:w="612"/>
        <w:gridCol w:w="256"/>
        <w:gridCol w:w="146"/>
        <w:gridCol w:w="234"/>
        <w:gridCol w:w="612"/>
        <w:gridCol w:w="256"/>
        <w:gridCol w:w="146"/>
        <w:gridCol w:w="146"/>
        <w:gridCol w:w="391"/>
        <w:gridCol w:w="166"/>
        <w:gridCol w:w="451"/>
        <w:gridCol w:w="146"/>
        <w:gridCol w:w="234"/>
        <w:gridCol w:w="612"/>
        <w:gridCol w:w="256"/>
        <w:gridCol w:w="146"/>
        <w:gridCol w:w="234"/>
        <w:gridCol w:w="612"/>
        <w:gridCol w:w="256"/>
        <w:gridCol w:w="146"/>
        <w:gridCol w:w="146"/>
        <w:gridCol w:w="391"/>
        <w:gridCol w:w="166"/>
        <w:gridCol w:w="497"/>
      </w:tblGrid>
      <w:tr>
        <w:trPr/>
        <w:tc>
          <w:tcPr>
            <w:tcW w:w="2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 NM refers to not meaningful.</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pizza_hut_global_operating_results"/>
      <w:bookmarkEnd w:id="8"/>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Pizza Hut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7"/>
        <w:gridCol w:w="146"/>
        <w:gridCol w:w="234"/>
        <w:gridCol w:w="612"/>
        <w:gridCol w:w="256"/>
        <w:gridCol w:w="146"/>
        <w:gridCol w:w="234"/>
        <w:gridCol w:w="612"/>
        <w:gridCol w:w="256"/>
        <w:gridCol w:w="146"/>
        <w:gridCol w:w="146"/>
        <w:gridCol w:w="391"/>
        <w:gridCol w:w="166"/>
        <w:gridCol w:w="451"/>
        <w:gridCol w:w="146"/>
        <w:gridCol w:w="234"/>
        <w:gridCol w:w="612"/>
        <w:gridCol w:w="256"/>
        <w:gridCol w:w="146"/>
        <w:gridCol w:w="234"/>
        <w:gridCol w:w="612"/>
        <w:gridCol w:w="256"/>
        <w:gridCol w:w="146"/>
        <w:gridCol w:w="146"/>
        <w:gridCol w:w="391"/>
        <w:gridCol w:w="166"/>
        <w:gridCol w:w="497"/>
      </w:tblGrid>
      <w:tr>
        <w:trPr/>
        <w:tc>
          <w:tcPr>
            <w:tcW w:w="2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w:t>
      </w:r>
    </w:p>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balance_sheets"/>
      <w:bookmarkEnd w:id="9"/>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0"/>
        <w:gridCol w:w="146"/>
        <w:gridCol w:w="259"/>
        <w:gridCol w:w="831"/>
        <w:gridCol w:w="166"/>
        <w:gridCol w:w="146"/>
        <w:gridCol w:w="250"/>
        <w:gridCol w:w="803"/>
        <w:gridCol w:w="414"/>
      </w:tblGrid>
      <w:tr>
        <w:trPr/>
        <w:tc>
          <w:tcPr>
            <w:tcW w:w="7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$0.01 par value; 1,000 million shares authorized; 355 million shares </w:t>
              <w:br/>
              <w:t xml:space="preserve">      and 379 million shares issued at December 31, 2025 and 2024, respectively; </w:t>
              <w:br/>
              <w:t xml:space="preserve">      354 million shares and 378 million shares outstanding at December 31, 2025 and 2024,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condensed_consolidated_statements_of_cas"/>
      <w:bookmarkEnd w:id="10"/>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21" w:type="dxa"/>
        <w:jc w:val="left"/>
        <w:tblInd w:w="0" w:type="dxa"/>
        <w:tblLayout w:type="fixed"/>
        <w:tblCellMar>
          <w:top w:w="28" w:type="dxa"/>
          <w:left w:w="28" w:type="dxa"/>
          <w:bottom w:w="28" w:type="dxa"/>
          <w:right w:w="28" w:type="dxa"/>
        </w:tblCellMar>
      </w:tblPr>
      <w:tblGrid>
        <w:gridCol w:w="6376"/>
        <w:gridCol w:w="146"/>
        <w:gridCol w:w="211"/>
        <w:gridCol w:w="631"/>
        <w:gridCol w:w="166"/>
        <w:gridCol w:w="146"/>
        <w:gridCol w:w="146"/>
        <w:gridCol w:w="211"/>
        <w:gridCol w:w="631"/>
        <w:gridCol w:w="166"/>
        <w:gridCol w:w="19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Closures and impairment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Distributions of income received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prepaid expenses, other current assets and value-added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Proceeds from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Dividends paid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Effect of Exchange Rates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press release: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growth reflects the results of all restaurants regardless of ownership, including Company-owned and franchise restaurants that operate our restaurant concepts, except for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 Count by Brand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KFC</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1516"/>
        <w:gridCol w:w="146"/>
        <w:gridCol w:w="189"/>
        <w:gridCol w:w="876"/>
        <w:gridCol w:w="146"/>
        <w:gridCol w:w="146"/>
        <w:gridCol w:w="214"/>
        <w:gridCol w:w="836"/>
        <w:gridCol w:w="146"/>
        <w:gridCol w:w="146"/>
        <w:gridCol w:w="195"/>
        <w:gridCol w:w="646"/>
        <w:gridCol w:w="166"/>
        <w:gridCol w:w="146"/>
        <w:gridCol w:w="262"/>
        <w:gridCol w:w="624"/>
        <w:gridCol w:w="166"/>
        <w:gridCol w:w="146"/>
        <w:gridCol w:w="360"/>
        <w:gridCol w:w="856"/>
        <w:gridCol w:w="166"/>
        <w:gridCol w:w="146"/>
        <w:gridCol w:w="189"/>
        <w:gridCol w:w="8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Pizza Hut</w:t>
      </w:r>
    </w:p>
    <w:p>
      <w:pPr>
        <w:pStyle w:val="TextBody"/>
        <w:bidi w:val="0"/>
        <w:jc w:val="left"/>
        <w:rPr/>
      </w:pPr>
      <w:r>
        <w:rPr/>
        <w:t> </w:t>
      </w:r>
    </w:p>
    <w:tbl>
      <w:tblPr>
        <w:tblW w:w="8298" w:type="dxa"/>
        <w:jc w:val="left"/>
        <w:tblInd w:w="0" w:type="dxa"/>
        <w:tblLayout w:type="fixed"/>
        <w:tblCellMar>
          <w:top w:w="28" w:type="dxa"/>
          <w:left w:w="28" w:type="dxa"/>
          <w:bottom w:w="28" w:type="dxa"/>
          <w:right w:w="28" w:type="dxa"/>
        </w:tblCellMar>
      </w:tblPr>
      <w:tblGrid>
        <w:gridCol w:w="1516"/>
        <w:gridCol w:w="146"/>
        <w:gridCol w:w="217"/>
        <w:gridCol w:w="848"/>
        <w:gridCol w:w="146"/>
        <w:gridCol w:w="146"/>
        <w:gridCol w:w="270"/>
        <w:gridCol w:w="780"/>
        <w:gridCol w:w="146"/>
        <w:gridCol w:w="146"/>
        <w:gridCol w:w="195"/>
        <w:gridCol w:w="646"/>
        <w:gridCol w:w="166"/>
        <w:gridCol w:w="146"/>
        <w:gridCol w:w="360"/>
        <w:gridCol w:w="856"/>
        <w:gridCol w:w="166"/>
        <w:gridCol w:w="146"/>
        <w:gridCol w:w="217"/>
        <w:gridCol w:w="848"/>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Others</w:t>
      </w:r>
    </w:p>
    <w:p>
      <w:pPr>
        <w:pStyle w:val="TextBody"/>
        <w:bidi w:val="0"/>
        <w:jc w:val="left"/>
        <w:rPr/>
      </w:pPr>
      <w:r>
        <w:rPr/>
        <w:t> </w:t>
      </w:r>
    </w:p>
    <w:tbl>
      <w:tblPr>
        <w:tblW w:w="6770" w:type="dxa"/>
        <w:jc w:val="left"/>
        <w:tblInd w:w="0" w:type="dxa"/>
        <w:tblLayout w:type="fixed"/>
        <w:tblCellMar>
          <w:top w:w="28" w:type="dxa"/>
          <w:left w:w="28" w:type="dxa"/>
          <w:bottom w:w="28" w:type="dxa"/>
          <w:right w:w="28" w:type="dxa"/>
        </w:tblCellMar>
      </w:tblPr>
      <w:tblGrid>
        <w:gridCol w:w="1516"/>
        <w:gridCol w:w="146"/>
        <w:gridCol w:w="217"/>
        <w:gridCol w:w="848"/>
        <w:gridCol w:w="146"/>
        <w:gridCol w:w="146"/>
        <w:gridCol w:w="270"/>
        <w:gridCol w:w="780"/>
        <w:gridCol w:w="146"/>
        <w:gridCol w:w="146"/>
        <w:gridCol w:w="195"/>
        <w:gridCol w:w="646"/>
        <w:gridCol w:w="166"/>
        <w:gridCol w:w="146"/>
        <w:gridCol w:w="274"/>
        <w:gridCol w:w="79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Reported GAAP Results to Non-GAAP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results provided in accordance with U.S. Generally Accepted Accounting Principles (“GAAP”) in this press release, the Company provides the following non-GAAP measures: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Measures adjusted for Special Items, which include Adjusted Operating Profit, Adjusted Net Income, Adjusted Earnings Per Common Share ("EPS"), Adjusted Effective Tax Rate and Adjusted EBITDA;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Restaurant Profit ("Restaurant profit") and Restaurant margin;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Operating Profit and Core OP margin, which exclude Special Items, and further adjusted for Items Affecting Comparability and the impact of F/X;</w:t>
      </w:r>
    </w:p>
    <w:p>
      <w:pPr>
        <w:pStyle w:val="TextBody"/>
        <w:bidi w:val="0"/>
        <w:spacing w:before="0" w:after="20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purposes of internally evaluating the performance of our Company-owned restaurants and we believe they provide useful information to investors as to the profitability of our Company-owned restaurants.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tables set forth the reconciliation of the most directly comparable GAAP financial measures to the non-GAAP financial measures. The reconciliation of GAAP Operating Profit to Restaurant Profit and Core Operating Profit by segment is presented in Segment Results within this release.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3"/>
        <w:gridCol w:w="146"/>
        <w:gridCol w:w="299"/>
        <w:gridCol w:w="661"/>
        <w:gridCol w:w="271"/>
        <w:gridCol w:w="146"/>
        <w:gridCol w:w="299"/>
        <w:gridCol w:w="661"/>
        <w:gridCol w:w="271"/>
        <w:gridCol w:w="146"/>
        <w:gridCol w:w="266"/>
        <w:gridCol w:w="722"/>
        <w:gridCol w:w="271"/>
        <w:gridCol w:w="146"/>
        <w:gridCol w:w="266"/>
        <w:gridCol w:w="722"/>
        <w:gridCol w:w="319"/>
      </w:tblGrid>
      <w:tr>
        <w:trPr/>
        <w:tc>
          <w:tcPr>
            <w:tcW w:w="4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Operating Profit to 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Net Income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EPS to 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Effective Tax Rate to 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on effective tax rate as a result of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along with the reconciliation to Adjusted EBITDA,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3"/>
        <w:gridCol w:w="146"/>
        <w:gridCol w:w="338"/>
        <w:gridCol w:w="677"/>
        <w:gridCol w:w="166"/>
        <w:gridCol w:w="146"/>
        <w:gridCol w:w="338"/>
        <w:gridCol w:w="677"/>
        <w:gridCol w:w="166"/>
        <w:gridCol w:w="146"/>
        <w:gridCol w:w="278"/>
        <w:gridCol w:w="754"/>
        <w:gridCol w:w="166"/>
        <w:gridCol w:w="146"/>
        <w:gridCol w:w="278"/>
        <w:gridCol w:w="754"/>
        <w:gridCol w:w="216"/>
      </w:tblGrid>
      <w:tr>
        <w:trPr/>
        <w:tc>
          <w:tcPr>
            <w:tcW w:w="4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Profit, along with the reconciliation to Core Operating Profit,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8"/>
        <w:gridCol w:w="243"/>
        <w:gridCol w:w="658"/>
        <w:gridCol w:w="271"/>
        <w:gridCol w:w="146"/>
        <w:gridCol w:w="243"/>
        <w:gridCol w:w="658"/>
        <w:gridCol w:w="271"/>
        <w:gridCol w:w="146"/>
        <w:gridCol w:w="146"/>
        <w:gridCol w:w="361"/>
        <w:gridCol w:w="146"/>
        <w:gridCol w:w="496"/>
        <w:gridCol w:w="146"/>
        <w:gridCol w:w="228"/>
        <w:gridCol w:w="733"/>
        <w:gridCol w:w="271"/>
        <w:gridCol w:w="146"/>
        <w:gridCol w:w="228"/>
        <w:gridCol w:w="733"/>
        <w:gridCol w:w="271"/>
        <w:gridCol w:w="146"/>
        <w:gridCol w:w="146"/>
        <w:gridCol w:w="361"/>
        <w:gridCol w:w="146"/>
        <w:gridCol w:w="547"/>
      </w:tblGrid>
      <w:tr>
        <w:trPr/>
        <w:tc>
          <w:tcPr>
            <w:tcW w:w="23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Affecting Comparability</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excluding the impact of F/X</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 margin</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segment_results"/>
      <w:bookmarkEnd w:id="11"/>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Segment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95"/>
        <w:gridCol w:w="146"/>
        <w:gridCol w:w="196"/>
        <w:gridCol w:w="511"/>
        <w:gridCol w:w="146"/>
        <w:gridCol w:w="146"/>
        <w:gridCol w:w="258"/>
        <w:gridCol w:w="495"/>
        <w:gridCol w:w="146"/>
        <w:gridCol w:w="146"/>
        <w:gridCol w:w="465"/>
        <w:gridCol w:w="895"/>
        <w:gridCol w:w="146"/>
        <w:gridCol w:w="146"/>
        <w:gridCol w:w="388"/>
        <w:gridCol w:w="748"/>
        <w:gridCol w:w="166"/>
        <w:gridCol w:w="146"/>
        <w:gridCol w:w="311"/>
        <w:gridCol w:w="695"/>
        <w:gridCol w:w="166"/>
        <w:gridCol w:w="146"/>
        <w:gridCol w:w="196"/>
        <w:gridCol w:w="511"/>
        <w:gridCol w:w="195"/>
      </w:tblGrid>
      <w:tr>
        <w:trPr/>
        <w:tc>
          <w:tcPr>
            <w:tcW w:w="2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1"/>
        <w:gridCol w:w="146"/>
        <w:gridCol w:w="196"/>
        <w:gridCol w:w="511"/>
        <w:gridCol w:w="256"/>
        <w:gridCol w:w="146"/>
        <w:gridCol w:w="243"/>
        <w:gridCol w:w="466"/>
        <w:gridCol w:w="256"/>
        <w:gridCol w:w="146"/>
        <w:gridCol w:w="357"/>
        <w:gridCol w:w="878"/>
        <w:gridCol w:w="286"/>
        <w:gridCol w:w="146"/>
        <w:gridCol w:w="404"/>
        <w:gridCol w:w="715"/>
        <w:gridCol w:w="166"/>
        <w:gridCol w:w="146"/>
        <w:gridCol w:w="311"/>
        <w:gridCol w:w="695"/>
        <w:gridCol w:w="166"/>
        <w:gridCol w:w="146"/>
        <w:gridCol w:w="196"/>
        <w:gridCol w:w="511"/>
        <w:gridCol w:w="305"/>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304"/>
        <w:gridCol w:w="536"/>
        <w:gridCol w:w="146"/>
        <w:gridCol w:w="146"/>
        <w:gridCol w:w="580"/>
        <w:gridCol w:w="1025"/>
        <w:gridCol w:w="146"/>
        <w:gridCol w:w="146"/>
        <w:gridCol w:w="422"/>
        <w:gridCol w:w="748"/>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1"/>
        <w:gridCol w:w="146"/>
        <w:gridCol w:w="196"/>
        <w:gridCol w:w="511"/>
        <w:gridCol w:w="146"/>
        <w:gridCol w:w="146"/>
        <w:gridCol w:w="258"/>
        <w:gridCol w:w="494"/>
        <w:gridCol w:w="146"/>
        <w:gridCol w:w="146"/>
        <w:gridCol w:w="464"/>
        <w:gridCol w:w="892"/>
        <w:gridCol w:w="166"/>
        <w:gridCol w:w="146"/>
        <w:gridCol w:w="388"/>
        <w:gridCol w:w="747"/>
        <w:gridCol w:w="166"/>
        <w:gridCol w:w="146"/>
        <w:gridCol w:w="311"/>
        <w:gridCol w:w="695"/>
        <w:gridCol w:w="166"/>
        <w:gridCol w:w="146"/>
        <w:gridCol w:w="196"/>
        <w:gridCol w:w="511"/>
        <w:gridCol w:w="195"/>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1"/>
        <w:gridCol w:w="146"/>
        <w:gridCol w:w="196"/>
        <w:gridCol w:w="511"/>
        <w:gridCol w:w="256"/>
        <w:gridCol w:w="146"/>
        <w:gridCol w:w="243"/>
        <w:gridCol w:w="466"/>
        <w:gridCol w:w="256"/>
        <w:gridCol w:w="146"/>
        <w:gridCol w:w="357"/>
        <w:gridCol w:w="878"/>
        <w:gridCol w:w="286"/>
        <w:gridCol w:w="146"/>
        <w:gridCol w:w="404"/>
        <w:gridCol w:w="715"/>
        <w:gridCol w:w="166"/>
        <w:gridCol w:w="146"/>
        <w:gridCol w:w="311"/>
        <w:gridCol w:w="695"/>
        <w:gridCol w:w="166"/>
        <w:gridCol w:w="146"/>
        <w:gridCol w:w="196"/>
        <w:gridCol w:w="511"/>
        <w:gridCol w:w="305"/>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304"/>
        <w:gridCol w:w="536"/>
        <w:gridCol w:w="146"/>
        <w:gridCol w:w="146"/>
        <w:gridCol w:w="580"/>
        <w:gridCol w:w="1025"/>
        <w:gridCol w:w="166"/>
        <w:gridCol w:w="146"/>
        <w:gridCol w:w="422"/>
        <w:gridCol w:w="748"/>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12/31/2024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4"/>
        <w:gridCol w:w="146"/>
        <w:gridCol w:w="196"/>
        <w:gridCol w:w="511"/>
        <w:gridCol w:w="146"/>
        <w:gridCol w:w="146"/>
        <w:gridCol w:w="219"/>
        <w:gridCol w:w="571"/>
        <w:gridCol w:w="146"/>
        <w:gridCol w:w="146"/>
        <w:gridCol w:w="452"/>
        <w:gridCol w:w="869"/>
        <w:gridCol w:w="166"/>
        <w:gridCol w:w="146"/>
        <w:gridCol w:w="350"/>
        <w:gridCol w:w="781"/>
        <w:gridCol w:w="166"/>
        <w:gridCol w:w="146"/>
        <w:gridCol w:w="311"/>
        <w:gridCol w:w="695"/>
        <w:gridCol w:w="166"/>
        <w:gridCol w:w="146"/>
        <w:gridCol w:w="196"/>
        <w:gridCol w:w="601"/>
        <w:gridCol w:w="213"/>
      </w:tblGrid>
      <w:tr>
        <w:trPr/>
        <w:tc>
          <w:tcPr>
            <w:tcW w:w="2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4"/>
        <w:gridCol w:w="146"/>
        <w:gridCol w:w="196"/>
        <w:gridCol w:w="511"/>
        <w:gridCol w:w="256"/>
        <w:gridCol w:w="146"/>
        <w:gridCol w:w="213"/>
        <w:gridCol w:w="556"/>
        <w:gridCol w:w="256"/>
        <w:gridCol w:w="146"/>
        <w:gridCol w:w="346"/>
        <w:gridCol w:w="853"/>
        <w:gridCol w:w="284"/>
        <w:gridCol w:w="146"/>
        <w:gridCol w:w="345"/>
        <w:gridCol w:w="769"/>
        <w:gridCol w:w="166"/>
        <w:gridCol w:w="146"/>
        <w:gridCol w:w="311"/>
        <w:gridCol w:w="695"/>
        <w:gridCol w:w="166"/>
        <w:gridCol w:w="146"/>
        <w:gridCol w:w="196"/>
        <w:gridCol w:w="601"/>
        <w:gridCol w:w="305"/>
      </w:tblGrid>
      <w:tr>
        <w:trPr/>
        <w:tc>
          <w:tcPr>
            <w:tcW w:w="2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146"/>
        <w:gridCol w:w="196"/>
        <w:gridCol w:w="511"/>
        <w:gridCol w:w="146"/>
        <w:gridCol w:w="146"/>
        <w:gridCol w:w="282"/>
        <w:gridCol w:w="541"/>
        <w:gridCol w:w="146"/>
        <w:gridCol w:w="146"/>
        <w:gridCol w:w="564"/>
        <w:gridCol w:w="996"/>
        <w:gridCol w:w="166"/>
        <w:gridCol w:w="146"/>
        <w:gridCol w:w="360"/>
        <w:gridCol w:w="803"/>
        <w:gridCol w:w="166"/>
        <w:gridCol w:w="146"/>
        <w:gridCol w:w="363"/>
        <w:gridCol w:w="643"/>
        <w:gridCol w:w="146"/>
        <w:gridCol w:w="146"/>
        <w:gridCol w:w="196"/>
        <w:gridCol w:w="511"/>
        <w:gridCol w:w="195"/>
      </w:tblGrid>
      <w:tr>
        <w:trP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4"/>
        <w:gridCol w:w="146"/>
        <w:gridCol w:w="196"/>
        <w:gridCol w:w="511"/>
        <w:gridCol w:w="146"/>
        <w:gridCol w:w="146"/>
        <w:gridCol w:w="219"/>
        <w:gridCol w:w="571"/>
        <w:gridCol w:w="146"/>
        <w:gridCol w:w="146"/>
        <w:gridCol w:w="452"/>
        <w:gridCol w:w="869"/>
        <w:gridCol w:w="166"/>
        <w:gridCol w:w="146"/>
        <w:gridCol w:w="350"/>
        <w:gridCol w:w="781"/>
        <w:gridCol w:w="166"/>
        <w:gridCol w:w="146"/>
        <w:gridCol w:w="311"/>
        <w:gridCol w:w="695"/>
        <w:gridCol w:w="166"/>
        <w:gridCol w:w="146"/>
        <w:gridCol w:w="196"/>
        <w:gridCol w:w="601"/>
        <w:gridCol w:w="213"/>
      </w:tblGrid>
      <w:tr>
        <w:trPr/>
        <w:tc>
          <w:tcPr>
            <w:tcW w:w="2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4"/>
        <w:gridCol w:w="146"/>
        <w:gridCol w:w="196"/>
        <w:gridCol w:w="511"/>
        <w:gridCol w:w="256"/>
        <w:gridCol w:w="146"/>
        <w:gridCol w:w="213"/>
        <w:gridCol w:w="556"/>
        <w:gridCol w:w="256"/>
        <w:gridCol w:w="146"/>
        <w:gridCol w:w="346"/>
        <w:gridCol w:w="853"/>
        <w:gridCol w:w="284"/>
        <w:gridCol w:w="146"/>
        <w:gridCol w:w="345"/>
        <w:gridCol w:w="769"/>
        <w:gridCol w:w="166"/>
        <w:gridCol w:w="146"/>
        <w:gridCol w:w="311"/>
        <w:gridCol w:w="695"/>
        <w:gridCol w:w="166"/>
        <w:gridCol w:w="146"/>
        <w:gridCol w:w="196"/>
        <w:gridCol w:w="601"/>
        <w:gridCol w:w="305"/>
      </w:tblGrid>
      <w:tr>
        <w:trPr/>
        <w:tc>
          <w:tcPr>
            <w:tcW w:w="2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146"/>
        <w:gridCol w:w="196"/>
        <w:gridCol w:w="511"/>
        <w:gridCol w:w="146"/>
        <w:gridCol w:w="146"/>
        <w:gridCol w:w="282"/>
        <w:gridCol w:w="541"/>
        <w:gridCol w:w="146"/>
        <w:gridCol w:w="146"/>
        <w:gridCol w:w="564"/>
        <w:gridCol w:w="996"/>
        <w:gridCol w:w="166"/>
        <w:gridCol w:w="146"/>
        <w:gridCol w:w="360"/>
        <w:gridCol w:w="803"/>
        <w:gridCol w:w="166"/>
        <w:gridCol w:w="146"/>
        <w:gridCol w:w="363"/>
        <w:gridCol w:w="643"/>
        <w:gridCol w:w="146"/>
        <w:gridCol w:w="146"/>
        <w:gridCol w:w="196"/>
        <w:gridCol w:w="511"/>
        <w:gridCol w:w="195"/>
      </w:tblGrid>
      <w:tr>
        <w:trP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12/31/2024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 tables reconcile segment information, which is based on management responsibility, with our Condensed Consolidated Statements of Income.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Amounts have not been allocated to any segment for purpose of making operating decision or assessing financial performance as the transactions are deemed corporate revenues and expenses in nature.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Primarily includes revenues and associated expenses of transactions with franchisees derived from the Company’s central procurement model whereby the Company centrally purchases substantially all food and paper products from suppliers and then sells and delivers to KFC and Pizza Hut restaurants, including franchisees.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8493</Words>
  <Characters>42345</Characters>
  <CharactersWithSpaces>54221</CharactersWithSpaces>
  <Paragraphs>9565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