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66" w:rsidRDefault="00F80B74">
      <w:pPr>
        <w:rPr>
          <w:sz w:val="20"/>
          <w:szCs w:val="20"/>
        </w:rPr>
      </w:pPr>
      <w:bookmarkStart w:id="0" w:name="page1"/>
      <w:bookmarkEnd w:id="0"/>
      <w:r>
        <w:rPr>
          <w:rFonts w:eastAsia="Times New Roman"/>
          <w:b/>
          <w:bCs/>
          <w:color w:val="0000EE"/>
          <w:sz w:val="17"/>
          <w:szCs w:val="17"/>
          <w:u w:val="single"/>
        </w:rPr>
        <w:t>Table of Contents</w:t>
      </w:r>
    </w:p>
    <w:p w:rsidR="00CC2C66" w:rsidRDefault="00F80B74">
      <w:pPr>
        <w:spacing w:line="20" w:lineRule="exact"/>
        <w:rPr>
          <w:sz w:val="24"/>
          <w:szCs w:val="24"/>
        </w:rPr>
      </w:pPr>
      <w:r>
        <w:rPr>
          <w:noProof/>
          <w:sz w:val="24"/>
          <w:szCs w:val="24"/>
        </w:rPr>
        <w:drawing>
          <wp:anchor distT="0" distB="0" distL="114300" distR="114300" simplePos="0" relativeHeight="251483136" behindDoc="1" locked="0" layoutInCell="0" allowOverlap="1">
            <wp:simplePos x="0" y="0"/>
            <wp:positionH relativeFrom="column">
              <wp:posOffset>260985</wp:posOffset>
            </wp:positionH>
            <wp:positionV relativeFrom="paragraph">
              <wp:posOffset>212725</wp:posOffset>
            </wp:positionV>
            <wp:extent cx="662051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620510" cy="8255"/>
                    </a:xfrm>
                    <a:prstGeom prst="rect">
                      <a:avLst/>
                    </a:prstGeom>
                    <a:noFill/>
                  </pic:spPr>
                </pic:pic>
              </a:graphicData>
            </a:graphic>
          </wp:anchor>
        </w:drawing>
      </w:r>
      <w:r>
        <w:rPr>
          <w:noProof/>
          <w:sz w:val="24"/>
          <w:szCs w:val="24"/>
        </w:rPr>
        <w:drawing>
          <wp:anchor distT="0" distB="0" distL="114300" distR="114300" simplePos="0" relativeHeight="251484160" behindDoc="1" locked="0" layoutInCell="0" allowOverlap="1">
            <wp:simplePos x="0" y="0"/>
            <wp:positionH relativeFrom="column">
              <wp:posOffset>260985</wp:posOffset>
            </wp:positionH>
            <wp:positionV relativeFrom="paragraph">
              <wp:posOffset>253365</wp:posOffset>
            </wp:positionV>
            <wp:extent cx="6620510"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4"/>
          <w:szCs w:val="24"/>
        </w:rPr>
      </w:pPr>
    </w:p>
    <w:p w:rsidR="00CC2C66" w:rsidRDefault="00CC2C66">
      <w:pPr>
        <w:spacing w:line="352" w:lineRule="exact"/>
        <w:rPr>
          <w:sz w:val="24"/>
          <w:szCs w:val="24"/>
        </w:rPr>
      </w:pPr>
    </w:p>
    <w:p w:rsidR="00CC2C66" w:rsidRDefault="00F80B74">
      <w:pPr>
        <w:ind w:right="-1100"/>
        <w:jc w:val="center"/>
        <w:rPr>
          <w:sz w:val="20"/>
          <w:szCs w:val="20"/>
        </w:rPr>
      </w:pPr>
      <w:r>
        <w:rPr>
          <w:rFonts w:eastAsia="Times New Roman"/>
          <w:b/>
          <w:bCs/>
          <w:sz w:val="31"/>
          <w:szCs w:val="31"/>
        </w:rPr>
        <w:t>UNITED STATES</w:t>
      </w:r>
    </w:p>
    <w:p w:rsidR="00CC2C66" w:rsidRDefault="00CC2C66">
      <w:pPr>
        <w:spacing w:line="28" w:lineRule="exact"/>
        <w:rPr>
          <w:sz w:val="24"/>
          <w:szCs w:val="24"/>
        </w:rPr>
      </w:pPr>
    </w:p>
    <w:p w:rsidR="00CC2C66" w:rsidRDefault="00F80B74">
      <w:pPr>
        <w:ind w:right="-1100"/>
        <w:jc w:val="center"/>
        <w:rPr>
          <w:sz w:val="20"/>
          <w:szCs w:val="20"/>
        </w:rPr>
      </w:pPr>
      <w:r>
        <w:rPr>
          <w:rFonts w:eastAsia="Times New Roman"/>
          <w:b/>
          <w:bCs/>
          <w:sz w:val="30"/>
          <w:szCs w:val="30"/>
        </w:rPr>
        <w:t>SECURITIES AND EXCHANGE COMMISSION</w:t>
      </w:r>
    </w:p>
    <w:p w:rsidR="00CC2C66" w:rsidRDefault="00CC2C66">
      <w:pPr>
        <w:spacing w:line="2" w:lineRule="exact"/>
        <w:rPr>
          <w:sz w:val="24"/>
          <w:szCs w:val="24"/>
        </w:rPr>
      </w:pPr>
    </w:p>
    <w:p w:rsidR="00CC2C66" w:rsidRDefault="00F80B74">
      <w:pPr>
        <w:ind w:left="4380"/>
        <w:rPr>
          <w:sz w:val="20"/>
          <w:szCs w:val="20"/>
        </w:rPr>
      </w:pPr>
      <w:r>
        <w:rPr>
          <w:rFonts w:eastAsia="Times New Roman"/>
          <w:b/>
          <w:bCs/>
          <w:sz w:val="20"/>
          <w:szCs w:val="20"/>
        </w:rPr>
        <w:t>WASHINGTON, D.C. 20549</w:t>
      </w:r>
    </w:p>
    <w:p w:rsidR="00CC2C66" w:rsidRDefault="00F80B74">
      <w:pPr>
        <w:spacing w:line="20" w:lineRule="exact"/>
        <w:rPr>
          <w:sz w:val="24"/>
          <w:szCs w:val="24"/>
        </w:rPr>
      </w:pPr>
      <w:r>
        <w:rPr>
          <w:noProof/>
          <w:sz w:val="24"/>
          <w:szCs w:val="24"/>
        </w:rPr>
        <w:drawing>
          <wp:anchor distT="0" distB="0" distL="114300" distR="114300" simplePos="0" relativeHeight="251485184" behindDoc="1" locked="0" layoutInCell="0" allowOverlap="1">
            <wp:simplePos x="0" y="0"/>
            <wp:positionH relativeFrom="column">
              <wp:posOffset>2873375</wp:posOffset>
            </wp:positionH>
            <wp:positionV relativeFrom="paragraph">
              <wp:posOffset>212725</wp:posOffset>
            </wp:positionV>
            <wp:extent cx="139573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1395730" cy="8255"/>
                    </a:xfrm>
                    <a:prstGeom prst="rect">
                      <a:avLst/>
                    </a:prstGeom>
                    <a:noFill/>
                  </pic:spPr>
                </pic:pic>
              </a:graphicData>
            </a:graphic>
          </wp:anchor>
        </w:drawing>
      </w:r>
    </w:p>
    <w:p w:rsidR="00CC2C66" w:rsidRDefault="00CC2C66">
      <w:pPr>
        <w:spacing w:line="200" w:lineRule="exact"/>
        <w:rPr>
          <w:sz w:val="24"/>
          <w:szCs w:val="24"/>
        </w:rPr>
      </w:pPr>
    </w:p>
    <w:p w:rsidR="00CC2C66" w:rsidRDefault="00CC2C66">
      <w:pPr>
        <w:spacing w:line="288" w:lineRule="exact"/>
        <w:rPr>
          <w:sz w:val="24"/>
          <w:szCs w:val="24"/>
        </w:rPr>
      </w:pPr>
    </w:p>
    <w:p w:rsidR="00CC2C66" w:rsidRDefault="00F80B74">
      <w:pPr>
        <w:ind w:right="-1100"/>
        <w:jc w:val="center"/>
        <w:rPr>
          <w:sz w:val="20"/>
          <w:szCs w:val="20"/>
        </w:rPr>
      </w:pPr>
      <w:r>
        <w:rPr>
          <w:rFonts w:eastAsia="Times New Roman"/>
          <w:b/>
          <w:bCs/>
          <w:sz w:val="31"/>
          <w:szCs w:val="31"/>
        </w:rPr>
        <w:t>SCHEDULE 14A</w:t>
      </w:r>
    </w:p>
    <w:p w:rsidR="00CC2C66" w:rsidRDefault="00CC2C66">
      <w:pPr>
        <w:spacing w:line="30" w:lineRule="exact"/>
        <w:rPr>
          <w:sz w:val="24"/>
          <w:szCs w:val="24"/>
        </w:rPr>
      </w:pPr>
    </w:p>
    <w:p w:rsidR="00CC2C66" w:rsidRDefault="00F80B74">
      <w:pPr>
        <w:ind w:right="-1100"/>
        <w:jc w:val="center"/>
        <w:rPr>
          <w:sz w:val="20"/>
          <w:szCs w:val="20"/>
        </w:rPr>
      </w:pPr>
      <w:r>
        <w:rPr>
          <w:rFonts w:eastAsia="Times New Roman"/>
          <w:b/>
          <w:bCs/>
          <w:sz w:val="20"/>
          <w:szCs w:val="20"/>
        </w:rPr>
        <w:t>Proxy Statement Pursuant to Section 14(a) of the</w:t>
      </w:r>
    </w:p>
    <w:p w:rsidR="00CC2C66" w:rsidRDefault="00F80B74">
      <w:pPr>
        <w:tabs>
          <w:tab w:val="left" w:pos="220"/>
        </w:tabs>
        <w:ind w:right="-1120"/>
        <w:jc w:val="center"/>
        <w:rPr>
          <w:sz w:val="20"/>
          <w:szCs w:val="20"/>
        </w:rPr>
      </w:pPr>
      <w:r>
        <w:rPr>
          <w:rFonts w:eastAsia="Times New Roman"/>
          <w:b/>
          <w:bCs/>
          <w:sz w:val="20"/>
          <w:szCs w:val="20"/>
        </w:rPr>
        <w:t>Securities Exchange Act of 1934 (Amendment No.</w:t>
      </w:r>
      <w:r>
        <w:rPr>
          <w:rFonts w:eastAsia="Times New Roman"/>
          <w:b/>
          <w:bCs/>
          <w:sz w:val="20"/>
          <w:szCs w:val="20"/>
        </w:rPr>
        <w:tab/>
        <w:t>)</w:t>
      </w:r>
    </w:p>
    <w:p w:rsidR="00CC2C66" w:rsidRDefault="00F80B74">
      <w:pPr>
        <w:spacing w:line="20" w:lineRule="exact"/>
        <w:rPr>
          <w:sz w:val="24"/>
          <w:szCs w:val="24"/>
        </w:rPr>
      </w:pPr>
      <w:r>
        <w:rPr>
          <w:noProof/>
          <w:sz w:val="24"/>
          <w:szCs w:val="24"/>
        </w:rPr>
        <w:drawing>
          <wp:anchor distT="0" distB="0" distL="114300" distR="114300" simplePos="0" relativeHeight="251486208" behindDoc="1" locked="0" layoutInCell="0" allowOverlap="1">
            <wp:simplePos x="0" y="0"/>
            <wp:positionH relativeFrom="column">
              <wp:posOffset>2873375</wp:posOffset>
            </wp:positionH>
            <wp:positionV relativeFrom="paragraph">
              <wp:posOffset>212725</wp:posOffset>
            </wp:positionV>
            <wp:extent cx="1395730"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1395730" cy="8255"/>
                    </a:xfrm>
                    <a:prstGeom prst="rect">
                      <a:avLst/>
                    </a:prstGeom>
                    <a:noFill/>
                  </pic:spPr>
                </pic:pic>
              </a:graphicData>
            </a:graphic>
          </wp:anchor>
        </w:drawing>
      </w:r>
    </w:p>
    <w:p w:rsidR="00CC2C66" w:rsidRDefault="00CC2C66">
      <w:pPr>
        <w:spacing w:line="200" w:lineRule="exact"/>
        <w:rPr>
          <w:sz w:val="24"/>
          <w:szCs w:val="24"/>
        </w:rPr>
      </w:pPr>
    </w:p>
    <w:p w:rsidR="00CC2C66" w:rsidRDefault="00CC2C66">
      <w:pPr>
        <w:spacing w:line="288" w:lineRule="exact"/>
        <w:rPr>
          <w:sz w:val="24"/>
          <w:szCs w:val="24"/>
        </w:rPr>
      </w:pPr>
    </w:p>
    <w:p w:rsidR="00CC2C66" w:rsidRDefault="00F80B74">
      <w:pPr>
        <w:spacing w:line="196" w:lineRule="exact"/>
        <w:ind w:left="420"/>
        <w:rPr>
          <w:sz w:val="20"/>
          <w:szCs w:val="20"/>
        </w:rPr>
      </w:pPr>
      <w:r>
        <w:rPr>
          <w:rFonts w:eastAsia="Times New Roman"/>
          <w:sz w:val="17"/>
          <w:szCs w:val="17"/>
        </w:rPr>
        <w:t xml:space="preserve">Filed by the Registrant </w:t>
      </w:r>
      <w:r>
        <w:rPr>
          <w:rFonts w:ascii="MS PGothic" w:eastAsia="MS PGothic" w:hAnsi="MS PGothic" w:cs="MS PGothic"/>
          <w:sz w:val="17"/>
          <w:szCs w:val="17"/>
        </w:rPr>
        <w:t>☒</w:t>
      </w:r>
    </w:p>
    <w:p w:rsidR="00CC2C66" w:rsidRDefault="00CC2C66">
      <w:pPr>
        <w:spacing w:line="213" w:lineRule="exact"/>
        <w:rPr>
          <w:sz w:val="24"/>
          <w:szCs w:val="24"/>
        </w:rPr>
      </w:pPr>
    </w:p>
    <w:p w:rsidR="00CC2C66" w:rsidRDefault="00F80B74">
      <w:pPr>
        <w:spacing w:line="196" w:lineRule="exact"/>
        <w:ind w:left="420"/>
        <w:rPr>
          <w:sz w:val="20"/>
          <w:szCs w:val="20"/>
        </w:rPr>
      </w:pPr>
      <w:r>
        <w:rPr>
          <w:rFonts w:eastAsia="Times New Roman"/>
          <w:sz w:val="17"/>
          <w:szCs w:val="17"/>
        </w:rPr>
        <w:t xml:space="preserve">Filed by a Party other than the Registrant </w:t>
      </w:r>
      <w:r>
        <w:rPr>
          <w:rFonts w:ascii="MS PGothic" w:eastAsia="MS PGothic" w:hAnsi="MS PGothic" w:cs="MS PGothic"/>
          <w:sz w:val="17"/>
          <w:szCs w:val="17"/>
        </w:rPr>
        <w:t>☐</w:t>
      </w:r>
    </w:p>
    <w:p w:rsidR="00CC2C66" w:rsidRDefault="00CC2C66">
      <w:pPr>
        <w:spacing w:line="200" w:lineRule="exact"/>
        <w:rPr>
          <w:sz w:val="24"/>
          <w:szCs w:val="24"/>
        </w:rPr>
      </w:pPr>
    </w:p>
    <w:p w:rsidR="00CC2C66" w:rsidRDefault="00CC2C66">
      <w:pPr>
        <w:spacing w:line="246" w:lineRule="exact"/>
        <w:rPr>
          <w:sz w:val="24"/>
          <w:szCs w:val="24"/>
        </w:rPr>
      </w:pPr>
    </w:p>
    <w:p w:rsidR="00CC2C66" w:rsidRDefault="00F80B74">
      <w:pPr>
        <w:ind w:left="420"/>
        <w:rPr>
          <w:sz w:val="20"/>
          <w:szCs w:val="20"/>
        </w:rPr>
      </w:pPr>
      <w:r>
        <w:rPr>
          <w:rFonts w:eastAsia="Times New Roman"/>
          <w:sz w:val="17"/>
          <w:szCs w:val="17"/>
        </w:rPr>
        <w:t>Check the appropriate box:</w:t>
      </w:r>
    </w:p>
    <w:p w:rsidR="00CC2C66" w:rsidRDefault="00CC2C66">
      <w:pPr>
        <w:spacing w:line="239" w:lineRule="exact"/>
        <w:rPr>
          <w:sz w:val="24"/>
          <w:szCs w:val="24"/>
        </w:rPr>
      </w:pPr>
    </w:p>
    <w:p w:rsidR="00CC2C66" w:rsidRDefault="00F80B74">
      <w:pPr>
        <w:numPr>
          <w:ilvl w:val="0"/>
          <w:numId w:val="1"/>
        </w:numPr>
        <w:tabs>
          <w:tab w:val="left" w:pos="740"/>
        </w:tabs>
        <w:ind w:left="740" w:hanging="329"/>
        <w:rPr>
          <w:rFonts w:ascii="MS PGothic" w:eastAsia="MS PGothic" w:hAnsi="MS PGothic" w:cs="MS PGothic"/>
          <w:sz w:val="17"/>
          <w:szCs w:val="17"/>
        </w:rPr>
      </w:pPr>
      <w:r>
        <w:rPr>
          <w:rFonts w:eastAsia="Times New Roman"/>
          <w:sz w:val="17"/>
          <w:szCs w:val="17"/>
        </w:rPr>
        <w:t>Preliminary Proxy Statement</w:t>
      </w:r>
    </w:p>
    <w:p w:rsidR="00CC2C66" w:rsidRDefault="00CC2C66">
      <w:pPr>
        <w:spacing w:line="209" w:lineRule="exact"/>
        <w:rPr>
          <w:rFonts w:ascii="MS PGothic" w:eastAsia="MS PGothic" w:hAnsi="MS PGothic" w:cs="MS PGothic"/>
          <w:sz w:val="17"/>
          <w:szCs w:val="17"/>
        </w:rPr>
      </w:pPr>
    </w:p>
    <w:p w:rsidR="00CC2C66" w:rsidRDefault="00F80B74">
      <w:pPr>
        <w:numPr>
          <w:ilvl w:val="0"/>
          <w:numId w:val="1"/>
        </w:numPr>
        <w:tabs>
          <w:tab w:val="left" w:pos="740"/>
        </w:tabs>
        <w:ind w:left="740" w:hanging="329"/>
        <w:rPr>
          <w:rFonts w:ascii="MS PGothic" w:eastAsia="MS PGothic" w:hAnsi="MS PGothic" w:cs="MS PGothic"/>
          <w:sz w:val="17"/>
          <w:szCs w:val="17"/>
        </w:rPr>
      </w:pPr>
      <w:r>
        <w:rPr>
          <w:rFonts w:eastAsia="Times New Roman"/>
          <w:b/>
          <w:bCs/>
          <w:sz w:val="17"/>
          <w:szCs w:val="17"/>
        </w:rPr>
        <w:t>Confidential, for Use of the Commission Only (as permitted by Rule 14a-6(e)(2))</w:t>
      </w:r>
    </w:p>
    <w:p w:rsidR="00CC2C66" w:rsidRDefault="00CC2C66">
      <w:pPr>
        <w:spacing w:line="217" w:lineRule="exact"/>
        <w:rPr>
          <w:sz w:val="24"/>
          <w:szCs w:val="24"/>
        </w:rPr>
      </w:pPr>
    </w:p>
    <w:p w:rsidR="00CC2C66" w:rsidRDefault="00F80B74">
      <w:pPr>
        <w:numPr>
          <w:ilvl w:val="0"/>
          <w:numId w:val="2"/>
        </w:numPr>
        <w:tabs>
          <w:tab w:val="left" w:pos="740"/>
        </w:tabs>
        <w:ind w:left="740" w:hanging="329"/>
        <w:rPr>
          <w:rFonts w:ascii="MS PGothic" w:eastAsia="MS PGothic" w:hAnsi="MS PGothic" w:cs="MS PGothic"/>
          <w:sz w:val="17"/>
          <w:szCs w:val="17"/>
        </w:rPr>
      </w:pPr>
      <w:r>
        <w:rPr>
          <w:rFonts w:eastAsia="Times New Roman"/>
          <w:sz w:val="17"/>
          <w:szCs w:val="17"/>
        </w:rPr>
        <w:t>Definitive Proxy Statement</w:t>
      </w:r>
    </w:p>
    <w:p w:rsidR="00CC2C66" w:rsidRDefault="00CC2C66">
      <w:pPr>
        <w:spacing w:line="213" w:lineRule="exact"/>
        <w:rPr>
          <w:sz w:val="24"/>
          <w:szCs w:val="24"/>
        </w:rPr>
      </w:pPr>
    </w:p>
    <w:p w:rsidR="00CC2C66" w:rsidRDefault="00F80B74">
      <w:pPr>
        <w:numPr>
          <w:ilvl w:val="0"/>
          <w:numId w:val="3"/>
        </w:numPr>
        <w:tabs>
          <w:tab w:val="left" w:pos="740"/>
        </w:tabs>
        <w:ind w:left="740" w:hanging="329"/>
        <w:rPr>
          <w:rFonts w:ascii="MS PGothic" w:eastAsia="MS PGothic" w:hAnsi="MS PGothic" w:cs="MS PGothic"/>
          <w:sz w:val="17"/>
          <w:szCs w:val="17"/>
        </w:rPr>
      </w:pPr>
      <w:r>
        <w:rPr>
          <w:rFonts w:eastAsia="Times New Roman"/>
          <w:sz w:val="17"/>
          <w:szCs w:val="17"/>
        </w:rPr>
        <w:t>Definitive Additional Materials</w:t>
      </w:r>
    </w:p>
    <w:p w:rsidR="00CC2C66" w:rsidRDefault="00CC2C66">
      <w:pPr>
        <w:spacing w:line="213" w:lineRule="exact"/>
        <w:rPr>
          <w:rFonts w:ascii="MS PGothic" w:eastAsia="MS PGothic" w:hAnsi="MS PGothic" w:cs="MS PGothic"/>
          <w:sz w:val="17"/>
          <w:szCs w:val="17"/>
        </w:rPr>
      </w:pPr>
    </w:p>
    <w:p w:rsidR="00CC2C66" w:rsidRDefault="00F80B74">
      <w:pPr>
        <w:numPr>
          <w:ilvl w:val="0"/>
          <w:numId w:val="3"/>
        </w:numPr>
        <w:tabs>
          <w:tab w:val="left" w:pos="740"/>
        </w:tabs>
        <w:ind w:left="740" w:hanging="329"/>
        <w:rPr>
          <w:rFonts w:ascii="MS PGothic" w:eastAsia="MS PGothic" w:hAnsi="MS PGothic" w:cs="MS PGothic"/>
          <w:sz w:val="17"/>
          <w:szCs w:val="17"/>
        </w:rPr>
      </w:pPr>
      <w:r>
        <w:rPr>
          <w:rFonts w:eastAsia="Times New Roman"/>
          <w:sz w:val="17"/>
          <w:szCs w:val="17"/>
        </w:rPr>
        <w:t>Soliciting</w:t>
      </w:r>
      <w:r>
        <w:rPr>
          <w:rFonts w:eastAsia="Times New Roman"/>
          <w:sz w:val="17"/>
          <w:szCs w:val="17"/>
        </w:rPr>
        <w:t xml:space="preserve"> Material under §240.14a-12</w:t>
      </w:r>
    </w:p>
    <w:p w:rsidR="00CC2C66" w:rsidRDefault="00CC2C66">
      <w:pPr>
        <w:spacing w:line="182" w:lineRule="exact"/>
        <w:rPr>
          <w:sz w:val="24"/>
          <w:szCs w:val="24"/>
        </w:rPr>
      </w:pPr>
    </w:p>
    <w:p w:rsidR="00CC2C66" w:rsidRDefault="00F80B74">
      <w:pPr>
        <w:ind w:right="-1100"/>
        <w:jc w:val="center"/>
        <w:rPr>
          <w:sz w:val="20"/>
          <w:szCs w:val="20"/>
        </w:rPr>
      </w:pPr>
      <w:r>
        <w:rPr>
          <w:rFonts w:eastAsia="Times New Roman"/>
          <w:b/>
          <w:bCs/>
          <w:sz w:val="41"/>
          <w:szCs w:val="41"/>
        </w:rPr>
        <w:t>Yum China Holdings, Inc.</w:t>
      </w:r>
    </w:p>
    <w:p w:rsidR="00CC2C66" w:rsidRDefault="00CC2C66">
      <w:pPr>
        <w:spacing w:line="51" w:lineRule="exact"/>
        <w:rPr>
          <w:sz w:val="24"/>
          <w:szCs w:val="24"/>
        </w:rPr>
      </w:pPr>
    </w:p>
    <w:p w:rsidR="00CC2C66" w:rsidRDefault="00F80B74">
      <w:pPr>
        <w:ind w:right="-1100"/>
        <w:jc w:val="center"/>
        <w:rPr>
          <w:sz w:val="20"/>
          <w:szCs w:val="20"/>
        </w:rPr>
      </w:pPr>
      <w:r>
        <w:rPr>
          <w:rFonts w:eastAsia="Times New Roman"/>
          <w:b/>
          <w:bCs/>
          <w:sz w:val="17"/>
          <w:szCs w:val="17"/>
        </w:rPr>
        <w:t>(Name of Registrant as Specified in its Charter)</w:t>
      </w:r>
    </w:p>
    <w:p w:rsidR="00CC2C66" w:rsidRDefault="00CC2C66">
      <w:pPr>
        <w:spacing w:line="191" w:lineRule="exact"/>
        <w:rPr>
          <w:sz w:val="24"/>
          <w:szCs w:val="24"/>
        </w:rPr>
      </w:pPr>
    </w:p>
    <w:p w:rsidR="00CC2C66" w:rsidRDefault="00F80B74">
      <w:pPr>
        <w:ind w:left="2960"/>
        <w:rPr>
          <w:sz w:val="20"/>
          <w:szCs w:val="20"/>
        </w:rPr>
      </w:pPr>
      <w:r>
        <w:rPr>
          <w:rFonts w:eastAsia="Times New Roman"/>
          <w:b/>
          <w:bCs/>
          <w:sz w:val="17"/>
          <w:szCs w:val="17"/>
        </w:rPr>
        <w:t>(Name of Person(s) Filing Proxy Statement, if Other Than the Registrant)</w:t>
      </w:r>
    </w:p>
    <w:p w:rsidR="00CC2C66" w:rsidRDefault="00CC2C66">
      <w:pPr>
        <w:spacing w:line="217" w:lineRule="exact"/>
        <w:rPr>
          <w:sz w:val="24"/>
          <w:szCs w:val="24"/>
        </w:rPr>
      </w:pPr>
    </w:p>
    <w:p w:rsidR="00CC2C66" w:rsidRDefault="00F80B74">
      <w:pPr>
        <w:ind w:left="420"/>
        <w:rPr>
          <w:sz w:val="20"/>
          <w:szCs w:val="20"/>
        </w:rPr>
      </w:pPr>
      <w:r>
        <w:rPr>
          <w:rFonts w:eastAsia="Times New Roman"/>
          <w:sz w:val="17"/>
          <w:szCs w:val="17"/>
        </w:rPr>
        <w:t>Payment of Filing Fee (Check all boxes that apply):</w:t>
      </w:r>
    </w:p>
    <w:p w:rsidR="00CC2C66" w:rsidRDefault="00CC2C66">
      <w:pPr>
        <w:spacing w:line="239" w:lineRule="exact"/>
        <w:rPr>
          <w:sz w:val="24"/>
          <w:szCs w:val="24"/>
        </w:rPr>
      </w:pPr>
    </w:p>
    <w:p w:rsidR="00CC2C66" w:rsidRDefault="00F80B74">
      <w:pPr>
        <w:numPr>
          <w:ilvl w:val="0"/>
          <w:numId w:val="4"/>
        </w:numPr>
        <w:tabs>
          <w:tab w:val="left" w:pos="880"/>
        </w:tabs>
        <w:ind w:left="880" w:hanging="469"/>
        <w:rPr>
          <w:rFonts w:ascii="MS PGothic" w:eastAsia="MS PGothic" w:hAnsi="MS PGothic" w:cs="MS PGothic"/>
          <w:sz w:val="17"/>
          <w:szCs w:val="17"/>
        </w:rPr>
      </w:pPr>
      <w:r>
        <w:rPr>
          <w:rFonts w:eastAsia="Times New Roman"/>
          <w:sz w:val="17"/>
          <w:szCs w:val="17"/>
        </w:rPr>
        <w:t>No fee required.</w:t>
      </w:r>
    </w:p>
    <w:p w:rsidR="00CC2C66" w:rsidRDefault="00CC2C66">
      <w:pPr>
        <w:spacing w:line="213" w:lineRule="exact"/>
        <w:rPr>
          <w:sz w:val="24"/>
          <w:szCs w:val="24"/>
        </w:rPr>
      </w:pPr>
    </w:p>
    <w:p w:rsidR="00CC2C66" w:rsidRDefault="00F80B74">
      <w:pPr>
        <w:numPr>
          <w:ilvl w:val="0"/>
          <w:numId w:val="5"/>
        </w:numPr>
        <w:tabs>
          <w:tab w:val="left" w:pos="880"/>
        </w:tabs>
        <w:ind w:left="880" w:hanging="469"/>
        <w:rPr>
          <w:rFonts w:ascii="MS PGothic" w:eastAsia="MS PGothic" w:hAnsi="MS PGothic" w:cs="MS PGothic"/>
          <w:sz w:val="17"/>
          <w:szCs w:val="17"/>
        </w:rPr>
      </w:pPr>
      <w:r>
        <w:rPr>
          <w:rFonts w:eastAsia="Times New Roman"/>
          <w:sz w:val="17"/>
          <w:szCs w:val="17"/>
        </w:rPr>
        <w:t xml:space="preserve">Fee </w:t>
      </w:r>
      <w:r>
        <w:rPr>
          <w:rFonts w:eastAsia="Times New Roman"/>
          <w:sz w:val="17"/>
          <w:szCs w:val="17"/>
        </w:rPr>
        <w:t>paid previously with preliminary materials.</w:t>
      </w:r>
    </w:p>
    <w:p w:rsidR="00CC2C66" w:rsidRDefault="00CC2C66">
      <w:pPr>
        <w:spacing w:line="213" w:lineRule="exact"/>
        <w:rPr>
          <w:rFonts w:ascii="MS PGothic" w:eastAsia="MS PGothic" w:hAnsi="MS PGothic" w:cs="MS PGothic"/>
          <w:sz w:val="17"/>
          <w:szCs w:val="17"/>
        </w:rPr>
      </w:pPr>
    </w:p>
    <w:p w:rsidR="00CC2C66" w:rsidRDefault="00F80B74">
      <w:pPr>
        <w:numPr>
          <w:ilvl w:val="0"/>
          <w:numId w:val="5"/>
        </w:numPr>
        <w:tabs>
          <w:tab w:val="left" w:pos="880"/>
        </w:tabs>
        <w:ind w:left="880" w:hanging="469"/>
        <w:rPr>
          <w:rFonts w:ascii="MS PGothic" w:eastAsia="MS PGothic" w:hAnsi="MS PGothic" w:cs="MS PGothic"/>
          <w:sz w:val="17"/>
          <w:szCs w:val="17"/>
        </w:rPr>
      </w:pPr>
      <w:r>
        <w:rPr>
          <w:rFonts w:eastAsia="Times New Roman"/>
          <w:sz w:val="17"/>
          <w:szCs w:val="17"/>
        </w:rPr>
        <w:t>Fee computed on table in exhibit required by Item 25(b) per Exchange Act Rules 14a-6(i)(1) and 0-11.</w:t>
      </w:r>
    </w:p>
    <w:p w:rsidR="00CC2C66" w:rsidRDefault="00F80B74">
      <w:pPr>
        <w:spacing w:line="20" w:lineRule="exact"/>
        <w:rPr>
          <w:sz w:val="24"/>
          <w:szCs w:val="24"/>
        </w:rPr>
      </w:pPr>
      <w:r>
        <w:rPr>
          <w:noProof/>
          <w:sz w:val="24"/>
          <w:szCs w:val="24"/>
        </w:rPr>
        <w:drawing>
          <wp:anchor distT="0" distB="0" distL="114300" distR="114300" simplePos="0" relativeHeight="251487232" behindDoc="1" locked="0" layoutInCell="0" allowOverlap="1">
            <wp:simplePos x="0" y="0"/>
            <wp:positionH relativeFrom="column">
              <wp:posOffset>260985</wp:posOffset>
            </wp:positionH>
            <wp:positionV relativeFrom="paragraph">
              <wp:posOffset>170180</wp:posOffset>
            </wp:positionV>
            <wp:extent cx="6620510"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6620510" cy="8255"/>
                    </a:xfrm>
                    <a:prstGeom prst="rect">
                      <a:avLst/>
                    </a:prstGeom>
                    <a:noFill/>
                  </pic:spPr>
                </pic:pic>
              </a:graphicData>
            </a:graphic>
          </wp:anchor>
        </w:drawing>
      </w:r>
      <w:r>
        <w:rPr>
          <w:noProof/>
          <w:sz w:val="24"/>
          <w:szCs w:val="24"/>
        </w:rPr>
        <w:drawing>
          <wp:anchor distT="0" distB="0" distL="114300" distR="114300" simplePos="0" relativeHeight="251488256" behindDoc="1" locked="0" layoutInCell="0" allowOverlap="1">
            <wp:simplePos x="0" y="0"/>
            <wp:positionH relativeFrom="column">
              <wp:posOffset>260985</wp:posOffset>
            </wp:positionH>
            <wp:positionV relativeFrom="paragraph">
              <wp:posOffset>210820</wp:posOffset>
            </wp:positionV>
            <wp:extent cx="662051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222" w:right="1440" w:bottom="1440" w:left="320" w:header="0" w:footer="0" w:gutter="0"/>
          <w:cols w:space="720" w:equalWidth="0">
            <w:col w:w="10139"/>
          </w:cols>
        </w:sectPr>
      </w:pPr>
    </w:p>
    <w:p w:rsidR="00CC2C66" w:rsidRDefault="00F80B74">
      <w:pPr>
        <w:rPr>
          <w:sz w:val="20"/>
          <w:szCs w:val="20"/>
        </w:rPr>
      </w:pPr>
      <w:bookmarkStart w:id="1" w:name="page2"/>
      <w:bookmarkEnd w:id="1"/>
      <w:r>
        <w:rPr>
          <w:rFonts w:eastAsia="Times New Roman"/>
          <w:b/>
          <w:bCs/>
          <w:noProof/>
          <w:color w:val="0000EE"/>
          <w:sz w:val="17"/>
          <w:szCs w:val="17"/>
          <w:u w:val="single"/>
        </w:rPr>
        <w:lastRenderedPageBreak/>
        <w:drawing>
          <wp:anchor distT="0" distB="0" distL="114300" distR="114300" simplePos="0" relativeHeight="25148928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CC2C66">
      <w:pPr>
        <w:spacing w:line="283" w:lineRule="exact"/>
        <w:rPr>
          <w:sz w:val="20"/>
          <w:szCs w:val="20"/>
        </w:rPr>
      </w:pPr>
    </w:p>
    <w:p w:rsidR="00CC2C66" w:rsidRDefault="00F80B74">
      <w:pPr>
        <w:spacing w:line="255" w:lineRule="auto"/>
        <w:ind w:left="420"/>
        <w:jc w:val="both"/>
        <w:rPr>
          <w:sz w:val="20"/>
          <w:szCs w:val="20"/>
        </w:rPr>
      </w:pPr>
      <w:r>
        <w:rPr>
          <w:rFonts w:eastAsia="Times New Roman"/>
          <w:b/>
          <w:bCs/>
          <w:i/>
          <w:iCs/>
          <w:sz w:val="19"/>
          <w:szCs w:val="19"/>
        </w:rPr>
        <w:t xml:space="preserve">This document shall also serve as a circular to holders of the common stock of Yum China Holdings, Inc. for the purposes of the Rules Governing the Listing of Securities on The Stock Exchange of Hong Kong Limited </w:t>
      </w:r>
      <w:r>
        <w:rPr>
          <w:rFonts w:eastAsia="Times New Roman"/>
          <w:i/>
          <w:iCs/>
          <w:sz w:val="19"/>
          <w:szCs w:val="19"/>
        </w:rPr>
        <w:t>(</w:t>
      </w:r>
      <w:r>
        <w:rPr>
          <w:rFonts w:eastAsia="Times New Roman"/>
          <w:b/>
          <w:bCs/>
          <w:i/>
          <w:iCs/>
          <w:sz w:val="19"/>
          <w:szCs w:val="19"/>
        </w:rPr>
        <w:t>the “Hong Kong Stock Exchange”</w:t>
      </w:r>
      <w:r>
        <w:rPr>
          <w:rFonts w:eastAsia="Times New Roman"/>
          <w:i/>
          <w:iCs/>
          <w:sz w:val="19"/>
          <w:szCs w:val="19"/>
        </w:rPr>
        <w:t>) (</w:t>
      </w:r>
      <w:r>
        <w:rPr>
          <w:rFonts w:eastAsia="Times New Roman"/>
          <w:b/>
          <w:bCs/>
          <w:i/>
          <w:iCs/>
          <w:sz w:val="19"/>
          <w:szCs w:val="19"/>
        </w:rPr>
        <w:t>the “Hong</w:t>
      </w:r>
      <w:r>
        <w:rPr>
          <w:rFonts w:eastAsia="Times New Roman"/>
          <w:b/>
          <w:bCs/>
          <w:i/>
          <w:iCs/>
          <w:sz w:val="19"/>
          <w:szCs w:val="19"/>
        </w:rPr>
        <w:t xml:space="preserve"> Kong Listing Rules”</w:t>
      </w:r>
      <w:r>
        <w:rPr>
          <w:rFonts w:eastAsia="Times New Roman"/>
          <w:i/>
          <w:iCs/>
          <w:sz w:val="19"/>
          <w:szCs w:val="19"/>
        </w:rPr>
        <w:t>)</w:t>
      </w:r>
      <w:r>
        <w:rPr>
          <w:rFonts w:eastAsia="Times New Roman"/>
          <w:b/>
          <w:bCs/>
          <w:i/>
          <w:iCs/>
          <w:sz w:val="19"/>
          <w:szCs w:val="19"/>
        </w:rPr>
        <w:t>.</w:t>
      </w:r>
    </w:p>
    <w:p w:rsidR="00CC2C66" w:rsidRDefault="00CC2C66">
      <w:pPr>
        <w:spacing w:line="160" w:lineRule="exact"/>
        <w:rPr>
          <w:sz w:val="20"/>
          <w:szCs w:val="20"/>
        </w:rPr>
      </w:pPr>
    </w:p>
    <w:p w:rsidR="00CC2C66" w:rsidRDefault="00F80B74">
      <w:pPr>
        <w:spacing w:line="255" w:lineRule="auto"/>
        <w:ind w:left="420"/>
        <w:jc w:val="both"/>
        <w:rPr>
          <w:sz w:val="20"/>
          <w:szCs w:val="20"/>
        </w:rPr>
      </w:pPr>
      <w:r>
        <w:rPr>
          <w:rFonts w:eastAsia="Times New Roman"/>
          <w:b/>
          <w:bCs/>
          <w:i/>
          <w:iCs/>
          <w:sz w:val="19"/>
          <w:szCs w:val="19"/>
        </w:rPr>
        <w:t xml:space="preserve">Warning: The contents of this document have not been reviewed by any regulatory authority in Hong Kong. You are advised to exercise caution when dealing in the securities of Yum China Holdings, Inc. If you are in doubt about any of </w:t>
      </w:r>
      <w:r>
        <w:rPr>
          <w:rFonts w:eastAsia="Times New Roman"/>
          <w:b/>
          <w:bCs/>
          <w:i/>
          <w:iCs/>
          <w:sz w:val="19"/>
          <w:szCs w:val="19"/>
        </w:rPr>
        <w:t>the contents of this document, you should obtain independent professional advice.</w:t>
      </w:r>
    </w:p>
    <w:p w:rsidR="00CC2C66" w:rsidRDefault="00CC2C66">
      <w:pPr>
        <w:spacing w:line="160" w:lineRule="exact"/>
        <w:rPr>
          <w:sz w:val="20"/>
          <w:szCs w:val="20"/>
        </w:rPr>
      </w:pPr>
    </w:p>
    <w:p w:rsidR="00CC2C66" w:rsidRDefault="00F80B74">
      <w:pPr>
        <w:spacing w:line="255" w:lineRule="auto"/>
        <w:ind w:left="420"/>
        <w:jc w:val="both"/>
        <w:rPr>
          <w:sz w:val="20"/>
          <w:szCs w:val="20"/>
        </w:rPr>
      </w:pPr>
      <w:r>
        <w:rPr>
          <w:rFonts w:eastAsia="Times New Roman"/>
          <w:b/>
          <w:bCs/>
          <w:i/>
          <w:iCs/>
          <w:sz w:val="19"/>
          <w:szCs w:val="19"/>
        </w:rPr>
        <w:t>Hong Kong Exchanges and Clearing Limited and the Hong Kong Stock Exchange take no responsibility for the contents of this circular, make no representation as to its accuracy</w:t>
      </w:r>
      <w:r>
        <w:rPr>
          <w:rFonts w:eastAsia="Times New Roman"/>
          <w:b/>
          <w:bCs/>
          <w:i/>
          <w:iCs/>
          <w:sz w:val="19"/>
          <w:szCs w:val="19"/>
        </w:rPr>
        <w:t xml:space="preserve"> or completeness and expressly disclaim any liability whatsoever for any loss howsoever arising from or in reliance upon the whole or any part of the contents of this circular.</w:t>
      </w:r>
    </w:p>
    <w:p w:rsidR="00CC2C66" w:rsidRDefault="00F80B74">
      <w:pPr>
        <w:spacing w:line="20" w:lineRule="exact"/>
        <w:rPr>
          <w:sz w:val="20"/>
          <w:szCs w:val="20"/>
        </w:rPr>
      </w:pPr>
      <w:r>
        <w:rPr>
          <w:noProof/>
          <w:sz w:val="20"/>
          <w:szCs w:val="20"/>
        </w:rPr>
        <w:drawing>
          <wp:anchor distT="0" distB="0" distL="114300" distR="114300" simplePos="0" relativeHeight="251490304" behindDoc="1" locked="0" layoutInCell="0" allowOverlap="1">
            <wp:simplePos x="0" y="0"/>
            <wp:positionH relativeFrom="column">
              <wp:posOffset>3206115</wp:posOffset>
            </wp:positionH>
            <wp:positionV relativeFrom="paragraph">
              <wp:posOffset>134620</wp:posOffset>
            </wp:positionV>
            <wp:extent cx="730250" cy="7543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blip>
                    <a:srcRect/>
                    <a:stretch>
                      <a:fillRect/>
                    </a:stretch>
                  </pic:blipFill>
                  <pic:spPr bwMode="auto">
                    <a:xfrm>
                      <a:off x="0" y="0"/>
                      <a:ext cx="730250" cy="75438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8" w:lineRule="exact"/>
        <w:rPr>
          <w:sz w:val="20"/>
          <w:szCs w:val="20"/>
        </w:rPr>
      </w:pPr>
    </w:p>
    <w:p w:rsidR="00CC2C66" w:rsidRDefault="00F80B74">
      <w:pPr>
        <w:ind w:right="-419"/>
        <w:jc w:val="center"/>
        <w:rPr>
          <w:sz w:val="20"/>
          <w:szCs w:val="20"/>
        </w:rPr>
      </w:pPr>
      <w:r>
        <w:rPr>
          <w:rFonts w:ascii="Arial" w:eastAsia="Arial" w:hAnsi="Arial" w:cs="Arial"/>
          <w:b/>
          <w:bCs/>
          <w:sz w:val="17"/>
          <w:szCs w:val="17"/>
        </w:rPr>
        <w:t>Yum China Holdings, Inc.</w:t>
      </w:r>
    </w:p>
    <w:p w:rsidR="00CC2C66" w:rsidRDefault="00CC2C66">
      <w:pPr>
        <w:spacing w:line="201" w:lineRule="exact"/>
        <w:rPr>
          <w:sz w:val="20"/>
          <w:szCs w:val="20"/>
        </w:rPr>
      </w:pPr>
    </w:p>
    <w:p w:rsidR="00CC2C66" w:rsidRDefault="00F80B74">
      <w:pPr>
        <w:ind w:left="2820"/>
        <w:rPr>
          <w:sz w:val="20"/>
          <w:szCs w:val="20"/>
        </w:rPr>
      </w:pPr>
      <w:r>
        <w:rPr>
          <w:rFonts w:ascii="Arial" w:eastAsia="Arial" w:hAnsi="Arial" w:cs="Arial"/>
          <w:b/>
          <w:bCs/>
          <w:sz w:val="17"/>
          <w:szCs w:val="17"/>
        </w:rPr>
        <w:t xml:space="preserve">(NYSE TRADING SYMBOL: YUMC; HONG KONG STOCK </w:t>
      </w:r>
      <w:r>
        <w:rPr>
          <w:rFonts w:ascii="Arial" w:eastAsia="Arial" w:hAnsi="Arial" w:cs="Arial"/>
          <w:b/>
          <w:bCs/>
          <w:sz w:val="17"/>
          <w:szCs w:val="17"/>
        </w:rPr>
        <w:t>CODE: 9987)</w:t>
      </w:r>
    </w:p>
    <w:p w:rsidR="00CC2C66" w:rsidRDefault="00CC2C66">
      <w:pPr>
        <w:spacing w:line="226" w:lineRule="exact"/>
        <w:rPr>
          <w:sz w:val="20"/>
          <w:szCs w:val="20"/>
        </w:rPr>
      </w:pPr>
    </w:p>
    <w:tbl>
      <w:tblPr>
        <w:tblW w:w="0" w:type="auto"/>
        <w:tblInd w:w="2040" w:type="dxa"/>
        <w:tblLayout w:type="fixed"/>
        <w:tblCellMar>
          <w:left w:w="0" w:type="dxa"/>
          <w:right w:w="0" w:type="dxa"/>
        </w:tblCellMar>
        <w:tblLook w:val="04A0" w:firstRow="1" w:lastRow="0" w:firstColumn="1" w:lastColumn="0" w:noHBand="0" w:noVBand="1"/>
      </w:tblPr>
      <w:tblGrid>
        <w:gridCol w:w="3600"/>
        <w:gridCol w:w="3760"/>
      </w:tblGrid>
      <w:tr w:rsidR="00CC2C66">
        <w:trPr>
          <w:trHeight w:val="232"/>
        </w:trPr>
        <w:tc>
          <w:tcPr>
            <w:tcW w:w="3600" w:type="dxa"/>
            <w:vAlign w:val="bottom"/>
          </w:tcPr>
          <w:p w:rsidR="00CC2C66" w:rsidRDefault="00F80B74">
            <w:pPr>
              <w:ind w:right="1515"/>
              <w:jc w:val="center"/>
              <w:rPr>
                <w:sz w:val="20"/>
                <w:szCs w:val="20"/>
              </w:rPr>
            </w:pPr>
            <w:r>
              <w:rPr>
                <w:rFonts w:ascii="Arial" w:eastAsia="Arial" w:hAnsi="Arial" w:cs="Arial"/>
                <w:b/>
                <w:bCs/>
                <w:sz w:val="17"/>
                <w:szCs w:val="17"/>
              </w:rPr>
              <w:t>7100 Corporate Drive</w:t>
            </w:r>
          </w:p>
        </w:tc>
        <w:tc>
          <w:tcPr>
            <w:tcW w:w="3760" w:type="dxa"/>
            <w:vAlign w:val="bottom"/>
          </w:tcPr>
          <w:p w:rsidR="00CC2C66" w:rsidRDefault="00F80B74">
            <w:pPr>
              <w:ind w:left="1495"/>
              <w:jc w:val="center"/>
              <w:rPr>
                <w:sz w:val="20"/>
                <w:szCs w:val="20"/>
              </w:rPr>
            </w:pPr>
            <w:r>
              <w:rPr>
                <w:rFonts w:ascii="Arial" w:eastAsia="Arial" w:hAnsi="Arial" w:cs="Arial"/>
                <w:b/>
                <w:bCs/>
                <w:sz w:val="17"/>
                <w:szCs w:val="17"/>
              </w:rPr>
              <w:t>Yum China Building</w:t>
            </w:r>
          </w:p>
        </w:tc>
      </w:tr>
      <w:tr w:rsidR="00CC2C66">
        <w:trPr>
          <w:trHeight w:val="256"/>
        </w:trPr>
        <w:tc>
          <w:tcPr>
            <w:tcW w:w="3600" w:type="dxa"/>
            <w:vAlign w:val="bottom"/>
          </w:tcPr>
          <w:p w:rsidR="00CC2C66" w:rsidRDefault="00F80B74">
            <w:pPr>
              <w:ind w:right="1515"/>
              <w:jc w:val="center"/>
              <w:rPr>
                <w:sz w:val="20"/>
                <w:szCs w:val="20"/>
              </w:rPr>
            </w:pPr>
            <w:r>
              <w:rPr>
                <w:rFonts w:ascii="Arial" w:eastAsia="Arial" w:hAnsi="Arial" w:cs="Arial"/>
                <w:b/>
                <w:bCs/>
                <w:sz w:val="17"/>
                <w:szCs w:val="17"/>
              </w:rPr>
              <w:t>Plano, Texas 75024</w:t>
            </w:r>
          </w:p>
        </w:tc>
        <w:tc>
          <w:tcPr>
            <w:tcW w:w="3760" w:type="dxa"/>
            <w:vAlign w:val="bottom"/>
          </w:tcPr>
          <w:p w:rsidR="00CC2C66" w:rsidRDefault="00F80B74">
            <w:pPr>
              <w:ind w:left="1495"/>
              <w:jc w:val="center"/>
              <w:rPr>
                <w:sz w:val="20"/>
                <w:szCs w:val="20"/>
              </w:rPr>
            </w:pPr>
            <w:r>
              <w:rPr>
                <w:rFonts w:ascii="Arial" w:eastAsia="Arial" w:hAnsi="Arial" w:cs="Arial"/>
                <w:b/>
                <w:bCs/>
                <w:w w:val="98"/>
                <w:sz w:val="17"/>
                <w:szCs w:val="17"/>
              </w:rPr>
              <w:t>20 Tian Yao Qiao Road</w:t>
            </w:r>
          </w:p>
        </w:tc>
      </w:tr>
      <w:tr w:rsidR="00CC2C66">
        <w:trPr>
          <w:trHeight w:val="256"/>
        </w:trPr>
        <w:tc>
          <w:tcPr>
            <w:tcW w:w="3600" w:type="dxa"/>
            <w:vAlign w:val="bottom"/>
          </w:tcPr>
          <w:p w:rsidR="00CC2C66" w:rsidRDefault="00F80B74">
            <w:pPr>
              <w:ind w:right="1495"/>
              <w:jc w:val="center"/>
              <w:rPr>
                <w:sz w:val="20"/>
                <w:szCs w:val="20"/>
              </w:rPr>
            </w:pPr>
            <w:r>
              <w:rPr>
                <w:rFonts w:ascii="Arial" w:eastAsia="Arial" w:hAnsi="Arial" w:cs="Arial"/>
                <w:b/>
                <w:bCs/>
                <w:sz w:val="17"/>
                <w:szCs w:val="17"/>
              </w:rPr>
              <w:t>United States of America</w:t>
            </w:r>
          </w:p>
        </w:tc>
        <w:tc>
          <w:tcPr>
            <w:tcW w:w="3760" w:type="dxa"/>
            <w:vAlign w:val="bottom"/>
          </w:tcPr>
          <w:p w:rsidR="00CC2C66" w:rsidRDefault="00F80B74">
            <w:pPr>
              <w:ind w:left="1495"/>
              <w:jc w:val="center"/>
              <w:rPr>
                <w:sz w:val="20"/>
                <w:szCs w:val="20"/>
              </w:rPr>
            </w:pPr>
            <w:r>
              <w:rPr>
                <w:rFonts w:ascii="Arial" w:eastAsia="Arial" w:hAnsi="Arial" w:cs="Arial"/>
                <w:b/>
                <w:bCs/>
                <w:w w:val="99"/>
                <w:sz w:val="17"/>
                <w:szCs w:val="17"/>
              </w:rPr>
              <w:t>Shanghai 200030</w:t>
            </w:r>
          </w:p>
        </w:tc>
      </w:tr>
      <w:tr w:rsidR="00CC2C66">
        <w:trPr>
          <w:trHeight w:val="256"/>
        </w:trPr>
        <w:tc>
          <w:tcPr>
            <w:tcW w:w="3600" w:type="dxa"/>
            <w:vAlign w:val="bottom"/>
          </w:tcPr>
          <w:p w:rsidR="00CC2C66" w:rsidRDefault="00CC2C66"/>
        </w:tc>
        <w:tc>
          <w:tcPr>
            <w:tcW w:w="3760" w:type="dxa"/>
            <w:vAlign w:val="bottom"/>
          </w:tcPr>
          <w:p w:rsidR="00CC2C66" w:rsidRDefault="00F80B74">
            <w:pPr>
              <w:ind w:left="1495"/>
              <w:jc w:val="center"/>
              <w:rPr>
                <w:sz w:val="20"/>
                <w:szCs w:val="20"/>
              </w:rPr>
            </w:pPr>
            <w:r>
              <w:rPr>
                <w:rFonts w:ascii="Arial" w:eastAsia="Arial" w:hAnsi="Arial" w:cs="Arial"/>
                <w:b/>
                <w:bCs/>
                <w:w w:val="99"/>
                <w:sz w:val="17"/>
                <w:szCs w:val="17"/>
              </w:rPr>
              <w:t>People’s Republic of China</w:t>
            </w:r>
          </w:p>
        </w:tc>
      </w:tr>
    </w:tbl>
    <w:p w:rsidR="00CC2C66" w:rsidRDefault="00CC2C66">
      <w:pPr>
        <w:spacing w:line="173" w:lineRule="exact"/>
        <w:rPr>
          <w:sz w:val="20"/>
          <w:szCs w:val="20"/>
        </w:rPr>
      </w:pPr>
    </w:p>
    <w:p w:rsidR="00CC2C66" w:rsidRDefault="00F80B74">
      <w:pPr>
        <w:ind w:left="420"/>
        <w:rPr>
          <w:sz w:val="20"/>
          <w:szCs w:val="20"/>
        </w:rPr>
      </w:pPr>
      <w:r>
        <w:rPr>
          <w:rFonts w:eastAsia="Times New Roman"/>
          <w:sz w:val="19"/>
          <w:szCs w:val="19"/>
        </w:rPr>
        <w:t>September 1, 2022</w:t>
      </w:r>
    </w:p>
    <w:p w:rsidR="00CC2C66" w:rsidRDefault="00CC2C66">
      <w:pPr>
        <w:spacing w:line="203" w:lineRule="exact"/>
        <w:rPr>
          <w:sz w:val="20"/>
          <w:szCs w:val="20"/>
        </w:rPr>
      </w:pPr>
    </w:p>
    <w:p w:rsidR="00CC2C66" w:rsidRDefault="00F80B74">
      <w:pPr>
        <w:ind w:left="420"/>
        <w:rPr>
          <w:sz w:val="20"/>
          <w:szCs w:val="20"/>
        </w:rPr>
      </w:pPr>
      <w:r>
        <w:rPr>
          <w:rFonts w:eastAsia="Times New Roman"/>
          <w:sz w:val="19"/>
          <w:szCs w:val="19"/>
        </w:rPr>
        <w:t>Dear Fellow Stockholders:</w:t>
      </w:r>
    </w:p>
    <w:p w:rsidR="00CC2C66" w:rsidRDefault="00CC2C66">
      <w:pPr>
        <w:spacing w:line="197" w:lineRule="exact"/>
        <w:rPr>
          <w:sz w:val="20"/>
          <w:szCs w:val="20"/>
        </w:rPr>
      </w:pPr>
    </w:p>
    <w:p w:rsidR="00CC2C66" w:rsidRDefault="00F80B74">
      <w:pPr>
        <w:spacing w:line="249" w:lineRule="auto"/>
        <w:ind w:left="420"/>
        <w:jc w:val="both"/>
        <w:rPr>
          <w:sz w:val="20"/>
          <w:szCs w:val="20"/>
        </w:rPr>
      </w:pPr>
      <w:r>
        <w:rPr>
          <w:rFonts w:eastAsia="Times New Roman"/>
          <w:sz w:val="19"/>
          <w:szCs w:val="19"/>
        </w:rPr>
        <w:t xml:space="preserve">We are pleased to invite you to attend a </w:t>
      </w:r>
      <w:r>
        <w:rPr>
          <w:rFonts w:eastAsia="Times New Roman"/>
          <w:sz w:val="19"/>
          <w:szCs w:val="19"/>
        </w:rPr>
        <w:t>Special Meeting of Stockholders of Yum China Holdings, Inc. (the “</w:t>
      </w:r>
      <w:r>
        <w:rPr>
          <w:rFonts w:eastAsia="Times New Roman"/>
          <w:b/>
          <w:bCs/>
          <w:i/>
          <w:iCs/>
          <w:sz w:val="19"/>
          <w:szCs w:val="19"/>
        </w:rPr>
        <w:t>Special Meeting</w:t>
      </w:r>
      <w:r>
        <w:rPr>
          <w:rFonts w:eastAsia="Times New Roman"/>
          <w:sz w:val="19"/>
          <w:szCs w:val="19"/>
        </w:rPr>
        <w:t xml:space="preserve">”), which will be held on Tuesday, October 11, 2022, at 8:00 a.m. Beijing/Hong Kong time (Monday, October 10, 2022, at 8:00 p.m. U.S. Eastern time). The Special Meeting will </w:t>
      </w:r>
      <w:r>
        <w:rPr>
          <w:rFonts w:eastAsia="Times New Roman"/>
          <w:sz w:val="19"/>
          <w:szCs w:val="19"/>
        </w:rPr>
        <w:t>be held entirely online due to the COVID-19 pandemic and related travel restrictions, in order to support the health and well-being of our partners, employees, and stockholders.</w:t>
      </w:r>
    </w:p>
    <w:p w:rsidR="00CC2C66" w:rsidRDefault="00CC2C66">
      <w:pPr>
        <w:spacing w:line="167" w:lineRule="exact"/>
        <w:rPr>
          <w:sz w:val="20"/>
          <w:szCs w:val="20"/>
        </w:rPr>
      </w:pPr>
    </w:p>
    <w:p w:rsidR="00CC2C66" w:rsidRDefault="00F80B74">
      <w:pPr>
        <w:spacing w:line="261" w:lineRule="auto"/>
        <w:ind w:left="420"/>
        <w:jc w:val="both"/>
        <w:rPr>
          <w:sz w:val="20"/>
          <w:szCs w:val="20"/>
        </w:rPr>
      </w:pPr>
      <w:r>
        <w:rPr>
          <w:rFonts w:eastAsia="Times New Roman"/>
          <w:sz w:val="18"/>
          <w:szCs w:val="18"/>
        </w:rPr>
        <w:t>The common stock of Yum China Holdings, Inc. (the “</w:t>
      </w:r>
      <w:r>
        <w:rPr>
          <w:rFonts w:eastAsia="Times New Roman"/>
          <w:b/>
          <w:bCs/>
          <w:i/>
          <w:iCs/>
          <w:sz w:val="18"/>
          <w:szCs w:val="18"/>
        </w:rPr>
        <w:t>Company,</w:t>
      </w:r>
      <w:r>
        <w:rPr>
          <w:rFonts w:eastAsia="Times New Roman"/>
          <w:sz w:val="18"/>
          <w:szCs w:val="18"/>
        </w:rPr>
        <w:t>” “</w:t>
      </w:r>
      <w:r>
        <w:rPr>
          <w:rFonts w:eastAsia="Times New Roman"/>
          <w:b/>
          <w:bCs/>
          <w:i/>
          <w:iCs/>
          <w:sz w:val="18"/>
          <w:szCs w:val="18"/>
        </w:rPr>
        <w:t>Yum China,</w:t>
      </w:r>
      <w:r>
        <w:rPr>
          <w:rFonts w:eastAsia="Times New Roman"/>
          <w:sz w:val="18"/>
          <w:szCs w:val="18"/>
        </w:rPr>
        <w:t>” “</w:t>
      </w:r>
      <w:r>
        <w:rPr>
          <w:rFonts w:eastAsia="Times New Roman"/>
          <w:b/>
          <w:bCs/>
          <w:i/>
          <w:iCs/>
          <w:sz w:val="18"/>
          <w:szCs w:val="18"/>
        </w:rPr>
        <w:t>we</w:t>
      </w:r>
      <w:r>
        <w:rPr>
          <w:rFonts w:eastAsia="Times New Roman"/>
          <w:sz w:val="18"/>
          <w:szCs w:val="18"/>
        </w:rPr>
        <w:t>,” “</w:t>
      </w:r>
      <w:r>
        <w:rPr>
          <w:rFonts w:eastAsia="Times New Roman"/>
          <w:b/>
          <w:bCs/>
          <w:i/>
          <w:iCs/>
          <w:sz w:val="18"/>
          <w:szCs w:val="18"/>
        </w:rPr>
        <w:t>us</w:t>
      </w:r>
      <w:r>
        <w:rPr>
          <w:rFonts w:eastAsia="Times New Roman"/>
          <w:sz w:val="18"/>
          <w:szCs w:val="18"/>
        </w:rPr>
        <w:t>” or “</w:t>
      </w:r>
      <w:r>
        <w:rPr>
          <w:rFonts w:eastAsia="Times New Roman"/>
          <w:b/>
          <w:bCs/>
          <w:i/>
          <w:iCs/>
          <w:sz w:val="18"/>
          <w:szCs w:val="18"/>
        </w:rPr>
        <w:t>our</w:t>
      </w:r>
      <w:r>
        <w:rPr>
          <w:rFonts w:eastAsia="Times New Roman"/>
          <w:sz w:val="18"/>
          <w:szCs w:val="18"/>
        </w:rPr>
        <w:t>”) currently trades on the New York Stock Exchange (the “</w:t>
      </w:r>
      <w:r>
        <w:rPr>
          <w:rFonts w:eastAsia="Times New Roman"/>
          <w:b/>
          <w:bCs/>
          <w:i/>
          <w:iCs/>
          <w:sz w:val="18"/>
          <w:szCs w:val="18"/>
        </w:rPr>
        <w:t>NYSE</w:t>
      </w:r>
      <w:r>
        <w:rPr>
          <w:rFonts w:eastAsia="Times New Roman"/>
          <w:sz w:val="18"/>
          <w:szCs w:val="18"/>
        </w:rPr>
        <w:t xml:space="preserve">”), where it is primarily listed, and the Hong Kong Stock Exchange, where it is secondary listed. On August 15, 2022, the Company announced that it has received the acknowledgment </w:t>
      </w:r>
      <w:r>
        <w:rPr>
          <w:rFonts w:eastAsia="Times New Roman"/>
          <w:sz w:val="18"/>
          <w:szCs w:val="18"/>
        </w:rPr>
        <w:t>from the Hong Kong Stock Exchange for its application for a voluntary conversion of the listing status of the Company’s common stock listed on the Main Board of the Hong Kong Stock Exchange from a secondary listing status to a primary listing status (the “</w:t>
      </w:r>
      <w:r>
        <w:rPr>
          <w:rFonts w:eastAsia="Times New Roman"/>
          <w:b/>
          <w:bCs/>
          <w:i/>
          <w:iCs/>
          <w:sz w:val="18"/>
          <w:szCs w:val="18"/>
        </w:rPr>
        <w:t>Primary Conversion</w:t>
      </w:r>
      <w:r>
        <w:rPr>
          <w:rFonts w:eastAsia="Times New Roman"/>
          <w:sz w:val="18"/>
          <w:szCs w:val="18"/>
        </w:rPr>
        <w:t>”). Following the Primary Conversion, the Company’s common stock will be dual primary listed on the Hong Kong Stock Exchange and the New York Stock Exchange.</w:t>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2" w:name="page3"/>
      <w:bookmarkEnd w:id="2"/>
      <w:r>
        <w:rPr>
          <w:rFonts w:eastAsia="Times New Roman"/>
          <w:b/>
          <w:bCs/>
          <w:noProof/>
          <w:color w:val="0000EE"/>
          <w:sz w:val="17"/>
          <w:szCs w:val="17"/>
          <w:u w:val="single"/>
        </w:rPr>
        <w:lastRenderedPageBreak/>
        <w:drawing>
          <wp:anchor distT="0" distB="0" distL="114300" distR="114300" simplePos="0" relativeHeight="25149132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CC2C66">
      <w:pPr>
        <w:spacing w:line="289" w:lineRule="exact"/>
        <w:rPr>
          <w:sz w:val="20"/>
          <w:szCs w:val="20"/>
        </w:rPr>
      </w:pPr>
    </w:p>
    <w:p w:rsidR="00CC2C66" w:rsidRDefault="00F80B74">
      <w:pPr>
        <w:spacing w:line="247" w:lineRule="auto"/>
        <w:ind w:left="420"/>
        <w:jc w:val="both"/>
        <w:rPr>
          <w:sz w:val="20"/>
          <w:szCs w:val="20"/>
        </w:rPr>
      </w:pPr>
      <w:r>
        <w:rPr>
          <w:rFonts w:eastAsia="Times New Roman"/>
          <w:sz w:val="19"/>
          <w:szCs w:val="19"/>
        </w:rPr>
        <w:t>The Company considers it in the best int</w:t>
      </w:r>
      <w:r>
        <w:rPr>
          <w:rFonts w:eastAsia="Times New Roman"/>
          <w:sz w:val="19"/>
          <w:szCs w:val="19"/>
        </w:rPr>
        <w:t>erest of its stockholders to pursue the Primary Conversion. Therefore, in view of the Hong Kong Listing Rules applicable to issuers which have a primary listing status on the Hong Kong Stock Exchange, the Board of Directors of the Company (the “</w:t>
      </w:r>
      <w:r>
        <w:rPr>
          <w:rFonts w:eastAsia="Times New Roman"/>
          <w:b/>
          <w:bCs/>
          <w:i/>
          <w:iCs/>
          <w:sz w:val="19"/>
          <w:szCs w:val="19"/>
        </w:rPr>
        <w:t>Board</w:t>
      </w:r>
      <w:r>
        <w:rPr>
          <w:rFonts w:eastAsia="Times New Roman"/>
          <w:sz w:val="19"/>
          <w:szCs w:val="19"/>
        </w:rPr>
        <w:t>”) con</w:t>
      </w:r>
      <w:r>
        <w:rPr>
          <w:rFonts w:eastAsia="Times New Roman"/>
          <w:sz w:val="19"/>
          <w:szCs w:val="19"/>
        </w:rPr>
        <w:t>siders it in the best interest of the Company’s stockholders to call the Special Meeting for the following purposes (“</w:t>
      </w:r>
      <w:r>
        <w:rPr>
          <w:rFonts w:eastAsia="Times New Roman"/>
          <w:b/>
          <w:bCs/>
          <w:i/>
          <w:iCs/>
          <w:sz w:val="19"/>
          <w:szCs w:val="19"/>
        </w:rPr>
        <w:t>Items of Business</w:t>
      </w:r>
      <w:r>
        <w:rPr>
          <w:rFonts w:eastAsia="Times New Roman"/>
          <w:sz w:val="19"/>
          <w:szCs w:val="19"/>
        </w:rPr>
        <w:t>”):</w:t>
      </w:r>
    </w:p>
    <w:p w:rsidR="00CC2C66" w:rsidRDefault="00CC2C66">
      <w:pPr>
        <w:spacing w:line="199" w:lineRule="exact"/>
        <w:rPr>
          <w:sz w:val="20"/>
          <w:szCs w:val="20"/>
        </w:rPr>
      </w:pPr>
    </w:p>
    <w:p w:rsidR="00CC2C66" w:rsidRDefault="00F80B74">
      <w:pPr>
        <w:numPr>
          <w:ilvl w:val="0"/>
          <w:numId w:val="6"/>
        </w:numPr>
        <w:tabs>
          <w:tab w:val="left" w:pos="1640"/>
        </w:tabs>
        <w:spacing w:line="245" w:lineRule="auto"/>
        <w:ind w:left="1640" w:right="20" w:hanging="616"/>
        <w:jc w:val="both"/>
        <w:rPr>
          <w:rFonts w:eastAsia="Times New Roman"/>
          <w:sz w:val="19"/>
          <w:szCs w:val="19"/>
        </w:rPr>
      </w:pPr>
      <w:r>
        <w:rPr>
          <w:rFonts w:eastAsia="Times New Roman"/>
          <w:sz w:val="19"/>
          <w:szCs w:val="19"/>
        </w:rPr>
        <w:t>To approve the Board’s continuing authority to approve the Company’s issuance of shares of its common stock or secur</w:t>
      </w:r>
      <w:r>
        <w:rPr>
          <w:rFonts w:eastAsia="Times New Roman"/>
          <w:sz w:val="19"/>
          <w:szCs w:val="19"/>
        </w:rPr>
        <w:t>ities convertible into common stock in an amount not to exceed 20% of the total number of outstanding shares of common stock of the Company as of the date of the Special Meeting, effective from the effective date of the Primary Conversion (the “</w:t>
      </w:r>
      <w:r>
        <w:rPr>
          <w:rFonts w:eastAsia="Times New Roman"/>
          <w:b/>
          <w:bCs/>
          <w:i/>
          <w:iCs/>
          <w:sz w:val="19"/>
          <w:szCs w:val="19"/>
        </w:rPr>
        <w:t>Primary Con</w:t>
      </w:r>
      <w:r>
        <w:rPr>
          <w:rFonts w:eastAsia="Times New Roman"/>
          <w:b/>
          <w:bCs/>
          <w:i/>
          <w:iCs/>
          <w:sz w:val="19"/>
          <w:szCs w:val="19"/>
        </w:rPr>
        <w:t>version Effective Date</w:t>
      </w:r>
      <w:r>
        <w:rPr>
          <w:rFonts w:eastAsia="Times New Roman"/>
          <w:sz w:val="19"/>
          <w:szCs w:val="19"/>
        </w:rPr>
        <w:t>”) until the earlier of the date the next annual meeting is held or June 26, 2023;</w:t>
      </w:r>
    </w:p>
    <w:p w:rsidR="00CC2C66" w:rsidRDefault="00CC2C66">
      <w:pPr>
        <w:spacing w:line="200" w:lineRule="exact"/>
        <w:rPr>
          <w:rFonts w:eastAsia="Times New Roman"/>
          <w:sz w:val="19"/>
          <w:szCs w:val="19"/>
        </w:rPr>
      </w:pPr>
    </w:p>
    <w:p w:rsidR="00CC2C66" w:rsidRDefault="00F80B74">
      <w:pPr>
        <w:numPr>
          <w:ilvl w:val="0"/>
          <w:numId w:val="6"/>
        </w:numPr>
        <w:tabs>
          <w:tab w:val="left" w:pos="1640"/>
        </w:tabs>
        <w:spacing w:line="247" w:lineRule="auto"/>
        <w:ind w:left="1640" w:hanging="616"/>
        <w:jc w:val="both"/>
        <w:rPr>
          <w:rFonts w:eastAsia="Times New Roman"/>
          <w:sz w:val="19"/>
          <w:szCs w:val="19"/>
        </w:rPr>
      </w:pPr>
      <w:r>
        <w:rPr>
          <w:rFonts w:eastAsia="Times New Roman"/>
          <w:sz w:val="19"/>
          <w:szCs w:val="19"/>
        </w:rPr>
        <w:t xml:space="preserve">To approve the Board’s continuing authority to approve the Company’s repurchase of shares of its common stock in an amount not to exceed 10% of the </w:t>
      </w:r>
      <w:r>
        <w:rPr>
          <w:rFonts w:eastAsia="Times New Roman"/>
          <w:sz w:val="19"/>
          <w:szCs w:val="19"/>
        </w:rPr>
        <w:t>total number of outstanding shares of common stock of the Company as of the date of the Special Meeting, effective from the Primary Conversion Effective Date until the earlier of the date the next annual meeting is held or June 26, 2023; and</w:t>
      </w:r>
    </w:p>
    <w:p w:rsidR="00CC2C66" w:rsidRDefault="00CC2C66">
      <w:pPr>
        <w:spacing w:line="193" w:lineRule="exact"/>
        <w:rPr>
          <w:rFonts w:eastAsia="Times New Roman"/>
          <w:sz w:val="19"/>
          <w:szCs w:val="19"/>
        </w:rPr>
      </w:pPr>
    </w:p>
    <w:p w:rsidR="00CC2C66" w:rsidRDefault="00F80B74">
      <w:pPr>
        <w:numPr>
          <w:ilvl w:val="0"/>
          <w:numId w:val="6"/>
        </w:numPr>
        <w:tabs>
          <w:tab w:val="left" w:pos="1640"/>
        </w:tabs>
        <w:ind w:left="1640" w:hanging="616"/>
        <w:rPr>
          <w:rFonts w:eastAsia="Times New Roman"/>
          <w:sz w:val="19"/>
          <w:szCs w:val="19"/>
        </w:rPr>
      </w:pPr>
      <w:r>
        <w:rPr>
          <w:rFonts w:eastAsia="Times New Roman"/>
          <w:sz w:val="19"/>
          <w:szCs w:val="19"/>
        </w:rPr>
        <w:t>To approve th</w:t>
      </w:r>
      <w:r>
        <w:rPr>
          <w:rFonts w:eastAsia="Times New Roman"/>
          <w:sz w:val="19"/>
          <w:szCs w:val="19"/>
        </w:rPr>
        <w:t>e Yum China Holdings, Inc. 2022 Long Term Incentive Plan (the “</w:t>
      </w:r>
      <w:r>
        <w:rPr>
          <w:rFonts w:eastAsia="Times New Roman"/>
          <w:b/>
          <w:bCs/>
          <w:i/>
          <w:iCs/>
          <w:sz w:val="19"/>
          <w:szCs w:val="19"/>
        </w:rPr>
        <w:t>2022 LTIP</w:t>
      </w:r>
      <w:r>
        <w:rPr>
          <w:rFonts w:eastAsia="Times New Roman"/>
          <w:sz w:val="19"/>
          <w:szCs w:val="19"/>
        </w:rPr>
        <w:t>”).</w:t>
      </w:r>
    </w:p>
    <w:p w:rsidR="00CC2C66" w:rsidRDefault="00CC2C66">
      <w:pPr>
        <w:spacing w:line="205" w:lineRule="exact"/>
        <w:rPr>
          <w:sz w:val="20"/>
          <w:szCs w:val="20"/>
        </w:rPr>
      </w:pPr>
    </w:p>
    <w:p w:rsidR="00CC2C66" w:rsidRDefault="00F80B74">
      <w:pPr>
        <w:spacing w:line="254" w:lineRule="auto"/>
        <w:ind w:left="420" w:right="20"/>
        <w:jc w:val="both"/>
        <w:rPr>
          <w:sz w:val="20"/>
          <w:szCs w:val="20"/>
        </w:rPr>
      </w:pPr>
      <w:r>
        <w:rPr>
          <w:rFonts w:eastAsia="Times New Roman"/>
          <w:b/>
          <w:bCs/>
          <w:sz w:val="19"/>
          <w:szCs w:val="19"/>
        </w:rPr>
        <w:t xml:space="preserve">Stockholder approval for all the Items of Business is a condition to the Primary Conversion. The Primary Conversion shall not become effective if stockholders fail to approve any </w:t>
      </w:r>
      <w:r>
        <w:rPr>
          <w:rFonts w:eastAsia="Times New Roman"/>
          <w:b/>
          <w:bCs/>
          <w:sz w:val="19"/>
          <w:szCs w:val="19"/>
        </w:rPr>
        <w:t>of the Items of Business described above for which the Special Meeting is called.</w:t>
      </w:r>
    </w:p>
    <w:p w:rsidR="00CC2C66" w:rsidRDefault="00CC2C66">
      <w:pPr>
        <w:spacing w:line="162" w:lineRule="exact"/>
        <w:rPr>
          <w:sz w:val="20"/>
          <w:szCs w:val="20"/>
        </w:rPr>
      </w:pPr>
    </w:p>
    <w:p w:rsidR="00CC2C66" w:rsidRDefault="00F80B74">
      <w:pPr>
        <w:spacing w:line="249" w:lineRule="auto"/>
        <w:ind w:left="420"/>
        <w:jc w:val="both"/>
        <w:rPr>
          <w:sz w:val="20"/>
          <w:szCs w:val="20"/>
        </w:rPr>
      </w:pPr>
      <w:r>
        <w:rPr>
          <w:rFonts w:eastAsia="Times New Roman"/>
          <w:sz w:val="19"/>
          <w:szCs w:val="19"/>
        </w:rPr>
        <w:t xml:space="preserve">You may attend the Special Meeting via the Internet at </w:t>
      </w:r>
      <w:r>
        <w:rPr>
          <w:rFonts w:eastAsia="Times New Roman"/>
          <w:i/>
          <w:iCs/>
          <w:sz w:val="19"/>
          <w:szCs w:val="19"/>
        </w:rPr>
        <w:t>www.virtualshareholdermeeting.com/YUMC2022SM.</w:t>
      </w:r>
      <w:r>
        <w:rPr>
          <w:rFonts w:eastAsia="Times New Roman"/>
          <w:sz w:val="19"/>
          <w:szCs w:val="19"/>
        </w:rPr>
        <w:t xml:space="preserve"> To participate in the Special Meeting, you will need the 16-digit contro</w:t>
      </w:r>
      <w:r>
        <w:rPr>
          <w:rFonts w:eastAsia="Times New Roman"/>
          <w:sz w:val="19"/>
          <w:szCs w:val="19"/>
        </w:rPr>
        <w:t>l number which appears on your proxy card or the instructions that accompanied your proxy materials. The attached notice of Special Meeting and proxy statement contain details of the Items of Business to be conducted at the Special Meeting and the detailed</w:t>
      </w:r>
      <w:r>
        <w:rPr>
          <w:rFonts w:eastAsia="Times New Roman"/>
          <w:sz w:val="19"/>
          <w:szCs w:val="19"/>
        </w:rPr>
        <w:t xml:space="preserve"> procedures for attending, submitting questions and voting at the Special Meeting.</w:t>
      </w:r>
    </w:p>
    <w:p w:rsidR="00CC2C66" w:rsidRDefault="00CC2C66">
      <w:pPr>
        <w:spacing w:line="171" w:lineRule="exact"/>
        <w:rPr>
          <w:sz w:val="20"/>
          <w:szCs w:val="20"/>
        </w:rPr>
      </w:pPr>
    </w:p>
    <w:p w:rsidR="00CC2C66" w:rsidRDefault="00F80B74">
      <w:pPr>
        <w:spacing w:line="293" w:lineRule="auto"/>
        <w:ind w:left="420" w:right="20"/>
        <w:jc w:val="both"/>
        <w:rPr>
          <w:sz w:val="20"/>
          <w:szCs w:val="20"/>
        </w:rPr>
      </w:pPr>
      <w:r>
        <w:rPr>
          <w:rFonts w:eastAsia="Times New Roman"/>
          <w:sz w:val="18"/>
          <w:szCs w:val="18"/>
        </w:rPr>
        <w:t>Your vote is important. We encourage you to vote promptly, whether or not you plan to attend the Special Meeting. You may vote your shares over the Internet or via telephon</w:t>
      </w:r>
      <w:r>
        <w:rPr>
          <w:rFonts w:eastAsia="Times New Roman"/>
          <w:sz w:val="18"/>
          <w:szCs w:val="18"/>
        </w:rPr>
        <w:t>e, or you may complete, sign, date and mail the proxy card in the postage-paid envelope provided.</w:t>
      </w:r>
    </w:p>
    <w:p w:rsidR="00CC2C66" w:rsidRDefault="00CC2C66">
      <w:pPr>
        <w:spacing w:line="133" w:lineRule="exact"/>
        <w:rPr>
          <w:sz w:val="20"/>
          <w:szCs w:val="20"/>
        </w:rPr>
      </w:pPr>
    </w:p>
    <w:p w:rsidR="00CC2C66" w:rsidRDefault="00F80B74">
      <w:pPr>
        <w:ind w:left="420"/>
        <w:rPr>
          <w:sz w:val="20"/>
          <w:szCs w:val="20"/>
        </w:rPr>
      </w:pPr>
      <w:r>
        <w:rPr>
          <w:rFonts w:eastAsia="Times New Roman"/>
          <w:sz w:val="19"/>
          <w:szCs w:val="19"/>
        </w:rPr>
        <w:t>Sincerely,</w:t>
      </w:r>
    </w:p>
    <w:p w:rsidR="00CC2C66" w:rsidRDefault="00CC2C66">
      <w:pPr>
        <w:spacing w:line="2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bookmarkStart w:id="3" w:name="_GoBack"/>
      <w:bookmarkEnd w:id="3"/>
    </w:p>
    <w:p w:rsidR="00CC2C66" w:rsidRDefault="00CC2C66">
      <w:pPr>
        <w:spacing w:line="260" w:lineRule="exact"/>
        <w:rPr>
          <w:sz w:val="20"/>
          <w:szCs w:val="20"/>
        </w:rPr>
      </w:pPr>
    </w:p>
    <w:p w:rsidR="00CC2C66" w:rsidRDefault="00F80B74">
      <w:pPr>
        <w:ind w:left="420"/>
        <w:rPr>
          <w:sz w:val="20"/>
          <w:szCs w:val="20"/>
        </w:rPr>
      </w:pPr>
      <w:r>
        <w:rPr>
          <w:rFonts w:eastAsia="Times New Roman"/>
          <w:sz w:val="19"/>
          <w:szCs w:val="19"/>
        </w:rPr>
        <w:t>Joey Wat</w:t>
      </w:r>
    </w:p>
    <w:p w:rsidR="00CC2C66" w:rsidRDefault="00CC2C66">
      <w:pPr>
        <w:spacing w:line="19" w:lineRule="exact"/>
        <w:rPr>
          <w:sz w:val="20"/>
          <w:szCs w:val="20"/>
        </w:rPr>
      </w:pPr>
    </w:p>
    <w:p w:rsidR="00CC2C66" w:rsidRDefault="00F80B74">
      <w:pPr>
        <w:ind w:left="420"/>
        <w:rPr>
          <w:sz w:val="20"/>
          <w:szCs w:val="20"/>
        </w:rPr>
      </w:pPr>
      <w:r>
        <w:rPr>
          <w:rFonts w:eastAsia="Times New Roman"/>
          <w:i/>
          <w:iCs/>
          <w:sz w:val="19"/>
          <w:szCs w:val="19"/>
        </w:rPr>
        <w:t>Chief Executive Officer</w:t>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4" w:name="page4"/>
      <w:bookmarkEnd w:id="4"/>
      <w:r>
        <w:rPr>
          <w:rFonts w:eastAsia="Times New Roman"/>
          <w:b/>
          <w:bCs/>
          <w:noProof/>
          <w:color w:val="0000EE"/>
          <w:sz w:val="17"/>
          <w:szCs w:val="17"/>
          <w:u w:val="single"/>
        </w:rPr>
        <w:lastRenderedPageBreak/>
        <w:drawing>
          <wp:anchor distT="0" distB="0" distL="114300" distR="114300" simplePos="0" relativeHeight="25149337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494400" behindDoc="1" locked="0" layoutInCell="0" allowOverlap="1">
            <wp:simplePos x="0" y="0"/>
            <wp:positionH relativeFrom="column">
              <wp:posOffset>262890</wp:posOffset>
            </wp:positionH>
            <wp:positionV relativeFrom="paragraph">
              <wp:posOffset>198755</wp:posOffset>
            </wp:positionV>
            <wp:extent cx="6616700" cy="8483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blip>
                    <a:srcRect/>
                    <a:stretch>
                      <a:fillRect/>
                    </a:stretch>
                  </pic:blipFill>
                  <pic:spPr bwMode="auto">
                    <a:xfrm>
                      <a:off x="0" y="0"/>
                      <a:ext cx="6616700" cy="848360"/>
                    </a:xfrm>
                    <a:prstGeom prst="rect">
                      <a:avLst/>
                    </a:prstGeom>
                    <a:noFill/>
                  </pic:spPr>
                </pic:pic>
              </a:graphicData>
            </a:graphic>
          </wp:anchor>
        </w:drawing>
      </w:r>
    </w:p>
    <w:p w:rsidR="00CC2C66" w:rsidRDefault="00CC2C66">
      <w:pPr>
        <w:spacing w:line="350" w:lineRule="exact"/>
        <w:rPr>
          <w:sz w:val="20"/>
          <w:szCs w:val="20"/>
        </w:rPr>
      </w:pPr>
    </w:p>
    <w:p w:rsidR="00CC2C66" w:rsidRDefault="00F80B74">
      <w:pPr>
        <w:ind w:right="-419"/>
        <w:jc w:val="center"/>
        <w:rPr>
          <w:sz w:val="20"/>
          <w:szCs w:val="20"/>
        </w:rPr>
      </w:pPr>
      <w:r>
        <w:rPr>
          <w:rFonts w:ascii="Arial" w:eastAsia="Arial" w:hAnsi="Arial" w:cs="Arial"/>
          <w:b/>
          <w:bCs/>
          <w:sz w:val="17"/>
          <w:szCs w:val="17"/>
        </w:rPr>
        <w:t>Yum China Holdings, Inc.</w:t>
      </w:r>
    </w:p>
    <w:p w:rsidR="00CC2C66" w:rsidRDefault="00CC2C66">
      <w:pPr>
        <w:spacing w:line="182" w:lineRule="exact"/>
        <w:rPr>
          <w:sz w:val="20"/>
          <w:szCs w:val="20"/>
        </w:rPr>
      </w:pPr>
    </w:p>
    <w:p w:rsidR="00CC2C66" w:rsidRDefault="00F80B74">
      <w:pPr>
        <w:ind w:right="-419"/>
        <w:jc w:val="center"/>
        <w:rPr>
          <w:sz w:val="20"/>
          <w:szCs w:val="20"/>
        </w:rPr>
      </w:pPr>
      <w:r>
        <w:rPr>
          <w:rFonts w:ascii="Arial" w:eastAsia="Arial" w:hAnsi="Arial" w:cs="Arial"/>
          <w:b/>
          <w:bCs/>
          <w:color w:val="CF0A2C"/>
          <w:sz w:val="34"/>
          <w:szCs w:val="34"/>
        </w:rPr>
        <w:t>Notice Of Special Meeting</w:t>
      </w:r>
    </w:p>
    <w:p w:rsidR="00CC2C66" w:rsidRDefault="00CC2C66">
      <w:pPr>
        <w:spacing w:line="39" w:lineRule="exact"/>
        <w:rPr>
          <w:sz w:val="20"/>
          <w:szCs w:val="20"/>
        </w:rPr>
      </w:pPr>
    </w:p>
    <w:p w:rsidR="00CC2C66" w:rsidRDefault="00F80B74">
      <w:pPr>
        <w:ind w:right="-419"/>
        <w:jc w:val="center"/>
        <w:rPr>
          <w:sz w:val="20"/>
          <w:szCs w:val="20"/>
        </w:rPr>
      </w:pPr>
      <w:r>
        <w:rPr>
          <w:rFonts w:ascii="Arial" w:eastAsia="Arial" w:hAnsi="Arial" w:cs="Arial"/>
          <w:b/>
          <w:bCs/>
          <w:color w:val="CF0A2C"/>
          <w:sz w:val="34"/>
          <w:szCs w:val="34"/>
        </w:rPr>
        <w:t xml:space="preserve">Of </w:t>
      </w:r>
      <w:r>
        <w:rPr>
          <w:rFonts w:ascii="Arial" w:eastAsia="Arial" w:hAnsi="Arial" w:cs="Arial"/>
          <w:b/>
          <w:bCs/>
          <w:color w:val="CF0A2C"/>
          <w:sz w:val="34"/>
          <w:szCs w:val="34"/>
        </w:rPr>
        <w:t>Stockholders</w:t>
      </w:r>
    </w:p>
    <w:p w:rsidR="00CC2C66" w:rsidRDefault="00CC2C66">
      <w:pPr>
        <w:spacing w:line="34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940"/>
        <w:gridCol w:w="900"/>
        <w:gridCol w:w="560"/>
        <w:gridCol w:w="900"/>
        <w:gridCol w:w="960"/>
        <w:gridCol w:w="540"/>
        <w:gridCol w:w="940"/>
        <w:gridCol w:w="600"/>
        <w:gridCol w:w="880"/>
        <w:gridCol w:w="1140"/>
        <w:gridCol w:w="740"/>
        <w:gridCol w:w="320"/>
      </w:tblGrid>
      <w:tr w:rsidR="00CC2C66">
        <w:trPr>
          <w:trHeight w:val="218"/>
        </w:trPr>
        <w:tc>
          <w:tcPr>
            <w:tcW w:w="1940" w:type="dxa"/>
            <w:vAlign w:val="bottom"/>
          </w:tcPr>
          <w:p w:rsidR="00CC2C66" w:rsidRDefault="00F80B74">
            <w:pPr>
              <w:rPr>
                <w:sz w:val="20"/>
                <w:szCs w:val="20"/>
              </w:rPr>
            </w:pPr>
            <w:r>
              <w:rPr>
                <w:rFonts w:eastAsia="Times New Roman"/>
                <w:b/>
                <w:bCs/>
                <w:sz w:val="17"/>
                <w:szCs w:val="17"/>
              </w:rPr>
              <w:t>Time and Date:</w:t>
            </w:r>
          </w:p>
        </w:tc>
        <w:tc>
          <w:tcPr>
            <w:tcW w:w="5400" w:type="dxa"/>
            <w:gridSpan w:val="7"/>
            <w:vAlign w:val="bottom"/>
          </w:tcPr>
          <w:p w:rsidR="00CC2C66" w:rsidRDefault="00F80B74">
            <w:pPr>
              <w:ind w:left="240"/>
              <w:rPr>
                <w:sz w:val="20"/>
                <w:szCs w:val="20"/>
              </w:rPr>
            </w:pPr>
            <w:r>
              <w:rPr>
                <w:rFonts w:eastAsia="Times New Roman"/>
                <w:sz w:val="19"/>
                <w:szCs w:val="19"/>
              </w:rPr>
              <w:t>8:00 a.m. Beijing/Hong Kong time on Tuesday, October 11, 2022 /</w:t>
            </w:r>
          </w:p>
        </w:tc>
        <w:tc>
          <w:tcPr>
            <w:tcW w:w="880" w:type="dxa"/>
            <w:vAlign w:val="bottom"/>
          </w:tcPr>
          <w:p w:rsidR="00CC2C66" w:rsidRDefault="00CC2C66">
            <w:pPr>
              <w:rPr>
                <w:sz w:val="18"/>
                <w:szCs w:val="18"/>
              </w:rPr>
            </w:pPr>
          </w:p>
        </w:tc>
        <w:tc>
          <w:tcPr>
            <w:tcW w:w="1140" w:type="dxa"/>
            <w:vAlign w:val="bottom"/>
          </w:tcPr>
          <w:p w:rsidR="00CC2C66" w:rsidRDefault="00CC2C66">
            <w:pPr>
              <w:rPr>
                <w:sz w:val="18"/>
                <w:szCs w:val="18"/>
              </w:rPr>
            </w:pPr>
          </w:p>
        </w:tc>
        <w:tc>
          <w:tcPr>
            <w:tcW w:w="740" w:type="dxa"/>
            <w:vAlign w:val="bottom"/>
          </w:tcPr>
          <w:p w:rsidR="00CC2C66" w:rsidRDefault="00CC2C66">
            <w:pPr>
              <w:rPr>
                <w:sz w:val="18"/>
                <w:szCs w:val="18"/>
              </w:rPr>
            </w:pPr>
          </w:p>
        </w:tc>
        <w:tc>
          <w:tcPr>
            <w:tcW w:w="320" w:type="dxa"/>
            <w:vAlign w:val="bottom"/>
          </w:tcPr>
          <w:p w:rsidR="00CC2C66" w:rsidRDefault="00CC2C66">
            <w:pPr>
              <w:rPr>
                <w:sz w:val="18"/>
                <w:szCs w:val="18"/>
              </w:rPr>
            </w:pPr>
          </w:p>
        </w:tc>
      </w:tr>
      <w:tr w:rsidR="00CC2C66">
        <w:trPr>
          <w:trHeight w:val="243"/>
        </w:trPr>
        <w:tc>
          <w:tcPr>
            <w:tcW w:w="1940" w:type="dxa"/>
            <w:vAlign w:val="bottom"/>
          </w:tcPr>
          <w:p w:rsidR="00CC2C66" w:rsidRDefault="00CC2C66">
            <w:pPr>
              <w:rPr>
                <w:sz w:val="21"/>
                <w:szCs w:val="21"/>
              </w:rPr>
            </w:pPr>
          </w:p>
        </w:tc>
        <w:tc>
          <w:tcPr>
            <w:tcW w:w="4800" w:type="dxa"/>
            <w:gridSpan w:val="6"/>
            <w:vAlign w:val="bottom"/>
          </w:tcPr>
          <w:p w:rsidR="00CC2C66" w:rsidRDefault="00F80B74">
            <w:pPr>
              <w:ind w:left="240"/>
              <w:rPr>
                <w:sz w:val="20"/>
                <w:szCs w:val="20"/>
              </w:rPr>
            </w:pPr>
            <w:r>
              <w:rPr>
                <w:rFonts w:eastAsia="Times New Roman"/>
                <w:sz w:val="19"/>
                <w:szCs w:val="19"/>
              </w:rPr>
              <w:t>8:00 p.m. U.S. Eastern time on Monday, October 10, 2022.</w:t>
            </w:r>
          </w:p>
        </w:tc>
        <w:tc>
          <w:tcPr>
            <w:tcW w:w="600" w:type="dxa"/>
            <w:vAlign w:val="bottom"/>
          </w:tcPr>
          <w:p w:rsidR="00CC2C66" w:rsidRDefault="00CC2C66">
            <w:pPr>
              <w:rPr>
                <w:sz w:val="21"/>
                <w:szCs w:val="21"/>
              </w:rPr>
            </w:pPr>
          </w:p>
        </w:tc>
        <w:tc>
          <w:tcPr>
            <w:tcW w:w="880" w:type="dxa"/>
            <w:vAlign w:val="bottom"/>
          </w:tcPr>
          <w:p w:rsidR="00CC2C66" w:rsidRDefault="00CC2C66">
            <w:pPr>
              <w:rPr>
                <w:sz w:val="21"/>
                <w:szCs w:val="21"/>
              </w:rPr>
            </w:pPr>
          </w:p>
        </w:tc>
        <w:tc>
          <w:tcPr>
            <w:tcW w:w="1140" w:type="dxa"/>
            <w:vAlign w:val="bottom"/>
          </w:tcPr>
          <w:p w:rsidR="00CC2C66" w:rsidRDefault="00CC2C66">
            <w:pPr>
              <w:rPr>
                <w:sz w:val="21"/>
                <w:szCs w:val="21"/>
              </w:rPr>
            </w:pPr>
          </w:p>
        </w:tc>
        <w:tc>
          <w:tcPr>
            <w:tcW w:w="740" w:type="dxa"/>
            <w:vAlign w:val="bottom"/>
          </w:tcPr>
          <w:p w:rsidR="00CC2C66" w:rsidRDefault="00CC2C66">
            <w:pPr>
              <w:rPr>
                <w:sz w:val="21"/>
                <w:szCs w:val="21"/>
              </w:rPr>
            </w:pPr>
          </w:p>
        </w:tc>
        <w:tc>
          <w:tcPr>
            <w:tcW w:w="320" w:type="dxa"/>
            <w:vAlign w:val="bottom"/>
          </w:tcPr>
          <w:p w:rsidR="00CC2C66" w:rsidRDefault="00CC2C66">
            <w:pPr>
              <w:rPr>
                <w:sz w:val="21"/>
                <w:szCs w:val="21"/>
              </w:rPr>
            </w:pPr>
          </w:p>
        </w:tc>
      </w:tr>
      <w:tr w:rsidR="00CC2C66">
        <w:trPr>
          <w:trHeight w:val="396"/>
        </w:trPr>
        <w:tc>
          <w:tcPr>
            <w:tcW w:w="1940" w:type="dxa"/>
            <w:vAlign w:val="bottom"/>
          </w:tcPr>
          <w:p w:rsidR="00CC2C66" w:rsidRDefault="00F80B74">
            <w:pPr>
              <w:rPr>
                <w:sz w:val="20"/>
                <w:szCs w:val="20"/>
              </w:rPr>
            </w:pPr>
            <w:r>
              <w:rPr>
                <w:rFonts w:eastAsia="Times New Roman"/>
                <w:b/>
                <w:bCs/>
                <w:sz w:val="17"/>
                <w:szCs w:val="17"/>
              </w:rPr>
              <w:t>Location:</w:t>
            </w:r>
          </w:p>
        </w:tc>
        <w:tc>
          <w:tcPr>
            <w:tcW w:w="5400" w:type="dxa"/>
            <w:gridSpan w:val="7"/>
            <w:vAlign w:val="bottom"/>
          </w:tcPr>
          <w:p w:rsidR="00CC2C66" w:rsidRDefault="00F80B74">
            <w:pPr>
              <w:ind w:left="240"/>
              <w:rPr>
                <w:sz w:val="20"/>
                <w:szCs w:val="20"/>
              </w:rPr>
            </w:pPr>
            <w:r>
              <w:rPr>
                <w:rFonts w:eastAsia="Times New Roman"/>
                <w:sz w:val="19"/>
                <w:szCs w:val="19"/>
              </w:rPr>
              <w:t>Online at www.virtualshareholdermeeting.com/YUMC2022SM</w:t>
            </w:r>
          </w:p>
        </w:tc>
        <w:tc>
          <w:tcPr>
            <w:tcW w:w="880" w:type="dxa"/>
            <w:vAlign w:val="bottom"/>
          </w:tcPr>
          <w:p w:rsidR="00CC2C66" w:rsidRDefault="00CC2C66">
            <w:pPr>
              <w:rPr>
                <w:sz w:val="24"/>
                <w:szCs w:val="24"/>
              </w:rPr>
            </w:pPr>
          </w:p>
        </w:tc>
        <w:tc>
          <w:tcPr>
            <w:tcW w:w="1140" w:type="dxa"/>
            <w:vAlign w:val="bottom"/>
          </w:tcPr>
          <w:p w:rsidR="00CC2C66" w:rsidRDefault="00CC2C66">
            <w:pPr>
              <w:rPr>
                <w:sz w:val="24"/>
                <w:szCs w:val="24"/>
              </w:rPr>
            </w:pPr>
          </w:p>
        </w:tc>
        <w:tc>
          <w:tcPr>
            <w:tcW w:w="740" w:type="dxa"/>
            <w:vAlign w:val="bottom"/>
          </w:tcPr>
          <w:p w:rsidR="00CC2C66" w:rsidRDefault="00CC2C66">
            <w:pPr>
              <w:rPr>
                <w:sz w:val="24"/>
                <w:szCs w:val="24"/>
              </w:rPr>
            </w:pPr>
          </w:p>
        </w:tc>
        <w:tc>
          <w:tcPr>
            <w:tcW w:w="320" w:type="dxa"/>
            <w:vAlign w:val="bottom"/>
          </w:tcPr>
          <w:p w:rsidR="00CC2C66" w:rsidRDefault="00CC2C66">
            <w:pPr>
              <w:rPr>
                <w:sz w:val="24"/>
                <w:szCs w:val="24"/>
              </w:rPr>
            </w:pPr>
          </w:p>
        </w:tc>
      </w:tr>
      <w:tr w:rsidR="00CC2C66">
        <w:trPr>
          <w:trHeight w:val="358"/>
        </w:trPr>
        <w:tc>
          <w:tcPr>
            <w:tcW w:w="1940" w:type="dxa"/>
            <w:vAlign w:val="bottom"/>
          </w:tcPr>
          <w:p w:rsidR="00CC2C66" w:rsidRDefault="00F80B74">
            <w:pPr>
              <w:rPr>
                <w:sz w:val="20"/>
                <w:szCs w:val="20"/>
              </w:rPr>
            </w:pPr>
            <w:r>
              <w:rPr>
                <w:rFonts w:eastAsia="Times New Roman"/>
                <w:b/>
                <w:bCs/>
                <w:sz w:val="17"/>
                <w:szCs w:val="17"/>
              </w:rPr>
              <w:t>Items of Business:</w:t>
            </w:r>
          </w:p>
        </w:tc>
        <w:tc>
          <w:tcPr>
            <w:tcW w:w="8480" w:type="dxa"/>
            <w:gridSpan w:val="11"/>
            <w:vAlign w:val="bottom"/>
          </w:tcPr>
          <w:p w:rsidR="00CC2C66" w:rsidRDefault="00F80B74">
            <w:pPr>
              <w:ind w:left="240"/>
              <w:rPr>
                <w:sz w:val="20"/>
                <w:szCs w:val="20"/>
              </w:rPr>
            </w:pPr>
            <w:r>
              <w:rPr>
                <w:rFonts w:eastAsia="Times New Roman"/>
                <w:color w:val="CF0A2C"/>
                <w:w w:val="98"/>
                <w:sz w:val="19"/>
                <w:szCs w:val="19"/>
              </w:rPr>
              <w:t>(1)</w:t>
            </w:r>
            <w:r>
              <w:rPr>
                <w:rFonts w:eastAsia="Times New Roman"/>
                <w:color w:val="000000"/>
                <w:w w:val="98"/>
                <w:sz w:val="19"/>
                <w:szCs w:val="19"/>
              </w:rPr>
              <w:t xml:space="preserve">  To approve the Board’s continuing authority to approve the Company’s issuance of shares of its common</w:t>
            </w:r>
          </w:p>
        </w:tc>
      </w:tr>
      <w:tr w:rsidR="00CC2C66">
        <w:trPr>
          <w:trHeight w:val="217"/>
        </w:trPr>
        <w:tc>
          <w:tcPr>
            <w:tcW w:w="1940" w:type="dxa"/>
            <w:vAlign w:val="bottom"/>
          </w:tcPr>
          <w:p w:rsidR="00CC2C66" w:rsidRDefault="00CC2C66">
            <w:pPr>
              <w:rPr>
                <w:sz w:val="18"/>
                <w:szCs w:val="18"/>
              </w:rPr>
            </w:pPr>
          </w:p>
        </w:tc>
        <w:tc>
          <w:tcPr>
            <w:tcW w:w="8480" w:type="dxa"/>
            <w:gridSpan w:val="11"/>
            <w:vAlign w:val="bottom"/>
          </w:tcPr>
          <w:p w:rsidR="00CC2C66" w:rsidRDefault="00F80B74">
            <w:pPr>
              <w:spacing w:line="217" w:lineRule="exact"/>
              <w:ind w:left="560"/>
              <w:rPr>
                <w:sz w:val="20"/>
                <w:szCs w:val="20"/>
              </w:rPr>
            </w:pPr>
            <w:r>
              <w:rPr>
                <w:rFonts w:eastAsia="Times New Roman"/>
                <w:w w:val="99"/>
                <w:sz w:val="19"/>
                <w:szCs w:val="19"/>
              </w:rPr>
              <w:t>stock or securities convertible into common stock in an amount not to exceed 20% of the total number of</w:t>
            </w:r>
          </w:p>
        </w:tc>
      </w:tr>
      <w:tr w:rsidR="00CC2C66">
        <w:trPr>
          <w:trHeight w:val="217"/>
        </w:trPr>
        <w:tc>
          <w:tcPr>
            <w:tcW w:w="1940" w:type="dxa"/>
            <w:vAlign w:val="bottom"/>
          </w:tcPr>
          <w:p w:rsidR="00CC2C66" w:rsidRDefault="00CC2C66">
            <w:pPr>
              <w:rPr>
                <w:sz w:val="18"/>
                <w:szCs w:val="18"/>
              </w:rPr>
            </w:pPr>
          </w:p>
        </w:tc>
        <w:tc>
          <w:tcPr>
            <w:tcW w:w="8480" w:type="dxa"/>
            <w:gridSpan w:val="11"/>
            <w:vAlign w:val="bottom"/>
          </w:tcPr>
          <w:p w:rsidR="00CC2C66" w:rsidRDefault="00F80B74">
            <w:pPr>
              <w:spacing w:line="217" w:lineRule="exact"/>
              <w:ind w:left="560"/>
              <w:rPr>
                <w:sz w:val="20"/>
                <w:szCs w:val="20"/>
              </w:rPr>
            </w:pPr>
            <w:r>
              <w:rPr>
                <w:rFonts w:eastAsia="Times New Roman"/>
                <w:sz w:val="19"/>
                <w:szCs w:val="19"/>
              </w:rPr>
              <w:t xml:space="preserve">outstanding shares of common stock of the </w:t>
            </w:r>
            <w:r>
              <w:rPr>
                <w:rFonts w:eastAsia="Times New Roman"/>
                <w:sz w:val="19"/>
                <w:szCs w:val="19"/>
              </w:rPr>
              <w:t>Company as of the date of the Special Meeting, effective</w:t>
            </w:r>
          </w:p>
        </w:tc>
      </w:tr>
      <w:tr w:rsidR="00CC2C66">
        <w:trPr>
          <w:trHeight w:val="217"/>
        </w:trPr>
        <w:tc>
          <w:tcPr>
            <w:tcW w:w="1940" w:type="dxa"/>
            <w:vAlign w:val="bottom"/>
          </w:tcPr>
          <w:p w:rsidR="00CC2C66" w:rsidRDefault="00CC2C66">
            <w:pPr>
              <w:rPr>
                <w:sz w:val="18"/>
                <w:szCs w:val="18"/>
              </w:rPr>
            </w:pPr>
          </w:p>
        </w:tc>
        <w:tc>
          <w:tcPr>
            <w:tcW w:w="8480" w:type="dxa"/>
            <w:gridSpan w:val="11"/>
            <w:vAlign w:val="bottom"/>
          </w:tcPr>
          <w:p w:rsidR="00CC2C66" w:rsidRDefault="00F80B74">
            <w:pPr>
              <w:spacing w:line="217" w:lineRule="exact"/>
              <w:ind w:left="560"/>
              <w:rPr>
                <w:sz w:val="20"/>
                <w:szCs w:val="20"/>
              </w:rPr>
            </w:pPr>
            <w:r>
              <w:rPr>
                <w:rFonts w:eastAsia="Times New Roman"/>
                <w:sz w:val="19"/>
                <w:szCs w:val="19"/>
              </w:rPr>
              <w:t>from the Primary Conversion Effective Date until the earlier of the date the next annual meeting is held</w:t>
            </w:r>
          </w:p>
        </w:tc>
      </w:tr>
      <w:tr w:rsidR="00CC2C66">
        <w:trPr>
          <w:trHeight w:val="243"/>
        </w:trPr>
        <w:tc>
          <w:tcPr>
            <w:tcW w:w="1940" w:type="dxa"/>
            <w:vAlign w:val="bottom"/>
          </w:tcPr>
          <w:p w:rsidR="00CC2C66" w:rsidRDefault="00CC2C66">
            <w:pPr>
              <w:rPr>
                <w:sz w:val="21"/>
                <w:szCs w:val="21"/>
              </w:rPr>
            </w:pPr>
          </w:p>
        </w:tc>
        <w:tc>
          <w:tcPr>
            <w:tcW w:w="2360" w:type="dxa"/>
            <w:gridSpan w:val="3"/>
            <w:vAlign w:val="bottom"/>
          </w:tcPr>
          <w:p w:rsidR="00CC2C66" w:rsidRDefault="00F80B74">
            <w:pPr>
              <w:ind w:left="560"/>
              <w:rPr>
                <w:sz w:val="20"/>
                <w:szCs w:val="20"/>
              </w:rPr>
            </w:pPr>
            <w:r>
              <w:rPr>
                <w:rFonts w:eastAsia="Times New Roman"/>
                <w:sz w:val="19"/>
                <w:szCs w:val="19"/>
              </w:rPr>
              <w:t>or June 26, 2023.</w:t>
            </w:r>
          </w:p>
        </w:tc>
        <w:tc>
          <w:tcPr>
            <w:tcW w:w="960" w:type="dxa"/>
            <w:vAlign w:val="bottom"/>
          </w:tcPr>
          <w:p w:rsidR="00CC2C66" w:rsidRDefault="00CC2C66">
            <w:pPr>
              <w:rPr>
                <w:sz w:val="21"/>
                <w:szCs w:val="21"/>
              </w:rPr>
            </w:pPr>
          </w:p>
        </w:tc>
        <w:tc>
          <w:tcPr>
            <w:tcW w:w="540" w:type="dxa"/>
            <w:vAlign w:val="bottom"/>
          </w:tcPr>
          <w:p w:rsidR="00CC2C66" w:rsidRDefault="00CC2C66">
            <w:pPr>
              <w:rPr>
                <w:sz w:val="21"/>
                <w:szCs w:val="21"/>
              </w:rPr>
            </w:pPr>
          </w:p>
        </w:tc>
        <w:tc>
          <w:tcPr>
            <w:tcW w:w="940" w:type="dxa"/>
            <w:vAlign w:val="bottom"/>
          </w:tcPr>
          <w:p w:rsidR="00CC2C66" w:rsidRDefault="00CC2C66">
            <w:pPr>
              <w:rPr>
                <w:sz w:val="21"/>
                <w:szCs w:val="21"/>
              </w:rPr>
            </w:pPr>
          </w:p>
        </w:tc>
        <w:tc>
          <w:tcPr>
            <w:tcW w:w="600" w:type="dxa"/>
            <w:vAlign w:val="bottom"/>
          </w:tcPr>
          <w:p w:rsidR="00CC2C66" w:rsidRDefault="00CC2C66">
            <w:pPr>
              <w:rPr>
                <w:sz w:val="21"/>
                <w:szCs w:val="21"/>
              </w:rPr>
            </w:pPr>
          </w:p>
        </w:tc>
        <w:tc>
          <w:tcPr>
            <w:tcW w:w="880" w:type="dxa"/>
            <w:vAlign w:val="bottom"/>
          </w:tcPr>
          <w:p w:rsidR="00CC2C66" w:rsidRDefault="00CC2C66">
            <w:pPr>
              <w:rPr>
                <w:sz w:val="21"/>
                <w:szCs w:val="21"/>
              </w:rPr>
            </w:pPr>
          </w:p>
        </w:tc>
        <w:tc>
          <w:tcPr>
            <w:tcW w:w="1140" w:type="dxa"/>
            <w:vAlign w:val="bottom"/>
          </w:tcPr>
          <w:p w:rsidR="00CC2C66" w:rsidRDefault="00CC2C66">
            <w:pPr>
              <w:rPr>
                <w:sz w:val="21"/>
                <w:szCs w:val="21"/>
              </w:rPr>
            </w:pPr>
          </w:p>
        </w:tc>
        <w:tc>
          <w:tcPr>
            <w:tcW w:w="740" w:type="dxa"/>
            <w:vAlign w:val="bottom"/>
          </w:tcPr>
          <w:p w:rsidR="00CC2C66" w:rsidRDefault="00CC2C66">
            <w:pPr>
              <w:rPr>
                <w:sz w:val="21"/>
                <w:szCs w:val="21"/>
              </w:rPr>
            </w:pPr>
          </w:p>
        </w:tc>
        <w:tc>
          <w:tcPr>
            <w:tcW w:w="320" w:type="dxa"/>
            <w:vAlign w:val="bottom"/>
          </w:tcPr>
          <w:p w:rsidR="00CC2C66" w:rsidRDefault="00CC2C66">
            <w:pPr>
              <w:rPr>
                <w:sz w:val="21"/>
                <w:szCs w:val="21"/>
              </w:rPr>
            </w:pPr>
          </w:p>
        </w:tc>
      </w:tr>
      <w:tr w:rsidR="00CC2C66">
        <w:trPr>
          <w:trHeight w:val="294"/>
        </w:trPr>
        <w:tc>
          <w:tcPr>
            <w:tcW w:w="1940" w:type="dxa"/>
            <w:vAlign w:val="bottom"/>
          </w:tcPr>
          <w:p w:rsidR="00CC2C66" w:rsidRDefault="00CC2C66">
            <w:pPr>
              <w:rPr>
                <w:sz w:val="24"/>
                <w:szCs w:val="24"/>
              </w:rPr>
            </w:pPr>
          </w:p>
        </w:tc>
        <w:tc>
          <w:tcPr>
            <w:tcW w:w="8480" w:type="dxa"/>
            <w:gridSpan w:val="11"/>
            <w:vAlign w:val="bottom"/>
          </w:tcPr>
          <w:p w:rsidR="00CC2C66" w:rsidRDefault="00F80B74">
            <w:pPr>
              <w:ind w:left="240"/>
              <w:rPr>
                <w:sz w:val="20"/>
                <w:szCs w:val="20"/>
              </w:rPr>
            </w:pPr>
            <w:r>
              <w:rPr>
                <w:rFonts w:eastAsia="Times New Roman"/>
                <w:color w:val="CF0A2C"/>
                <w:sz w:val="19"/>
                <w:szCs w:val="19"/>
              </w:rPr>
              <w:t>(2)</w:t>
            </w:r>
            <w:r>
              <w:rPr>
                <w:rFonts w:eastAsia="Times New Roman"/>
                <w:color w:val="000000"/>
                <w:sz w:val="19"/>
                <w:szCs w:val="19"/>
              </w:rPr>
              <w:t xml:space="preserve">  To approve the Board’s continuing authority to approve the Company’s repurchase of shares of its</w:t>
            </w:r>
          </w:p>
        </w:tc>
      </w:tr>
      <w:tr w:rsidR="00CC2C66">
        <w:trPr>
          <w:trHeight w:val="217"/>
        </w:trPr>
        <w:tc>
          <w:tcPr>
            <w:tcW w:w="1940" w:type="dxa"/>
            <w:vAlign w:val="bottom"/>
          </w:tcPr>
          <w:p w:rsidR="00CC2C66" w:rsidRDefault="00CC2C66">
            <w:pPr>
              <w:rPr>
                <w:sz w:val="18"/>
                <w:szCs w:val="18"/>
              </w:rPr>
            </w:pPr>
          </w:p>
        </w:tc>
        <w:tc>
          <w:tcPr>
            <w:tcW w:w="8480" w:type="dxa"/>
            <w:gridSpan w:val="11"/>
            <w:vAlign w:val="bottom"/>
          </w:tcPr>
          <w:p w:rsidR="00CC2C66" w:rsidRDefault="00F80B74">
            <w:pPr>
              <w:spacing w:line="217" w:lineRule="exact"/>
              <w:ind w:left="560"/>
              <w:rPr>
                <w:sz w:val="20"/>
                <w:szCs w:val="20"/>
              </w:rPr>
            </w:pPr>
            <w:r>
              <w:rPr>
                <w:rFonts w:eastAsia="Times New Roman"/>
                <w:sz w:val="19"/>
                <w:szCs w:val="19"/>
              </w:rPr>
              <w:t>common stock in an amount not to exceed 10% of the total number of outstanding shares of common</w:t>
            </w:r>
          </w:p>
        </w:tc>
      </w:tr>
      <w:tr w:rsidR="00CC2C66">
        <w:trPr>
          <w:trHeight w:val="217"/>
        </w:trPr>
        <w:tc>
          <w:tcPr>
            <w:tcW w:w="1940" w:type="dxa"/>
            <w:vAlign w:val="bottom"/>
          </w:tcPr>
          <w:p w:rsidR="00CC2C66" w:rsidRDefault="00CC2C66">
            <w:pPr>
              <w:rPr>
                <w:sz w:val="18"/>
                <w:szCs w:val="18"/>
              </w:rPr>
            </w:pPr>
          </w:p>
        </w:tc>
        <w:tc>
          <w:tcPr>
            <w:tcW w:w="8480" w:type="dxa"/>
            <w:gridSpan w:val="11"/>
            <w:vAlign w:val="bottom"/>
          </w:tcPr>
          <w:p w:rsidR="00CC2C66" w:rsidRDefault="00F80B74">
            <w:pPr>
              <w:spacing w:line="217" w:lineRule="exact"/>
              <w:ind w:left="560"/>
              <w:rPr>
                <w:sz w:val="20"/>
                <w:szCs w:val="20"/>
              </w:rPr>
            </w:pPr>
            <w:r>
              <w:rPr>
                <w:rFonts w:eastAsia="Times New Roman"/>
                <w:sz w:val="19"/>
                <w:szCs w:val="19"/>
              </w:rPr>
              <w:t xml:space="preserve">stock of the Company as of the date of the Special </w:t>
            </w:r>
            <w:r>
              <w:rPr>
                <w:rFonts w:eastAsia="Times New Roman"/>
                <w:sz w:val="19"/>
                <w:szCs w:val="19"/>
              </w:rPr>
              <w:t>Meeting, effective from the Primary Conversion</w:t>
            </w:r>
          </w:p>
        </w:tc>
      </w:tr>
      <w:tr w:rsidR="00CC2C66">
        <w:trPr>
          <w:trHeight w:val="243"/>
        </w:trPr>
        <w:tc>
          <w:tcPr>
            <w:tcW w:w="1940" w:type="dxa"/>
            <w:vAlign w:val="bottom"/>
          </w:tcPr>
          <w:p w:rsidR="00CC2C66" w:rsidRDefault="00CC2C66">
            <w:pPr>
              <w:rPr>
                <w:sz w:val="21"/>
                <w:szCs w:val="21"/>
              </w:rPr>
            </w:pPr>
          </w:p>
        </w:tc>
        <w:tc>
          <w:tcPr>
            <w:tcW w:w="7420" w:type="dxa"/>
            <w:gridSpan w:val="9"/>
            <w:vAlign w:val="bottom"/>
          </w:tcPr>
          <w:p w:rsidR="00CC2C66" w:rsidRDefault="00F80B74">
            <w:pPr>
              <w:ind w:left="560"/>
              <w:rPr>
                <w:sz w:val="20"/>
                <w:szCs w:val="20"/>
              </w:rPr>
            </w:pPr>
            <w:r>
              <w:rPr>
                <w:rFonts w:eastAsia="Times New Roman"/>
                <w:w w:val="98"/>
                <w:sz w:val="19"/>
                <w:szCs w:val="19"/>
              </w:rPr>
              <w:t>Effective Date until the earlier of the date the next annual meeting is held or June 26, 2023.</w:t>
            </w:r>
          </w:p>
        </w:tc>
        <w:tc>
          <w:tcPr>
            <w:tcW w:w="740" w:type="dxa"/>
            <w:vAlign w:val="bottom"/>
          </w:tcPr>
          <w:p w:rsidR="00CC2C66" w:rsidRDefault="00CC2C66">
            <w:pPr>
              <w:rPr>
                <w:sz w:val="21"/>
                <w:szCs w:val="21"/>
              </w:rPr>
            </w:pPr>
          </w:p>
        </w:tc>
        <w:tc>
          <w:tcPr>
            <w:tcW w:w="320" w:type="dxa"/>
            <w:vAlign w:val="bottom"/>
          </w:tcPr>
          <w:p w:rsidR="00CC2C66" w:rsidRDefault="00CC2C66">
            <w:pPr>
              <w:rPr>
                <w:sz w:val="21"/>
                <w:szCs w:val="21"/>
              </w:rPr>
            </w:pPr>
          </w:p>
        </w:tc>
      </w:tr>
      <w:tr w:rsidR="00CC2C66">
        <w:trPr>
          <w:trHeight w:val="319"/>
        </w:trPr>
        <w:tc>
          <w:tcPr>
            <w:tcW w:w="1940" w:type="dxa"/>
            <w:vAlign w:val="bottom"/>
          </w:tcPr>
          <w:p w:rsidR="00CC2C66" w:rsidRDefault="00CC2C66">
            <w:pPr>
              <w:rPr>
                <w:sz w:val="24"/>
                <w:szCs w:val="24"/>
              </w:rPr>
            </w:pPr>
          </w:p>
        </w:tc>
        <w:tc>
          <w:tcPr>
            <w:tcW w:w="3320" w:type="dxa"/>
            <w:gridSpan w:val="4"/>
            <w:vAlign w:val="bottom"/>
          </w:tcPr>
          <w:p w:rsidR="00CC2C66" w:rsidRDefault="00F80B74">
            <w:pPr>
              <w:ind w:left="240"/>
              <w:rPr>
                <w:sz w:val="20"/>
                <w:szCs w:val="20"/>
              </w:rPr>
            </w:pPr>
            <w:r>
              <w:rPr>
                <w:rFonts w:eastAsia="Times New Roman"/>
                <w:color w:val="CF0A2C"/>
                <w:sz w:val="19"/>
                <w:szCs w:val="19"/>
              </w:rPr>
              <w:t>(3)</w:t>
            </w:r>
            <w:r>
              <w:rPr>
                <w:rFonts w:eastAsia="Times New Roman"/>
                <w:color w:val="000000"/>
                <w:sz w:val="19"/>
                <w:szCs w:val="19"/>
              </w:rPr>
              <w:t xml:space="preserve">  To approve the 2022 LTIP.</w:t>
            </w:r>
          </w:p>
        </w:tc>
        <w:tc>
          <w:tcPr>
            <w:tcW w:w="540" w:type="dxa"/>
            <w:vAlign w:val="bottom"/>
          </w:tcPr>
          <w:p w:rsidR="00CC2C66" w:rsidRDefault="00CC2C66">
            <w:pPr>
              <w:rPr>
                <w:sz w:val="24"/>
                <w:szCs w:val="24"/>
              </w:rPr>
            </w:pPr>
          </w:p>
        </w:tc>
        <w:tc>
          <w:tcPr>
            <w:tcW w:w="940" w:type="dxa"/>
            <w:vAlign w:val="bottom"/>
          </w:tcPr>
          <w:p w:rsidR="00CC2C66" w:rsidRDefault="00CC2C66">
            <w:pPr>
              <w:rPr>
                <w:sz w:val="24"/>
                <w:szCs w:val="24"/>
              </w:rPr>
            </w:pPr>
          </w:p>
        </w:tc>
        <w:tc>
          <w:tcPr>
            <w:tcW w:w="600" w:type="dxa"/>
            <w:vAlign w:val="bottom"/>
          </w:tcPr>
          <w:p w:rsidR="00CC2C66" w:rsidRDefault="00CC2C66">
            <w:pPr>
              <w:rPr>
                <w:sz w:val="24"/>
                <w:szCs w:val="24"/>
              </w:rPr>
            </w:pPr>
          </w:p>
        </w:tc>
        <w:tc>
          <w:tcPr>
            <w:tcW w:w="880" w:type="dxa"/>
            <w:vAlign w:val="bottom"/>
          </w:tcPr>
          <w:p w:rsidR="00CC2C66" w:rsidRDefault="00CC2C66">
            <w:pPr>
              <w:rPr>
                <w:sz w:val="24"/>
                <w:szCs w:val="24"/>
              </w:rPr>
            </w:pPr>
          </w:p>
        </w:tc>
        <w:tc>
          <w:tcPr>
            <w:tcW w:w="1140" w:type="dxa"/>
            <w:vAlign w:val="bottom"/>
          </w:tcPr>
          <w:p w:rsidR="00CC2C66" w:rsidRDefault="00CC2C66">
            <w:pPr>
              <w:rPr>
                <w:sz w:val="24"/>
                <w:szCs w:val="24"/>
              </w:rPr>
            </w:pPr>
          </w:p>
        </w:tc>
        <w:tc>
          <w:tcPr>
            <w:tcW w:w="740" w:type="dxa"/>
            <w:vAlign w:val="bottom"/>
          </w:tcPr>
          <w:p w:rsidR="00CC2C66" w:rsidRDefault="00CC2C66">
            <w:pPr>
              <w:rPr>
                <w:sz w:val="24"/>
                <w:szCs w:val="24"/>
              </w:rPr>
            </w:pPr>
          </w:p>
        </w:tc>
        <w:tc>
          <w:tcPr>
            <w:tcW w:w="320" w:type="dxa"/>
            <w:vAlign w:val="bottom"/>
          </w:tcPr>
          <w:p w:rsidR="00CC2C66" w:rsidRDefault="00CC2C66">
            <w:pPr>
              <w:rPr>
                <w:sz w:val="24"/>
                <w:szCs w:val="24"/>
              </w:rPr>
            </w:pPr>
          </w:p>
        </w:tc>
      </w:tr>
      <w:tr w:rsidR="00CC2C66">
        <w:trPr>
          <w:trHeight w:val="352"/>
        </w:trPr>
        <w:tc>
          <w:tcPr>
            <w:tcW w:w="1940" w:type="dxa"/>
            <w:vAlign w:val="bottom"/>
          </w:tcPr>
          <w:p w:rsidR="00CC2C66" w:rsidRDefault="00CC2C66">
            <w:pPr>
              <w:rPr>
                <w:sz w:val="24"/>
                <w:szCs w:val="24"/>
              </w:rPr>
            </w:pPr>
          </w:p>
        </w:tc>
        <w:tc>
          <w:tcPr>
            <w:tcW w:w="8480" w:type="dxa"/>
            <w:gridSpan w:val="11"/>
            <w:vAlign w:val="bottom"/>
          </w:tcPr>
          <w:p w:rsidR="00CC2C66" w:rsidRDefault="00F80B74">
            <w:pPr>
              <w:ind w:left="240"/>
              <w:rPr>
                <w:sz w:val="20"/>
                <w:szCs w:val="20"/>
              </w:rPr>
            </w:pPr>
            <w:r>
              <w:rPr>
                <w:rFonts w:eastAsia="Times New Roman"/>
                <w:sz w:val="19"/>
                <w:szCs w:val="19"/>
              </w:rPr>
              <w:t>Pursuant to the Company’s Amended and Restated Bylaws, only business</w:t>
            </w:r>
            <w:r>
              <w:rPr>
                <w:rFonts w:eastAsia="Times New Roman"/>
                <w:sz w:val="19"/>
                <w:szCs w:val="19"/>
              </w:rPr>
              <w:t xml:space="preserve"> within the purpose or purposes</w:t>
            </w:r>
          </w:p>
        </w:tc>
      </w:tr>
      <w:tr w:rsidR="00CC2C66">
        <w:trPr>
          <w:trHeight w:val="223"/>
        </w:trPr>
        <w:tc>
          <w:tcPr>
            <w:tcW w:w="1940" w:type="dxa"/>
            <w:vAlign w:val="bottom"/>
          </w:tcPr>
          <w:p w:rsidR="00CC2C66" w:rsidRDefault="00CC2C66">
            <w:pPr>
              <w:rPr>
                <w:sz w:val="19"/>
                <w:szCs w:val="19"/>
              </w:rPr>
            </w:pPr>
          </w:p>
        </w:tc>
        <w:tc>
          <w:tcPr>
            <w:tcW w:w="8480" w:type="dxa"/>
            <w:gridSpan w:val="11"/>
            <w:vAlign w:val="bottom"/>
          </w:tcPr>
          <w:p w:rsidR="00CC2C66" w:rsidRDefault="00F80B74">
            <w:pPr>
              <w:ind w:left="240"/>
              <w:rPr>
                <w:sz w:val="20"/>
                <w:szCs w:val="20"/>
              </w:rPr>
            </w:pPr>
            <w:r>
              <w:rPr>
                <w:rFonts w:eastAsia="Times New Roman"/>
                <w:sz w:val="19"/>
                <w:szCs w:val="19"/>
              </w:rPr>
              <w:t>described in this Notice of Special Meeting of Stockholders (the “</w:t>
            </w:r>
            <w:r>
              <w:rPr>
                <w:rFonts w:eastAsia="Times New Roman"/>
                <w:b/>
                <w:bCs/>
                <w:i/>
                <w:iCs/>
                <w:sz w:val="19"/>
                <w:szCs w:val="19"/>
              </w:rPr>
              <w:t>Notice</w:t>
            </w:r>
            <w:r>
              <w:rPr>
                <w:rFonts w:eastAsia="Times New Roman"/>
                <w:sz w:val="19"/>
                <w:szCs w:val="19"/>
              </w:rPr>
              <w:t>”) may be conducted at a special</w:t>
            </w:r>
          </w:p>
        </w:tc>
      </w:tr>
      <w:tr w:rsidR="00CC2C66">
        <w:trPr>
          <w:trHeight w:val="217"/>
        </w:trPr>
        <w:tc>
          <w:tcPr>
            <w:tcW w:w="1940" w:type="dxa"/>
            <w:vAlign w:val="bottom"/>
          </w:tcPr>
          <w:p w:rsidR="00CC2C66" w:rsidRDefault="00CC2C66">
            <w:pPr>
              <w:rPr>
                <w:sz w:val="18"/>
                <w:szCs w:val="18"/>
              </w:rPr>
            </w:pPr>
          </w:p>
        </w:tc>
        <w:tc>
          <w:tcPr>
            <w:tcW w:w="8480" w:type="dxa"/>
            <w:gridSpan w:val="11"/>
            <w:vAlign w:val="bottom"/>
          </w:tcPr>
          <w:p w:rsidR="00CC2C66" w:rsidRDefault="00F80B74">
            <w:pPr>
              <w:spacing w:line="217" w:lineRule="exact"/>
              <w:ind w:left="240"/>
              <w:rPr>
                <w:sz w:val="20"/>
                <w:szCs w:val="20"/>
              </w:rPr>
            </w:pPr>
            <w:r>
              <w:rPr>
                <w:rFonts w:eastAsia="Times New Roman"/>
                <w:sz w:val="19"/>
                <w:szCs w:val="19"/>
              </w:rPr>
              <w:t>meeting. Accordingly, the only matters that will be brought before the Special Meeting are those described</w:t>
            </w:r>
          </w:p>
        </w:tc>
      </w:tr>
      <w:tr w:rsidR="00CC2C66">
        <w:trPr>
          <w:trHeight w:val="243"/>
        </w:trPr>
        <w:tc>
          <w:tcPr>
            <w:tcW w:w="1940" w:type="dxa"/>
            <w:vAlign w:val="bottom"/>
          </w:tcPr>
          <w:p w:rsidR="00CC2C66" w:rsidRDefault="00CC2C66">
            <w:pPr>
              <w:rPr>
                <w:sz w:val="21"/>
                <w:szCs w:val="21"/>
              </w:rPr>
            </w:pPr>
          </w:p>
        </w:tc>
        <w:tc>
          <w:tcPr>
            <w:tcW w:w="900" w:type="dxa"/>
            <w:vAlign w:val="bottom"/>
          </w:tcPr>
          <w:p w:rsidR="00CC2C66" w:rsidRDefault="00F80B74">
            <w:pPr>
              <w:ind w:left="240"/>
              <w:rPr>
                <w:sz w:val="20"/>
                <w:szCs w:val="20"/>
              </w:rPr>
            </w:pPr>
            <w:r>
              <w:rPr>
                <w:rFonts w:eastAsia="Times New Roman"/>
                <w:sz w:val="19"/>
                <w:szCs w:val="19"/>
              </w:rPr>
              <w:t>above.</w:t>
            </w:r>
          </w:p>
        </w:tc>
        <w:tc>
          <w:tcPr>
            <w:tcW w:w="560" w:type="dxa"/>
            <w:vAlign w:val="bottom"/>
          </w:tcPr>
          <w:p w:rsidR="00CC2C66" w:rsidRDefault="00CC2C66">
            <w:pPr>
              <w:rPr>
                <w:sz w:val="21"/>
                <w:szCs w:val="21"/>
              </w:rPr>
            </w:pPr>
          </w:p>
        </w:tc>
        <w:tc>
          <w:tcPr>
            <w:tcW w:w="900" w:type="dxa"/>
            <w:vAlign w:val="bottom"/>
          </w:tcPr>
          <w:p w:rsidR="00CC2C66" w:rsidRDefault="00CC2C66">
            <w:pPr>
              <w:rPr>
                <w:sz w:val="21"/>
                <w:szCs w:val="21"/>
              </w:rPr>
            </w:pPr>
          </w:p>
        </w:tc>
        <w:tc>
          <w:tcPr>
            <w:tcW w:w="960" w:type="dxa"/>
            <w:vAlign w:val="bottom"/>
          </w:tcPr>
          <w:p w:rsidR="00CC2C66" w:rsidRDefault="00CC2C66">
            <w:pPr>
              <w:rPr>
                <w:sz w:val="21"/>
                <w:szCs w:val="21"/>
              </w:rPr>
            </w:pPr>
          </w:p>
        </w:tc>
        <w:tc>
          <w:tcPr>
            <w:tcW w:w="540" w:type="dxa"/>
            <w:vAlign w:val="bottom"/>
          </w:tcPr>
          <w:p w:rsidR="00CC2C66" w:rsidRDefault="00CC2C66">
            <w:pPr>
              <w:rPr>
                <w:sz w:val="21"/>
                <w:szCs w:val="21"/>
              </w:rPr>
            </w:pPr>
          </w:p>
        </w:tc>
        <w:tc>
          <w:tcPr>
            <w:tcW w:w="940" w:type="dxa"/>
            <w:vAlign w:val="bottom"/>
          </w:tcPr>
          <w:p w:rsidR="00CC2C66" w:rsidRDefault="00CC2C66">
            <w:pPr>
              <w:rPr>
                <w:sz w:val="21"/>
                <w:szCs w:val="21"/>
              </w:rPr>
            </w:pPr>
          </w:p>
        </w:tc>
        <w:tc>
          <w:tcPr>
            <w:tcW w:w="600" w:type="dxa"/>
            <w:vAlign w:val="bottom"/>
          </w:tcPr>
          <w:p w:rsidR="00CC2C66" w:rsidRDefault="00CC2C66">
            <w:pPr>
              <w:rPr>
                <w:sz w:val="21"/>
                <w:szCs w:val="21"/>
              </w:rPr>
            </w:pPr>
          </w:p>
        </w:tc>
        <w:tc>
          <w:tcPr>
            <w:tcW w:w="880" w:type="dxa"/>
            <w:vAlign w:val="bottom"/>
          </w:tcPr>
          <w:p w:rsidR="00CC2C66" w:rsidRDefault="00CC2C66">
            <w:pPr>
              <w:rPr>
                <w:sz w:val="21"/>
                <w:szCs w:val="21"/>
              </w:rPr>
            </w:pPr>
          </w:p>
        </w:tc>
        <w:tc>
          <w:tcPr>
            <w:tcW w:w="1140" w:type="dxa"/>
            <w:vAlign w:val="bottom"/>
          </w:tcPr>
          <w:p w:rsidR="00CC2C66" w:rsidRDefault="00CC2C66">
            <w:pPr>
              <w:rPr>
                <w:sz w:val="21"/>
                <w:szCs w:val="21"/>
              </w:rPr>
            </w:pPr>
          </w:p>
        </w:tc>
        <w:tc>
          <w:tcPr>
            <w:tcW w:w="740" w:type="dxa"/>
            <w:vAlign w:val="bottom"/>
          </w:tcPr>
          <w:p w:rsidR="00CC2C66" w:rsidRDefault="00CC2C66">
            <w:pPr>
              <w:rPr>
                <w:sz w:val="21"/>
                <w:szCs w:val="21"/>
              </w:rPr>
            </w:pPr>
          </w:p>
        </w:tc>
        <w:tc>
          <w:tcPr>
            <w:tcW w:w="320" w:type="dxa"/>
            <w:vAlign w:val="bottom"/>
          </w:tcPr>
          <w:p w:rsidR="00CC2C66" w:rsidRDefault="00CC2C66">
            <w:pPr>
              <w:rPr>
                <w:sz w:val="21"/>
                <w:szCs w:val="21"/>
              </w:rPr>
            </w:pPr>
          </w:p>
        </w:tc>
      </w:tr>
      <w:tr w:rsidR="00CC2C66">
        <w:trPr>
          <w:trHeight w:val="383"/>
        </w:trPr>
        <w:tc>
          <w:tcPr>
            <w:tcW w:w="1940" w:type="dxa"/>
            <w:vAlign w:val="bottom"/>
          </w:tcPr>
          <w:p w:rsidR="00CC2C66" w:rsidRDefault="00F80B74">
            <w:pPr>
              <w:rPr>
                <w:sz w:val="20"/>
                <w:szCs w:val="20"/>
              </w:rPr>
            </w:pPr>
            <w:r>
              <w:rPr>
                <w:rFonts w:eastAsia="Times New Roman"/>
                <w:b/>
                <w:bCs/>
                <w:sz w:val="17"/>
                <w:szCs w:val="17"/>
              </w:rPr>
              <w:t>Who Can Vote:</w:t>
            </w:r>
          </w:p>
        </w:tc>
        <w:tc>
          <w:tcPr>
            <w:tcW w:w="8160" w:type="dxa"/>
            <w:gridSpan w:val="10"/>
            <w:vAlign w:val="bottom"/>
          </w:tcPr>
          <w:p w:rsidR="00CC2C66" w:rsidRDefault="00F80B74">
            <w:pPr>
              <w:ind w:left="240"/>
              <w:rPr>
                <w:sz w:val="20"/>
                <w:szCs w:val="20"/>
              </w:rPr>
            </w:pPr>
            <w:r>
              <w:rPr>
                <w:rFonts w:eastAsia="Times New Roman"/>
                <w:sz w:val="19"/>
                <w:szCs w:val="19"/>
              </w:rPr>
              <w:t>You can vote if you were a stockholder of record as of the close of business on August 24, 2022.</w:t>
            </w:r>
          </w:p>
        </w:tc>
        <w:tc>
          <w:tcPr>
            <w:tcW w:w="320" w:type="dxa"/>
            <w:vAlign w:val="bottom"/>
          </w:tcPr>
          <w:p w:rsidR="00CC2C66" w:rsidRDefault="00CC2C66">
            <w:pPr>
              <w:rPr>
                <w:sz w:val="24"/>
                <w:szCs w:val="24"/>
              </w:rPr>
            </w:pPr>
          </w:p>
        </w:tc>
      </w:tr>
      <w:tr w:rsidR="00CC2C66">
        <w:trPr>
          <w:trHeight w:val="358"/>
        </w:trPr>
        <w:tc>
          <w:tcPr>
            <w:tcW w:w="1940" w:type="dxa"/>
            <w:vAlign w:val="bottom"/>
          </w:tcPr>
          <w:p w:rsidR="00CC2C66" w:rsidRDefault="00F80B74">
            <w:pPr>
              <w:rPr>
                <w:sz w:val="20"/>
                <w:szCs w:val="20"/>
              </w:rPr>
            </w:pPr>
            <w:r>
              <w:rPr>
                <w:rFonts w:eastAsia="Times New Roman"/>
                <w:b/>
                <w:bCs/>
                <w:sz w:val="17"/>
                <w:szCs w:val="17"/>
              </w:rPr>
              <w:t>Attending the Meeting:</w:t>
            </w:r>
          </w:p>
        </w:tc>
        <w:tc>
          <w:tcPr>
            <w:tcW w:w="8480" w:type="dxa"/>
            <w:gridSpan w:val="11"/>
            <w:vAlign w:val="bottom"/>
          </w:tcPr>
          <w:p w:rsidR="00CC2C66" w:rsidRDefault="00F80B74">
            <w:pPr>
              <w:ind w:left="240"/>
              <w:rPr>
                <w:sz w:val="20"/>
                <w:szCs w:val="20"/>
              </w:rPr>
            </w:pPr>
            <w:r>
              <w:rPr>
                <w:rFonts w:eastAsia="Times New Roman"/>
                <w:sz w:val="19"/>
                <w:szCs w:val="19"/>
              </w:rPr>
              <w:t>Stockholders of record as of the close of business on August 24, 2022 and the general public will be able to</w:t>
            </w:r>
          </w:p>
        </w:tc>
      </w:tr>
      <w:tr w:rsidR="00CC2C66">
        <w:trPr>
          <w:trHeight w:val="237"/>
        </w:trPr>
        <w:tc>
          <w:tcPr>
            <w:tcW w:w="1940" w:type="dxa"/>
            <w:vAlign w:val="bottom"/>
          </w:tcPr>
          <w:p w:rsidR="00CC2C66" w:rsidRDefault="00CC2C66">
            <w:pPr>
              <w:rPr>
                <w:sz w:val="20"/>
                <w:szCs w:val="20"/>
              </w:rPr>
            </w:pPr>
          </w:p>
        </w:tc>
        <w:tc>
          <w:tcPr>
            <w:tcW w:w="900" w:type="dxa"/>
            <w:vAlign w:val="bottom"/>
          </w:tcPr>
          <w:p w:rsidR="00CC2C66" w:rsidRDefault="00F80B74">
            <w:pPr>
              <w:ind w:left="240"/>
              <w:rPr>
                <w:sz w:val="20"/>
                <w:szCs w:val="20"/>
              </w:rPr>
            </w:pPr>
            <w:r>
              <w:rPr>
                <w:rFonts w:eastAsia="Times New Roman"/>
                <w:sz w:val="19"/>
                <w:szCs w:val="19"/>
              </w:rPr>
              <w:t>attend</w:t>
            </w:r>
          </w:p>
        </w:tc>
        <w:tc>
          <w:tcPr>
            <w:tcW w:w="560" w:type="dxa"/>
            <w:vAlign w:val="bottom"/>
          </w:tcPr>
          <w:p w:rsidR="00CC2C66" w:rsidRDefault="00F80B74">
            <w:pPr>
              <w:ind w:left="160"/>
              <w:rPr>
                <w:sz w:val="20"/>
                <w:szCs w:val="20"/>
              </w:rPr>
            </w:pPr>
            <w:r>
              <w:rPr>
                <w:rFonts w:eastAsia="Times New Roman"/>
                <w:sz w:val="19"/>
                <w:szCs w:val="19"/>
              </w:rPr>
              <w:t>the</w:t>
            </w:r>
          </w:p>
        </w:tc>
        <w:tc>
          <w:tcPr>
            <w:tcW w:w="900" w:type="dxa"/>
            <w:vAlign w:val="bottom"/>
          </w:tcPr>
          <w:p w:rsidR="00CC2C66" w:rsidRDefault="00F80B74">
            <w:pPr>
              <w:ind w:left="180"/>
              <w:rPr>
                <w:sz w:val="20"/>
                <w:szCs w:val="20"/>
              </w:rPr>
            </w:pPr>
            <w:r>
              <w:rPr>
                <w:rFonts w:eastAsia="Times New Roman"/>
                <w:sz w:val="19"/>
                <w:szCs w:val="19"/>
              </w:rPr>
              <w:t>Special</w:t>
            </w:r>
          </w:p>
        </w:tc>
        <w:tc>
          <w:tcPr>
            <w:tcW w:w="960" w:type="dxa"/>
            <w:vAlign w:val="bottom"/>
          </w:tcPr>
          <w:p w:rsidR="00CC2C66" w:rsidRDefault="00F80B74">
            <w:pPr>
              <w:ind w:left="180"/>
              <w:rPr>
                <w:sz w:val="20"/>
                <w:szCs w:val="20"/>
              </w:rPr>
            </w:pPr>
            <w:r>
              <w:rPr>
                <w:rFonts w:eastAsia="Times New Roman"/>
                <w:sz w:val="19"/>
                <w:szCs w:val="19"/>
              </w:rPr>
              <w:t>Meeting</w:t>
            </w:r>
          </w:p>
        </w:tc>
        <w:tc>
          <w:tcPr>
            <w:tcW w:w="540" w:type="dxa"/>
            <w:vAlign w:val="bottom"/>
          </w:tcPr>
          <w:p w:rsidR="00CC2C66" w:rsidRDefault="00F80B74">
            <w:pPr>
              <w:ind w:left="180"/>
              <w:rPr>
                <w:sz w:val="20"/>
                <w:szCs w:val="20"/>
              </w:rPr>
            </w:pPr>
            <w:r>
              <w:rPr>
                <w:rFonts w:eastAsia="Times New Roman"/>
                <w:sz w:val="19"/>
                <w:szCs w:val="19"/>
              </w:rPr>
              <w:t>by</w:t>
            </w:r>
          </w:p>
        </w:tc>
        <w:tc>
          <w:tcPr>
            <w:tcW w:w="940" w:type="dxa"/>
            <w:vAlign w:val="bottom"/>
          </w:tcPr>
          <w:p w:rsidR="00CC2C66" w:rsidRDefault="00F80B74">
            <w:pPr>
              <w:ind w:left="180"/>
              <w:rPr>
                <w:sz w:val="20"/>
                <w:szCs w:val="20"/>
              </w:rPr>
            </w:pPr>
            <w:r>
              <w:rPr>
                <w:rFonts w:eastAsia="Times New Roman"/>
                <w:sz w:val="19"/>
                <w:szCs w:val="19"/>
              </w:rPr>
              <w:t>visiting</w:t>
            </w:r>
          </w:p>
        </w:tc>
        <w:tc>
          <w:tcPr>
            <w:tcW w:w="600" w:type="dxa"/>
            <w:vAlign w:val="bottom"/>
          </w:tcPr>
          <w:p w:rsidR="00CC2C66" w:rsidRDefault="00F80B74">
            <w:pPr>
              <w:ind w:left="140"/>
              <w:rPr>
                <w:sz w:val="20"/>
                <w:szCs w:val="20"/>
              </w:rPr>
            </w:pPr>
            <w:r>
              <w:rPr>
                <w:rFonts w:eastAsia="Times New Roman"/>
                <w:sz w:val="19"/>
                <w:szCs w:val="19"/>
              </w:rPr>
              <w:t>our</w:t>
            </w:r>
          </w:p>
        </w:tc>
        <w:tc>
          <w:tcPr>
            <w:tcW w:w="880" w:type="dxa"/>
            <w:vAlign w:val="bottom"/>
          </w:tcPr>
          <w:p w:rsidR="00CC2C66" w:rsidRDefault="00F80B74">
            <w:pPr>
              <w:ind w:left="140"/>
              <w:rPr>
                <w:sz w:val="20"/>
                <w:szCs w:val="20"/>
              </w:rPr>
            </w:pPr>
            <w:r>
              <w:rPr>
                <w:rFonts w:eastAsia="Times New Roman"/>
                <w:sz w:val="19"/>
                <w:szCs w:val="19"/>
              </w:rPr>
              <w:t>Special</w:t>
            </w:r>
          </w:p>
        </w:tc>
        <w:tc>
          <w:tcPr>
            <w:tcW w:w="1140" w:type="dxa"/>
            <w:vAlign w:val="bottom"/>
          </w:tcPr>
          <w:p w:rsidR="00CC2C66" w:rsidRDefault="00F80B74">
            <w:pPr>
              <w:ind w:left="160"/>
              <w:rPr>
                <w:sz w:val="20"/>
                <w:szCs w:val="20"/>
              </w:rPr>
            </w:pPr>
            <w:r>
              <w:rPr>
                <w:rFonts w:eastAsia="Times New Roman"/>
                <w:sz w:val="19"/>
                <w:szCs w:val="19"/>
              </w:rPr>
              <w:t>Meeting</w:t>
            </w:r>
          </w:p>
        </w:tc>
        <w:tc>
          <w:tcPr>
            <w:tcW w:w="740" w:type="dxa"/>
            <w:vAlign w:val="bottom"/>
          </w:tcPr>
          <w:p w:rsidR="00CC2C66" w:rsidRDefault="00F80B74">
            <w:pPr>
              <w:rPr>
                <w:sz w:val="20"/>
                <w:szCs w:val="20"/>
              </w:rPr>
            </w:pPr>
            <w:r>
              <w:rPr>
                <w:rFonts w:eastAsia="Times New Roman"/>
                <w:sz w:val="19"/>
                <w:szCs w:val="19"/>
              </w:rPr>
              <w:t>website</w:t>
            </w:r>
          </w:p>
        </w:tc>
        <w:tc>
          <w:tcPr>
            <w:tcW w:w="320" w:type="dxa"/>
            <w:vAlign w:val="bottom"/>
          </w:tcPr>
          <w:p w:rsidR="00CC2C66" w:rsidRDefault="00F80B74">
            <w:pPr>
              <w:ind w:left="180"/>
              <w:rPr>
                <w:sz w:val="20"/>
                <w:szCs w:val="20"/>
              </w:rPr>
            </w:pPr>
            <w:r>
              <w:rPr>
                <w:rFonts w:eastAsia="Times New Roman"/>
                <w:w w:val="87"/>
                <w:sz w:val="19"/>
                <w:szCs w:val="19"/>
              </w:rPr>
              <w:t>at</w:t>
            </w:r>
          </w:p>
        </w:tc>
      </w:tr>
    </w:tbl>
    <w:p w:rsidR="00CC2C66" w:rsidRDefault="00F80B74">
      <w:pPr>
        <w:spacing w:line="241" w:lineRule="auto"/>
        <w:ind w:left="2600"/>
        <w:jc w:val="both"/>
        <w:rPr>
          <w:sz w:val="20"/>
          <w:szCs w:val="20"/>
        </w:rPr>
      </w:pPr>
      <w:r>
        <w:rPr>
          <w:rFonts w:eastAsia="Times New Roman"/>
          <w:i/>
          <w:iCs/>
          <w:sz w:val="19"/>
          <w:szCs w:val="19"/>
        </w:rPr>
        <w:t xml:space="preserve">www.virtualshareholdermeeting.com/YUMC2022SM. </w:t>
      </w:r>
      <w:r>
        <w:rPr>
          <w:rFonts w:eastAsia="Times New Roman"/>
          <w:sz w:val="19"/>
          <w:szCs w:val="19"/>
        </w:rPr>
        <w:t>To participate in the Special Meeting, you will need the</w:t>
      </w:r>
      <w:r>
        <w:rPr>
          <w:rFonts w:eastAsia="Times New Roman"/>
          <w:i/>
          <w:iCs/>
          <w:sz w:val="19"/>
          <w:szCs w:val="19"/>
        </w:rPr>
        <w:t xml:space="preserve"> </w:t>
      </w:r>
      <w:r>
        <w:rPr>
          <w:rFonts w:eastAsia="Times New Roman"/>
          <w:sz w:val="19"/>
          <w:szCs w:val="19"/>
        </w:rPr>
        <w:t>16-digit control number included on your proxy card or on the instructions that</w:t>
      </w:r>
      <w:r>
        <w:rPr>
          <w:rFonts w:eastAsia="Times New Roman"/>
          <w:sz w:val="19"/>
          <w:szCs w:val="19"/>
        </w:rPr>
        <w:t xml:space="preserve"> accompanied your proxy materials.</w:t>
      </w:r>
    </w:p>
    <w:p w:rsidR="00CC2C66" w:rsidRDefault="00CC2C66">
      <w:pPr>
        <w:spacing w:line="203" w:lineRule="exact"/>
        <w:rPr>
          <w:sz w:val="20"/>
          <w:szCs w:val="20"/>
        </w:rPr>
      </w:pPr>
    </w:p>
    <w:p w:rsidR="00CC2C66" w:rsidRDefault="00F80B74">
      <w:pPr>
        <w:ind w:left="2600"/>
        <w:rPr>
          <w:sz w:val="20"/>
          <w:szCs w:val="20"/>
        </w:rPr>
      </w:pPr>
      <w:r>
        <w:rPr>
          <w:rFonts w:eastAsia="Times New Roman"/>
          <w:sz w:val="18"/>
          <w:szCs w:val="18"/>
        </w:rPr>
        <w:t>The Special Meeting will begin promptly at 8:00 a.m. Beijing/Hong Kong time on Tuesday, October 11, 2022</w:t>
      </w:r>
    </w:p>
    <w:p w:rsidR="00CC2C66" w:rsidRDefault="00CC2C66">
      <w:pPr>
        <w:spacing w:line="30" w:lineRule="exact"/>
        <w:rPr>
          <w:sz w:val="20"/>
          <w:szCs w:val="20"/>
        </w:rPr>
      </w:pPr>
    </w:p>
    <w:p w:rsidR="00CC2C66" w:rsidRDefault="00F80B74">
      <w:pPr>
        <w:numPr>
          <w:ilvl w:val="0"/>
          <w:numId w:val="7"/>
        </w:numPr>
        <w:tabs>
          <w:tab w:val="left" w:pos="2709"/>
        </w:tabs>
        <w:spacing w:line="243" w:lineRule="auto"/>
        <w:ind w:left="2600" w:firstLine="9"/>
        <w:rPr>
          <w:rFonts w:eastAsia="Times New Roman"/>
          <w:sz w:val="19"/>
          <w:szCs w:val="19"/>
        </w:rPr>
      </w:pPr>
      <w:r>
        <w:rPr>
          <w:rFonts w:eastAsia="Times New Roman"/>
          <w:sz w:val="19"/>
          <w:szCs w:val="19"/>
        </w:rPr>
        <w:t xml:space="preserve">8:00 p.m. U.S. Eastern time on Monday, October 10, 2022. Online check-in will begin 15 minutes prior to the start </w:t>
      </w:r>
      <w:r>
        <w:rPr>
          <w:rFonts w:eastAsia="Times New Roman"/>
          <w:sz w:val="19"/>
          <w:szCs w:val="19"/>
        </w:rPr>
        <w:t>of the meeting, and you should allow ample time for the online check-in procedures.</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151" w:lineRule="exact"/>
        <w:rPr>
          <w:sz w:val="20"/>
          <w:szCs w:val="20"/>
        </w:rPr>
      </w:pPr>
    </w:p>
    <w:p w:rsidR="00CC2C66" w:rsidRDefault="00F80B74">
      <w:pPr>
        <w:ind w:left="420"/>
        <w:rPr>
          <w:sz w:val="20"/>
          <w:szCs w:val="20"/>
        </w:rPr>
      </w:pPr>
      <w:r>
        <w:rPr>
          <w:rFonts w:eastAsia="Times New Roman"/>
          <w:b/>
          <w:bCs/>
          <w:sz w:val="16"/>
          <w:szCs w:val="16"/>
        </w:rPr>
        <w:t>How to Vote:</w:t>
      </w:r>
    </w:p>
    <w:p w:rsidR="00CC2C66" w:rsidRDefault="00F80B74">
      <w:pPr>
        <w:spacing w:line="20" w:lineRule="exact"/>
        <w:rPr>
          <w:sz w:val="20"/>
          <w:szCs w:val="20"/>
        </w:rPr>
      </w:pPr>
      <w:r>
        <w:rPr>
          <w:sz w:val="20"/>
          <w:szCs w:val="20"/>
        </w:rPr>
        <w:br w:type="column"/>
      </w:r>
    </w:p>
    <w:p w:rsidR="00CC2C66" w:rsidRDefault="00CC2C66">
      <w:pPr>
        <w:spacing w:line="131" w:lineRule="exact"/>
        <w:rPr>
          <w:sz w:val="20"/>
          <w:szCs w:val="20"/>
        </w:rPr>
      </w:pPr>
    </w:p>
    <w:p w:rsidR="00CC2C66" w:rsidRDefault="00F80B74">
      <w:pPr>
        <w:spacing w:line="247" w:lineRule="auto"/>
        <w:rPr>
          <w:sz w:val="20"/>
          <w:szCs w:val="20"/>
        </w:rPr>
      </w:pPr>
      <w:r>
        <w:rPr>
          <w:rFonts w:eastAsia="Times New Roman"/>
          <w:sz w:val="19"/>
          <w:szCs w:val="19"/>
        </w:rPr>
        <w:t>You may vote over the Internet or via telephone by following the instructions set forth in the accompanying proxy statement. You may also vote by completing, signing, dating and returning the proxy card. If you attend the Special Meeting using your 16-digi</w:t>
      </w:r>
      <w:r>
        <w:rPr>
          <w:rFonts w:eastAsia="Times New Roman"/>
          <w:sz w:val="19"/>
          <w:szCs w:val="19"/>
        </w:rPr>
        <w:t xml:space="preserve">t control number, you may vote during the Special Meeting. </w:t>
      </w:r>
      <w:r>
        <w:rPr>
          <w:rFonts w:eastAsia="Times New Roman"/>
          <w:b/>
          <w:bCs/>
          <w:i/>
          <w:iCs/>
          <w:sz w:val="19"/>
          <w:szCs w:val="19"/>
        </w:rPr>
        <w:t>Your vote is important. Whether or not you plan to attend the Special Meeting, please vote promptly.</w:t>
      </w:r>
    </w:p>
    <w:p w:rsidR="00CC2C66" w:rsidRDefault="00CC2C66">
      <w:pPr>
        <w:sectPr w:rsidR="00CC2C66">
          <w:type w:val="continuous"/>
          <w:pgSz w:w="11900" w:h="16838"/>
          <w:pgMar w:top="439" w:right="739" w:bottom="1440" w:left="320" w:header="0" w:footer="0" w:gutter="0"/>
          <w:cols w:num="2" w:space="720" w:equalWidth="0">
            <w:col w:w="1880" w:space="720"/>
            <w:col w:w="8240"/>
          </w:cols>
        </w:sectPr>
      </w:pPr>
    </w:p>
    <w:p w:rsidR="00CC2C66" w:rsidRDefault="00F80B74">
      <w:pPr>
        <w:rPr>
          <w:sz w:val="20"/>
          <w:szCs w:val="20"/>
        </w:rPr>
      </w:pPr>
      <w:bookmarkStart w:id="5" w:name="page5"/>
      <w:bookmarkEnd w:id="5"/>
      <w:r>
        <w:rPr>
          <w:rFonts w:eastAsia="Times New Roman"/>
          <w:b/>
          <w:bCs/>
          <w:noProof/>
          <w:color w:val="0000EE"/>
          <w:sz w:val="17"/>
          <w:szCs w:val="17"/>
          <w:u w:val="single"/>
        </w:rPr>
        <w:lastRenderedPageBreak/>
        <w:drawing>
          <wp:anchor distT="0" distB="0" distL="114300" distR="114300" simplePos="0" relativeHeight="25149542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CC2C66">
      <w:pPr>
        <w:spacing w:line="289" w:lineRule="exact"/>
        <w:rPr>
          <w:sz w:val="20"/>
          <w:szCs w:val="20"/>
        </w:rPr>
      </w:pPr>
    </w:p>
    <w:p w:rsidR="00CC2C66" w:rsidRDefault="00F80B74">
      <w:pPr>
        <w:tabs>
          <w:tab w:val="left" w:pos="2580"/>
        </w:tabs>
        <w:spacing w:line="272" w:lineRule="auto"/>
        <w:ind w:left="2600" w:right="20" w:hanging="2197"/>
        <w:jc w:val="both"/>
        <w:rPr>
          <w:sz w:val="20"/>
          <w:szCs w:val="20"/>
        </w:rPr>
      </w:pPr>
      <w:r>
        <w:rPr>
          <w:rFonts w:eastAsia="Times New Roman"/>
          <w:b/>
          <w:bCs/>
          <w:sz w:val="17"/>
          <w:szCs w:val="17"/>
        </w:rPr>
        <w:t>Date of Mailing:</w:t>
      </w:r>
      <w:r>
        <w:rPr>
          <w:sz w:val="20"/>
          <w:szCs w:val="20"/>
        </w:rPr>
        <w:tab/>
      </w:r>
      <w:r>
        <w:rPr>
          <w:rFonts w:eastAsia="Times New Roman"/>
          <w:sz w:val="18"/>
          <w:szCs w:val="18"/>
        </w:rPr>
        <w:t>For the Special Meeting, we ha</w:t>
      </w:r>
      <w:r>
        <w:rPr>
          <w:rFonts w:eastAsia="Times New Roman"/>
          <w:sz w:val="18"/>
          <w:szCs w:val="18"/>
        </w:rPr>
        <w:t>ve elected to utilize the “full set delivery” option under the rules of the Securities and Exchange Commission (the “</w:t>
      </w:r>
      <w:r>
        <w:rPr>
          <w:rFonts w:eastAsia="Times New Roman"/>
          <w:b/>
          <w:bCs/>
          <w:i/>
          <w:iCs/>
          <w:sz w:val="18"/>
          <w:szCs w:val="18"/>
        </w:rPr>
        <w:t>SEC</w:t>
      </w:r>
      <w:r>
        <w:rPr>
          <w:rFonts w:eastAsia="Times New Roman"/>
          <w:sz w:val="18"/>
          <w:szCs w:val="18"/>
        </w:rPr>
        <w:t>”), thus we are delivering paper copies of all proxy materials to each stockholder, as well as providing access to those proxy materials</w:t>
      </w:r>
      <w:r>
        <w:rPr>
          <w:rFonts w:eastAsia="Times New Roman"/>
          <w:sz w:val="18"/>
          <w:szCs w:val="18"/>
        </w:rPr>
        <w:t xml:space="preserve"> on a publicly-accessible website.</w:t>
      </w:r>
    </w:p>
    <w:p w:rsidR="00CC2C66" w:rsidRDefault="00CC2C66">
      <w:pPr>
        <w:spacing w:line="178" w:lineRule="exact"/>
        <w:rPr>
          <w:sz w:val="20"/>
          <w:szCs w:val="20"/>
        </w:rPr>
      </w:pPr>
    </w:p>
    <w:p w:rsidR="00CC2C66" w:rsidRDefault="00F80B74">
      <w:pPr>
        <w:spacing w:line="265" w:lineRule="auto"/>
        <w:ind w:left="2600"/>
        <w:rPr>
          <w:sz w:val="20"/>
          <w:szCs w:val="20"/>
        </w:rPr>
      </w:pPr>
      <w:r>
        <w:rPr>
          <w:rFonts w:eastAsia="Times New Roman"/>
          <w:sz w:val="19"/>
          <w:szCs w:val="19"/>
        </w:rPr>
        <w:t>This Notice, the accompanying proxy statement and the form of proxy are first being mailed to stockholders on or about September 1, 2022.</w:t>
      </w:r>
    </w:p>
    <w:p w:rsidR="00CC2C66" w:rsidRDefault="00CC2C66">
      <w:pPr>
        <w:spacing w:line="169" w:lineRule="exact"/>
        <w:rPr>
          <w:sz w:val="20"/>
          <w:szCs w:val="20"/>
        </w:rPr>
      </w:pPr>
    </w:p>
    <w:p w:rsidR="00CC2C66" w:rsidRDefault="00F80B74">
      <w:pPr>
        <w:ind w:left="8160"/>
        <w:rPr>
          <w:sz w:val="20"/>
          <w:szCs w:val="20"/>
        </w:rPr>
      </w:pPr>
      <w:r>
        <w:rPr>
          <w:rFonts w:eastAsia="Times New Roman"/>
          <w:sz w:val="18"/>
          <w:szCs w:val="18"/>
        </w:rPr>
        <w:t>By Order of the Board of Directors,</w:t>
      </w:r>
    </w:p>
    <w:p w:rsidR="00CC2C66" w:rsidRDefault="00F80B74">
      <w:pPr>
        <w:spacing w:line="20" w:lineRule="exact"/>
        <w:rPr>
          <w:sz w:val="20"/>
          <w:szCs w:val="20"/>
        </w:rPr>
      </w:pPr>
      <w:r>
        <w:rPr>
          <w:noProof/>
          <w:sz w:val="20"/>
          <w:szCs w:val="20"/>
        </w:rPr>
        <w:drawing>
          <wp:anchor distT="0" distB="0" distL="114300" distR="114300" simplePos="0" relativeHeight="251496448" behindDoc="1" locked="0" layoutInCell="0" allowOverlap="1">
            <wp:simplePos x="0" y="0"/>
            <wp:positionH relativeFrom="column">
              <wp:posOffset>5761990</wp:posOffset>
            </wp:positionH>
            <wp:positionV relativeFrom="paragraph">
              <wp:posOffset>165735</wp:posOffset>
            </wp:positionV>
            <wp:extent cx="1119505" cy="429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blip>
                    <a:srcRect/>
                    <a:stretch>
                      <a:fillRect/>
                    </a:stretch>
                  </pic:blipFill>
                  <pic:spPr bwMode="auto">
                    <a:xfrm>
                      <a:off x="0" y="0"/>
                      <a:ext cx="1119505" cy="42989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400" w:lineRule="exact"/>
        <w:rPr>
          <w:sz w:val="20"/>
          <w:szCs w:val="20"/>
        </w:rPr>
      </w:pPr>
    </w:p>
    <w:p w:rsidR="00CC2C66" w:rsidRDefault="00F80B74">
      <w:pPr>
        <w:jc w:val="right"/>
        <w:rPr>
          <w:sz w:val="20"/>
          <w:szCs w:val="20"/>
        </w:rPr>
      </w:pPr>
      <w:r>
        <w:rPr>
          <w:rFonts w:eastAsia="Times New Roman"/>
          <w:sz w:val="19"/>
          <w:szCs w:val="19"/>
        </w:rPr>
        <w:t>Joseph Chan</w:t>
      </w:r>
    </w:p>
    <w:p w:rsidR="00CC2C66" w:rsidRDefault="00CC2C66">
      <w:pPr>
        <w:spacing w:line="19" w:lineRule="exact"/>
        <w:rPr>
          <w:sz w:val="20"/>
          <w:szCs w:val="20"/>
        </w:rPr>
      </w:pPr>
    </w:p>
    <w:p w:rsidR="00CC2C66" w:rsidRDefault="00F80B74">
      <w:pPr>
        <w:ind w:left="9380"/>
        <w:rPr>
          <w:sz w:val="20"/>
          <w:szCs w:val="20"/>
        </w:rPr>
      </w:pPr>
      <w:r>
        <w:rPr>
          <w:rFonts w:eastAsia="Times New Roman"/>
          <w:i/>
          <w:iCs/>
          <w:sz w:val="18"/>
          <w:szCs w:val="18"/>
        </w:rPr>
        <w:t>Chief Legal Officer</w:t>
      </w:r>
    </w:p>
    <w:p w:rsidR="00CC2C66" w:rsidRDefault="00CC2C66">
      <w:pPr>
        <w:spacing w:line="191" w:lineRule="exact"/>
        <w:rPr>
          <w:sz w:val="20"/>
          <w:szCs w:val="20"/>
        </w:rPr>
      </w:pPr>
    </w:p>
    <w:p w:rsidR="00CC2C66" w:rsidRDefault="00F80B74">
      <w:pPr>
        <w:ind w:right="-419"/>
        <w:jc w:val="center"/>
        <w:rPr>
          <w:sz w:val="20"/>
          <w:szCs w:val="20"/>
        </w:rPr>
      </w:pPr>
      <w:r>
        <w:rPr>
          <w:rFonts w:eastAsia="Times New Roman"/>
          <w:b/>
          <w:bCs/>
          <w:sz w:val="19"/>
          <w:szCs w:val="19"/>
        </w:rPr>
        <w:t>IMPORTANT NOTICE REGARDING THE AVAILABILITY OF PROXY MATERIALS</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FOR THE SPECIAL MEETING OF STOCKHOLDERS TO BE HELD ON OCTOBER 11, 2022 / OCTOBER 10, 2022:</w:t>
      </w:r>
    </w:p>
    <w:p w:rsidR="00CC2C66" w:rsidRDefault="00CC2C66">
      <w:pPr>
        <w:spacing w:line="179" w:lineRule="exact"/>
        <w:rPr>
          <w:sz w:val="20"/>
          <w:szCs w:val="20"/>
        </w:rPr>
      </w:pPr>
    </w:p>
    <w:p w:rsidR="00CC2C66" w:rsidRDefault="00F80B74">
      <w:pPr>
        <w:ind w:left="1180"/>
        <w:rPr>
          <w:sz w:val="20"/>
          <w:szCs w:val="20"/>
        </w:rPr>
      </w:pPr>
      <w:r>
        <w:rPr>
          <w:rFonts w:eastAsia="Times New Roman"/>
          <w:b/>
          <w:bCs/>
          <w:sz w:val="19"/>
          <w:szCs w:val="19"/>
        </w:rPr>
        <w:t>The Notice of Special Meeting of Stockholders and Proxy Statement are available at http://www.proxyv</w:t>
      </w:r>
      <w:r>
        <w:rPr>
          <w:rFonts w:eastAsia="Times New Roman"/>
          <w:b/>
          <w:bCs/>
          <w:sz w:val="19"/>
          <w:szCs w:val="19"/>
        </w:rPr>
        <w:t>ote.com.</w:t>
      </w:r>
    </w:p>
    <w:p w:rsidR="00CC2C66" w:rsidRDefault="00F80B74">
      <w:pPr>
        <w:spacing w:line="20" w:lineRule="exact"/>
        <w:rPr>
          <w:sz w:val="20"/>
          <w:szCs w:val="20"/>
        </w:rPr>
      </w:pPr>
      <w:r>
        <w:rPr>
          <w:noProof/>
          <w:sz w:val="20"/>
          <w:szCs w:val="20"/>
        </w:rPr>
        <w:drawing>
          <wp:anchor distT="0" distB="0" distL="114300" distR="114300" simplePos="0" relativeHeight="251497472" behindDoc="1" locked="0" layoutInCell="0" allowOverlap="1">
            <wp:simplePos x="0" y="0"/>
            <wp:positionH relativeFrom="column">
              <wp:posOffset>258445</wp:posOffset>
            </wp:positionH>
            <wp:positionV relativeFrom="paragraph">
              <wp:posOffset>313055</wp:posOffset>
            </wp:positionV>
            <wp:extent cx="6624955" cy="2040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blip>
                    <a:srcRect/>
                    <a:stretch>
                      <a:fillRect/>
                    </a:stretch>
                  </pic:blipFill>
                  <pic:spPr bwMode="auto">
                    <a:xfrm>
                      <a:off x="0" y="0"/>
                      <a:ext cx="6624955" cy="20408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5" w:lineRule="exact"/>
        <w:rPr>
          <w:sz w:val="20"/>
          <w:szCs w:val="20"/>
        </w:rPr>
      </w:pPr>
    </w:p>
    <w:p w:rsidR="00CC2C66" w:rsidRDefault="00F80B74">
      <w:pPr>
        <w:ind w:right="-399"/>
        <w:jc w:val="center"/>
        <w:rPr>
          <w:sz w:val="20"/>
          <w:szCs w:val="20"/>
        </w:rPr>
      </w:pPr>
      <w:r>
        <w:rPr>
          <w:rFonts w:eastAsia="Times New Roman"/>
          <w:b/>
          <w:bCs/>
          <w:sz w:val="19"/>
          <w:szCs w:val="19"/>
        </w:rPr>
        <w:t>1290 Avenue of the Americas, 9</w:t>
      </w:r>
      <w:r>
        <w:rPr>
          <w:rFonts w:eastAsia="Times New Roman"/>
          <w:b/>
          <w:bCs/>
          <w:sz w:val="28"/>
          <w:szCs w:val="28"/>
          <w:vertAlign w:val="superscript"/>
        </w:rPr>
        <w:t>th</w:t>
      </w:r>
      <w:r>
        <w:rPr>
          <w:rFonts w:eastAsia="Times New Roman"/>
          <w:b/>
          <w:bCs/>
          <w:sz w:val="19"/>
          <w:szCs w:val="19"/>
        </w:rPr>
        <w:t xml:space="preserve"> Floor</w:t>
      </w:r>
    </w:p>
    <w:p w:rsidR="00CC2C66" w:rsidRDefault="00F80B74">
      <w:pPr>
        <w:ind w:right="-399"/>
        <w:jc w:val="center"/>
        <w:rPr>
          <w:sz w:val="20"/>
          <w:szCs w:val="20"/>
        </w:rPr>
      </w:pPr>
      <w:r>
        <w:rPr>
          <w:rFonts w:eastAsia="Times New Roman"/>
          <w:b/>
          <w:bCs/>
          <w:sz w:val="19"/>
          <w:szCs w:val="19"/>
        </w:rPr>
        <w:t>New York, NY 10104</w:t>
      </w:r>
    </w:p>
    <w:p w:rsidR="00CC2C66" w:rsidRDefault="00CC2C66">
      <w:pPr>
        <w:spacing w:line="179" w:lineRule="exact"/>
        <w:rPr>
          <w:sz w:val="20"/>
          <w:szCs w:val="20"/>
        </w:rPr>
      </w:pPr>
    </w:p>
    <w:p w:rsidR="00CC2C66" w:rsidRDefault="00F80B74">
      <w:pPr>
        <w:ind w:right="-399"/>
        <w:jc w:val="center"/>
        <w:rPr>
          <w:sz w:val="20"/>
          <w:szCs w:val="20"/>
        </w:rPr>
      </w:pPr>
      <w:r>
        <w:rPr>
          <w:rFonts w:eastAsia="Times New Roman"/>
          <w:b/>
          <w:bCs/>
          <w:sz w:val="19"/>
          <w:szCs w:val="19"/>
        </w:rPr>
        <w:t>Shareholders, Banks and Brokers</w:t>
      </w:r>
    </w:p>
    <w:p w:rsidR="00CC2C66" w:rsidRDefault="00CC2C66">
      <w:pPr>
        <w:spacing w:line="21" w:lineRule="exact"/>
        <w:rPr>
          <w:sz w:val="20"/>
          <w:szCs w:val="20"/>
        </w:rPr>
      </w:pPr>
    </w:p>
    <w:p w:rsidR="00CC2C66" w:rsidRDefault="00F80B74">
      <w:pPr>
        <w:ind w:right="-399"/>
        <w:jc w:val="center"/>
        <w:rPr>
          <w:sz w:val="20"/>
          <w:szCs w:val="20"/>
        </w:rPr>
      </w:pPr>
      <w:r>
        <w:rPr>
          <w:rFonts w:eastAsia="Times New Roman"/>
          <w:b/>
          <w:bCs/>
          <w:sz w:val="19"/>
          <w:szCs w:val="19"/>
        </w:rPr>
        <w:t>Call Toll Free:</w:t>
      </w:r>
    </w:p>
    <w:p w:rsidR="00CC2C66" w:rsidRDefault="00F80B74">
      <w:pPr>
        <w:spacing w:line="238" w:lineRule="auto"/>
        <w:ind w:right="-399"/>
        <w:jc w:val="center"/>
        <w:rPr>
          <w:sz w:val="20"/>
          <w:szCs w:val="20"/>
        </w:rPr>
      </w:pPr>
      <w:r>
        <w:rPr>
          <w:rFonts w:eastAsia="Times New Roman"/>
          <w:b/>
          <w:bCs/>
          <w:sz w:val="19"/>
          <w:szCs w:val="19"/>
        </w:rPr>
        <w:t>866-316-3922</w:t>
      </w:r>
    </w:p>
    <w:p w:rsidR="00CC2C66" w:rsidRDefault="00F80B74">
      <w:pPr>
        <w:ind w:right="-399"/>
        <w:jc w:val="center"/>
        <w:rPr>
          <w:sz w:val="20"/>
          <w:szCs w:val="20"/>
        </w:rPr>
      </w:pPr>
      <w:r>
        <w:rPr>
          <w:rFonts w:eastAsia="Times New Roman"/>
          <w:b/>
          <w:bCs/>
          <w:sz w:val="19"/>
          <w:szCs w:val="19"/>
        </w:rPr>
        <w:t>International Number:</w:t>
      </w:r>
    </w:p>
    <w:p w:rsidR="00CC2C66" w:rsidRDefault="00F80B74">
      <w:pPr>
        <w:ind w:right="-399"/>
        <w:jc w:val="center"/>
        <w:rPr>
          <w:sz w:val="20"/>
          <w:szCs w:val="20"/>
        </w:rPr>
      </w:pPr>
      <w:r>
        <w:rPr>
          <w:rFonts w:eastAsia="Times New Roman"/>
          <w:b/>
          <w:bCs/>
          <w:sz w:val="19"/>
          <w:szCs w:val="19"/>
        </w:rPr>
        <w:t>781-575-2137</w:t>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 w:name="page6"/>
      <w:bookmarkEnd w:id="6"/>
      <w:r>
        <w:rPr>
          <w:rFonts w:eastAsia="Times New Roman"/>
          <w:b/>
          <w:bCs/>
          <w:noProof/>
          <w:color w:val="0000EE"/>
          <w:sz w:val="17"/>
          <w:szCs w:val="17"/>
          <w:u w:val="single"/>
        </w:rPr>
        <w:lastRenderedPageBreak/>
        <w:drawing>
          <wp:anchor distT="0" distB="0" distL="114300" distR="114300" simplePos="0" relativeHeight="25149849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499520" behindDoc="1" locked="0" layoutInCell="0" allowOverlap="1">
            <wp:simplePos x="0" y="0"/>
            <wp:positionH relativeFrom="column">
              <wp:posOffset>260985</wp:posOffset>
            </wp:positionH>
            <wp:positionV relativeFrom="paragraph">
              <wp:posOffset>196850</wp:posOffset>
            </wp:positionV>
            <wp:extent cx="6620510" cy="4787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blip>
                    <a:srcRect/>
                    <a:stretch>
                      <a:fillRect/>
                    </a:stretch>
                  </pic:blipFill>
                  <pic:spPr bwMode="auto">
                    <a:xfrm>
                      <a:off x="0" y="0"/>
                      <a:ext cx="6620510" cy="4787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ind w:left="500"/>
        <w:rPr>
          <w:sz w:val="20"/>
          <w:szCs w:val="20"/>
        </w:rPr>
      </w:pPr>
      <w:r>
        <w:rPr>
          <w:rFonts w:ascii="Arial" w:eastAsia="Arial" w:hAnsi="Arial" w:cs="Arial"/>
          <w:b/>
          <w:bCs/>
          <w:color w:val="FFFFFF"/>
          <w:sz w:val="31"/>
          <w:szCs w:val="31"/>
        </w:rPr>
        <w:t>PROXY STATEMENT – 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58"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00"/>
        <w:gridCol w:w="620"/>
        <w:gridCol w:w="900"/>
        <w:gridCol w:w="340"/>
        <w:gridCol w:w="200"/>
        <w:gridCol w:w="180"/>
        <w:gridCol w:w="300"/>
        <w:gridCol w:w="120"/>
        <w:gridCol w:w="180"/>
        <w:gridCol w:w="100"/>
        <w:gridCol w:w="20"/>
        <w:gridCol w:w="120"/>
        <w:gridCol w:w="20"/>
        <w:gridCol w:w="200"/>
        <w:gridCol w:w="280"/>
        <w:gridCol w:w="740"/>
        <w:gridCol w:w="40"/>
        <w:gridCol w:w="60"/>
        <w:gridCol w:w="40"/>
        <w:gridCol w:w="20"/>
        <w:gridCol w:w="240"/>
        <w:gridCol w:w="1420"/>
        <w:gridCol w:w="120"/>
        <w:gridCol w:w="240"/>
        <w:gridCol w:w="260"/>
        <w:gridCol w:w="100"/>
        <w:gridCol w:w="780"/>
        <w:gridCol w:w="1140"/>
        <w:gridCol w:w="1440"/>
      </w:tblGrid>
      <w:tr w:rsidR="00CC2C66">
        <w:trPr>
          <w:trHeight w:val="230"/>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QUESTIONS AND ANSWERS ABOUT THE MEETING AND VOTING</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1</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7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4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26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780" w:type="dxa"/>
            <w:tcBorders>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r w:rsidR="00CC2C66">
        <w:trPr>
          <w:trHeight w:val="374"/>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MATTERS REQUIRING STOCKHOLDER ACTION</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8</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7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14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26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780" w:type="dxa"/>
            <w:tcBorders>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r w:rsidR="00CC2C66">
        <w:trPr>
          <w:trHeight w:val="362"/>
        </w:trPr>
        <w:tc>
          <w:tcPr>
            <w:tcW w:w="8980" w:type="dxa"/>
            <w:gridSpan w:val="28"/>
            <w:vAlign w:val="bottom"/>
          </w:tcPr>
          <w:p w:rsidR="00CC2C66" w:rsidRDefault="00F80B74">
            <w:pPr>
              <w:rPr>
                <w:sz w:val="20"/>
                <w:szCs w:val="20"/>
              </w:rPr>
            </w:pPr>
            <w:r>
              <w:rPr>
                <w:rFonts w:ascii="Arial" w:eastAsia="Arial" w:hAnsi="Arial" w:cs="Arial"/>
                <w:b/>
                <w:bCs/>
                <w:sz w:val="19"/>
                <w:szCs w:val="19"/>
              </w:rPr>
              <w:t xml:space="preserve">ITEM 1  </w:t>
            </w:r>
            <w:r>
              <w:rPr>
                <w:rFonts w:ascii="Arial" w:eastAsia="Arial" w:hAnsi="Arial" w:cs="Arial"/>
                <w:b/>
                <w:bCs/>
                <w:color w:val="0000EE"/>
                <w:sz w:val="19"/>
                <w:szCs w:val="19"/>
              </w:rPr>
              <w:t>Authorization to Issue Shares up to 20% of Outstanding Shares</w:t>
            </w:r>
          </w:p>
        </w:tc>
        <w:tc>
          <w:tcPr>
            <w:tcW w:w="1440" w:type="dxa"/>
            <w:vAlign w:val="bottom"/>
          </w:tcPr>
          <w:p w:rsidR="00CC2C66" w:rsidRDefault="00F80B74">
            <w:pPr>
              <w:jc w:val="right"/>
              <w:rPr>
                <w:sz w:val="20"/>
                <w:szCs w:val="20"/>
              </w:rPr>
            </w:pPr>
            <w:r>
              <w:rPr>
                <w:rFonts w:ascii="Arial" w:eastAsia="Arial" w:hAnsi="Arial" w:cs="Arial"/>
                <w:sz w:val="19"/>
                <w:szCs w:val="19"/>
              </w:rPr>
              <w:t>8</w:t>
            </w:r>
          </w:p>
        </w:tc>
      </w:tr>
      <w:tr w:rsidR="00CC2C66">
        <w:trPr>
          <w:trHeight w:val="20"/>
        </w:trPr>
        <w:tc>
          <w:tcPr>
            <w:tcW w:w="200" w:type="dxa"/>
            <w:vAlign w:val="bottom"/>
          </w:tcPr>
          <w:p w:rsidR="00CC2C66" w:rsidRDefault="00CC2C66">
            <w:pPr>
              <w:spacing w:line="20" w:lineRule="exact"/>
              <w:rPr>
                <w:sz w:val="1"/>
                <w:szCs w:val="1"/>
              </w:rPr>
            </w:pPr>
          </w:p>
        </w:tc>
        <w:tc>
          <w:tcPr>
            <w:tcW w:w="620" w:type="dxa"/>
            <w:vAlign w:val="bottom"/>
          </w:tcPr>
          <w:p w:rsidR="00CC2C66" w:rsidRDefault="00CC2C66">
            <w:pPr>
              <w:spacing w:line="20" w:lineRule="exact"/>
              <w:rPr>
                <w:sz w:val="1"/>
                <w:szCs w:val="1"/>
              </w:rPr>
            </w:pPr>
          </w:p>
        </w:tc>
        <w:tc>
          <w:tcPr>
            <w:tcW w:w="900" w:type="dxa"/>
            <w:shd w:val="clear" w:color="auto" w:fill="0000EE"/>
            <w:vAlign w:val="bottom"/>
          </w:tcPr>
          <w:p w:rsidR="00CC2C66" w:rsidRDefault="00CC2C66">
            <w:pPr>
              <w:spacing w:line="20" w:lineRule="exact"/>
              <w:rPr>
                <w:sz w:val="1"/>
                <w:szCs w:val="1"/>
              </w:rPr>
            </w:pPr>
          </w:p>
        </w:tc>
        <w:tc>
          <w:tcPr>
            <w:tcW w:w="340" w:type="dxa"/>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300" w:type="dxa"/>
            <w:tcBorders>
              <w:left w:val="single" w:sz="8" w:space="0" w:color="0000EE"/>
            </w:tcBorders>
            <w:shd w:val="clear" w:color="auto" w:fill="0000EE"/>
            <w:vAlign w:val="bottom"/>
          </w:tcPr>
          <w:p w:rsidR="00CC2C66" w:rsidRDefault="00CC2C66">
            <w:pPr>
              <w:spacing w:line="20" w:lineRule="exact"/>
              <w:rPr>
                <w:sz w:val="1"/>
                <w:szCs w:val="1"/>
              </w:rPr>
            </w:pPr>
          </w:p>
        </w:tc>
        <w:tc>
          <w:tcPr>
            <w:tcW w:w="12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100" w:type="dxa"/>
            <w:shd w:val="clear" w:color="auto" w:fill="0000EE"/>
            <w:vAlign w:val="bottom"/>
          </w:tcPr>
          <w:p w:rsidR="00CC2C66" w:rsidRDefault="00CC2C66">
            <w:pPr>
              <w:spacing w:line="20" w:lineRule="exact"/>
              <w:rPr>
                <w:sz w:val="1"/>
                <w:szCs w:val="1"/>
              </w:rPr>
            </w:pPr>
          </w:p>
        </w:tc>
        <w:tc>
          <w:tcPr>
            <w:tcW w:w="20" w:type="dxa"/>
            <w:shd w:val="clear" w:color="auto" w:fill="0000EE"/>
            <w:vAlign w:val="bottom"/>
          </w:tcPr>
          <w:p w:rsidR="00CC2C66" w:rsidRDefault="00CC2C66">
            <w:pPr>
              <w:spacing w:line="20" w:lineRule="exact"/>
              <w:rPr>
                <w:sz w:val="1"/>
                <w:szCs w:val="1"/>
              </w:rPr>
            </w:pPr>
          </w:p>
        </w:tc>
        <w:tc>
          <w:tcPr>
            <w:tcW w:w="120" w:type="dxa"/>
            <w:shd w:val="clear" w:color="auto" w:fill="0000EE"/>
            <w:vAlign w:val="bottom"/>
          </w:tcPr>
          <w:p w:rsidR="00CC2C66" w:rsidRDefault="00CC2C66">
            <w:pPr>
              <w:spacing w:line="20" w:lineRule="exact"/>
              <w:rPr>
                <w:sz w:val="1"/>
                <w:szCs w:val="1"/>
              </w:rPr>
            </w:pPr>
          </w:p>
        </w:tc>
        <w:tc>
          <w:tcPr>
            <w:tcW w:w="20" w:type="dxa"/>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280" w:type="dxa"/>
            <w:shd w:val="clear" w:color="auto" w:fill="0000EE"/>
            <w:vAlign w:val="bottom"/>
          </w:tcPr>
          <w:p w:rsidR="00CC2C66" w:rsidRDefault="00CC2C66">
            <w:pPr>
              <w:spacing w:line="20" w:lineRule="exact"/>
              <w:rPr>
                <w:sz w:val="1"/>
                <w:szCs w:val="1"/>
              </w:rPr>
            </w:pPr>
          </w:p>
        </w:tc>
        <w:tc>
          <w:tcPr>
            <w:tcW w:w="740" w:type="dxa"/>
            <w:shd w:val="clear" w:color="auto" w:fill="0000EE"/>
            <w:vAlign w:val="bottom"/>
          </w:tcPr>
          <w:p w:rsidR="00CC2C66" w:rsidRDefault="00CC2C66">
            <w:pPr>
              <w:spacing w:line="20" w:lineRule="exact"/>
              <w:rPr>
                <w:sz w:val="1"/>
                <w:szCs w:val="1"/>
              </w:rPr>
            </w:pPr>
          </w:p>
        </w:tc>
        <w:tc>
          <w:tcPr>
            <w:tcW w:w="40" w:type="dxa"/>
            <w:shd w:val="clear" w:color="auto" w:fill="0000EE"/>
            <w:vAlign w:val="bottom"/>
          </w:tcPr>
          <w:p w:rsidR="00CC2C66" w:rsidRDefault="00CC2C66">
            <w:pPr>
              <w:spacing w:line="20" w:lineRule="exact"/>
              <w:rPr>
                <w:sz w:val="1"/>
                <w:szCs w:val="1"/>
              </w:rPr>
            </w:pPr>
          </w:p>
        </w:tc>
        <w:tc>
          <w:tcPr>
            <w:tcW w:w="60" w:type="dxa"/>
            <w:shd w:val="clear" w:color="auto" w:fill="0000EE"/>
            <w:vAlign w:val="bottom"/>
          </w:tcPr>
          <w:p w:rsidR="00CC2C66" w:rsidRDefault="00CC2C66">
            <w:pPr>
              <w:spacing w:line="20" w:lineRule="exact"/>
              <w:rPr>
                <w:sz w:val="1"/>
                <w:szCs w:val="1"/>
              </w:rPr>
            </w:pPr>
          </w:p>
        </w:tc>
        <w:tc>
          <w:tcPr>
            <w:tcW w:w="60" w:type="dxa"/>
            <w:gridSpan w:val="2"/>
            <w:shd w:val="clear" w:color="auto" w:fill="0000EE"/>
            <w:vAlign w:val="bottom"/>
          </w:tcPr>
          <w:p w:rsidR="00CC2C66" w:rsidRDefault="00CC2C66">
            <w:pPr>
              <w:spacing w:line="20" w:lineRule="exact"/>
              <w:rPr>
                <w:sz w:val="1"/>
                <w:szCs w:val="1"/>
              </w:rPr>
            </w:pPr>
          </w:p>
        </w:tc>
        <w:tc>
          <w:tcPr>
            <w:tcW w:w="240" w:type="dxa"/>
            <w:shd w:val="clear" w:color="auto" w:fill="0000EE"/>
            <w:vAlign w:val="bottom"/>
          </w:tcPr>
          <w:p w:rsidR="00CC2C66" w:rsidRDefault="00CC2C66">
            <w:pPr>
              <w:spacing w:line="20" w:lineRule="exact"/>
              <w:rPr>
                <w:sz w:val="1"/>
                <w:szCs w:val="1"/>
              </w:rPr>
            </w:pPr>
          </w:p>
        </w:tc>
        <w:tc>
          <w:tcPr>
            <w:tcW w:w="1540" w:type="dxa"/>
            <w:gridSpan w:val="2"/>
            <w:shd w:val="clear" w:color="auto" w:fill="0000EE"/>
            <w:vAlign w:val="bottom"/>
          </w:tcPr>
          <w:p w:rsidR="00CC2C66" w:rsidRDefault="00CC2C66">
            <w:pPr>
              <w:spacing w:line="20" w:lineRule="exact"/>
              <w:rPr>
                <w:sz w:val="1"/>
                <w:szCs w:val="1"/>
              </w:rPr>
            </w:pPr>
          </w:p>
        </w:tc>
        <w:tc>
          <w:tcPr>
            <w:tcW w:w="240" w:type="dxa"/>
            <w:vAlign w:val="bottom"/>
          </w:tcPr>
          <w:p w:rsidR="00CC2C66" w:rsidRDefault="00CC2C66">
            <w:pPr>
              <w:spacing w:line="20" w:lineRule="exact"/>
              <w:rPr>
                <w:sz w:val="1"/>
                <w:szCs w:val="1"/>
              </w:rPr>
            </w:pPr>
          </w:p>
        </w:tc>
        <w:tc>
          <w:tcPr>
            <w:tcW w:w="260" w:type="dxa"/>
            <w:vAlign w:val="bottom"/>
          </w:tcPr>
          <w:p w:rsidR="00CC2C66" w:rsidRDefault="00CC2C66">
            <w:pPr>
              <w:spacing w:line="20" w:lineRule="exact"/>
              <w:rPr>
                <w:sz w:val="1"/>
                <w:szCs w:val="1"/>
              </w:rPr>
            </w:pPr>
          </w:p>
        </w:tc>
        <w:tc>
          <w:tcPr>
            <w:tcW w:w="100" w:type="dxa"/>
            <w:vAlign w:val="bottom"/>
          </w:tcPr>
          <w:p w:rsidR="00CC2C66" w:rsidRDefault="00CC2C66">
            <w:pPr>
              <w:spacing w:line="20" w:lineRule="exact"/>
              <w:rPr>
                <w:sz w:val="1"/>
                <w:szCs w:val="1"/>
              </w:rPr>
            </w:pPr>
          </w:p>
        </w:tc>
        <w:tc>
          <w:tcPr>
            <w:tcW w:w="780" w:type="dxa"/>
            <w:vAlign w:val="bottom"/>
          </w:tcPr>
          <w:p w:rsidR="00CC2C66" w:rsidRDefault="00CC2C66">
            <w:pPr>
              <w:spacing w:line="20" w:lineRule="exact"/>
              <w:rPr>
                <w:sz w:val="1"/>
                <w:szCs w:val="1"/>
              </w:rPr>
            </w:pPr>
          </w:p>
        </w:tc>
        <w:tc>
          <w:tcPr>
            <w:tcW w:w="1140" w:type="dxa"/>
            <w:vAlign w:val="bottom"/>
          </w:tcPr>
          <w:p w:rsidR="00CC2C66" w:rsidRDefault="00CC2C66">
            <w:pPr>
              <w:spacing w:line="20" w:lineRule="exact"/>
              <w:rPr>
                <w:sz w:val="1"/>
                <w:szCs w:val="1"/>
              </w:rPr>
            </w:pPr>
          </w:p>
        </w:tc>
        <w:tc>
          <w:tcPr>
            <w:tcW w:w="1440" w:type="dxa"/>
            <w:vAlign w:val="bottom"/>
          </w:tcPr>
          <w:p w:rsidR="00CC2C66" w:rsidRDefault="00CC2C66">
            <w:pPr>
              <w:spacing w:line="20" w:lineRule="exact"/>
              <w:rPr>
                <w:sz w:val="1"/>
                <w:szCs w:val="1"/>
              </w:rPr>
            </w:pPr>
          </w:p>
        </w:tc>
      </w:tr>
      <w:tr w:rsidR="00CC2C66">
        <w:trPr>
          <w:trHeight w:val="236"/>
        </w:trPr>
        <w:tc>
          <w:tcPr>
            <w:tcW w:w="8980" w:type="dxa"/>
            <w:gridSpan w:val="28"/>
            <w:vAlign w:val="bottom"/>
          </w:tcPr>
          <w:p w:rsidR="00CC2C66" w:rsidRDefault="00F80B74">
            <w:pPr>
              <w:rPr>
                <w:sz w:val="20"/>
                <w:szCs w:val="20"/>
              </w:rPr>
            </w:pPr>
            <w:r>
              <w:rPr>
                <w:rFonts w:ascii="Arial" w:eastAsia="Arial" w:hAnsi="Arial" w:cs="Arial"/>
                <w:b/>
                <w:bCs/>
                <w:sz w:val="19"/>
                <w:szCs w:val="19"/>
              </w:rPr>
              <w:t xml:space="preserve">ITEM 2  </w:t>
            </w:r>
            <w:r>
              <w:rPr>
                <w:rFonts w:ascii="Arial" w:eastAsia="Arial" w:hAnsi="Arial" w:cs="Arial"/>
                <w:b/>
                <w:bCs/>
                <w:color w:val="0000EE"/>
                <w:sz w:val="19"/>
                <w:szCs w:val="19"/>
              </w:rPr>
              <w:t>Authorization to Repurchase Shares up to 10% of Outstanding Shares</w:t>
            </w:r>
          </w:p>
        </w:tc>
        <w:tc>
          <w:tcPr>
            <w:tcW w:w="1440" w:type="dxa"/>
            <w:vAlign w:val="bottom"/>
          </w:tcPr>
          <w:p w:rsidR="00CC2C66" w:rsidRDefault="00F80B74">
            <w:pPr>
              <w:jc w:val="right"/>
              <w:rPr>
                <w:sz w:val="20"/>
                <w:szCs w:val="20"/>
              </w:rPr>
            </w:pPr>
            <w:r>
              <w:rPr>
                <w:rFonts w:ascii="Arial" w:eastAsia="Arial" w:hAnsi="Arial" w:cs="Arial"/>
                <w:sz w:val="19"/>
                <w:szCs w:val="19"/>
              </w:rPr>
              <w:t>10</w:t>
            </w:r>
          </w:p>
        </w:tc>
      </w:tr>
      <w:tr w:rsidR="00CC2C66">
        <w:trPr>
          <w:trHeight w:val="20"/>
        </w:trPr>
        <w:tc>
          <w:tcPr>
            <w:tcW w:w="200" w:type="dxa"/>
            <w:vAlign w:val="bottom"/>
          </w:tcPr>
          <w:p w:rsidR="00CC2C66" w:rsidRDefault="00CC2C66">
            <w:pPr>
              <w:spacing w:line="20" w:lineRule="exact"/>
              <w:rPr>
                <w:sz w:val="1"/>
                <w:szCs w:val="1"/>
              </w:rPr>
            </w:pPr>
          </w:p>
        </w:tc>
        <w:tc>
          <w:tcPr>
            <w:tcW w:w="620" w:type="dxa"/>
            <w:vAlign w:val="bottom"/>
          </w:tcPr>
          <w:p w:rsidR="00CC2C66" w:rsidRDefault="00CC2C66">
            <w:pPr>
              <w:spacing w:line="20" w:lineRule="exact"/>
              <w:rPr>
                <w:sz w:val="1"/>
                <w:szCs w:val="1"/>
              </w:rPr>
            </w:pPr>
          </w:p>
        </w:tc>
        <w:tc>
          <w:tcPr>
            <w:tcW w:w="900" w:type="dxa"/>
            <w:shd w:val="clear" w:color="auto" w:fill="0000EE"/>
            <w:vAlign w:val="bottom"/>
          </w:tcPr>
          <w:p w:rsidR="00CC2C66" w:rsidRDefault="00CC2C66">
            <w:pPr>
              <w:spacing w:line="20" w:lineRule="exact"/>
              <w:rPr>
                <w:sz w:val="1"/>
                <w:szCs w:val="1"/>
              </w:rPr>
            </w:pPr>
          </w:p>
        </w:tc>
        <w:tc>
          <w:tcPr>
            <w:tcW w:w="340" w:type="dxa"/>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300" w:type="dxa"/>
            <w:tcBorders>
              <w:left w:val="single" w:sz="8" w:space="0" w:color="0000EE"/>
            </w:tcBorders>
            <w:shd w:val="clear" w:color="auto" w:fill="0000EE"/>
            <w:vAlign w:val="bottom"/>
          </w:tcPr>
          <w:p w:rsidR="00CC2C66" w:rsidRDefault="00CC2C66">
            <w:pPr>
              <w:spacing w:line="20" w:lineRule="exact"/>
              <w:rPr>
                <w:sz w:val="1"/>
                <w:szCs w:val="1"/>
              </w:rPr>
            </w:pPr>
          </w:p>
        </w:tc>
        <w:tc>
          <w:tcPr>
            <w:tcW w:w="12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100" w:type="dxa"/>
            <w:shd w:val="clear" w:color="auto" w:fill="0000EE"/>
            <w:vAlign w:val="bottom"/>
          </w:tcPr>
          <w:p w:rsidR="00CC2C66" w:rsidRDefault="00CC2C66">
            <w:pPr>
              <w:spacing w:line="20" w:lineRule="exact"/>
              <w:rPr>
                <w:sz w:val="1"/>
                <w:szCs w:val="1"/>
              </w:rPr>
            </w:pPr>
          </w:p>
        </w:tc>
        <w:tc>
          <w:tcPr>
            <w:tcW w:w="20" w:type="dxa"/>
            <w:shd w:val="clear" w:color="auto" w:fill="0000EE"/>
            <w:vAlign w:val="bottom"/>
          </w:tcPr>
          <w:p w:rsidR="00CC2C66" w:rsidRDefault="00CC2C66">
            <w:pPr>
              <w:spacing w:line="20" w:lineRule="exact"/>
              <w:rPr>
                <w:sz w:val="1"/>
                <w:szCs w:val="1"/>
              </w:rPr>
            </w:pPr>
          </w:p>
        </w:tc>
        <w:tc>
          <w:tcPr>
            <w:tcW w:w="120" w:type="dxa"/>
            <w:shd w:val="clear" w:color="auto" w:fill="0000EE"/>
            <w:vAlign w:val="bottom"/>
          </w:tcPr>
          <w:p w:rsidR="00CC2C66" w:rsidRDefault="00CC2C66">
            <w:pPr>
              <w:spacing w:line="20" w:lineRule="exact"/>
              <w:rPr>
                <w:sz w:val="1"/>
                <w:szCs w:val="1"/>
              </w:rPr>
            </w:pPr>
          </w:p>
        </w:tc>
        <w:tc>
          <w:tcPr>
            <w:tcW w:w="20" w:type="dxa"/>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280" w:type="dxa"/>
            <w:shd w:val="clear" w:color="auto" w:fill="0000EE"/>
            <w:vAlign w:val="bottom"/>
          </w:tcPr>
          <w:p w:rsidR="00CC2C66" w:rsidRDefault="00CC2C66">
            <w:pPr>
              <w:spacing w:line="20" w:lineRule="exact"/>
              <w:rPr>
                <w:sz w:val="1"/>
                <w:szCs w:val="1"/>
              </w:rPr>
            </w:pPr>
          </w:p>
        </w:tc>
        <w:tc>
          <w:tcPr>
            <w:tcW w:w="740" w:type="dxa"/>
            <w:shd w:val="clear" w:color="auto" w:fill="0000EE"/>
            <w:vAlign w:val="bottom"/>
          </w:tcPr>
          <w:p w:rsidR="00CC2C66" w:rsidRDefault="00CC2C66">
            <w:pPr>
              <w:spacing w:line="20" w:lineRule="exact"/>
              <w:rPr>
                <w:sz w:val="1"/>
                <w:szCs w:val="1"/>
              </w:rPr>
            </w:pPr>
          </w:p>
        </w:tc>
        <w:tc>
          <w:tcPr>
            <w:tcW w:w="40" w:type="dxa"/>
            <w:shd w:val="clear" w:color="auto" w:fill="0000EE"/>
            <w:vAlign w:val="bottom"/>
          </w:tcPr>
          <w:p w:rsidR="00CC2C66" w:rsidRDefault="00CC2C66">
            <w:pPr>
              <w:spacing w:line="20" w:lineRule="exact"/>
              <w:rPr>
                <w:sz w:val="1"/>
                <w:szCs w:val="1"/>
              </w:rPr>
            </w:pPr>
          </w:p>
        </w:tc>
        <w:tc>
          <w:tcPr>
            <w:tcW w:w="60" w:type="dxa"/>
            <w:shd w:val="clear" w:color="auto" w:fill="0000EE"/>
            <w:vAlign w:val="bottom"/>
          </w:tcPr>
          <w:p w:rsidR="00CC2C66" w:rsidRDefault="00CC2C66">
            <w:pPr>
              <w:spacing w:line="20" w:lineRule="exact"/>
              <w:rPr>
                <w:sz w:val="1"/>
                <w:szCs w:val="1"/>
              </w:rPr>
            </w:pPr>
          </w:p>
        </w:tc>
        <w:tc>
          <w:tcPr>
            <w:tcW w:w="60" w:type="dxa"/>
            <w:gridSpan w:val="2"/>
            <w:shd w:val="clear" w:color="auto" w:fill="0000EE"/>
            <w:vAlign w:val="bottom"/>
          </w:tcPr>
          <w:p w:rsidR="00CC2C66" w:rsidRDefault="00CC2C66">
            <w:pPr>
              <w:spacing w:line="20" w:lineRule="exact"/>
              <w:rPr>
                <w:sz w:val="1"/>
                <w:szCs w:val="1"/>
              </w:rPr>
            </w:pPr>
          </w:p>
        </w:tc>
        <w:tc>
          <w:tcPr>
            <w:tcW w:w="240" w:type="dxa"/>
            <w:shd w:val="clear" w:color="auto" w:fill="0000EE"/>
            <w:vAlign w:val="bottom"/>
          </w:tcPr>
          <w:p w:rsidR="00CC2C66" w:rsidRDefault="00CC2C66">
            <w:pPr>
              <w:spacing w:line="20" w:lineRule="exact"/>
              <w:rPr>
                <w:sz w:val="1"/>
                <w:szCs w:val="1"/>
              </w:rPr>
            </w:pPr>
          </w:p>
        </w:tc>
        <w:tc>
          <w:tcPr>
            <w:tcW w:w="1780" w:type="dxa"/>
            <w:gridSpan w:val="3"/>
            <w:shd w:val="clear" w:color="auto" w:fill="0000EE"/>
            <w:vAlign w:val="bottom"/>
          </w:tcPr>
          <w:p w:rsidR="00CC2C66" w:rsidRDefault="00CC2C66">
            <w:pPr>
              <w:spacing w:line="20" w:lineRule="exact"/>
              <w:rPr>
                <w:sz w:val="1"/>
                <w:szCs w:val="1"/>
              </w:rPr>
            </w:pPr>
          </w:p>
        </w:tc>
        <w:tc>
          <w:tcPr>
            <w:tcW w:w="260" w:type="dxa"/>
            <w:tcBorders>
              <w:right w:val="single" w:sz="8" w:space="0" w:color="0000EE"/>
            </w:tcBorders>
            <w:shd w:val="clear" w:color="auto" w:fill="0000EE"/>
            <w:vAlign w:val="bottom"/>
          </w:tcPr>
          <w:p w:rsidR="00CC2C66" w:rsidRDefault="00CC2C66">
            <w:pPr>
              <w:spacing w:line="20" w:lineRule="exact"/>
              <w:rPr>
                <w:sz w:val="1"/>
                <w:szCs w:val="1"/>
              </w:rPr>
            </w:pPr>
          </w:p>
        </w:tc>
        <w:tc>
          <w:tcPr>
            <w:tcW w:w="100" w:type="dxa"/>
            <w:shd w:val="clear" w:color="auto" w:fill="0000EE"/>
            <w:vAlign w:val="bottom"/>
          </w:tcPr>
          <w:p w:rsidR="00CC2C66" w:rsidRDefault="00CC2C66">
            <w:pPr>
              <w:spacing w:line="20" w:lineRule="exact"/>
              <w:rPr>
                <w:sz w:val="1"/>
                <w:szCs w:val="1"/>
              </w:rPr>
            </w:pPr>
          </w:p>
        </w:tc>
        <w:tc>
          <w:tcPr>
            <w:tcW w:w="780" w:type="dxa"/>
            <w:vAlign w:val="bottom"/>
          </w:tcPr>
          <w:p w:rsidR="00CC2C66" w:rsidRDefault="00CC2C66">
            <w:pPr>
              <w:spacing w:line="20" w:lineRule="exact"/>
              <w:rPr>
                <w:sz w:val="1"/>
                <w:szCs w:val="1"/>
              </w:rPr>
            </w:pPr>
          </w:p>
        </w:tc>
        <w:tc>
          <w:tcPr>
            <w:tcW w:w="1140" w:type="dxa"/>
            <w:vAlign w:val="bottom"/>
          </w:tcPr>
          <w:p w:rsidR="00CC2C66" w:rsidRDefault="00CC2C66">
            <w:pPr>
              <w:spacing w:line="20" w:lineRule="exact"/>
              <w:rPr>
                <w:sz w:val="1"/>
                <w:szCs w:val="1"/>
              </w:rPr>
            </w:pPr>
          </w:p>
        </w:tc>
        <w:tc>
          <w:tcPr>
            <w:tcW w:w="1440" w:type="dxa"/>
            <w:vAlign w:val="bottom"/>
          </w:tcPr>
          <w:p w:rsidR="00CC2C66" w:rsidRDefault="00CC2C66">
            <w:pPr>
              <w:spacing w:line="20" w:lineRule="exact"/>
              <w:rPr>
                <w:sz w:val="1"/>
                <w:szCs w:val="1"/>
              </w:rPr>
            </w:pPr>
          </w:p>
        </w:tc>
      </w:tr>
      <w:tr w:rsidR="00CC2C66">
        <w:trPr>
          <w:trHeight w:val="236"/>
        </w:trPr>
        <w:tc>
          <w:tcPr>
            <w:tcW w:w="8980" w:type="dxa"/>
            <w:gridSpan w:val="28"/>
            <w:vAlign w:val="bottom"/>
          </w:tcPr>
          <w:p w:rsidR="00CC2C66" w:rsidRDefault="00F80B74">
            <w:pPr>
              <w:rPr>
                <w:sz w:val="20"/>
                <w:szCs w:val="20"/>
              </w:rPr>
            </w:pPr>
            <w:r>
              <w:rPr>
                <w:rFonts w:ascii="Arial" w:eastAsia="Arial" w:hAnsi="Arial" w:cs="Arial"/>
                <w:b/>
                <w:bCs/>
                <w:sz w:val="19"/>
                <w:szCs w:val="19"/>
              </w:rPr>
              <w:t xml:space="preserve">ITEM 3  </w:t>
            </w:r>
            <w:r>
              <w:rPr>
                <w:rFonts w:ascii="Arial" w:eastAsia="Arial" w:hAnsi="Arial" w:cs="Arial"/>
                <w:b/>
                <w:bCs/>
                <w:color w:val="0000EE"/>
                <w:sz w:val="19"/>
                <w:szCs w:val="19"/>
              </w:rPr>
              <w:t>Approval of Yum China Holdings, Inc. 2022 Long Term Incentive Plan</w:t>
            </w:r>
          </w:p>
        </w:tc>
        <w:tc>
          <w:tcPr>
            <w:tcW w:w="1440" w:type="dxa"/>
            <w:vAlign w:val="bottom"/>
          </w:tcPr>
          <w:p w:rsidR="00CC2C66" w:rsidRDefault="00F80B74">
            <w:pPr>
              <w:jc w:val="right"/>
              <w:rPr>
                <w:sz w:val="20"/>
                <w:szCs w:val="20"/>
              </w:rPr>
            </w:pPr>
            <w:r>
              <w:rPr>
                <w:rFonts w:ascii="Arial" w:eastAsia="Arial" w:hAnsi="Arial" w:cs="Arial"/>
                <w:sz w:val="19"/>
                <w:szCs w:val="19"/>
              </w:rPr>
              <w:t>13</w:t>
            </w:r>
          </w:p>
        </w:tc>
      </w:tr>
      <w:tr w:rsidR="00CC2C66">
        <w:trPr>
          <w:trHeight w:val="20"/>
        </w:trPr>
        <w:tc>
          <w:tcPr>
            <w:tcW w:w="200" w:type="dxa"/>
            <w:vAlign w:val="bottom"/>
          </w:tcPr>
          <w:p w:rsidR="00CC2C66" w:rsidRDefault="00CC2C66">
            <w:pPr>
              <w:spacing w:line="20" w:lineRule="exact"/>
              <w:rPr>
                <w:sz w:val="1"/>
                <w:szCs w:val="1"/>
              </w:rPr>
            </w:pPr>
          </w:p>
        </w:tc>
        <w:tc>
          <w:tcPr>
            <w:tcW w:w="620" w:type="dxa"/>
            <w:vAlign w:val="bottom"/>
          </w:tcPr>
          <w:p w:rsidR="00CC2C66" w:rsidRDefault="00CC2C66">
            <w:pPr>
              <w:spacing w:line="20" w:lineRule="exact"/>
              <w:rPr>
                <w:sz w:val="1"/>
                <w:szCs w:val="1"/>
              </w:rPr>
            </w:pPr>
          </w:p>
        </w:tc>
        <w:tc>
          <w:tcPr>
            <w:tcW w:w="900" w:type="dxa"/>
            <w:shd w:val="clear" w:color="auto" w:fill="0000EE"/>
            <w:vAlign w:val="bottom"/>
          </w:tcPr>
          <w:p w:rsidR="00CC2C66" w:rsidRDefault="00CC2C66">
            <w:pPr>
              <w:spacing w:line="20" w:lineRule="exact"/>
              <w:rPr>
                <w:sz w:val="1"/>
                <w:szCs w:val="1"/>
              </w:rPr>
            </w:pPr>
          </w:p>
        </w:tc>
        <w:tc>
          <w:tcPr>
            <w:tcW w:w="340" w:type="dxa"/>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300" w:type="dxa"/>
            <w:tcBorders>
              <w:left w:val="single" w:sz="8" w:space="0" w:color="0000EE"/>
            </w:tcBorders>
            <w:shd w:val="clear" w:color="auto" w:fill="0000EE"/>
            <w:vAlign w:val="bottom"/>
          </w:tcPr>
          <w:p w:rsidR="00CC2C66" w:rsidRDefault="00CC2C66">
            <w:pPr>
              <w:spacing w:line="20" w:lineRule="exact"/>
              <w:rPr>
                <w:sz w:val="1"/>
                <w:szCs w:val="1"/>
              </w:rPr>
            </w:pPr>
          </w:p>
        </w:tc>
        <w:tc>
          <w:tcPr>
            <w:tcW w:w="12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100" w:type="dxa"/>
            <w:shd w:val="clear" w:color="auto" w:fill="0000EE"/>
            <w:vAlign w:val="bottom"/>
          </w:tcPr>
          <w:p w:rsidR="00CC2C66" w:rsidRDefault="00CC2C66">
            <w:pPr>
              <w:spacing w:line="20" w:lineRule="exact"/>
              <w:rPr>
                <w:sz w:val="1"/>
                <w:szCs w:val="1"/>
              </w:rPr>
            </w:pPr>
          </w:p>
        </w:tc>
        <w:tc>
          <w:tcPr>
            <w:tcW w:w="20" w:type="dxa"/>
            <w:shd w:val="clear" w:color="auto" w:fill="0000EE"/>
            <w:vAlign w:val="bottom"/>
          </w:tcPr>
          <w:p w:rsidR="00CC2C66" w:rsidRDefault="00CC2C66">
            <w:pPr>
              <w:spacing w:line="20" w:lineRule="exact"/>
              <w:rPr>
                <w:sz w:val="1"/>
                <w:szCs w:val="1"/>
              </w:rPr>
            </w:pPr>
          </w:p>
        </w:tc>
        <w:tc>
          <w:tcPr>
            <w:tcW w:w="120" w:type="dxa"/>
            <w:shd w:val="clear" w:color="auto" w:fill="0000EE"/>
            <w:vAlign w:val="bottom"/>
          </w:tcPr>
          <w:p w:rsidR="00CC2C66" w:rsidRDefault="00CC2C66">
            <w:pPr>
              <w:spacing w:line="20" w:lineRule="exact"/>
              <w:rPr>
                <w:sz w:val="1"/>
                <w:szCs w:val="1"/>
              </w:rPr>
            </w:pPr>
          </w:p>
        </w:tc>
        <w:tc>
          <w:tcPr>
            <w:tcW w:w="20" w:type="dxa"/>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280" w:type="dxa"/>
            <w:shd w:val="clear" w:color="auto" w:fill="0000EE"/>
            <w:vAlign w:val="bottom"/>
          </w:tcPr>
          <w:p w:rsidR="00CC2C66" w:rsidRDefault="00CC2C66">
            <w:pPr>
              <w:spacing w:line="20" w:lineRule="exact"/>
              <w:rPr>
                <w:sz w:val="1"/>
                <w:szCs w:val="1"/>
              </w:rPr>
            </w:pPr>
          </w:p>
        </w:tc>
        <w:tc>
          <w:tcPr>
            <w:tcW w:w="740" w:type="dxa"/>
            <w:shd w:val="clear" w:color="auto" w:fill="0000EE"/>
            <w:vAlign w:val="bottom"/>
          </w:tcPr>
          <w:p w:rsidR="00CC2C66" w:rsidRDefault="00CC2C66">
            <w:pPr>
              <w:spacing w:line="20" w:lineRule="exact"/>
              <w:rPr>
                <w:sz w:val="1"/>
                <w:szCs w:val="1"/>
              </w:rPr>
            </w:pPr>
          </w:p>
        </w:tc>
        <w:tc>
          <w:tcPr>
            <w:tcW w:w="40" w:type="dxa"/>
            <w:shd w:val="clear" w:color="auto" w:fill="0000EE"/>
            <w:vAlign w:val="bottom"/>
          </w:tcPr>
          <w:p w:rsidR="00CC2C66" w:rsidRDefault="00CC2C66">
            <w:pPr>
              <w:spacing w:line="20" w:lineRule="exact"/>
              <w:rPr>
                <w:sz w:val="1"/>
                <w:szCs w:val="1"/>
              </w:rPr>
            </w:pPr>
          </w:p>
        </w:tc>
        <w:tc>
          <w:tcPr>
            <w:tcW w:w="60" w:type="dxa"/>
            <w:shd w:val="clear" w:color="auto" w:fill="0000EE"/>
            <w:vAlign w:val="bottom"/>
          </w:tcPr>
          <w:p w:rsidR="00CC2C66" w:rsidRDefault="00CC2C66">
            <w:pPr>
              <w:spacing w:line="20" w:lineRule="exact"/>
              <w:rPr>
                <w:sz w:val="1"/>
                <w:szCs w:val="1"/>
              </w:rPr>
            </w:pPr>
          </w:p>
        </w:tc>
        <w:tc>
          <w:tcPr>
            <w:tcW w:w="60" w:type="dxa"/>
            <w:gridSpan w:val="2"/>
            <w:shd w:val="clear" w:color="auto" w:fill="0000EE"/>
            <w:vAlign w:val="bottom"/>
          </w:tcPr>
          <w:p w:rsidR="00CC2C66" w:rsidRDefault="00CC2C66">
            <w:pPr>
              <w:spacing w:line="20" w:lineRule="exact"/>
              <w:rPr>
                <w:sz w:val="1"/>
                <w:szCs w:val="1"/>
              </w:rPr>
            </w:pPr>
          </w:p>
        </w:tc>
        <w:tc>
          <w:tcPr>
            <w:tcW w:w="240" w:type="dxa"/>
            <w:shd w:val="clear" w:color="auto" w:fill="0000EE"/>
            <w:vAlign w:val="bottom"/>
          </w:tcPr>
          <w:p w:rsidR="00CC2C66" w:rsidRDefault="00CC2C66">
            <w:pPr>
              <w:spacing w:line="20" w:lineRule="exact"/>
              <w:rPr>
                <w:sz w:val="1"/>
                <w:szCs w:val="1"/>
              </w:rPr>
            </w:pPr>
          </w:p>
        </w:tc>
        <w:tc>
          <w:tcPr>
            <w:tcW w:w="1780" w:type="dxa"/>
            <w:gridSpan w:val="3"/>
            <w:shd w:val="clear" w:color="auto" w:fill="0000EE"/>
            <w:vAlign w:val="bottom"/>
          </w:tcPr>
          <w:p w:rsidR="00CC2C66" w:rsidRDefault="00CC2C66">
            <w:pPr>
              <w:spacing w:line="20" w:lineRule="exact"/>
              <w:rPr>
                <w:sz w:val="1"/>
                <w:szCs w:val="1"/>
              </w:rPr>
            </w:pPr>
          </w:p>
        </w:tc>
        <w:tc>
          <w:tcPr>
            <w:tcW w:w="260" w:type="dxa"/>
            <w:tcBorders>
              <w:right w:val="single" w:sz="8" w:space="0" w:color="0000EE"/>
            </w:tcBorders>
            <w:shd w:val="clear" w:color="auto" w:fill="0000EE"/>
            <w:vAlign w:val="bottom"/>
          </w:tcPr>
          <w:p w:rsidR="00CC2C66" w:rsidRDefault="00CC2C66">
            <w:pPr>
              <w:spacing w:line="20" w:lineRule="exact"/>
              <w:rPr>
                <w:sz w:val="1"/>
                <w:szCs w:val="1"/>
              </w:rPr>
            </w:pPr>
          </w:p>
        </w:tc>
        <w:tc>
          <w:tcPr>
            <w:tcW w:w="880" w:type="dxa"/>
            <w:gridSpan w:val="2"/>
            <w:vAlign w:val="bottom"/>
          </w:tcPr>
          <w:p w:rsidR="00CC2C66" w:rsidRDefault="00CC2C66">
            <w:pPr>
              <w:spacing w:line="20" w:lineRule="exact"/>
              <w:rPr>
                <w:sz w:val="1"/>
                <w:szCs w:val="1"/>
              </w:rPr>
            </w:pPr>
          </w:p>
        </w:tc>
        <w:tc>
          <w:tcPr>
            <w:tcW w:w="1140" w:type="dxa"/>
            <w:vAlign w:val="bottom"/>
          </w:tcPr>
          <w:p w:rsidR="00CC2C66" w:rsidRDefault="00CC2C66">
            <w:pPr>
              <w:spacing w:line="20" w:lineRule="exact"/>
              <w:rPr>
                <w:sz w:val="1"/>
                <w:szCs w:val="1"/>
              </w:rPr>
            </w:pPr>
          </w:p>
        </w:tc>
        <w:tc>
          <w:tcPr>
            <w:tcW w:w="1440" w:type="dxa"/>
            <w:vAlign w:val="bottom"/>
          </w:tcPr>
          <w:p w:rsidR="00CC2C66" w:rsidRDefault="00CC2C66">
            <w:pPr>
              <w:spacing w:line="20" w:lineRule="exact"/>
              <w:rPr>
                <w:sz w:val="1"/>
                <w:szCs w:val="1"/>
              </w:rPr>
            </w:pPr>
          </w:p>
        </w:tc>
      </w:tr>
      <w:tr w:rsidR="00CC2C66">
        <w:trPr>
          <w:trHeight w:val="402"/>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STOCK OWNERSHIP INFORMATION</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23</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80" w:type="dxa"/>
            <w:tcBorders>
              <w:bottom w:val="single" w:sz="8" w:space="0" w:color="CF0A2C"/>
            </w:tcBorders>
            <w:vAlign w:val="bottom"/>
          </w:tcPr>
          <w:p w:rsidR="00CC2C66" w:rsidRDefault="00CC2C66">
            <w:pPr>
              <w:spacing w:line="20" w:lineRule="exact"/>
              <w:rPr>
                <w:sz w:val="1"/>
                <w:szCs w:val="1"/>
              </w:rPr>
            </w:pPr>
          </w:p>
        </w:tc>
        <w:tc>
          <w:tcPr>
            <w:tcW w:w="74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6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14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26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780" w:type="dxa"/>
            <w:tcBorders>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r w:rsidR="00CC2C66">
        <w:trPr>
          <w:trHeight w:val="374"/>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EXECUTIVE COMPENSATION</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25</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00" w:type="dxa"/>
            <w:tcBorders>
              <w:bottom w:val="single" w:sz="8" w:space="0" w:color="CF0A2C"/>
            </w:tcBorders>
            <w:vAlign w:val="bottom"/>
          </w:tcPr>
          <w:p w:rsidR="00CC2C66" w:rsidRDefault="00CC2C66">
            <w:pPr>
              <w:spacing w:line="20" w:lineRule="exact"/>
              <w:rPr>
                <w:sz w:val="1"/>
                <w:szCs w:val="1"/>
              </w:rPr>
            </w:pPr>
          </w:p>
        </w:tc>
        <w:tc>
          <w:tcPr>
            <w:tcW w:w="280" w:type="dxa"/>
            <w:tcBorders>
              <w:bottom w:val="single" w:sz="8" w:space="0" w:color="CF0A2C"/>
            </w:tcBorders>
            <w:vAlign w:val="bottom"/>
          </w:tcPr>
          <w:p w:rsidR="00CC2C66" w:rsidRDefault="00CC2C66">
            <w:pPr>
              <w:spacing w:line="20" w:lineRule="exact"/>
              <w:rPr>
                <w:sz w:val="1"/>
                <w:szCs w:val="1"/>
              </w:rPr>
            </w:pPr>
          </w:p>
        </w:tc>
        <w:tc>
          <w:tcPr>
            <w:tcW w:w="74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6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14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26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780" w:type="dxa"/>
            <w:tcBorders>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r w:rsidR="00CC2C66">
        <w:trPr>
          <w:trHeight w:val="362"/>
        </w:trPr>
        <w:tc>
          <w:tcPr>
            <w:tcW w:w="200" w:type="dxa"/>
            <w:vAlign w:val="bottom"/>
          </w:tcPr>
          <w:p w:rsidR="00CC2C66" w:rsidRDefault="00CC2C66">
            <w:pPr>
              <w:rPr>
                <w:sz w:val="24"/>
                <w:szCs w:val="24"/>
              </w:rPr>
            </w:pPr>
          </w:p>
        </w:tc>
        <w:tc>
          <w:tcPr>
            <w:tcW w:w="8780" w:type="dxa"/>
            <w:gridSpan w:val="27"/>
            <w:vAlign w:val="bottom"/>
          </w:tcPr>
          <w:p w:rsidR="00CC2C66" w:rsidRDefault="00F80B74">
            <w:pPr>
              <w:rPr>
                <w:sz w:val="20"/>
                <w:szCs w:val="20"/>
              </w:rPr>
            </w:pPr>
            <w:r>
              <w:rPr>
                <w:rFonts w:ascii="Arial" w:eastAsia="Arial" w:hAnsi="Arial" w:cs="Arial"/>
                <w:b/>
                <w:bCs/>
                <w:color w:val="0000EE"/>
                <w:sz w:val="19"/>
                <w:szCs w:val="19"/>
              </w:rPr>
              <w:t>Named Executive Officers</w:t>
            </w:r>
          </w:p>
        </w:tc>
        <w:tc>
          <w:tcPr>
            <w:tcW w:w="1440" w:type="dxa"/>
            <w:vAlign w:val="bottom"/>
          </w:tcPr>
          <w:p w:rsidR="00CC2C66" w:rsidRDefault="00F80B74">
            <w:pPr>
              <w:jc w:val="right"/>
              <w:rPr>
                <w:sz w:val="20"/>
                <w:szCs w:val="20"/>
              </w:rPr>
            </w:pPr>
            <w:r>
              <w:rPr>
                <w:rFonts w:ascii="Arial" w:eastAsia="Arial" w:hAnsi="Arial" w:cs="Arial"/>
                <w:sz w:val="19"/>
                <w:szCs w:val="19"/>
              </w:rPr>
              <w:t>25</w:t>
            </w:r>
          </w:p>
        </w:tc>
      </w:tr>
      <w:tr w:rsidR="00CC2C66">
        <w:trPr>
          <w:trHeight w:val="20"/>
        </w:trPr>
        <w:tc>
          <w:tcPr>
            <w:tcW w:w="200" w:type="dxa"/>
            <w:vAlign w:val="bottom"/>
          </w:tcPr>
          <w:p w:rsidR="00CC2C66" w:rsidRDefault="00CC2C66">
            <w:pPr>
              <w:spacing w:line="20" w:lineRule="exact"/>
              <w:rPr>
                <w:sz w:val="1"/>
                <w:szCs w:val="1"/>
              </w:rPr>
            </w:pPr>
          </w:p>
        </w:tc>
        <w:tc>
          <w:tcPr>
            <w:tcW w:w="1520" w:type="dxa"/>
            <w:gridSpan w:val="2"/>
            <w:shd w:val="clear" w:color="auto" w:fill="0000EE"/>
            <w:vAlign w:val="bottom"/>
          </w:tcPr>
          <w:p w:rsidR="00CC2C66" w:rsidRDefault="00CC2C66">
            <w:pPr>
              <w:spacing w:line="20" w:lineRule="exact"/>
              <w:rPr>
                <w:sz w:val="1"/>
                <w:szCs w:val="1"/>
              </w:rPr>
            </w:pPr>
          </w:p>
        </w:tc>
        <w:tc>
          <w:tcPr>
            <w:tcW w:w="340" w:type="dxa"/>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300" w:type="dxa"/>
            <w:tcBorders>
              <w:left w:val="single" w:sz="8" w:space="0" w:color="0000EE"/>
            </w:tcBorders>
            <w:vAlign w:val="bottom"/>
          </w:tcPr>
          <w:p w:rsidR="00CC2C66" w:rsidRDefault="00CC2C66">
            <w:pPr>
              <w:spacing w:line="20" w:lineRule="exact"/>
              <w:rPr>
                <w:sz w:val="1"/>
                <w:szCs w:val="1"/>
              </w:rPr>
            </w:pPr>
          </w:p>
        </w:tc>
        <w:tc>
          <w:tcPr>
            <w:tcW w:w="300" w:type="dxa"/>
            <w:gridSpan w:val="2"/>
            <w:vAlign w:val="bottom"/>
          </w:tcPr>
          <w:p w:rsidR="00CC2C66" w:rsidRDefault="00CC2C66">
            <w:pPr>
              <w:spacing w:line="20" w:lineRule="exact"/>
              <w:rPr>
                <w:sz w:val="1"/>
                <w:szCs w:val="1"/>
              </w:rPr>
            </w:pPr>
          </w:p>
        </w:tc>
        <w:tc>
          <w:tcPr>
            <w:tcW w:w="100" w:type="dxa"/>
            <w:vAlign w:val="bottom"/>
          </w:tcPr>
          <w:p w:rsidR="00CC2C66" w:rsidRDefault="00CC2C66">
            <w:pPr>
              <w:spacing w:line="20" w:lineRule="exact"/>
              <w:rPr>
                <w:sz w:val="1"/>
                <w:szCs w:val="1"/>
              </w:rPr>
            </w:pPr>
          </w:p>
        </w:tc>
        <w:tc>
          <w:tcPr>
            <w:tcW w:w="20" w:type="dxa"/>
            <w:vAlign w:val="bottom"/>
          </w:tcPr>
          <w:p w:rsidR="00CC2C66" w:rsidRDefault="00CC2C66">
            <w:pPr>
              <w:spacing w:line="20" w:lineRule="exact"/>
              <w:rPr>
                <w:sz w:val="1"/>
                <w:szCs w:val="1"/>
              </w:rPr>
            </w:pPr>
          </w:p>
        </w:tc>
        <w:tc>
          <w:tcPr>
            <w:tcW w:w="120" w:type="dxa"/>
            <w:vAlign w:val="bottom"/>
          </w:tcPr>
          <w:p w:rsidR="00CC2C66" w:rsidRDefault="00CC2C66">
            <w:pPr>
              <w:spacing w:line="20" w:lineRule="exact"/>
              <w:rPr>
                <w:sz w:val="1"/>
                <w:szCs w:val="1"/>
              </w:rPr>
            </w:pPr>
          </w:p>
        </w:tc>
        <w:tc>
          <w:tcPr>
            <w:tcW w:w="20" w:type="dxa"/>
            <w:vAlign w:val="bottom"/>
          </w:tcPr>
          <w:p w:rsidR="00CC2C66" w:rsidRDefault="00CC2C66">
            <w:pPr>
              <w:spacing w:line="20" w:lineRule="exact"/>
              <w:rPr>
                <w:sz w:val="1"/>
                <w:szCs w:val="1"/>
              </w:rPr>
            </w:pPr>
          </w:p>
        </w:tc>
        <w:tc>
          <w:tcPr>
            <w:tcW w:w="480" w:type="dxa"/>
            <w:gridSpan w:val="2"/>
            <w:vAlign w:val="bottom"/>
          </w:tcPr>
          <w:p w:rsidR="00CC2C66" w:rsidRDefault="00CC2C66">
            <w:pPr>
              <w:spacing w:line="20" w:lineRule="exact"/>
              <w:rPr>
                <w:sz w:val="1"/>
                <w:szCs w:val="1"/>
              </w:rPr>
            </w:pPr>
          </w:p>
        </w:tc>
        <w:tc>
          <w:tcPr>
            <w:tcW w:w="740" w:type="dxa"/>
            <w:vAlign w:val="bottom"/>
          </w:tcPr>
          <w:p w:rsidR="00CC2C66" w:rsidRDefault="00CC2C66">
            <w:pPr>
              <w:spacing w:line="20" w:lineRule="exact"/>
              <w:rPr>
                <w:sz w:val="1"/>
                <w:szCs w:val="1"/>
              </w:rPr>
            </w:pPr>
          </w:p>
        </w:tc>
        <w:tc>
          <w:tcPr>
            <w:tcW w:w="40" w:type="dxa"/>
            <w:vAlign w:val="bottom"/>
          </w:tcPr>
          <w:p w:rsidR="00CC2C66" w:rsidRDefault="00CC2C66">
            <w:pPr>
              <w:spacing w:line="20" w:lineRule="exact"/>
              <w:rPr>
                <w:sz w:val="1"/>
                <w:szCs w:val="1"/>
              </w:rPr>
            </w:pPr>
          </w:p>
        </w:tc>
        <w:tc>
          <w:tcPr>
            <w:tcW w:w="60" w:type="dxa"/>
            <w:vAlign w:val="bottom"/>
          </w:tcPr>
          <w:p w:rsidR="00CC2C66" w:rsidRDefault="00CC2C66">
            <w:pPr>
              <w:spacing w:line="20" w:lineRule="exact"/>
              <w:rPr>
                <w:sz w:val="1"/>
                <w:szCs w:val="1"/>
              </w:rPr>
            </w:pPr>
          </w:p>
        </w:tc>
        <w:tc>
          <w:tcPr>
            <w:tcW w:w="60" w:type="dxa"/>
            <w:gridSpan w:val="2"/>
            <w:vAlign w:val="bottom"/>
          </w:tcPr>
          <w:p w:rsidR="00CC2C66" w:rsidRDefault="00CC2C66">
            <w:pPr>
              <w:spacing w:line="20" w:lineRule="exact"/>
              <w:rPr>
                <w:sz w:val="1"/>
                <w:szCs w:val="1"/>
              </w:rPr>
            </w:pPr>
          </w:p>
        </w:tc>
        <w:tc>
          <w:tcPr>
            <w:tcW w:w="240" w:type="dxa"/>
            <w:vAlign w:val="bottom"/>
          </w:tcPr>
          <w:p w:rsidR="00CC2C66" w:rsidRDefault="00CC2C66">
            <w:pPr>
              <w:spacing w:line="20" w:lineRule="exact"/>
              <w:rPr>
                <w:sz w:val="1"/>
                <w:szCs w:val="1"/>
              </w:rPr>
            </w:pPr>
          </w:p>
        </w:tc>
        <w:tc>
          <w:tcPr>
            <w:tcW w:w="1780" w:type="dxa"/>
            <w:gridSpan w:val="3"/>
            <w:vAlign w:val="bottom"/>
          </w:tcPr>
          <w:p w:rsidR="00CC2C66" w:rsidRDefault="00CC2C66">
            <w:pPr>
              <w:spacing w:line="20" w:lineRule="exact"/>
              <w:rPr>
                <w:sz w:val="1"/>
                <w:szCs w:val="1"/>
              </w:rPr>
            </w:pPr>
          </w:p>
        </w:tc>
        <w:tc>
          <w:tcPr>
            <w:tcW w:w="260" w:type="dxa"/>
            <w:vAlign w:val="bottom"/>
          </w:tcPr>
          <w:p w:rsidR="00CC2C66" w:rsidRDefault="00CC2C66">
            <w:pPr>
              <w:spacing w:line="20" w:lineRule="exact"/>
              <w:rPr>
                <w:sz w:val="1"/>
                <w:szCs w:val="1"/>
              </w:rPr>
            </w:pPr>
          </w:p>
        </w:tc>
        <w:tc>
          <w:tcPr>
            <w:tcW w:w="880" w:type="dxa"/>
            <w:gridSpan w:val="2"/>
            <w:vAlign w:val="bottom"/>
          </w:tcPr>
          <w:p w:rsidR="00CC2C66" w:rsidRDefault="00CC2C66">
            <w:pPr>
              <w:spacing w:line="20" w:lineRule="exact"/>
              <w:rPr>
                <w:sz w:val="1"/>
                <w:szCs w:val="1"/>
              </w:rPr>
            </w:pPr>
          </w:p>
        </w:tc>
        <w:tc>
          <w:tcPr>
            <w:tcW w:w="1140" w:type="dxa"/>
            <w:vAlign w:val="bottom"/>
          </w:tcPr>
          <w:p w:rsidR="00CC2C66" w:rsidRDefault="00CC2C66">
            <w:pPr>
              <w:spacing w:line="20" w:lineRule="exact"/>
              <w:rPr>
                <w:sz w:val="1"/>
                <w:szCs w:val="1"/>
              </w:rPr>
            </w:pPr>
          </w:p>
        </w:tc>
        <w:tc>
          <w:tcPr>
            <w:tcW w:w="1440" w:type="dxa"/>
            <w:vAlign w:val="bottom"/>
          </w:tcPr>
          <w:p w:rsidR="00CC2C66" w:rsidRDefault="00CC2C66">
            <w:pPr>
              <w:spacing w:line="20" w:lineRule="exact"/>
              <w:rPr>
                <w:sz w:val="1"/>
                <w:szCs w:val="1"/>
              </w:rPr>
            </w:pPr>
          </w:p>
        </w:tc>
      </w:tr>
      <w:tr w:rsidR="00CC2C66">
        <w:trPr>
          <w:trHeight w:val="236"/>
        </w:trPr>
        <w:tc>
          <w:tcPr>
            <w:tcW w:w="200" w:type="dxa"/>
            <w:vAlign w:val="bottom"/>
          </w:tcPr>
          <w:p w:rsidR="00CC2C66" w:rsidRDefault="00CC2C66">
            <w:pPr>
              <w:rPr>
                <w:sz w:val="20"/>
                <w:szCs w:val="20"/>
              </w:rPr>
            </w:pPr>
          </w:p>
        </w:tc>
        <w:tc>
          <w:tcPr>
            <w:tcW w:w="4420" w:type="dxa"/>
            <w:gridSpan w:val="17"/>
            <w:tcBorders>
              <w:bottom w:val="single" w:sz="8" w:space="0" w:color="0000EE"/>
            </w:tcBorders>
            <w:vAlign w:val="bottom"/>
          </w:tcPr>
          <w:p w:rsidR="00CC2C66" w:rsidRDefault="00F80B74">
            <w:pPr>
              <w:rPr>
                <w:sz w:val="20"/>
                <w:szCs w:val="20"/>
              </w:rPr>
            </w:pPr>
            <w:r>
              <w:rPr>
                <w:rFonts w:ascii="Arial" w:eastAsia="Arial" w:hAnsi="Arial" w:cs="Arial"/>
                <w:b/>
                <w:bCs/>
                <w:color w:val="0000EE"/>
                <w:w w:val="98"/>
                <w:sz w:val="19"/>
                <w:szCs w:val="19"/>
              </w:rPr>
              <w:t>Context for Determining Executive Compensation</w:t>
            </w:r>
          </w:p>
        </w:tc>
        <w:tc>
          <w:tcPr>
            <w:tcW w:w="4360" w:type="dxa"/>
            <w:gridSpan w:val="10"/>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26</w:t>
            </w:r>
          </w:p>
        </w:tc>
      </w:tr>
      <w:tr w:rsidR="00CC2C66">
        <w:trPr>
          <w:trHeight w:val="236"/>
        </w:trPr>
        <w:tc>
          <w:tcPr>
            <w:tcW w:w="200" w:type="dxa"/>
            <w:vAlign w:val="bottom"/>
          </w:tcPr>
          <w:p w:rsidR="00CC2C66" w:rsidRDefault="00CC2C66">
            <w:pPr>
              <w:rPr>
                <w:sz w:val="20"/>
                <w:szCs w:val="20"/>
              </w:rPr>
            </w:pPr>
          </w:p>
        </w:tc>
        <w:tc>
          <w:tcPr>
            <w:tcW w:w="8780" w:type="dxa"/>
            <w:gridSpan w:val="27"/>
            <w:vAlign w:val="bottom"/>
          </w:tcPr>
          <w:p w:rsidR="00CC2C66" w:rsidRDefault="00F80B74">
            <w:pPr>
              <w:rPr>
                <w:sz w:val="20"/>
                <w:szCs w:val="20"/>
              </w:rPr>
            </w:pPr>
            <w:r>
              <w:rPr>
                <w:rFonts w:ascii="Arial" w:eastAsia="Arial" w:hAnsi="Arial" w:cs="Arial"/>
                <w:b/>
                <w:bCs/>
                <w:color w:val="0000EE"/>
                <w:sz w:val="19"/>
                <w:szCs w:val="19"/>
              </w:rPr>
              <w:t>2021 Business</w:t>
            </w:r>
            <w:r>
              <w:rPr>
                <w:rFonts w:ascii="Arial" w:eastAsia="Arial" w:hAnsi="Arial" w:cs="Arial"/>
                <w:b/>
                <w:bCs/>
                <w:color w:val="0000EE"/>
                <w:sz w:val="19"/>
                <w:szCs w:val="19"/>
              </w:rPr>
              <w:t xml:space="preserve"> Overview and Performance Highlights</w:t>
            </w:r>
          </w:p>
        </w:tc>
        <w:tc>
          <w:tcPr>
            <w:tcW w:w="1440" w:type="dxa"/>
            <w:vAlign w:val="bottom"/>
          </w:tcPr>
          <w:p w:rsidR="00CC2C66" w:rsidRDefault="00F80B74">
            <w:pPr>
              <w:jc w:val="right"/>
              <w:rPr>
                <w:sz w:val="20"/>
                <w:szCs w:val="20"/>
              </w:rPr>
            </w:pPr>
            <w:r>
              <w:rPr>
                <w:rFonts w:ascii="Arial" w:eastAsia="Arial" w:hAnsi="Arial" w:cs="Arial"/>
                <w:sz w:val="19"/>
                <w:szCs w:val="19"/>
              </w:rPr>
              <w:t>28</w:t>
            </w:r>
          </w:p>
        </w:tc>
      </w:tr>
      <w:tr w:rsidR="00CC2C66">
        <w:trPr>
          <w:trHeight w:val="236"/>
        </w:trPr>
        <w:tc>
          <w:tcPr>
            <w:tcW w:w="200" w:type="dxa"/>
            <w:vAlign w:val="bottom"/>
          </w:tcPr>
          <w:p w:rsidR="00CC2C66" w:rsidRDefault="00CC2C66">
            <w:pPr>
              <w:rPr>
                <w:sz w:val="20"/>
                <w:szCs w:val="20"/>
              </w:rPr>
            </w:pPr>
          </w:p>
        </w:tc>
        <w:tc>
          <w:tcPr>
            <w:tcW w:w="4720" w:type="dxa"/>
            <w:gridSpan w:val="20"/>
            <w:tcBorders>
              <w:top w:val="single" w:sz="8" w:space="0" w:color="0000EE"/>
            </w:tcBorders>
            <w:vAlign w:val="bottom"/>
          </w:tcPr>
          <w:p w:rsidR="00CC2C66" w:rsidRDefault="00F80B74">
            <w:pPr>
              <w:rPr>
                <w:sz w:val="20"/>
                <w:szCs w:val="20"/>
              </w:rPr>
            </w:pPr>
            <w:r>
              <w:rPr>
                <w:rFonts w:ascii="Arial" w:eastAsia="Arial" w:hAnsi="Arial" w:cs="Arial"/>
                <w:b/>
                <w:bCs/>
                <w:color w:val="0000EE"/>
                <w:sz w:val="19"/>
                <w:szCs w:val="19"/>
              </w:rPr>
              <w:t>Company Total Shareholder Return Performance</w:t>
            </w:r>
          </w:p>
        </w:tc>
        <w:tc>
          <w:tcPr>
            <w:tcW w:w="4060" w:type="dxa"/>
            <w:gridSpan w:val="7"/>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30</w:t>
            </w:r>
          </w:p>
        </w:tc>
      </w:tr>
      <w:tr w:rsidR="00CC2C66">
        <w:trPr>
          <w:trHeight w:val="236"/>
        </w:trPr>
        <w:tc>
          <w:tcPr>
            <w:tcW w:w="200" w:type="dxa"/>
            <w:vAlign w:val="bottom"/>
          </w:tcPr>
          <w:p w:rsidR="00CC2C66" w:rsidRDefault="00CC2C66">
            <w:pPr>
              <w:rPr>
                <w:sz w:val="20"/>
                <w:szCs w:val="20"/>
              </w:rPr>
            </w:pPr>
          </w:p>
        </w:tc>
        <w:tc>
          <w:tcPr>
            <w:tcW w:w="2940" w:type="dxa"/>
            <w:gridSpan w:val="9"/>
            <w:tcBorders>
              <w:top w:val="single" w:sz="8" w:space="0" w:color="0000EE"/>
              <w:bottom w:val="single" w:sz="8" w:space="0" w:color="0000EE"/>
            </w:tcBorders>
            <w:vAlign w:val="bottom"/>
          </w:tcPr>
          <w:p w:rsidR="00CC2C66" w:rsidRDefault="00F80B74">
            <w:pPr>
              <w:rPr>
                <w:sz w:val="20"/>
                <w:szCs w:val="20"/>
              </w:rPr>
            </w:pPr>
            <w:r>
              <w:rPr>
                <w:rFonts w:ascii="Arial" w:eastAsia="Arial" w:hAnsi="Arial" w:cs="Arial"/>
                <w:b/>
                <w:bCs/>
                <w:color w:val="0000EE"/>
                <w:w w:val="97"/>
                <w:sz w:val="19"/>
                <w:szCs w:val="19"/>
              </w:rPr>
              <w:t>Recent Compensation Highlights</w:t>
            </w:r>
          </w:p>
        </w:tc>
        <w:tc>
          <w:tcPr>
            <w:tcW w:w="1380" w:type="dxa"/>
            <w:gridSpan w:val="6"/>
            <w:tcBorders>
              <w:top w:val="single" w:sz="8" w:space="0" w:color="0000EE"/>
            </w:tcBorders>
            <w:vAlign w:val="bottom"/>
          </w:tcPr>
          <w:p w:rsidR="00CC2C66" w:rsidRDefault="00CC2C66">
            <w:pPr>
              <w:rPr>
                <w:sz w:val="20"/>
                <w:szCs w:val="20"/>
              </w:rPr>
            </w:pPr>
          </w:p>
        </w:tc>
        <w:tc>
          <w:tcPr>
            <w:tcW w:w="4460" w:type="dxa"/>
            <w:gridSpan w:val="12"/>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30</w:t>
            </w:r>
          </w:p>
        </w:tc>
      </w:tr>
      <w:tr w:rsidR="00CC2C66">
        <w:trPr>
          <w:trHeight w:val="236"/>
        </w:trPr>
        <w:tc>
          <w:tcPr>
            <w:tcW w:w="200" w:type="dxa"/>
            <w:vAlign w:val="bottom"/>
          </w:tcPr>
          <w:p w:rsidR="00CC2C66" w:rsidRDefault="00CC2C66">
            <w:pPr>
              <w:rPr>
                <w:sz w:val="20"/>
                <w:szCs w:val="20"/>
              </w:rPr>
            </w:pPr>
          </w:p>
        </w:tc>
        <w:tc>
          <w:tcPr>
            <w:tcW w:w="8780" w:type="dxa"/>
            <w:gridSpan w:val="27"/>
            <w:vAlign w:val="bottom"/>
          </w:tcPr>
          <w:p w:rsidR="00CC2C66" w:rsidRDefault="00F80B74">
            <w:pPr>
              <w:rPr>
                <w:sz w:val="20"/>
                <w:szCs w:val="20"/>
              </w:rPr>
            </w:pPr>
            <w:r>
              <w:rPr>
                <w:rFonts w:ascii="Arial" w:eastAsia="Arial" w:hAnsi="Arial" w:cs="Arial"/>
                <w:b/>
                <w:bCs/>
                <w:color w:val="0000EE"/>
                <w:sz w:val="19"/>
                <w:szCs w:val="19"/>
              </w:rPr>
              <w:t>Alignment of Executive Compensation Program with Business Performance</w:t>
            </w:r>
          </w:p>
        </w:tc>
        <w:tc>
          <w:tcPr>
            <w:tcW w:w="1440" w:type="dxa"/>
            <w:vAlign w:val="bottom"/>
          </w:tcPr>
          <w:p w:rsidR="00CC2C66" w:rsidRDefault="00F80B74">
            <w:pPr>
              <w:jc w:val="right"/>
              <w:rPr>
                <w:sz w:val="20"/>
                <w:szCs w:val="20"/>
              </w:rPr>
            </w:pPr>
            <w:r>
              <w:rPr>
                <w:rFonts w:ascii="Arial" w:eastAsia="Arial" w:hAnsi="Arial" w:cs="Arial"/>
                <w:sz w:val="19"/>
                <w:szCs w:val="19"/>
              </w:rPr>
              <w:t>33</w:t>
            </w:r>
          </w:p>
        </w:tc>
      </w:tr>
      <w:tr w:rsidR="00CC2C66">
        <w:trPr>
          <w:trHeight w:val="236"/>
        </w:trPr>
        <w:tc>
          <w:tcPr>
            <w:tcW w:w="200" w:type="dxa"/>
            <w:vAlign w:val="bottom"/>
          </w:tcPr>
          <w:p w:rsidR="00CC2C66" w:rsidRDefault="00CC2C66">
            <w:pPr>
              <w:rPr>
                <w:sz w:val="20"/>
                <w:szCs w:val="20"/>
              </w:rPr>
            </w:pPr>
          </w:p>
        </w:tc>
        <w:tc>
          <w:tcPr>
            <w:tcW w:w="6760" w:type="dxa"/>
            <w:gridSpan w:val="24"/>
            <w:tcBorders>
              <w:top w:val="single" w:sz="8" w:space="0" w:color="0000EE"/>
            </w:tcBorders>
            <w:vAlign w:val="bottom"/>
          </w:tcPr>
          <w:p w:rsidR="00CC2C66" w:rsidRDefault="00F80B74">
            <w:pPr>
              <w:rPr>
                <w:sz w:val="20"/>
                <w:szCs w:val="20"/>
              </w:rPr>
            </w:pPr>
            <w:r>
              <w:rPr>
                <w:rFonts w:ascii="Arial" w:eastAsia="Arial" w:hAnsi="Arial" w:cs="Arial"/>
                <w:b/>
                <w:bCs/>
                <w:color w:val="0000EE"/>
                <w:sz w:val="19"/>
                <w:szCs w:val="19"/>
              </w:rPr>
              <w:t>Pay Components</w:t>
            </w:r>
          </w:p>
        </w:tc>
        <w:tc>
          <w:tcPr>
            <w:tcW w:w="2020" w:type="dxa"/>
            <w:gridSpan w:val="3"/>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34</w:t>
            </w:r>
          </w:p>
        </w:tc>
      </w:tr>
      <w:tr w:rsidR="00CC2C66">
        <w:trPr>
          <w:trHeight w:val="20"/>
        </w:trPr>
        <w:tc>
          <w:tcPr>
            <w:tcW w:w="200" w:type="dxa"/>
            <w:vAlign w:val="bottom"/>
          </w:tcPr>
          <w:p w:rsidR="00CC2C66" w:rsidRDefault="00CC2C66">
            <w:pPr>
              <w:spacing w:line="20" w:lineRule="exact"/>
              <w:rPr>
                <w:sz w:val="1"/>
                <w:szCs w:val="1"/>
              </w:rPr>
            </w:pPr>
          </w:p>
        </w:tc>
        <w:tc>
          <w:tcPr>
            <w:tcW w:w="1520" w:type="dxa"/>
            <w:gridSpan w:val="2"/>
            <w:shd w:val="clear" w:color="auto" w:fill="0000EE"/>
            <w:vAlign w:val="bottom"/>
          </w:tcPr>
          <w:p w:rsidR="00CC2C66" w:rsidRDefault="00CC2C66">
            <w:pPr>
              <w:spacing w:line="20" w:lineRule="exact"/>
              <w:rPr>
                <w:sz w:val="1"/>
                <w:szCs w:val="1"/>
              </w:rPr>
            </w:pPr>
          </w:p>
        </w:tc>
        <w:tc>
          <w:tcPr>
            <w:tcW w:w="340" w:type="dxa"/>
            <w:vAlign w:val="bottom"/>
          </w:tcPr>
          <w:p w:rsidR="00CC2C66" w:rsidRDefault="00CC2C66">
            <w:pPr>
              <w:spacing w:line="20" w:lineRule="exact"/>
              <w:rPr>
                <w:sz w:val="1"/>
                <w:szCs w:val="1"/>
              </w:rPr>
            </w:pPr>
          </w:p>
        </w:tc>
        <w:tc>
          <w:tcPr>
            <w:tcW w:w="200" w:type="dxa"/>
            <w:vAlign w:val="bottom"/>
          </w:tcPr>
          <w:p w:rsidR="00CC2C66" w:rsidRDefault="00CC2C66">
            <w:pPr>
              <w:spacing w:line="20" w:lineRule="exact"/>
              <w:rPr>
                <w:sz w:val="1"/>
                <w:szCs w:val="1"/>
              </w:rPr>
            </w:pPr>
          </w:p>
        </w:tc>
        <w:tc>
          <w:tcPr>
            <w:tcW w:w="180" w:type="dxa"/>
            <w:vAlign w:val="bottom"/>
          </w:tcPr>
          <w:p w:rsidR="00CC2C66" w:rsidRDefault="00CC2C66">
            <w:pPr>
              <w:spacing w:line="20" w:lineRule="exact"/>
              <w:rPr>
                <w:sz w:val="1"/>
                <w:szCs w:val="1"/>
              </w:rPr>
            </w:pPr>
          </w:p>
        </w:tc>
        <w:tc>
          <w:tcPr>
            <w:tcW w:w="300" w:type="dxa"/>
            <w:vAlign w:val="bottom"/>
          </w:tcPr>
          <w:p w:rsidR="00CC2C66" w:rsidRDefault="00CC2C66">
            <w:pPr>
              <w:spacing w:line="20" w:lineRule="exact"/>
              <w:rPr>
                <w:sz w:val="1"/>
                <w:szCs w:val="1"/>
              </w:rPr>
            </w:pPr>
          </w:p>
        </w:tc>
        <w:tc>
          <w:tcPr>
            <w:tcW w:w="300" w:type="dxa"/>
            <w:gridSpan w:val="2"/>
            <w:vAlign w:val="bottom"/>
          </w:tcPr>
          <w:p w:rsidR="00CC2C66" w:rsidRDefault="00CC2C66">
            <w:pPr>
              <w:spacing w:line="20" w:lineRule="exact"/>
              <w:rPr>
                <w:sz w:val="1"/>
                <w:szCs w:val="1"/>
              </w:rPr>
            </w:pPr>
          </w:p>
        </w:tc>
        <w:tc>
          <w:tcPr>
            <w:tcW w:w="120" w:type="dxa"/>
            <w:gridSpan w:val="2"/>
            <w:vAlign w:val="bottom"/>
          </w:tcPr>
          <w:p w:rsidR="00CC2C66" w:rsidRDefault="00CC2C66">
            <w:pPr>
              <w:spacing w:line="20" w:lineRule="exact"/>
              <w:rPr>
                <w:sz w:val="1"/>
                <w:szCs w:val="1"/>
              </w:rPr>
            </w:pPr>
          </w:p>
        </w:tc>
        <w:tc>
          <w:tcPr>
            <w:tcW w:w="120" w:type="dxa"/>
            <w:vAlign w:val="bottom"/>
          </w:tcPr>
          <w:p w:rsidR="00CC2C66" w:rsidRDefault="00CC2C66">
            <w:pPr>
              <w:spacing w:line="20" w:lineRule="exact"/>
              <w:rPr>
                <w:sz w:val="1"/>
                <w:szCs w:val="1"/>
              </w:rPr>
            </w:pPr>
          </w:p>
        </w:tc>
        <w:tc>
          <w:tcPr>
            <w:tcW w:w="20" w:type="dxa"/>
            <w:vAlign w:val="bottom"/>
          </w:tcPr>
          <w:p w:rsidR="00CC2C66" w:rsidRDefault="00CC2C66">
            <w:pPr>
              <w:spacing w:line="20" w:lineRule="exact"/>
              <w:rPr>
                <w:sz w:val="1"/>
                <w:szCs w:val="1"/>
              </w:rPr>
            </w:pPr>
          </w:p>
        </w:tc>
        <w:tc>
          <w:tcPr>
            <w:tcW w:w="480" w:type="dxa"/>
            <w:gridSpan w:val="2"/>
            <w:vAlign w:val="bottom"/>
          </w:tcPr>
          <w:p w:rsidR="00CC2C66" w:rsidRDefault="00CC2C66">
            <w:pPr>
              <w:spacing w:line="20" w:lineRule="exact"/>
              <w:rPr>
                <w:sz w:val="1"/>
                <w:szCs w:val="1"/>
              </w:rPr>
            </w:pPr>
          </w:p>
        </w:tc>
        <w:tc>
          <w:tcPr>
            <w:tcW w:w="780" w:type="dxa"/>
            <w:gridSpan w:val="2"/>
            <w:vAlign w:val="bottom"/>
          </w:tcPr>
          <w:p w:rsidR="00CC2C66" w:rsidRDefault="00CC2C66">
            <w:pPr>
              <w:spacing w:line="20" w:lineRule="exact"/>
              <w:rPr>
                <w:sz w:val="1"/>
                <w:szCs w:val="1"/>
              </w:rPr>
            </w:pPr>
          </w:p>
        </w:tc>
        <w:tc>
          <w:tcPr>
            <w:tcW w:w="120" w:type="dxa"/>
            <w:gridSpan w:val="3"/>
            <w:vAlign w:val="bottom"/>
          </w:tcPr>
          <w:p w:rsidR="00CC2C66" w:rsidRDefault="00CC2C66">
            <w:pPr>
              <w:spacing w:line="20" w:lineRule="exact"/>
              <w:rPr>
                <w:sz w:val="1"/>
                <w:szCs w:val="1"/>
              </w:rPr>
            </w:pPr>
          </w:p>
        </w:tc>
        <w:tc>
          <w:tcPr>
            <w:tcW w:w="2020" w:type="dxa"/>
            <w:gridSpan w:val="4"/>
            <w:vAlign w:val="bottom"/>
          </w:tcPr>
          <w:p w:rsidR="00CC2C66" w:rsidRDefault="00CC2C66">
            <w:pPr>
              <w:spacing w:line="20" w:lineRule="exact"/>
              <w:rPr>
                <w:sz w:val="1"/>
                <w:szCs w:val="1"/>
              </w:rPr>
            </w:pPr>
          </w:p>
        </w:tc>
        <w:tc>
          <w:tcPr>
            <w:tcW w:w="1140" w:type="dxa"/>
            <w:gridSpan w:val="3"/>
            <w:vAlign w:val="bottom"/>
          </w:tcPr>
          <w:p w:rsidR="00CC2C66" w:rsidRDefault="00CC2C66">
            <w:pPr>
              <w:spacing w:line="20" w:lineRule="exact"/>
              <w:rPr>
                <w:sz w:val="1"/>
                <w:szCs w:val="1"/>
              </w:rPr>
            </w:pPr>
          </w:p>
        </w:tc>
        <w:tc>
          <w:tcPr>
            <w:tcW w:w="1140" w:type="dxa"/>
            <w:vAlign w:val="bottom"/>
          </w:tcPr>
          <w:p w:rsidR="00CC2C66" w:rsidRDefault="00CC2C66">
            <w:pPr>
              <w:spacing w:line="20" w:lineRule="exact"/>
              <w:rPr>
                <w:sz w:val="1"/>
                <w:szCs w:val="1"/>
              </w:rPr>
            </w:pPr>
          </w:p>
        </w:tc>
        <w:tc>
          <w:tcPr>
            <w:tcW w:w="1440" w:type="dxa"/>
            <w:vAlign w:val="bottom"/>
          </w:tcPr>
          <w:p w:rsidR="00CC2C66" w:rsidRDefault="00CC2C66">
            <w:pPr>
              <w:spacing w:line="20" w:lineRule="exact"/>
              <w:rPr>
                <w:sz w:val="1"/>
                <w:szCs w:val="1"/>
              </w:rPr>
            </w:pPr>
          </w:p>
        </w:tc>
      </w:tr>
      <w:tr w:rsidR="00CC2C66">
        <w:trPr>
          <w:trHeight w:val="236"/>
        </w:trPr>
        <w:tc>
          <w:tcPr>
            <w:tcW w:w="200" w:type="dxa"/>
            <w:vAlign w:val="bottom"/>
          </w:tcPr>
          <w:p w:rsidR="00CC2C66" w:rsidRDefault="00CC2C66">
            <w:pPr>
              <w:rPr>
                <w:sz w:val="20"/>
                <w:szCs w:val="20"/>
              </w:rPr>
            </w:pPr>
          </w:p>
        </w:tc>
        <w:tc>
          <w:tcPr>
            <w:tcW w:w="8780" w:type="dxa"/>
            <w:gridSpan w:val="27"/>
            <w:vAlign w:val="bottom"/>
          </w:tcPr>
          <w:p w:rsidR="00CC2C66" w:rsidRDefault="00F80B74">
            <w:pPr>
              <w:rPr>
                <w:sz w:val="20"/>
                <w:szCs w:val="20"/>
              </w:rPr>
            </w:pPr>
            <w:r>
              <w:rPr>
                <w:rFonts w:ascii="Arial" w:eastAsia="Arial" w:hAnsi="Arial" w:cs="Arial"/>
                <w:b/>
                <w:bCs/>
                <w:color w:val="0000EE"/>
                <w:sz w:val="19"/>
                <w:szCs w:val="19"/>
              </w:rPr>
              <w:t xml:space="preserve">Executive </w:t>
            </w:r>
            <w:r>
              <w:rPr>
                <w:rFonts w:ascii="Arial" w:eastAsia="Arial" w:hAnsi="Arial" w:cs="Arial"/>
                <w:b/>
                <w:bCs/>
                <w:color w:val="0000EE"/>
                <w:sz w:val="19"/>
                <w:szCs w:val="19"/>
              </w:rPr>
              <w:t>Compensation Practices</w:t>
            </w:r>
          </w:p>
        </w:tc>
        <w:tc>
          <w:tcPr>
            <w:tcW w:w="1440" w:type="dxa"/>
            <w:vAlign w:val="bottom"/>
          </w:tcPr>
          <w:p w:rsidR="00CC2C66" w:rsidRDefault="00F80B74">
            <w:pPr>
              <w:jc w:val="right"/>
              <w:rPr>
                <w:sz w:val="20"/>
                <w:szCs w:val="20"/>
              </w:rPr>
            </w:pPr>
            <w:r>
              <w:rPr>
                <w:rFonts w:ascii="Arial" w:eastAsia="Arial" w:hAnsi="Arial" w:cs="Arial"/>
                <w:sz w:val="19"/>
                <w:szCs w:val="19"/>
              </w:rPr>
              <w:t>35</w:t>
            </w:r>
          </w:p>
        </w:tc>
      </w:tr>
      <w:tr w:rsidR="00CC2C66">
        <w:trPr>
          <w:trHeight w:val="236"/>
        </w:trPr>
        <w:tc>
          <w:tcPr>
            <w:tcW w:w="200" w:type="dxa"/>
            <w:vAlign w:val="bottom"/>
          </w:tcPr>
          <w:p w:rsidR="00CC2C66" w:rsidRDefault="00CC2C66">
            <w:pPr>
              <w:rPr>
                <w:sz w:val="20"/>
                <w:szCs w:val="20"/>
              </w:rPr>
            </w:pPr>
          </w:p>
        </w:tc>
        <w:tc>
          <w:tcPr>
            <w:tcW w:w="3100" w:type="dxa"/>
            <w:gridSpan w:val="12"/>
            <w:tcBorders>
              <w:top w:val="single" w:sz="8" w:space="0" w:color="0000EE"/>
            </w:tcBorders>
            <w:vAlign w:val="bottom"/>
          </w:tcPr>
          <w:p w:rsidR="00CC2C66" w:rsidRDefault="00F80B74">
            <w:pPr>
              <w:rPr>
                <w:sz w:val="20"/>
                <w:szCs w:val="20"/>
              </w:rPr>
            </w:pPr>
            <w:r>
              <w:rPr>
                <w:rFonts w:ascii="Arial" w:eastAsia="Arial" w:hAnsi="Arial" w:cs="Arial"/>
                <w:b/>
                <w:bCs/>
                <w:color w:val="0000EE"/>
                <w:sz w:val="19"/>
                <w:szCs w:val="19"/>
              </w:rPr>
              <w:t>Stockholder Engagement</w:t>
            </w:r>
          </w:p>
        </w:tc>
        <w:tc>
          <w:tcPr>
            <w:tcW w:w="5680" w:type="dxa"/>
            <w:gridSpan w:val="15"/>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35</w:t>
            </w:r>
          </w:p>
        </w:tc>
      </w:tr>
      <w:tr w:rsidR="00CC2C66">
        <w:trPr>
          <w:trHeight w:val="20"/>
        </w:trPr>
        <w:tc>
          <w:tcPr>
            <w:tcW w:w="200" w:type="dxa"/>
            <w:vAlign w:val="bottom"/>
          </w:tcPr>
          <w:p w:rsidR="00CC2C66" w:rsidRDefault="00CC2C66">
            <w:pPr>
              <w:spacing w:line="20" w:lineRule="exact"/>
              <w:rPr>
                <w:sz w:val="1"/>
                <w:szCs w:val="1"/>
              </w:rPr>
            </w:pPr>
          </w:p>
        </w:tc>
        <w:tc>
          <w:tcPr>
            <w:tcW w:w="1860" w:type="dxa"/>
            <w:gridSpan w:val="3"/>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180" w:type="dxa"/>
            <w:shd w:val="clear" w:color="auto" w:fill="0000EE"/>
            <w:vAlign w:val="bottom"/>
          </w:tcPr>
          <w:p w:rsidR="00CC2C66" w:rsidRDefault="00CC2C66">
            <w:pPr>
              <w:spacing w:line="20" w:lineRule="exact"/>
              <w:rPr>
                <w:sz w:val="1"/>
                <w:szCs w:val="1"/>
              </w:rPr>
            </w:pPr>
          </w:p>
        </w:tc>
        <w:tc>
          <w:tcPr>
            <w:tcW w:w="300" w:type="dxa"/>
            <w:vAlign w:val="bottom"/>
          </w:tcPr>
          <w:p w:rsidR="00CC2C66" w:rsidRDefault="00CC2C66">
            <w:pPr>
              <w:spacing w:line="20" w:lineRule="exact"/>
              <w:rPr>
                <w:sz w:val="1"/>
                <w:szCs w:val="1"/>
              </w:rPr>
            </w:pPr>
          </w:p>
        </w:tc>
        <w:tc>
          <w:tcPr>
            <w:tcW w:w="300" w:type="dxa"/>
            <w:gridSpan w:val="2"/>
            <w:vAlign w:val="bottom"/>
          </w:tcPr>
          <w:p w:rsidR="00CC2C66" w:rsidRDefault="00CC2C66">
            <w:pPr>
              <w:spacing w:line="20" w:lineRule="exact"/>
              <w:rPr>
                <w:sz w:val="1"/>
                <w:szCs w:val="1"/>
              </w:rPr>
            </w:pPr>
          </w:p>
        </w:tc>
        <w:tc>
          <w:tcPr>
            <w:tcW w:w="120" w:type="dxa"/>
            <w:gridSpan w:val="2"/>
            <w:vAlign w:val="bottom"/>
          </w:tcPr>
          <w:p w:rsidR="00CC2C66" w:rsidRDefault="00CC2C66">
            <w:pPr>
              <w:spacing w:line="20" w:lineRule="exact"/>
              <w:rPr>
                <w:sz w:val="1"/>
                <w:szCs w:val="1"/>
              </w:rPr>
            </w:pPr>
          </w:p>
        </w:tc>
        <w:tc>
          <w:tcPr>
            <w:tcW w:w="120" w:type="dxa"/>
            <w:vAlign w:val="bottom"/>
          </w:tcPr>
          <w:p w:rsidR="00CC2C66" w:rsidRDefault="00CC2C66">
            <w:pPr>
              <w:spacing w:line="20" w:lineRule="exact"/>
              <w:rPr>
                <w:sz w:val="1"/>
                <w:szCs w:val="1"/>
              </w:rPr>
            </w:pPr>
          </w:p>
        </w:tc>
        <w:tc>
          <w:tcPr>
            <w:tcW w:w="500" w:type="dxa"/>
            <w:gridSpan w:val="3"/>
            <w:vAlign w:val="bottom"/>
          </w:tcPr>
          <w:p w:rsidR="00CC2C66" w:rsidRDefault="00CC2C66">
            <w:pPr>
              <w:spacing w:line="20" w:lineRule="exact"/>
              <w:rPr>
                <w:sz w:val="1"/>
                <w:szCs w:val="1"/>
              </w:rPr>
            </w:pPr>
          </w:p>
        </w:tc>
        <w:tc>
          <w:tcPr>
            <w:tcW w:w="780" w:type="dxa"/>
            <w:gridSpan w:val="2"/>
            <w:vAlign w:val="bottom"/>
          </w:tcPr>
          <w:p w:rsidR="00CC2C66" w:rsidRDefault="00CC2C66">
            <w:pPr>
              <w:spacing w:line="20" w:lineRule="exact"/>
              <w:rPr>
                <w:sz w:val="1"/>
                <w:szCs w:val="1"/>
              </w:rPr>
            </w:pPr>
          </w:p>
        </w:tc>
        <w:tc>
          <w:tcPr>
            <w:tcW w:w="120" w:type="dxa"/>
            <w:gridSpan w:val="3"/>
            <w:vAlign w:val="bottom"/>
          </w:tcPr>
          <w:p w:rsidR="00CC2C66" w:rsidRDefault="00CC2C66">
            <w:pPr>
              <w:spacing w:line="20" w:lineRule="exact"/>
              <w:rPr>
                <w:sz w:val="1"/>
                <w:szCs w:val="1"/>
              </w:rPr>
            </w:pPr>
          </w:p>
        </w:tc>
        <w:tc>
          <w:tcPr>
            <w:tcW w:w="2020" w:type="dxa"/>
            <w:gridSpan w:val="4"/>
            <w:vAlign w:val="bottom"/>
          </w:tcPr>
          <w:p w:rsidR="00CC2C66" w:rsidRDefault="00CC2C66">
            <w:pPr>
              <w:spacing w:line="20" w:lineRule="exact"/>
              <w:rPr>
                <w:sz w:val="1"/>
                <w:szCs w:val="1"/>
              </w:rPr>
            </w:pPr>
          </w:p>
        </w:tc>
        <w:tc>
          <w:tcPr>
            <w:tcW w:w="1140" w:type="dxa"/>
            <w:gridSpan w:val="3"/>
            <w:vAlign w:val="bottom"/>
          </w:tcPr>
          <w:p w:rsidR="00CC2C66" w:rsidRDefault="00CC2C66">
            <w:pPr>
              <w:spacing w:line="20" w:lineRule="exact"/>
              <w:rPr>
                <w:sz w:val="1"/>
                <w:szCs w:val="1"/>
              </w:rPr>
            </w:pPr>
          </w:p>
        </w:tc>
        <w:tc>
          <w:tcPr>
            <w:tcW w:w="1140" w:type="dxa"/>
            <w:vAlign w:val="bottom"/>
          </w:tcPr>
          <w:p w:rsidR="00CC2C66" w:rsidRDefault="00CC2C66">
            <w:pPr>
              <w:spacing w:line="20" w:lineRule="exact"/>
              <w:rPr>
                <w:sz w:val="1"/>
                <w:szCs w:val="1"/>
              </w:rPr>
            </w:pPr>
          </w:p>
        </w:tc>
        <w:tc>
          <w:tcPr>
            <w:tcW w:w="1440" w:type="dxa"/>
            <w:vAlign w:val="bottom"/>
          </w:tcPr>
          <w:p w:rsidR="00CC2C66" w:rsidRDefault="00CC2C66">
            <w:pPr>
              <w:spacing w:line="20" w:lineRule="exact"/>
              <w:rPr>
                <w:sz w:val="1"/>
                <w:szCs w:val="1"/>
              </w:rPr>
            </w:pPr>
          </w:p>
        </w:tc>
      </w:tr>
      <w:tr w:rsidR="00CC2C66">
        <w:trPr>
          <w:trHeight w:val="236"/>
        </w:trPr>
        <w:tc>
          <w:tcPr>
            <w:tcW w:w="200" w:type="dxa"/>
            <w:vAlign w:val="bottom"/>
          </w:tcPr>
          <w:p w:rsidR="00CC2C66" w:rsidRDefault="00CC2C66">
            <w:pPr>
              <w:rPr>
                <w:sz w:val="20"/>
                <w:szCs w:val="20"/>
              </w:rPr>
            </w:pPr>
          </w:p>
        </w:tc>
        <w:tc>
          <w:tcPr>
            <w:tcW w:w="8780" w:type="dxa"/>
            <w:gridSpan w:val="27"/>
            <w:vAlign w:val="bottom"/>
          </w:tcPr>
          <w:p w:rsidR="00CC2C66" w:rsidRDefault="00F80B74">
            <w:pPr>
              <w:rPr>
                <w:sz w:val="20"/>
                <w:szCs w:val="20"/>
              </w:rPr>
            </w:pPr>
            <w:r>
              <w:rPr>
                <w:rFonts w:ascii="Arial" w:eastAsia="Arial" w:hAnsi="Arial" w:cs="Arial"/>
                <w:b/>
                <w:bCs/>
                <w:color w:val="0000EE"/>
                <w:sz w:val="19"/>
                <w:szCs w:val="19"/>
              </w:rPr>
              <w:t>Elements of the Executive Compensation Program</w:t>
            </w:r>
          </w:p>
        </w:tc>
        <w:tc>
          <w:tcPr>
            <w:tcW w:w="1440" w:type="dxa"/>
            <w:vAlign w:val="bottom"/>
          </w:tcPr>
          <w:p w:rsidR="00CC2C66" w:rsidRDefault="00F80B74">
            <w:pPr>
              <w:jc w:val="right"/>
              <w:rPr>
                <w:sz w:val="20"/>
                <w:szCs w:val="20"/>
              </w:rPr>
            </w:pPr>
            <w:r>
              <w:rPr>
                <w:rFonts w:ascii="Arial" w:eastAsia="Arial" w:hAnsi="Arial" w:cs="Arial"/>
                <w:sz w:val="19"/>
                <w:szCs w:val="19"/>
              </w:rPr>
              <w:t>36</w:t>
            </w:r>
          </w:p>
        </w:tc>
      </w:tr>
      <w:tr w:rsidR="00CC2C66">
        <w:trPr>
          <w:trHeight w:val="20"/>
        </w:trPr>
        <w:tc>
          <w:tcPr>
            <w:tcW w:w="200" w:type="dxa"/>
            <w:vAlign w:val="bottom"/>
          </w:tcPr>
          <w:p w:rsidR="00CC2C66" w:rsidRDefault="00CC2C66">
            <w:pPr>
              <w:spacing w:line="20" w:lineRule="exact"/>
              <w:rPr>
                <w:sz w:val="1"/>
                <w:szCs w:val="1"/>
              </w:rPr>
            </w:pPr>
          </w:p>
        </w:tc>
        <w:tc>
          <w:tcPr>
            <w:tcW w:w="1860" w:type="dxa"/>
            <w:gridSpan w:val="3"/>
            <w:shd w:val="clear" w:color="auto" w:fill="0000EE"/>
            <w:vAlign w:val="bottom"/>
          </w:tcPr>
          <w:p w:rsidR="00CC2C66" w:rsidRDefault="00CC2C66">
            <w:pPr>
              <w:spacing w:line="20" w:lineRule="exact"/>
              <w:rPr>
                <w:sz w:val="1"/>
                <w:szCs w:val="1"/>
              </w:rPr>
            </w:pPr>
          </w:p>
        </w:tc>
        <w:tc>
          <w:tcPr>
            <w:tcW w:w="200" w:type="dxa"/>
            <w:shd w:val="clear" w:color="auto" w:fill="0000EE"/>
            <w:vAlign w:val="bottom"/>
          </w:tcPr>
          <w:p w:rsidR="00CC2C66" w:rsidRDefault="00CC2C66">
            <w:pPr>
              <w:spacing w:line="20" w:lineRule="exact"/>
              <w:rPr>
                <w:sz w:val="1"/>
                <w:szCs w:val="1"/>
              </w:rPr>
            </w:pPr>
          </w:p>
        </w:tc>
        <w:tc>
          <w:tcPr>
            <w:tcW w:w="480" w:type="dxa"/>
            <w:gridSpan w:val="2"/>
            <w:shd w:val="clear" w:color="auto" w:fill="0000EE"/>
            <w:vAlign w:val="bottom"/>
          </w:tcPr>
          <w:p w:rsidR="00CC2C66" w:rsidRDefault="00CC2C66">
            <w:pPr>
              <w:spacing w:line="20" w:lineRule="exact"/>
              <w:rPr>
                <w:sz w:val="1"/>
                <w:szCs w:val="1"/>
              </w:rPr>
            </w:pPr>
          </w:p>
        </w:tc>
        <w:tc>
          <w:tcPr>
            <w:tcW w:w="300" w:type="dxa"/>
            <w:gridSpan w:val="2"/>
            <w:shd w:val="clear" w:color="auto" w:fill="0000EE"/>
            <w:vAlign w:val="bottom"/>
          </w:tcPr>
          <w:p w:rsidR="00CC2C66" w:rsidRDefault="00CC2C66">
            <w:pPr>
              <w:spacing w:line="20" w:lineRule="exact"/>
              <w:rPr>
                <w:sz w:val="1"/>
                <w:szCs w:val="1"/>
              </w:rPr>
            </w:pPr>
          </w:p>
        </w:tc>
        <w:tc>
          <w:tcPr>
            <w:tcW w:w="120" w:type="dxa"/>
            <w:gridSpan w:val="2"/>
            <w:shd w:val="clear" w:color="auto" w:fill="0000EE"/>
            <w:vAlign w:val="bottom"/>
          </w:tcPr>
          <w:p w:rsidR="00CC2C66" w:rsidRDefault="00CC2C66">
            <w:pPr>
              <w:spacing w:line="20" w:lineRule="exact"/>
              <w:rPr>
                <w:sz w:val="1"/>
                <w:szCs w:val="1"/>
              </w:rPr>
            </w:pPr>
          </w:p>
        </w:tc>
        <w:tc>
          <w:tcPr>
            <w:tcW w:w="120" w:type="dxa"/>
            <w:shd w:val="clear" w:color="auto" w:fill="0000EE"/>
            <w:vAlign w:val="bottom"/>
          </w:tcPr>
          <w:p w:rsidR="00CC2C66" w:rsidRDefault="00CC2C66">
            <w:pPr>
              <w:spacing w:line="20" w:lineRule="exact"/>
              <w:rPr>
                <w:sz w:val="1"/>
                <w:szCs w:val="1"/>
              </w:rPr>
            </w:pPr>
          </w:p>
        </w:tc>
        <w:tc>
          <w:tcPr>
            <w:tcW w:w="500" w:type="dxa"/>
            <w:gridSpan w:val="3"/>
            <w:shd w:val="clear" w:color="auto" w:fill="0000EE"/>
            <w:vAlign w:val="bottom"/>
          </w:tcPr>
          <w:p w:rsidR="00CC2C66" w:rsidRDefault="00CC2C66">
            <w:pPr>
              <w:spacing w:line="20" w:lineRule="exact"/>
              <w:rPr>
                <w:sz w:val="1"/>
                <w:szCs w:val="1"/>
              </w:rPr>
            </w:pPr>
          </w:p>
        </w:tc>
        <w:tc>
          <w:tcPr>
            <w:tcW w:w="780" w:type="dxa"/>
            <w:gridSpan w:val="2"/>
            <w:shd w:val="clear" w:color="auto" w:fill="0000EE"/>
            <w:vAlign w:val="bottom"/>
          </w:tcPr>
          <w:p w:rsidR="00CC2C66" w:rsidRDefault="00CC2C66">
            <w:pPr>
              <w:spacing w:line="20" w:lineRule="exact"/>
              <w:rPr>
                <w:sz w:val="1"/>
                <w:szCs w:val="1"/>
              </w:rPr>
            </w:pPr>
          </w:p>
        </w:tc>
        <w:tc>
          <w:tcPr>
            <w:tcW w:w="120" w:type="dxa"/>
            <w:gridSpan w:val="3"/>
            <w:shd w:val="clear" w:color="auto" w:fill="0000EE"/>
            <w:vAlign w:val="bottom"/>
          </w:tcPr>
          <w:p w:rsidR="00CC2C66" w:rsidRDefault="00CC2C66">
            <w:pPr>
              <w:spacing w:line="20" w:lineRule="exact"/>
              <w:rPr>
                <w:sz w:val="1"/>
                <w:szCs w:val="1"/>
              </w:rPr>
            </w:pPr>
          </w:p>
        </w:tc>
        <w:tc>
          <w:tcPr>
            <w:tcW w:w="2020" w:type="dxa"/>
            <w:gridSpan w:val="4"/>
            <w:vAlign w:val="bottom"/>
          </w:tcPr>
          <w:p w:rsidR="00CC2C66" w:rsidRDefault="00CC2C66">
            <w:pPr>
              <w:spacing w:line="20" w:lineRule="exact"/>
              <w:rPr>
                <w:sz w:val="1"/>
                <w:szCs w:val="1"/>
              </w:rPr>
            </w:pPr>
          </w:p>
        </w:tc>
        <w:tc>
          <w:tcPr>
            <w:tcW w:w="1140" w:type="dxa"/>
            <w:gridSpan w:val="3"/>
            <w:vAlign w:val="bottom"/>
          </w:tcPr>
          <w:p w:rsidR="00CC2C66" w:rsidRDefault="00CC2C66">
            <w:pPr>
              <w:spacing w:line="20" w:lineRule="exact"/>
              <w:rPr>
                <w:sz w:val="1"/>
                <w:szCs w:val="1"/>
              </w:rPr>
            </w:pPr>
          </w:p>
        </w:tc>
        <w:tc>
          <w:tcPr>
            <w:tcW w:w="1140" w:type="dxa"/>
            <w:vAlign w:val="bottom"/>
          </w:tcPr>
          <w:p w:rsidR="00CC2C66" w:rsidRDefault="00CC2C66">
            <w:pPr>
              <w:spacing w:line="20" w:lineRule="exact"/>
              <w:rPr>
                <w:sz w:val="1"/>
                <w:szCs w:val="1"/>
              </w:rPr>
            </w:pPr>
          </w:p>
        </w:tc>
        <w:tc>
          <w:tcPr>
            <w:tcW w:w="1440" w:type="dxa"/>
            <w:vAlign w:val="bottom"/>
          </w:tcPr>
          <w:p w:rsidR="00CC2C66" w:rsidRDefault="00CC2C66">
            <w:pPr>
              <w:spacing w:line="20" w:lineRule="exact"/>
              <w:rPr>
                <w:sz w:val="1"/>
                <w:szCs w:val="1"/>
              </w:rPr>
            </w:pPr>
          </w:p>
        </w:tc>
      </w:tr>
      <w:tr w:rsidR="00CC2C66">
        <w:trPr>
          <w:trHeight w:val="236"/>
        </w:trPr>
        <w:tc>
          <w:tcPr>
            <w:tcW w:w="200" w:type="dxa"/>
            <w:vAlign w:val="bottom"/>
          </w:tcPr>
          <w:p w:rsidR="00CC2C66" w:rsidRDefault="00CC2C66">
            <w:pPr>
              <w:rPr>
                <w:sz w:val="20"/>
                <w:szCs w:val="20"/>
              </w:rPr>
            </w:pPr>
          </w:p>
        </w:tc>
        <w:tc>
          <w:tcPr>
            <w:tcW w:w="8780" w:type="dxa"/>
            <w:gridSpan w:val="27"/>
            <w:vAlign w:val="bottom"/>
          </w:tcPr>
          <w:p w:rsidR="00CC2C66" w:rsidRDefault="00F80B74">
            <w:pPr>
              <w:rPr>
                <w:sz w:val="20"/>
                <w:szCs w:val="20"/>
              </w:rPr>
            </w:pPr>
            <w:r>
              <w:rPr>
                <w:rFonts w:ascii="Arial" w:eastAsia="Arial" w:hAnsi="Arial" w:cs="Arial"/>
                <w:b/>
                <w:bCs/>
                <w:color w:val="0000EE"/>
                <w:sz w:val="19"/>
                <w:szCs w:val="19"/>
              </w:rPr>
              <w:t>2021 Named Executive Officer Compensation and Performance Summary</w:t>
            </w:r>
          </w:p>
        </w:tc>
        <w:tc>
          <w:tcPr>
            <w:tcW w:w="1440" w:type="dxa"/>
            <w:vAlign w:val="bottom"/>
          </w:tcPr>
          <w:p w:rsidR="00CC2C66" w:rsidRDefault="00F80B74">
            <w:pPr>
              <w:jc w:val="right"/>
              <w:rPr>
                <w:sz w:val="20"/>
                <w:szCs w:val="20"/>
              </w:rPr>
            </w:pPr>
            <w:r>
              <w:rPr>
                <w:rFonts w:ascii="Arial" w:eastAsia="Arial" w:hAnsi="Arial" w:cs="Arial"/>
                <w:sz w:val="19"/>
                <w:szCs w:val="19"/>
              </w:rPr>
              <w:t>45</w:t>
            </w:r>
          </w:p>
        </w:tc>
      </w:tr>
      <w:tr w:rsidR="00CC2C66">
        <w:trPr>
          <w:trHeight w:val="236"/>
        </w:trPr>
        <w:tc>
          <w:tcPr>
            <w:tcW w:w="200" w:type="dxa"/>
            <w:vAlign w:val="bottom"/>
          </w:tcPr>
          <w:p w:rsidR="00CC2C66" w:rsidRDefault="00CC2C66">
            <w:pPr>
              <w:rPr>
                <w:sz w:val="20"/>
                <w:szCs w:val="20"/>
              </w:rPr>
            </w:pPr>
          </w:p>
        </w:tc>
        <w:tc>
          <w:tcPr>
            <w:tcW w:w="3580" w:type="dxa"/>
            <w:gridSpan w:val="14"/>
            <w:tcBorders>
              <w:top w:val="single" w:sz="8" w:space="0" w:color="0000EE"/>
              <w:bottom w:val="single" w:sz="8" w:space="0" w:color="0000EE"/>
            </w:tcBorders>
            <w:vAlign w:val="bottom"/>
          </w:tcPr>
          <w:p w:rsidR="00CC2C66" w:rsidRDefault="00F80B74">
            <w:pPr>
              <w:rPr>
                <w:sz w:val="20"/>
                <w:szCs w:val="20"/>
              </w:rPr>
            </w:pPr>
            <w:r>
              <w:rPr>
                <w:rFonts w:ascii="Arial" w:eastAsia="Arial" w:hAnsi="Arial" w:cs="Arial"/>
                <w:b/>
                <w:bCs/>
                <w:color w:val="0000EE"/>
                <w:w w:val="98"/>
                <w:sz w:val="19"/>
                <w:szCs w:val="19"/>
              </w:rPr>
              <w:t>How Compensation Decisions Are Made</w:t>
            </w:r>
          </w:p>
        </w:tc>
        <w:tc>
          <w:tcPr>
            <w:tcW w:w="2920" w:type="dxa"/>
            <w:gridSpan w:val="9"/>
            <w:tcBorders>
              <w:top w:val="single" w:sz="8" w:space="0" w:color="0000EE"/>
            </w:tcBorders>
            <w:vAlign w:val="bottom"/>
          </w:tcPr>
          <w:p w:rsidR="00CC2C66" w:rsidRDefault="00CC2C66">
            <w:pPr>
              <w:rPr>
                <w:sz w:val="20"/>
                <w:szCs w:val="20"/>
              </w:rPr>
            </w:pPr>
          </w:p>
        </w:tc>
        <w:tc>
          <w:tcPr>
            <w:tcW w:w="2280" w:type="dxa"/>
            <w:gridSpan w:val="4"/>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50</w:t>
            </w:r>
          </w:p>
        </w:tc>
      </w:tr>
      <w:tr w:rsidR="00CC2C66">
        <w:trPr>
          <w:trHeight w:val="236"/>
        </w:trPr>
        <w:tc>
          <w:tcPr>
            <w:tcW w:w="200" w:type="dxa"/>
            <w:vAlign w:val="bottom"/>
          </w:tcPr>
          <w:p w:rsidR="00CC2C66" w:rsidRDefault="00CC2C66">
            <w:pPr>
              <w:rPr>
                <w:sz w:val="20"/>
                <w:szCs w:val="20"/>
              </w:rPr>
            </w:pPr>
          </w:p>
        </w:tc>
        <w:tc>
          <w:tcPr>
            <w:tcW w:w="2060" w:type="dxa"/>
            <w:gridSpan w:val="4"/>
            <w:tcBorders>
              <w:bottom w:val="single" w:sz="8" w:space="0" w:color="0000EE"/>
            </w:tcBorders>
            <w:vAlign w:val="bottom"/>
          </w:tcPr>
          <w:p w:rsidR="00CC2C66" w:rsidRDefault="00F80B74">
            <w:pPr>
              <w:rPr>
                <w:sz w:val="20"/>
                <w:szCs w:val="20"/>
              </w:rPr>
            </w:pPr>
            <w:r>
              <w:rPr>
                <w:rFonts w:ascii="Arial" w:eastAsia="Arial" w:hAnsi="Arial" w:cs="Arial"/>
                <w:b/>
                <w:bCs/>
                <w:color w:val="0000EE"/>
                <w:w w:val="97"/>
                <w:sz w:val="19"/>
                <w:szCs w:val="19"/>
              </w:rPr>
              <w:t>Compensation Policies</w:t>
            </w:r>
          </w:p>
        </w:tc>
        <w:tc>
          <w:tcPr>
            <w:tcW w:w="6720" w:type="dxa"/>
            <w:gridSpan w:val="23"/>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52</w:t>
            </w:r>
          </w:p>
        </w:tc>
      </w:tr>
      <w:tr w:rsidR="00CC2C66">
        <w:trPr>
          <w:trHeight w:val="236"/>
        </w:trPr>
        <w:tc>
          <w:tcPr>
            <w:tcW w:w="200" w:type="dxa"/>
            <w:vAlign w:val="bottom"/>
          </w:tcPr>
          <w:p w:rsidR="00CC2C66" w:rsidRDefault="00CC2C66">
            <w:pPr>
              <w:rPr>
                <w:sz w:val="20"/>
                <w:szCs w:val="20"/>
              </w:rPr>
            </w:pPr>
          </w:p>
        </w:tc>
        <w:tc>
          <w:tcPr>
            <w:tcW w:w="8780" w:type="dxa"/>
            <w:gridSpan w:val="27"/>
            <w:vAlign w:val="bottom"/>
          </w:tcPr>
          <w:p w:rsidR="00CC2C66" w:rsidRDefault="00F80B74">
            <w:pPr>
              <w:rPr>
                <w:sz w:val="20"/>
                <w:szCs w:val="20"/>
              </w:rPr>
            </w:pPr>
            <w:r>
              <w:rPr>
                <w:rFonts w:ascii="Arial" w:eastAsia="Arial" w:hAnsi="Arial" w:cs="Arial"/>
                <w:b/>
                <w:bCs/>
                <w:color w:val="0000EE"/>
                <w:sz w:val="19"/>
                <w:szCs w:val="19"/>
              </w:rPr>
              <w:t>Compensation Committee Report</w:t>
            </w:r>
          </w:p>
        </w:tc>
        <w:tc>
          <w:tcPr>
            <w:tcW w:w="1440" w:type="dxa"/>
            <w:vAlign w:val="bottom"/>
          </w:tcPr>
          <w:p w:rsidR="00CC2C66" w:rsidRDefault="00F80B74">
            <w:pPr>
              <w:jc w:val="right"/>
              <w:rPr>
                <w:sz w:val="20"/>
                <w:szCs w:val="20"/>
              </w:rPr>
            </w:pPr>
            <w:r>
              <w:rPr>
                <w:rFonts w:ascii="Arial" w:eastAsia="Arial" w:hAnsi="Arial" w:cs="Arial"/>
                <w:sz w:val="19"/>
                <w:szCs w:val="19"/>
              </w:rPr>
              <w:t>53</w:t>
            </w:r>
          </w:p>
        </w:tc>
      </w:tr>
      <w:tr w:rsidR="00CC2C66">
        <w:trPr>
          <w:trHeight w:val="236"/>
        </w:trPr>
        <w:tc>
          <w:tcPr>
            <w:tcW w:w="200" w:type="dxa"/>
            <w:vAlign w:val="bottom"/>
          </w:tcPr>
          <w:p w:rsidR="00CC2C66" w:rsidRDefault="00CC2C66">
            <w:pPr>
              <w:rPr>
                <w:sz w:val="20"/>
                <w:szCs w:val="20"/>
              </w:rPr>
            </w:pPr>
          </w:p>
        </w:tc>
        <w:tc>
          <w:tcPr>
            <w:tcW w:w="2960" w:type="dxa"/>
            <w:gridSpan w:val="10"/>
            <w:tcBorders>
              <w:top w:val="single" w:sz="8" w:space="0" w:color="0000EE"/>
            </w:tcBorders>
            <w:vAlign w:val="bottom"/>
          </w:tcPr>
          <w:p w:rsidR="00CC2C66" w:rsidRDefault="00F80B74">
            <w:pPr>
              <w:rPr>
                <w:sz w:val="20"/>
                <w:szCs w:val="20"/>
              </w:rPr>
            </w:pPr>
            <w:r>
              <w:rPr>
                <w:rFonts w:ascii="Arial" w:eastAsia="Arial" w:hAnsi="Arial" w:cs="Arial"/>
                <w:b/>
                <w:bCs/>
                <w:color w:val="0000EE"/>
                <w:sz w:val="19"/>
                <w:szCs w:val="19"/>
              </w:rPr>
              <w:t>Executive Compensation Tables</w:t>
            </w:r>
          </w:p>
        </w:tc>
        <w:tc>
          <w:tcPr>
            <w:tcW w:w="5820" w:type="dxa"/>
            <w:gridSpan w:val="17"/>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54</w:t>
            </w:r>
          </w:p>
        </w:tc>
      </w:tr>
      <w:tr w:rsidR="00CC2C66">
        <w:trPr>
          <w:trHeight w:val="236"/>
        </w:trPr>
        <w:tc>
          <w:tcPr>
            <w:tcW w:w="200" w:type="dxa"/>
            <w:vAlign w:val="bottom"/>
          </w:tcPr>
          <w:p w:rsidR="00CC2C66" w:rsidRDefault="00CC2C66">
            <w:pPr>
              <w:rPr>
                <w:sz w:val="20"/>
                <w:szCs w:val="20"/>
              </w:rPr>
            </w:pPr>
          </w:p>
        </w:tc>
        <w:tc>
          <w:tcPr>
            <w:tcW w:w="1860" w:type="dxa"/>
            <w:gridSpan w:val="3"/>
            <w:tcBorders>
              <w:top w:val="single" w:sz="8" w:space="0" w:color="0000EE"/>
              <w:bottom w:val="single" w:sz="8" w:space="0" w:color="0000EE"/>
            </w:tcBorders>
            <w:vAlign w:val="bottom"/>
          </w:tcPr>
          <w:p w:rsidR="00CC2C66" w:rsidRDefault="00F80B74">
            <w:pPr>
              <w:rPr>
                <w:sz w:val="20"/>
                <w:szCs w:val="20"/>
              </w:rPr>
            </w:pPr>
            <w:r>
              <w:rPr>
                <w:rFonts w:ascii="Arial" w:eastAsia="Arial" w:hAnsi="Arial" w:cs="Arial"/>
                <w:b/>
                <w:bCs/>
                <w:color w:val="0000EE"/>
                <w:w w:val="97"/>
                <w:sz w:val="19"/>
                <w:szCs w:val="19"/>
              </w:rPr>
              <w:t>Pay Ratio Disclosure</w:t>
            </w:r>
          </w:p>
        </w:tc>
        <w:tc>
          <w:tcPr>
            <w:tcW w:w="980" w:type="dxa"/>
            <w:gridSpan w:val="5"/>
            <w:tcBorders>
              <w:top w:val="single" w:sz="8" w:space="0" w:color="0000EE"/>
            </w:tcBorders>
            <w:vAlign w:val="bottom"/>
          </w:tcPr>
          <w:p w:rsidR="00CC2C66" w:rsidRDefault="00CC2C66">
            <w:pPr>
              <w:rPr>
                <w:sz w:val="20"/>
                <w:szCs w:val="20"/>
              </w:rPr>
            </w:pPr>
          </w:p>
        </w:tc>
        <w:tc>
          <w:tcPr>
            <w:tcW w:w="5940" w:type="dxa"/>
            <w:gridSpan w:val="19"/>
            <w:vAlign w:val="bottom"/>
          </w:tcPr>
          <w:p w:rsidR="00CC2C66" w:rsidRDefault="00CC2C66">
            <w:pPr>
              <w:rPr>
                <w:sz w:val="20"/>
                <w:szCs w:val="20"/>
              </w:rPr>
            </w:pPr>
          </w:p>
        </w:tc>
        <w:tc>
          <w:tcPr>
            <w:tcW w:w="1440" w:type="dxa"/>
            <w:vAlign w:val="bottom"/>
          </w:tcPr>
          <w:p w:rsidR="00CC2C66" w:rsidRDefault="00F80B74">
            <w:pPr>
              <w:jc w:val="right"/>
              <w:rPr>
                <w:sz w:val="20"/>
                <w:szCs w:val="20"/>
              </w:rPr>
            </w:pPr>
            <w:r>
              <w:rPr>
                <w:rFonts w:ascii="Arial" w:eastAsia="Arial" w:hAnsi="Arial" w:cs="Arial"/>
                <w:sz w:val="19"/>
                <w:szCs w:val="19"/>
              </w:rPr>
              <w:t>66</w:t>
            </w:r>
          </w:p>
        </w:tc>
      </w:tr>
      <w:tr w:rsidR="00CC2C66">
        <w:trPr>
          <w:trHeight w:val="402"/>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2021 DIRECTOR COMPENSATION</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68</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00" w:type="dxa"/>
            <w:tcBorders>
              <w:bottom w:val="single" w:sz="8" w:space="0" w:color="CF0A2C"/>
            </w:tcBorders>
            <w:vAlign w:val="bottom"/>
          </w:tcPr>
          <w:p w:rsidR="00CC2C66" w:rsidRDefault="00CC2C66">
            <w:pPr>
              <w:spacing w:line="20" w:lineRule="exact"/>
              <w:rPr>
                <w:sz w:val="1"/>
                <w:szCs w:val="1"/>
              </w:rPr>
            </w:pPr>
          </w:p>
        </w:tc>
        <w:tc>
          <w:tcPr>
            <w:tcW w:w="280" w:type="dxa"/>
            <w:tcBorders>
              <w:bottom w:val="single" w:sz="8" w:space="0" w:color="CF0A2C"/>
            </w:tcBorders>
            <w:vAlign w:val="bottom"/>
          </w:tcPr>
          <w:p w:rsidR="00CC2C66" w:rsidRDefault="00CC2C66">
            <w:pPr>
              <w:spacing w:line="20" w:lineRule="exact"/>
              <w:rPr>
                <w:sz w:val="1"/>
                <w:szCs w:val="1"/>
              </w:rPr>
            </w:pPr>
          </w:p>
        </w:tc>
        <w:tc>
          <w:tcPr>
            <w:tcW w:w="74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6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14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26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780" w:type="dxa"/>
            <w:tcBorders>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r w:rsidR="00CC2C66">
        <w:trPr>
          <w:trHeight w:val="374"/>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EQUITY COMPENSATION PLAN INFORMATION</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70</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7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14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26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780" w:type="dxa"/>
            <w:tcBorders>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r w:rsidR="00CC2C66">
        <w:trPr>
          <w:trHeight w:val="374"/>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ADDITIONAL INFORMATION</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71</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18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00" w:type="dxa"/>
            <w:tcBorders>
              <w:bottom w:val="single" w:sz="8" w:space="0" w:color="CF0A2C"/>
            </w:tcBorders>
            <w:vAlign w:val="bottom"/>
          </w:tcPr>
          <w:p w:rsidR="00CC2C66" w:rsidRDefault="00CC2C66">
            <w:pPr>
              <w:spacing w:line="20" w:lineRule="exact"/>
              <w:rPr>
                <w:sz w:val="1"/>
                <w:szCs w:val="1"/>
              </w:rPr>
            </w:pPr>
          </w:p>
        </w:tc>
        <w:tc>
          <w:tcPr>
            <w:tcW w:w="280" w:type="dxa"/>
            <w:tcBorders>
              <w:bottom w:val="single" w:sz="8" w:space="0" w:color="CF0A2C"/>
            </w:tcBorders>
            <w:vAlign w:val="bottom"/>
          </w:tcPr>
          <w:p w:rsidR="00CC2C66" w:rsidRDefault="00CC2C66">
            <w:pPr>
              <w:spacing w:line="20" w:lineRule="exact"/>
              <w:rPr>
                <w:sz w:val="1"/>
                <w:szCs w:val="1"/>
              </w:rPr>
            </w:pPr>
          </w:p>
        </w:tc>
        <w:tc>
          <w:tcPr>
            <w:tcW w:w="74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60" w:type="dxa"/>
            <w:tcBorders>
              <w:bottom w:val="single" w:sz="8" w:space="0" w:color="CF0A2C"/>
            </w:tcBorders>
            <w:vAlign w:val="bottom"/>
          </w:tcPr>
          <w:p w:rsidR="00CC2C66" w:rsidRDefault="00CC2C66">
            <w:pPr>
              <w:spacing w:line="20" w:lineRule="exact"/>
              <w:rPr>
                <w:sz w:val="1"/>
                <w:szCs w:val="1"/>
              </w:rPr>
            </w:pPr>
          </w:p>
        </w:tc>
        <w:tc>
          <w:tcPr>
            <w:tcW w:w="40" w:type="dxa"/>
            <w:tcBorders>
              <w:bottom w:val="single" w:sz="8" w:space="0" w:color="CF0A2C"/>
            </w:tcBorders>
            <w:vAlign w:val="bottom"/>
          </w:tcPr>
          <w:p w:rsidR="00CC2C66" w:rsidRDefault="00CC2C66">
            <w:pPr>
              <w:spacing w:line="20" w:lineRule="exact"/>
              <w:rPr>
                <w:sz w:val="1"/>
                <w:szCs w:val="1"/>
              </w:rPr>
            </w:pPr>
          </w:p>
        </w:tc>
        <w:tc>
          <w:tcPr>
            <w:tcW w:w="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1420" w:type="dxa"/>
            <w:tcBorders>
              <w:bottom w:val="single" w:sz="8" w:space="0" w:color="CF0A2C"/>
            </w:tcBorders>
            <w:vAlign w:val="bottom"/>
          </w:tcPr>
          <w:p w:rsidR="00CC2C66" w:rsidRDefault="00CC2C66">
            <w:pPr>
              <w:spacing w:line="20" w:lineRule="exact"/>
              <w:rPr>
                <w:sz w:val="1"/>
                <w:szCs w:val="1"/>
              </w:rPr>
            </w:pPr>
          </w:p>
        </w:tc>
        <w:tc>
          <w:tcPr>
            <w:tcW w:w="120" w:type="dxa"/>
            <w:tcBorders>
              <w:bottom w:val="single" w:sz="8" w:space="0" w:color="CF0A2C"/>
            </w:tcBorders>
            <w:vAlign w:val="bottom"/>
          </w:tcPr>
          <w:p w:rsidR="00CC2C66" w:rsidRDefault="00CC2C66">
            <w:pPr>
              <w:spacing w:line="20" w:lineRule="exact"/>
              <w:rPr>
                <w:sz w:val="1"/>
                <w:szCs w:val="1"/>
              </w:rPr>
            </w:pPr>
          </w:p>
        </w:tc>
        <w:tc>
          <w:tcPr>
            <w:tcW w:w="240" w:type="dxa"/>
            <w:tcBorders>
              <w:bottom w:val="single" w:sz="8" w:space="0" w:color="CF0A2C"/>
            </w:tcBorders>
            <w:vAlign w:val="bottom"/>
          </w:tcPr>
          <w:p w:rsidR="00CC2C66" w:rsidRDefault="00CC2C66">
            <w:pPr>
              <w:spacing w:line="20" w:lineRule="exact"/>
              <w:rPr>
                <w:sz w:val="1"/>
                <w:szCs w:val="1"/>
              </w:rPr>
            </w:pPr>
          </w:p>
        </w:tc>
        <w:tc>
          <w:tcPr>
            <w:tcW w:w="260" w:type="dxa"/>
            <w:tcBorders>
              <w:bottom w:val="single" w:sz="8" w:space="0" w:color="CF0A2C"/>
            </w:tcBorders>
            <w:vAlign w:val="bottom"/>
          </w:tcPr>
          <w:p w:rsidR="00CC2C66" w:rsidRDefault="00CC2C66">
            <w:pPr>
              <w:spacing w:line="20" w:lineRule="exact"/>
              <w:rPr>
                <w:sz w:val="1"/>
                <w:szCs w:val="1"/>
              </w:rPr>
            </w:pPr>
          </w:p>
        </w:tc>
        <w:tc>
          <w:tcPr>
            <w:tcW w:w="100" w:type="dxa"/>
            <w:tcBorders>
              <w:bottom w:val="single" w:sz="8" w:space="0" w:color="CF0A2C"/>
            </w:tcBorders>
            <w:vAlign w:val="bottom"/>
          </w:tcPr>
          <w:p w:rsidR="00CC2C66" w:rsidRDefault="00CC2C66">
            <w:pPr>
              <w:spacing w:line="20" w:lineRule="exact"/>
              <w:rPr>
                <w:sz w:val="1"/>
                <w:szCs w:val="1"/>
              </w:rPr>
            </w:pPr>
          </w:p>
        </w:tc>
        <w:tc>
          <w:tcPr>
            <w:tcW w:w="780" w:type="dxa"/>
            <w:tcBorders>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r w:rsidR="00CC2C66">
        <w:trPr>
          <w:trHeight w:val="374"/>
        </w:trPr>
        <w:tc>
          <w:tcPr>
            <w:tcW w:w="8980" w:type="dxa"/>
            <w:gridSpan w:val="28"/>
            <w:vAlign w:val="bottom"/>
          </w:tcPr>
          <w:p w:rsidR="00CC2C66" w:rsidRDefault="00F80B74">
            <w:pPr>
              <w:rPr>
                <w:sz w:val="20"/>
                <w:szCs w:val="20"/>
              </w:rPr>
            </w:pPr>
            <w:r>
              <w:rPr>
                <w:rFonts w:ascii="Arial" w:eastAsia="Arial" w:hAnsi="Arial" w:cs="Arial"/>
                <w:b/>
                <w:bCs/>
                <w:color w:val="0000EE"/>
                <w:sz w:val="20"/>
                <w:szCs w:val="20"/>
              </w:rPr>
              <w:t>APPENDIX A – YUM CHINA HOLDINGS, INC. 2022 LONG TERM INCENTIVE PLAN</w:t>
            </w:r>
          </w:p>
        </w:tc>
        <w:tc>
          <w:tcPr>
            <w:tcW w:w="1440" w:type="dxa"/>
            <w:vAlign w:val="bottom"/>
          </w:tcPr>
          <w:p w:rsidR="00CC2C66" w:rsidRDefault="00F80B74">
            <w:pPr>
              <w:jc w:val="right"/>
              <w:rPr>
                <w:sz w:val="20"/>
                <w:szCs w:val="20"/>
              </w:rPr>
            </w:pPr>
            <w:r>
              <w:rPr>
                <w:rFonts w:ascii="Arial" w:eastAsia="Arial" w:hAnsi="Arial" w:cs="Arial"/>
                <w:b/>
                <w:bCs/>
                <w:color w:val="CF0A2C"/>
                <w:sz w:val="20"/>
                <w:szCs w:val="20"/>
              </w:rPr>
              <w:t>74</w:t>
            </w:r>
          </w:p>
        </w:tc>
      </w:tr>
      <w:tr w:rsidR="00CC2C66">
        <w:trPr>
          <w:trHeight w:val="20"/>
        </w:trPr>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9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3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7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6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4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2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4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26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0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780" w:type="dxa"/>
            <w:tcBorders>
              <w:top w:val="single" w:sz="8" w:space="0" w:color="0000EE"/>
              <w:bottom w:val="single" w:sz="8" w:space="0" w:color="CF0A2C"/>
            </w:tcBorders>
            <w:vAlign w:val="bottom"/>
          </w:tcPr>
          <w:p w:rsidR="00CC2C66" w:rsidRDefault="00CC2C66">
            <w:pPr>
              <w:spacing w:line="20" w:lineRule="exact"/>
              <w:rPr>
                <w:sz w:val="1"/>
                <w:szCs w:val="1"/>
              </w:rPr>
            </w:pPr>
          </w:p>
        </w:tc>
        <w:tc>
          <w:tcPr>
            <w:tcW w:w="1140" w:type="dxa"/>
            <w:tcBorders>
              <w:bottom w:val="single" w:sz="8" w:space="0" w:color="CF0A2C"/>
            </w:tcBorders>
            <w:vAlign w:val="bottom"/>
          </w:tcPr>
          <w:p w:rsidR="00CC2C66" w:rsidRDefault="00CC2C66">
            <w:pPr>
              <w:spacing w:line="20" w:lineRule="exact"/>
              <w:rPr>
                <w:sz w:val="1"/>
                <w:szCs w:val="1"/>
              </w:rPr>
            </w:pPr>
          </w:p>
        </w:tc>
        <w:tc>
          <w:tcPr>
            <w:tcW w:w="1440" w:type="dxa"/>
            <w:tcBorders>
              <w:bottom w:val="single" w:sz="8" w:space="0" w:color="CF0A2C"/>
            </w:tcBorders>
            <w:vAlign w:val="bottom"/>
          </w:tcPr>
          <w:p w:rsidR="00CC2C66" w:rsidRDefault="00CC2C66">
            <w:pPr>
              <w:spacing w:line="20" w:lineRule="exact"/>
              <w:rPr>
                <w:sz w:val="1"/>
                <w:szCs w:val="1"/>
              </w:rPr>
            </w:pPr>
          </w:p>
        </w:tc>
      </w:tr>
    </w:tbl>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7" w:name="page7"/>
      <w:bookmarkEnd w:id="7"/>
      <w:r>
        <w:rPr>
          <w:rFonts w:eastAsia="Times New Roman"/>
          <w:b/>
          <w:bCs/>
          <w:noProof/>
          <w:color w:val="0000EE"/>
          <w:sz w:val="17"/>
          <w:szCs w:val="17"/>
          <w:u w:val="single"/>
        </w:rPr>
        <w:lastRenderedPageBreak/>
        <w:drawing>
          <wp:anchor distT="0" distB="0" distL="114300" distR="114300" simplePos="0" relativeHeight="25150054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01568" behindDoc="1" locked="0" layoutInCell="0" allowOverlap="1">
            <wp:simplePos x="0" y="0"/>
            <wp:positionH relativeFrom="column">
              <wp:posOffset>260985</wp:posOffset>
            </wp:positionH>
            <wp:positionV relativeFrom="paragraph">
              <wp:posOffset>196850</wp:posOffset>
            </wp:positionV>
            <wp:extent cx="6620510" cy="7061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blip>
                    <a:srcRect/>
                    <a:stretch>
                      <a:fillRect/>
                    </a:stretch>
                  </pic:blipFill>
                  <pic:spPr bwMode="auto">
                    <a:xfrm>
                      <a:off x="0" y="0"/>
                      <a:ext cx="6620510" cy="70612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spacing w:line="285" w:lineRule="auto"/>
        <w:ind w:left="500" w:right="2840"/>
        <w:rPr>
          <w:sz w:val="20"/>
          <w:szCs w:val="20"/>
        </w:rPr>
      </w:pPr>
      <w:r>
        <w:rPr>
          <w:rFonts w:ascii="Arial" w:eastAsia="Arial" w:hAnsi="Arial" w:cs="Arial"/>
          <w:b/>
          <w:bCs/>
          <w:color w:val="FFFFFF"/>
          <w:sz w:val="31"/>
          <w:szCs w:val="31"/>
        </w:rPr>
        <w:t xml:space="preserve">QUESTIONS AND ANSWERS ABOUT THE SPECIAL MEETING AND </w:t>
      </w:r>
      <w:r>
        <w:rPr>
          <w:rFonts w:ascii="Arial" w:eastAsia="Arial" w:hAnsi="Arial" w:cs="Arial"/>
          <w:b/>
          <w:bCs/>
          <w:color w:val="FFFFFF"/>
          <w:sz w:val="31"/>
          <w:szCs w:val="31"/>
        </w:rPr>
        <w:t>VOTING</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94" w:lineRule="exact"/>
        <w:rPr>
          <w:sz w:val="20"/>
          <w:szCs w:val="20"/>
        </w:rPr>
      </w:pPr>
    </w:p>
    <w:p w:rsidR="00CC2C66" w:rsidRDefault="00F80B74">
      <w:pPr>
        <w:spacing w:line="245" w:lineRule="auto"/>
        <w:ind w:left="420"/>
        <w:jc w:val="both"/>
        <w:rPr>
          <w:sz w:val="20"/>
          <w:szCs w:val="20"/>
        </w:rPr>
      </w:pPr>
      <w:r>
        <w:rPr>
          <w:rFonts w:eastAsia="Times New Roman"/>
          <w:sz w:val="19"/>
          <w:szCs w:val="19"/>
        </w:rPr>
        <w:t xml:space="preserve">The Board of the Company solicits the enclosed proxy for use at the Special Meeting to be held at 8:00 a.m. Beijing/Hong Kong time on Tuesday, October 11, 2022 / 8:00 p.m. U.S. Eastern time on Monday, October 10, 2022. The </w:t>
      </w:r>
      <w:r>
        <w:rPr>
          <w:rFonts w:eastAsia="Times New Roman"/>
          <w:sz w:val="19"/>
          <w:szCs w:val="19"/>
        </w:rPr>
        <w:t>Special Meeting will be held in a virtual-only format, through a</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74" w:lineRule="exact"/>
        <w:rPr>
          <w:sz w:val="20"/>
          <w:szCs w:val="20"/>
        </w:rPr>
      </w:pPr>
    </w:p>
    <w:p w:rsidR="00CC2C66" w:rsidRDefault="00F80B74">
      <w:pPr>
        <w:spacing w:line="247" w:lineRule="auto"/>
        <w:jc w:val="both"/>
        <w:rPr>
          <w:sz w:val="20"/>
          <w:szCs w:val="20"/>
        </w:rPr>
      </w:pPr>
      <w:r>
        <w:rPr>
          <w:rFonts w:eastAsia="Times New Roman"/>
          <w:sz w:val="19"/>
          <w:szCs w:val="19"/>
        </w:rPr>
        <w:t xml:space="preserve">live audio webcast. The Special Meeting will only be conducted via webcast; there will be no physical meeting location. This proxy statement contains information about the matters to be </w:t>
      </w:r>
      <w:r>
        <w:rPr>
          <w:rFonts w:eastAsia="Times New Roman"/>
          <w:sz w:val="19"/>
          <w:szCs w:val="19"/>
        </w:rPr>
        <w:t>voted on at the Special Meeting and the voting process.</w:t>
      </w:r>
    </w:p>
    <w:p w:rsidR="00CC2C66" w:rsidRDefault="00CC2C66">
      <w:pPr>
        <w:spacing w:line="415"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77" w:lineRule="exact"/>
        <w:rPr>
          <w:sz w:val="20"/>
          <w:szCs w:val="20"/>
        </w:rPr>
      </w:pPr>
    </w:p>
    <w:p w:rsidR="00CC2C66" w:rsidRDefault="00F80B74">
      <w:pPr>
        <w:ind w:left="420"/>
        <w:rPr>
          <w:sz w:val="20"/>
          <w:szCs w:val="20"/>
        </w:rPr>
      </w:pPr>
      <w:r>
        <w:rPr>
          <w:rFonts w:ascii="Arial" w:eastAsia="Arial" w:hAnsi="Arial" w:cs="Arial"/>
          <w:b/>
          <w:bCs/>
          <w:color w:val="CF0A2C"/>
          <w:sz w:val="30"/>
          <w:szCs w:val="30"/>
        </w:rPr>
        <w:t>Why has the Board of Directors called a Special Meeting?</w:t>
      </w:r>
    </w:p>
    <w:p w:rsidR="00CC2C66" w:rsidRDefault="00F80B74">
      <w:pPr>
        <w:spacing w:line="20" w:lineRule="exact"/>
        <w:rPr>
          <w:sz w:val="20"/>
          <w:szCs w:val="20"/>
        </w:rPr>
      </w:pPr>
      <w:r>
        <w:rPr>
          <w:noProof/>
          <w:sz w:val="20"/>
          <w:szCs w:val="20"/>
        </w:rPr>
        <w:drawing>
          <wp:anchor distT="0" distB="0" distL="114300" distR="114300" simplePos="0" relativeHeight="251502592"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46" w:lineRule="exact"/>
        <w:rPr>
          <w:sz w:val="20"/>
          <w:szCs w:val="20"/>
        </w:rPr>
      </w:pPr>
    </w:p>
    <w:p w:rsidR="00CC2C66" w:rsidRDefault="00F80B74">
      <w:pPr>
        <w:spacing w:line="255" w:lineRule="auto"/>
        <w:ind w:left="420"/>
        <w:jc w:val="both"/>
        <w:rPr>
          <w:sz w:val="20"/>
          <w:szCs w:val="20"/>
        </w:rPr>
      </w:pPr>
      <w:r>
        <w:rPr>
          <w:rFonts w:eastAsia="Times New Roman"/>
          <w:sz w:val="18"/>
          <w:szCs w:val="18"/>
        </w:rPr>
        <w:t>The Board called the Special Meeting in order to seek stockholder approval of certain</w:t>
      </w:r>
      <w:r>
        <w:rPr>
          <w:rFonts w:eastAsia="Times New Roman"/>
          <w:sz w:val="18"/>
          <w:szCs w:val="18"/>
        </w:rPr>
        <w:t xml:space="preserve"> matters to facilitate a voluntary conversion of the Company’s listing status from secondary to primary listing on the Hong Kong Stock Exchange. On September 10, 2020, the Company’s shares of common stock began trading on the Hong Kong Stock Exchange as a </w:t>
      </w:r>
      <w:r>
        <w:rPr>
          <w:rFonts w:eastAsia="Times New Roman"/>
          <w:sz w:val="18"/>
          <w:szCs w:val="18"/>
        </w:rPr>
        <w:t>secondary-listed company, while also concurrently being primary listed and traded on the NYSE. The Board has determined that the Primary Conversion will provide strategic benefits to the Company, including enhancing our stock trading on an exchange that is</w:t>
      </w:r>
      <w:r>
        <w:rPr>
          <w:rFonts w:eastAsia="Times New Roman"/>
          <w:sz w:val="18"/>
          <w:szCs w:val="18"/>
        </w:rPr>
        <w:t xml:space="preserve"> closer to where we operate, and thus, to our employees, customers and other stakeholders, further broadening our shareholder universe and increasing liquidity.</w:t>
      </w:r>
    </w:p>
    <w:p w:rsidR="00CC2C66" w:rsidRDefault="00CC2C66">
      <w:pPr>
        <w:spacing w:line="172" w:lineRule="exact"/>
        <w:rPr>
          <w:sz w:val="20"/>
          <w:szCs w:val="20"/>
        </w:rPr>
      </w:pPr>
    </w:p>
    <w:p w:rsidR="00CC2C66" w:rsidRDefault="00F80B74">
      <w:pPr>
        <w:ind w:left="420"/>
        <w:jc w:val="both"/>
        <w:rPr>
          <w:sz w:val="20"/>
          <w:szCs w:val="20"/>
        </w:rPr>
      </w:pPr>
      <w:r>
        <w:rPr>
          <w:rFonts w:eastAsia="Times New Roman"/>
          <w:sz w:val="19"/>
          <w:szCs w:val="19"/>
        </w:rPr>
        <w:t>In addition, our Board considered that the Primary Conversion will mitigate the delisting risk</w:t>
      </w:r>
      <w:r>
        <w:rPr>
          <w:rFonts w:eastAsia="Times New Roman"/>
          <w:sz w:val="19"/>
          <w:szCs w:val="19"/>
        </w:rPr>
        <w:t xml:space="preserve"> that the Company faces on the NYSE pursuant to the SEC’s implementation of the Holding Foreign Companies Accountable Act (the “</w:t>
      </w:r>
      <w:r>
        <w:rPr>
          <w:rFonts w:eastAsia="Times New Roman"/>
          <w:b/>
          <w:bCs/>
          <w:i/>
          <w:iCs/>
          <w:sz w:val="19"/>
          <w:szCs w:val="19"/>
        </w:rPr>
        <w:t>Act</w:t>
      </w:r>
      <w:r>
        <w:rPr>
          <w:rFonts w:eastAsia="Times New Roman"/>
          <w:sz w:val="19"/>
          <w:szCs w:val="19"/>
        </w:rPr>
        <w:t>”), which was signed into law on December 18, 2020. The Act requires the SEC to prohibit the securities of any “covered issue</w:t>
      </w:r>
      <w:r>
        <w:rPr>
          <w:rFonts w:eastAsia="Times New Roman"/>
          <w:sz w:val="19"/>
          <w:szCs w:val="19"/>
        </w:rPr>
        <w:t>r,” including the Company, from being traded on any of the U.S. securities exchanges, including the NYSE, or traded “over-the-counter,” if the auditor of the covered issuer’s financial statements is not subject to inspection by the Public Company Accountin</w:t>
      </w:r>
      <w:r>
        <w:rPr>
          <w:rFonts w:eastAsia="Times New Roman"/>
          <w:sz w:val="19"/>
          <w:szCs w:val="19"/>
        </w:rPr>
        <w:t>g Oversight Board (the “</w:t>
      </w:r>
      <w:r>
        <w:rPr>
          <w:rFonts w:eastAsia="Times New Roman"/>
          <w:b/>
          <w:bCs/>
          <w:i/>
          <w:iCs/>
          <w:sz w:val="19"/>
          <w:szCs w:val="19"/>
        </w:rPr>
        <w:t>PCAOB</w:t>
      </w:r>
      <w:r>
        <w:rPr>
          <w:rFonts w:eastAsia="Times New Roman"/>
          <w:sz w:val="19"/>
          <w:szCs w:val="19"/>
        </w:rPr>
        <w:t>”) for three consecutive years, beginning in 2021. On December 2, 2021, the SEC adopted final rules implementing the Act, pursuant to which the SEC will identify companies subject to the Act, known as “</w:t>
      </w:r>
      <w:r>
        <w:rPr>
          <w:rFonts w:eastAsia="Times New Roman"/>
          <w:b/>
          <w:bCs/>
          <w:i/>
          <w:iCs/>
          <w:sz w:val="19"/>
          <w:szCs w:val="19"/>
        </w:rPr>
        <w:t>Commission-Identified Iss</w:t>
      </w:r>
      <w:r>
        <w:rPr>
          <w:rFonts w:eastAsia="Times New Roman"/>
          <w:b/>
          <w:bCs/>
          <w:i/>
          <w:iCs/>
          <w:sz w:val="19"/>
          <w:szCs w:val="19"/>
        </w:rPr>
        <w:t>uers</w:t>
      </w:r>
      <w:r>
        <w:rPr>
          <w:rFonts w:eastAsia="Times New Roman"/>
          <w:sz w:val="19"/>
          <w:szCs w:val="19"/>
        </w:rPr>
        <w:t>,” as early as possible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26" w:lineRule="exact"/>
        <w:rPr>
          <w:sz w:val="20"/>
          <w:szCs w:val="20"/>
        </w:rPr>
      </w:pPr>
    </w:p>
    <w:p w:rsidR="00CC2C66" w:rsidRDefault="00F80B74">
      <w:pPr>
        <w:spacing w:line="247" w:lineRule="auto"/>
        <w:jc w:val="both"/>
        <w:rPr>
          <w:sz w:val="20"/>
          <w:szCs w:val="20"/>
        </w:rPr>
      </w:pPr>
      <w:r>
        <w:rPr>
          <w:rFonts w:eastAsia="Times New Roman"/>
          <w:sz w:val="19"/>
          <w:szCs w:val="19"/>
        </w:rPr>
        <w:t>after the filing of their next annual report, and implement the trading prohibition as soon as practicable after they have been conclusively identified as Commission-Identified Issuers for three consecutive years.</w:t>
      </w:r>
    </w:p>
    <w:p w:rsidR="00CC2C66" w:rsidRDefault="00CC2C66">
      <w:pPr>
        <w:spacing w:line="174" w:lineRule="exact"/>
        <w:rPr>
          <w:sz w:val="20"/>
          <w:szCs w:val="20"/>
        </w:rPr>
      </w:pPr>
    </w:p>
    <w:p w:rsidR="00CC2C66" w:rsidRDefault="00F80B74">
      <w:pPr>
        <w:spacing w:line="239" w:lineRule="auto"/>
        <w:jc w:val="both"/>
        <w:rPr>
          <w:sz w:val="20"/>
          <w:szCs w:val="20"/>
        </w:rPr>
      </w:pPr>
      <w:r>
        <w:rPr>
          <w:rFonts w:eastAsia="Times New Roman"/>
          <w:sz w:val="19"/>
          <w:szCs w:val="19"/>
        </w:rPr>
        <w:t>Pursuant</w:t>
      </w:r>
      <w:r>
        <w:rPr>
          <w:rFonts w:eastAsia="Times New Roman"/>
          <w:sz w:val="19"/>
          <w:szCs w:val="19"/>
        </w:rPr>
        <w:t xml:space="preserve"> to the Act and the final rules adopted by the SEC, in March 2022, the Company was conclusively identified as a Commission-Identified Issuer by the SEC. In view of such identification, the Company’s shares of common stock may be delisted from the NYSE in e</w:t>
      </w:r>
      <w:r>
        <w:rPr>
          <w:rFonts w:eastAsia="Times New Roman"/>
          <w:sz w:val="19"/>
          <w:szCs w:val="19"/>
        </w:rPr>
        <w:t>arly 2024, or in early 2023, if pending legislation passes reducing the number of consecutive non-inspection years required to trigger a trading prohibition under the Act. On August 26, 2022, the PCAOB signed a Statement of Protocol with the China Securiti</w:t>
      </w:r>
      <w:r>
        <w:rPr>
          <w:rFonts w:eastAsia="Times New Roman"/>
          <w:sz w:val="19"/>
          <w:szCs w:val="19"/>
        </w:rPr>
        <w:t>es Regulatory Commission and the Ministry of Finance of the People’s Republic of China governing inspections and investigations of audit firms based in China and Hong Kong (the “</w:t>
      </w:r>
      <w:r>
        <w:rPr>
          <w:rFonts w:eastAsia="Times New Roman"/>
          <w:b/>
          <w:bCs/>
          <w:i/>
          <w:iCs/>
          <w:sz w:val="19"/>
          <w:szCs w:val="19"/>
        </w:rPr>
        <w:t>SOP</w:t>
      </w:r>
      <w:r>
        <w:rPr>
          <w:rFonts w:eastAsia="Times New Roman"/>
          <w:sz w:val="19"/>
          <w:szCs w:val="19"/>
        </w:rPr>
        <w:t>”). However, depending on the implementation of the SOP, if the PCAOB conti</w:t>
      </w:r>
      <w:r>
        <w:rPr>
          <w:rFonts w:eastAsia="Times New Roman"/>
          <w:sz w:val="19"/>
          <w:szCs w:val="19"/>
        </w:rPr>
        <w:t>nues to be prohibited from conducting complete inspections and investigations of PCAOB-registered public accounting firms in China, then China-based companies will be delisted pursuant to the Act despite the SOP. Therefore, there is no assurance that the S</w:t>
      </w:r>
      <w:r>
        <w:rPr>
          <w:rFonts w:eastAsia="Times New Roman"/>
          <w:sz w:val="19"/>
          <w:szCs w:val="19"/>
        </w:rPr>
        <w:t>OP could give relief to the Company against the delisting risk from the application of the Act. The Primary Conversion would provide a primary market for the trading of the Company’s shares if they are ultimately delisted from the NYSE in accordance with t</w:t>
      </w:r>
      <w:r>
        <w:rPr>
          <w:rFonts w:eastAsia="Times New Roman"/>
          <w:sz w:val="19"/>
          <w:szCs w:val="19"/>
        </w:rPr>
        <w:t>he Act and would facilitate the orderly transition of trading to the Hong Kong Stock Exchange in that event. Specifically, by</w:t>
      </w:r>
    </w:p>
    <w:p w:rsidR="00CC2C66" w:rsidRDefault="00CC2C66">
      <w:pPr>
        <w:spacing w:line="21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61"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1</w:t>
      </w:r>
    </w:p>
    <w:p w:rsidR="00CC2C66" w:rsidRDefault="00F80B74">
      <w:pPr>
        <w:spacing w:line="20" w:lineRule="exact"/>
        <w:rPr>
          <w:sz w:val="20"/>
          <w:szCs w:val="20"/>
        </w:rPr>
      </w:pPr>
      <w:r>
        <w:rPr>
          <w:noProof/>
          <w:sz w:val="20"/>
          <w:szCs w:val="20"/>
        </w:rPr>
        <w:drawing>
          <wp:anchor distT="0" distB="0" distL="114300" distR="114300" simplePos="0" relativeHeight="251503616"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8" w:name="page8"/>
      <w:bookmarkEnd w:id="8"/>
      <w:r>
        <w:rPr>
          <w:rFonts w:eastAsia="Times New Roman"/>
          <w:b/>
          <w:bCs/>
          <w:noProof/>
          <w:color w:val="0000EE"/>
          <w:sz w:val="17"/>
          <w:szCs w:val="17"/>
          <w:u w:val="single"/>
        </w:rPr>
        <w:lastRenderedPageBreak/>
        <w:drawing>
          <wp:anchor distT="0" distB="0" distL="114300" distR="114300" simplePos="0" relativeHeight="25150464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05664" behindDoc="1" locked="0" layoutInCell="0" allowOverlap="1">
            <wp:simplePos x="0" y="0"/>
            <wp:positionH relativeFrom="column">
              <wp:posOffset>260985</wp:posOffset>
            </wp:positionH>
            <wp:positionV relativeFrom="paragraph">
              <wp:posOffset>196850</wp:posOffset>
            </wp:positionV>
            <wp:extent cx="3602355" cy="1949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blip>
                    <a:srcRect/>
                    <a:stretch>
                      <a:fillRect/>
                    </a:stretch>
                  </pic:blipFill>
                  <pic:spPr bwMode="auto">
                    <a:xfrm>
                      <a:off x="0" y="0"/>
                      <a:ext cx="3602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 xml:space="preserve">QUESTIONS AND ANSWERS </w:t>
      </w:r>
      <w:r>
        <w:rPr>
          <w:rFonts w:ascii="Arial" w:eastAsia="Arial" w:hAnsi="Arial" w:cs="Arial"/>
          <w:b/>
          <w:bCs/>
          <w:color w:val="FFFFFF"/>
          <w:sz w:val="15"/>
          <w:szCs w:val="15"/>
        </w:rPr>
        <w:t>ABOUT THE SPECIAL MEETING AND VOTING</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43" w:lineRule="exact"/>
        <w:rPr>
          <w:sz w:val="20"/>
          <w:szCs w:val="20"/>
        </w:rPr>
      </w:pPr>
    </w:p>
    <w:p w:rsidR="00CC2C66" w:rsidRDefault="00F80B74">
      <w:pPr>
        <w:spacing w:line="247" w:lineRule="auto"/>
        <w:ind w:left="420" w:right="20"/>
        <w:jc w:val="both"/>
        <w:rPr>
          <w:sz w:val="20"/>
          <w:szCs w:val="20"/>
        </w:rPr>
      </w:pPr>
      <w:r>
        <w:rPr>
          <w:rFonts w:eastAsia="Times New Roman"/>
          <w:sz w:val="19"/>
          <w:szCs w:val="19"/>
        </w:rPr>
        <w:t>initiating the Primary Conversion now, the Company is undertaking a voluntary conversion in order to be proactive and prepared in the event that the Company’s shares are ultimately delisted from the</w:t>
      </w:r>
      <w:r>
        <w:rPr>
          <w:rFonts w:eastAsia="Times New Roman"/>
          <w:sz w:val="19"/>
          <w:szCs w:val="19"/>
        </w:rPr>
        <w:t xml:space="preserve"> NYSE.</w:t>
      </w:r>
    </w:p>
    <w:p w:rsidR="00CC2C66" w:rsidRDefault="00CC2C66">
      <w:pPr>
        <w:spacing w:line="174" w:lineRule="exact"/>
        <w:rPr>
          <w:sz w:val="20"/>
          <w:szCs w:val="20"/>
        </w:rPr>
      </w:pPr>
    </w:p>
    <w:p w:rsidR="00CC2C66" w:rsidRDefault="00F80B74">
      <w:pPr>
        <w:spacing w:line="252" w:lineRule="auto"/>
        <w:ind w:left="420"/>
        <w:jc w:val="both"/>
        <w:rPr>
          <w:sz w:val="20"/>
          <w:szCs w:val="20"/>
        </w:rPr>
      </w:pPr>
      <w:r>
        <w:rPr>
          <w:rFonts w:eastAsia="Times New Roman"/>
          <w:sz w:val="19"/>
          <w:szCs w:val="19"/>
        </w:rPr>
        <w:t>In view of the rationale described above, the Board determined that it is in the best interests of the Company and its stockholders to apply for the Primary Conversion.</w:t>
      </w:r>
    </w:p>
    <w:p w:rsidR="00CC2C66" w:rsidRDefault="00CC2C66">
      <w:pPr>
        <w:spacing w:line="168" w:lineRule="exact"/>
        <w:rPr>
          <w:sz w:val="20"/>
          <w:szCs w:val="20"/>
        </w:rPr>
      </w:pPr>
    </w:p>
    <w:p w:rsidR="00CC2C66" w:rsidRDefault="00F80B74">
      <w:pPr>
        <w:spacing w:line="252" w:lineRule="auto"/>
        <w:ind w:left="420" w:right="20"/>
        <w:jc w:val="both"/>
        <w:rPr>
          <w:sz w:val="20"/>
          <w:szCs w:val="20"/>
        </w:rPr>
      </w:pPr>
      <w:r>
        <w:rPr>
          <w:rFonts w:eastAsia="Times New Roman"/>
          <w:sz w:val="19"/>
          <w:szCs w:val="19"/>
        </w:rPr>
        <w:t>On August 15, 2022, the Company received the acknowledgement from the Hong Kon</w:t>
      </w:r>
      <w:r>
        <w:rPr>
          <w:rFonts w:eastAsia="Times New Roman"/>
          <w:sz w:val="19"/>
          <w:szCs w:val="19"/>
        </w:rPr>
        <w:t>g Stock Exchange for the Company’s application for Primary Conversion.</w:t>
      </w:r>
    </w:p>
    <w:p w:rsidR="00CC2C66" w:rsidRDefault="00CC2C66">
      <w:pPr>
        <w:spacing w:line="168" w:lineRule="exact"/>
        <w:rPr>
          <w:sz w:val="20"/>
          <w:szCs w:val="20"/>
        </w:rPr>
      </w:pPr>
    </w:p>
    <w:p w:rsidR="00CC2C66" w:rsidRDefault="00F80B74">
      <w:pPr>
        <w:spacing w:line="256" w:lineRule="auto"/>
        <w:ind w:left="420"/>
        <w:jc w:val="both"/>
        <w:rPr>
          <w:sz w:val="20"/>
          <w:szCs w:val="20"/>
        </w:rPr>
      </w:pPr>
      <w:r>
        <w:rPr>
          <w:rFonts w:eastAsia="Times New Roman"/>
          <w:sz w:val="18"/>
          <w:szCs w:val="18"/>
        </w:rPr>
        <w:t>As a secondary-listed issuer on the Hong Kong Stock Exchange under Chapter 19C of the Hong Kong Listing Rules, the Company has been and is currently exempt from certain provisions of t</w:t>
      </w:r>
      <w:r>
        <w:rPr>
          <w:rFonts w:eastAsia="Times New Roman"/>
          <w:sz w:val="18"/>
          <w:szCs w:val="18"/>
        </w:rPr>
        <w:t>he Hong Kong Listing Rules, including, among others, rules on share issuance, repurchases, notifiable transactions, connected transactions, share option schemes and content of financial statements, as well as certain other continuing obligations. As a seco</w:t>
      </w:r>
      <w:r>
        <w:rPr>
          <w:rFonts w:eastAsia="Times New Roman"/>
          <w:sz w:val="18"/>
          <w:szCs w:val="18"/>
        </w:rPr>
        <w:t>ndary-listed issuer, the Company was also granted a number of waivers and/or exemptions from strict compliance with the applicable Hong Kong laws and regulations.</w:t>
      </w:r>
    </w:p>
    <w:p w:rsidR="00CC2C66" w:rsidRDefault="00CC2C66">
      <w:pPr>
        <w:spacing w:line="169" w:lineRule="exact"/>
        <w:rPr>
          <w:sz w:val="20"/>
          <w:szCs w:val="20"/>
        </w:rPr>
      </w:pPr>
    </w:p>
    <w:p w:rsidR="00CC2C66" w:rsidRDefault="00F80B74">
      <w:pPr>
        <w:spacing w:line="260" w:lineRule="auto"/>
        <w:ind w:left="420" w:right="20"/>
        <w:jc w:val="both"/>
        <w:rPr>
          <w:sz w:val="20"/>
          <w:szCs w:val="20"/>
        </w:rPr>
      </w:pPr>
      <w:r>
        <w:rPr>
          <w:rFonts w:eastAsia="Times New Roman"/>
          <w:sz w:val="18"/>
          <w:szCs w:val="18"/>
        </w:rPr>
        <w:t>From the Primary Conversion Effective Date, the Company will have a primary listing status o</w:t>
      </w:r>
      <w:r>
        <w:rPr>
          <w:rFonts w:eastAsia="Times New Roman"/>
          <w:sz w:val="18"/>
          <w:szCs w:val="18"/>
        </w:rPr>
        <w:t>n the Hong Kong Stock Exchange and the Company will be subject to the full regime of the applicable Hong Kong laws and regulations, unless specific waivers have been obtained from the Hong Kong Stock Exchange or the Securities and Futures Commission of Hon</w:t>
      </w:r>
      <w:r>
        <w:rPr>
          <w:rFonts w:eastAsia="Times New Roman"/>
          <w:sz w:val="18"/>
          <w:szCs w:val="18"/>
        </w:rPr>
        <w:t>g Kong.</w:t>
      </w:r>
    </w:p>
    <w:p w:rsidR="00CC2C66" w:rsidRDefault="00CC2C66">
      <w:pPr>
        <w:spacing w:line="162" w:lineRule="exact"/>
        <w:rPr>
          <w:sz w:val="20"/>
          <w:szCs w:val="20"/>
        </w:rPr>
      </w:pPr>
    </w:p>
    <w:p w:rsidR="00CC2C66" w:rsidRDefault="00F80B74">
      <w:pPr>
        <w:spacing w:line="241" w:lineRule="auto"/>
        <w:ind w:left="420"/>
        <w:jc w:val="both"/>
        <w:rPr>
          <w:sz w:val="20"/>
          <w:szCs w:val="20"/>
        </w:rPr>
      </w:pPr>
      <w:r>
        <w:rPr>
          <w:rFonts w:eastAsia="Times New Roman"/>
          <w:sz w:val="19"/>
          <w:szCs w:val="19"/>
        </w:rPr>
        <w:t>The Board of Directors called the Special Meeting in order to obtain, in accordance with the Hong Kong Listing Rules, stockholder approval with regard to the three Items of Business set forth below. Under Delaware law and NYSE listing rules, the C</w:t>
      </w:r>
      <w:r>
        <w:rPr>
          <w:rFonts w:eastAsia="Times New Roman"/>
          <w:sz w:val="19"/>
          <w:szCs w:val="19"/>
        </w:rPr>
        <w:t>ompany and the Board are not required to obtain stockholder approval with respect to the first two Items of Business (subject to applicable restrictions). The Company is seeking approval of the first two Items of Business described below solely to comply w</w:t>
      </w:r>
      <w:r>
        <w:rPr>
          <w:rFonts w:eastAsia="Times New Roman"/>
          <w:sz w:val="19"/>
          <w:szCs w:val="19"/>
        </w:rPr>
        <w:t>ith the Hong Kong Listing Rules, as described in more detail below. Stockholder approval of all the proposals is a condition to the completion of the conversion to primary listing on the Hong Kong Stock Exchange.</w:t>
      </w:r>
    </w:p>
    <w:p w:rsidR="00CC2C66" w:rsidRDefault="00F80B74">
      <w:pPr>
        <w:spacing w:line="20" w:lineRule="exact"/>
        <w:rPr>
          <w:sz w:val="20"/>
          <w:szCs w:val="20"/>
        </w:rPr>
      </w:pPr>
      <w:r>
        <w:rPr>
          <w:sz w:val="20"/>
          <w:szCs w:val="20"/>
        </w:rPr>
        <w:br w:type="column"/>
      </w:r>
    </w:p>
    <w:p w:rsidR="00CC2C66" w:rsidRDefault="00CC2C66">
      <w:pPr>
        <w:spacing w:line="223" w:lineRule="exact"/>
        <w:rPr>
          <w:sz w:val="20"/>
          <w:szCs w:val="20"/>
        </w:rPr>
      </w:pPr>
    </w:p>
    <w:p w:rsidR="00CC2C66" w:rsidRDefault="00F80B74">
      <w:pPr>
        <w:spacing w:line="247" w:lineRule="auto"/>
        <w:jc w:val="both"/>
        <w:rPr>
          <w:sz w:val="20"/>
          <w:szCs w:val="20"/>
        </w:rPr>
      </w:pPr>
      <w:r>
        <w:rPr>
          <w:rFonts w:eastAsia="Times New Roman"/>
          <w:sz w:val="19"/>
          <w:szCs w:val="19"/>
        </w:rPr>
        <w:t xml:space="preserve">Subject to receiving stockholder </w:t>
      </w:r>
      <w:r>
        <w:rPr>
          <w:rFonts w:eastAsia="Times New Roman"/>
          <w:sz w:val="19"/>
          <w:szCs w:val="19"/>
        </w:rPr>
        <w:t>approval of all proposed items at the Special Meeting and obtaining the necessary approvals from the Hong Kong Stock Exchange, the Primary Conversion Effective Date is expected to be October 24, 2022.</w:t>
      </w:r>
    </w:p>
    <w:p w:rsidR="00CC2C66" w:rsidRDefault="00CC2C66">
      <w:pPr>
        <w:spacing w:line="174" w:lineRule="exact"/>
        <w:rPr>
          <w:sz w:val="20"/>
          <w:szCs w:val="20"/>
        </w:rPr>
      </w:pPr>
    </w:p>
    <w:p w:rsidR="00CC2C66" w:rsidRDefault="00F80B74">
      <w:pPr>
        <w:spacing w:line="243" w:lineRule="auto"/>
        <w:jc w:val="both"/>
        <w:rPr>
          <w:sz w:val="20"/>
          <w:szCs w:val="20"/>
        </w:rPr>
      </w:pPr>
      <w:r>
        <w:rPr>
          <w:rFonts w:eastAsia="Times New Roman"/>
          <w:sz w:val="19"/>
          <w:szCs w:val="19"/>
        </w:rPr>
        <w:t xml:space="preserve">The Company believes that the continuing authority of </w:t>
      </w:r>
      <w:r>
        <w:rPr>
          <w:rFonts w:eastAsia="Times New Roman"/>
          <w:sz w:val="19"/>
          <w:szCs w:val="19"/>
        </w:rPr>
        <w:t>the Board to issue shares, repurchase shares and grant equity awards under the 2022 LTIP as contemplated by these proposals is critical to the Company’s business and operations. If stockholders fail to approve any of the Items of Business for which the Spe</w:t>
      </w:r>
      <w:r>
        <w:rPr>
          <w:rFonts w:eastAsia="Times New Roman"/>
          <w:sz w:val="19"/>
          <w:szCs w:val="19"/>
        </w:rPr>
        <w:t>cial Meeting is called, the Primary Conversion shall not become effective.</w:t>
      </w:r>
    </w:p>
    <w:p w:rsidR="00CC2C66" w:rsidRDefault="00CC2C66">
      <w:pPr>
        <w:spacing w:line="176" w:lineRule="exact"/>
        <w:rPr>
          <w:sz w:val="20"/>
          <w:szCs w:val="20"/>
        </w:rPr>
      </w:pPr>
    </w:p>
    <w:p w:rsidR="00CC2C66" w:rsidRDefault="00F80B74">
      <w:pPr>
        <w:spacing w:line="258" w:lineRule="auto"/>
        <w:jc w:val="both"/>
        <w:rPr>
          <w:sz w:val="20"/>
          <w:szCs w:val="20"/>
        </w:rPr>
      </w:pPr>
      <w:r>
        <w:rPr>
          <w:rFonts w:eastAsia="Times New Roman"/>
          <w:b/>
          <w:bCs/>
          <w:sz w:val="18"/>
          <w:szCs w:val="18"/>
        </w:rPr>
        <w:t>IN THE EVENT THAT THE PRIMARY CONVERSION DOES NOT BECOME EFFECTIVE, THE COMPANY AND ITS BOARD WILL RETAIN THE ABILITY TO AUTHORIZE AND CARRY OUT STOCK ISSUANCES AND STOCK REPURCHAS</w:t>
      </w:r>
      <w:r>
        <w:rPr>
          <w:rFonts w:eastAsia="Times New Roman"/>
          <w:b/>
          <w:bCs/>
          <w:sz w:val="18"/>
          <w:szCs w:val="18"/>
        </w:rPr>
        <w:t>ES TO THE FULL EXTENT PERMITTED UNDER APPLICABLE U.S. FEDERAL LAW, DELAWARE LAW, THE NYSE LISTING STANDARDS, AND THE COMPANY’S ORGANIZATIONAL DOCUMENTS.</w:t>
      </w:r>
    </w:p>
    <w:p w:rsidR="00CC2C66" w:rsidRDefault="00CC2C66">
      <w:pPr>
        <w:spacing w:line="188" w:lineRule="exact"/>
        <w:rPr>
          <w:sz w:val="20"/>
          <w:szCs w:val="20"/>
        </w:rPr>
      </w:pPr>
    </w:p>
    <w:p w:rsidR="00CC2C66" w:rsidRDefault="00F80B74">
      <w:pPr>
        <w:numPr>
          <w:ilvl w:val="0"/>
          <w:numId w:val="8"/>
        </w:numPr>
        <w:tabs>
          <w:tab w:val="left" w:pos="240"/>
        </w:tabs>
        <w:ind w:left="240" w:right="20" w:hanging="181"/>
        <w:jc w:val="both"/>
        <w:rPr>
          <w:rFonts w:eastAsia="Times New Roman"/>
          <w:color w:val="CF0A2C"/>
          <w:sz w:val="19"/>
          <w:szCs w:val="19"/>
        </w:rPr>
      </w:pPr>
      <w:r>
        <w:rPr>
          <w:rFonts w:eastAsia="Times New Roman"/>
          <w:b/>
          <w:bCs/>
          <w:color w:val="CF0A2C"/>
          <w:sz w:val="19"/>
          <w:szCs w:val="19"/>
        </w:rPr>
        <w:t xml:space="preserve">Proposal 1: </w:t>
      </w:r>
      <w:r>
        <w:rPr>
          <w:rFonts w:eastAsia="Times New Roman"/>
          <w:color w:val="000000"/>
          <w:sz w:val="19"/>
          <w:szCs w:val="19"/>
        </w:rPr>
        <w:t>The Hong Kong Listing Rules permit primary-listed</w:t>
      </w:r>
      <w:r>
        <w:rPr>
          <w:rFonts w:eastAsia="Times New Roman"/>
          <w:b/>
          <w:bCs/>
          <w:color w:val="CF0A2C"/>
          <w:sz w:val="19"/>
          <w:szCs w:val="19"/>
        </w:rPr>
        <w:t xml:space="preserve"> </w:t>
      </w:r>
      <w:r>
        <w:rPr>
          <w:rFonts w:eastAsia="Times New Roman"/>
          <w:color w:val="000000"/>
          <w:sz w:val="19"/>
          <w:szCs w:val="19"/>
        </w:rPr>
        <w:t xml:space="preserve">companies to issue shares subject to </w:t>
      </w:r>
      <w:r>
        <w:rPr>
          <w:rFonts w:eastAsia="Times New Roman"/>
          <w:color w:val="000000"/>
          <w:sz w:val="19"/>
          <w:szCs w:val="19"/>
        </w:rPr>
        <w:t>certain restrictions. Among such restrictions, the Hong Kong Listing Rules require that all share issuances must be approved in advance by stockholders, either by way of a “general issuance mandate” or by specific approval of a particular transaction. At t</w:t>
      </w:r>
      <w:r>
        <w:rPr>
          <w:rFonts w:eastAsia="Times New Roman"/>
          <w:color w:val="000000"/>
          <w:sz w:val="19"/>
          <w:szCs w:val="19"/>
        </w:rPr>
        <w:t xml:space="preserve">he Special Meeting, Yum China stockholders will vote to approve the Board’s continuing authority to approve the Company’s issuance of shares of its common stock or securities convertible into common stock in an amount not to exceed 20% of the total number </w:t>
      </w:r>
      <w:r>
        <w:rPr>
          <w:rFonts w:eastAsia="Times New Roman"/>
          <w:color w:val="000000"/>
          <w:sz w:val="19"/>
          <w:szCs w:val="19"/>
        </w:rPr>
        <w:t>of outstanding shares of common stock of the Company as of the date of the Special Meeting, effective from the Primary Conversion Effective Date until the earlier of the date the next annual meeting is held or June 26, 2023, unless earlier revoked or modif</w:t>
      </w:r>
      <w:r>
        <w:rPr>
          <w:rFonts w:eastAsia="Times New Roman"/>
          <w:color w:val="000000"/>
          <w:sz w:val="19"/>
          <w:szCs w:val="19"/>
        </w:rPr>
        <w:t>ied by a duly adopted resolution of the stockholders. This approval will operate as a general issuance mandate under the Hong Kong Listing Rules.</w:t>
      </w:r>
    </w:p>
    <w:p w:rsidR="00CC2C66" w:rsidRDefault="00CC2C66">
      <w:pPr>
        <w:spacing w:line="208" w:lineRule="exact"/>
        <w:rPr>
          <w:rFonts w:eastAsia="Times New Roman"/>
          <w:color w:val="CF0A2C"/>
          <w:sz w:val="19"/>
          <w:szCs w:val="19"/>
        </w:rPr>
      </w:pPr>
    </w:p>
    <w:p w:rsidR="00CC2C66" w:rsidRDefault="00F80B74">
      <w:pPr>
        <w:numPr>
          <w:ilvl w:val="0"/>
          <w:numId w:val="8"/>
        </w:numPr>
        <w:tabs>
          <w:tab w:val="left" w:pos="240"/>
        </w:tabs>
        <w:spacing w:line="269" w:lineRule="auto"/>
        <w:ind w:left="240" w:right="20" w:hanging="181"/>
        <w:rPr>
          <w:rFonts w:eastAsia="Times New Roman"/>
          <w:color w:val="CF0A2C"/>
          <w:sz w:val="19"/>
          <w:szCs w:val="19"/>
        </w:rPr>
      </w:pPr>
      <w:r>
        <w:rPr>
          <w:rFonts w:eastAsia="Times New Roman"/>
          <w:b/>
          <w:bCs/>
          <w:color w:val="CF0A2C"/>
          <w:sz w:val="19"/>
          <w:szCs w:val="19"/>
        </w:rPr>
        <w:t xml:space="preserve">Proposal 2: </w:t>
      </w:r>
      <w:r>
        <w:rPr>
          <w:rFonts w:eastAsia="Times New Roman"/>
          <w:color w:val="000000"/>
          <w:sz w:val="19"/>
          <w:szCs w:val="19"/>
        </w:rPr>
        <w:t>The Hong Kong Listing Rules permit primary-listed</w:t>
      </w:r>
      <w:r>
        <w:rPr>
          <w:rFonts w:eastAsia="Times New Roman"/>
          <w:b/>
          <w:bCs/>
          <w:color w:val="CF0A2C"/>
          <w:sz w:val="19"/>
          <w:szCs w:val="19"/>
        </w:rPr>
        <w:t xml:space="preserve"> </w:t>
      </w:r>
      <w:r>
        <w:rPr>
          <w:rFonts w:eastAsia="Times New Roman"/>
          <w:color w:val="000000"/>
          <w:sz w:val="19"/>
          <w:szCs w:val="19"/>
        </w:rPr>
        <w:t>companies to repurchase their shares</w:t>
      </w:r>
    </w:p>
    <w:p w:rsidR="00CC2C66" w:rsidRDefault="00CC2C66">
      <w:pPr>
        <w:spacing w:line="545"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68" w:lineRule="exact"/>
        <w:rPr>
          <w:sz w:val="20"/>
          <w:szCs w:val="20"/>
        </w:rPr>
      </w:pPr>
    </w:p>
    <w:p w:rsidR="00CC2C66" w:rsidRDefault="00F80B74">
      <w:pPr>
        <w:numPr>
          <w:ilvl w:val="0"/>
          <w:numId w:val="9"/>
        </w:numPr>
        <w:tabs>
          <w:tab w:val="left" w:pos="900"/>
        </w:tabs>
        <w:ind w:left="900" w:hanging="321"/>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06688" behindDoc="1" locked="0" layoutInCell="0" allowOverlap="1">
            <wp:simplePos x="0" y="0"/>
            <wp:positionH relativeFrom="column">
              <wp:posOffset>463550</wp:posOffset>
            </wp:positionH>
            <wp:positionV relativeFrom="paragraph">
              <wp:posOffset>-81915</wp:posOffset>
            </wp:positionV>
            <wp:extent cx="8255" cy="971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9" w:name="page9"/>
      <w:bookmarkEnd w:id="9"/>
      <w:r>
        <w:rPr>
          <w:rFonts w:eastAsia="Times New Roman"/>
          <w:b/>
          <w:bCs/>
          <w:noProof/>
          <w:color w:val="0000EE"/>
          <w:sz w:val="17"/>
          <w:szCs w:val="17"/>
          <w:u w:val="single"/>
        </w:rPr>
        <w:lastRenderedPageBreak/>
        <w:drawing>
          <wp:anchor distT="0" distB="0" distL="114300" distR="114300" simplePos="0" relativeHeight="25150771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08736" behindDoc="1" locked="0" layoutInCell="0" allowOverlap="1">
            <wp:simplePos x="0" y="0"/>
            <wp:positionH relativeFrom="column">
              <wp:posOffset>3173730</wp:posOffset>
            </wp:positionH>
            <wp:positionV relativeFrom="paragraph">
              <wp:posOffset>196850</wp:posOffset>
            </wp:positionV>
            <wp:extent cx="3707765" cy="1949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blip>
                    <a:srcRect/>
                    <a:stretch>
                      <a:fillRect/>
                    </a:stretch>
                  </pic:blipFill>
                  <pic:spPr bwMode="auto">
                    <a:xfrm>
                      <a:off x="0" y="0"/>
                      <a:ext cx="370776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right="160"/>
        <w:jc w:val="right"/>
        <w:rPr>
          <w:sz w:val="20"/>
          <w:szCs w:val="20"/>
        </w:rPr>
      </w:pPr>
      <w:r>
        <w:rPr>
          <w:rFonts w:ascii="Arial" w:eastAsia="Arial" w:hAnsi="Arial" w:cs="Arial"/>
          <w:b/>
          <w:bCs/>
          <w:color w:val="FFFFFF"/>
          <w:sz w:val="15"/>
          <w:szCs w:val="15"/>
        </w:rPr>
        <w:t>QUESTIONS AND ANSWERS ABOUT THE SPECIAL MEETING AND VOTING</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43" w:lineRule="exact"/>
        <w:rPr>
          <w:sz w:val="20"/>
          <w:szCs w:val="20"/>
        </w:rPr>
      </w:pPr>
    </w:p>
    <w:p w:rsidR="00CC2C66" w:rsidRDefault="00F80B74">
      <w:pPr>
        <w:spacing w:line="241" w:lineRule="auto"/>
        <w:ind w:left="560"/>
        <w:jc w:val="both"/>
        <w:rPr>
          <w:sz w:val="20"/>
          <w:szCs w:val="20"/>
        </w:rPr>
      </w:pPr>
      <w:r>
        <w:rPr>
          <w:rFonts w:eastAsia="Times New Roman"/>
          <w:sz w:val="19"/>
          <w:szCs w:val="19"/>
        </w:rPr>
        <w:t>subject to certain restrictions. Among such restrictions, the Hong Kong</w:t>
      </w:r>
      <w:r>
        <w:rPr>
          <w:rFonts w:eastAsia="Times New Roman"/>
          <w:sz w:val="19"/>
          <w:szCs w:val="19"/>
        </w:rPr>
        <w:t xml:space="preserve"> Listing Rules require that all repurchases of shares must be approved in advance by stockholders, either by way of a “general repurchase mandate” or by specific approval of a particular transaction. At the Special Meeting, Yum China stockholders will vote</w:t>
      </w:r>
      <w:r>
        <w:rPr>
          <w:rFonts w:eastAsia="Times New Roman"/>
          <w:sz w:val="19"/>
          <w:szCs w:val="19"/>
        </w:rPr>
        <w:t xml:space="preserve"> to approve the Board’s continuing authority to approve the Company’s repurchase of shares of its common stock in an amount not to exceed 10% of the total number of outstanding shares of common stock of the Company as of the date of the Special Meeting, ef</w:t>
      </w:r>
      <w:r>
        <w:rPr>
          <w:rFonts w:eastAsia="Times New Roman"/>
          <w:sz w:val="19"/>
          <w:szCs w:val="19"/>
        </w:rPr>
        <w:t>fective from the Primary Conversion Effective Date until the earlier of the date the next annual</w:t>
      </w:r>
    </w:p>
    <w:p w:rsidR="00CC2C66" w:rsidRDefault="00F80B74">
      <w:pPr>
        <w:spacing w:line="20" w:lineRule="exact"/>
        <w:rPr>
          <w:sz w:val="20"/>
          <w:szCs w:val="20"/>
        </w:rPr>
      </w:pPr>
      <w:r>
        <w:rPr>
          <w:sz w:val="20"/>
          <w:szCs w:val="20"/>
        </w:rPr>
        <w:br w:type="column"/>
      </w:r>
    </w:p>
    <w:p w:rsidR="00CC2C66" w:rsidRDefault="00CC2C66">
      <w:pPr>
        <w:spacing w:line="223" w:lineRule="exact"/>
        <w:rPr>
          <w:sz w:val="20"/>
          <w:szCs w:val="20"/>
        </w:rPr>
      </w:pPr>
    </w:p>
    <w:p w:rsidR="00CC2C66" w:rsidRDefault="00F80B74">
      <w:pPr>
        <w:spacing w:line="247" w:lineRule="auto"/>
        <w:ind w:left="200" w:right="20"/>
        <w:jc w:val="both"/>
        <w:rPr>
          <w:sz w:val="20"/>
          <w:szCs w:val="20"/>
        </w:rPr>
      </w:pPr>
      <w:r>
        <w:rPr>
          <w:rFonts w:eastAsia="Times New Roman"/>
          <w:sz w:val="19"/>
          <w:szCs w:val="19"/>
        </w:rPr>
        <w:t>meeting is held or June 26, 2023, unless earlier revoked or modified by a duly adopted resolution of the stockholders. This approval will operate as a gener</w:t>
      </w:r>
      <w:r>
        <w:rPr>
          <w:rFonts w:eastAsia="Times New Roman"/>
          <w:sz w:val="19"/>
          <w:szCs w:val="19"/>
        </w:rPr>
        <w:t>al repurchase mandate under the Hong Kong Listing Rules.</w:t>
      </w:r>
    </w:p>
    <w:p w:rsidR="00CC2C66" w:rsidRDefault="00CC2C66">
      <w:pPr>
        <w:spacing w:line="195" w:lineRule="exact"/>
        <w:rPr>
          <w:sz w:val="20"/>
          <w:szCs w:val="20"/>
        </w:rPr>
      </w:pPr>
    </w:p>
    <w:p w:rsidR="00CC2C66" w:rsidRDefault="00F80B74">
      <w:pPr>
        <w:numPr>
          <w:ilvl w:val="0"/>
          <w:numId w:val="10"/>
        </w:numPr>
        <w:tabs>
          <w:tab w:val="left" w:pos="240"/>
        </w:tabs>
        <w:ind w:left="240" w:hanging="181"/>
        <w:rPr>
          <w:rFonts w:eastAsia="Times New Roman"/>
          <w:color w:val="CF0A2C"/>
          <w:sz w:val="19"/>
          <w:szCs w:val="19"/>
        </w:rPr>
      </w:pPr>
      <w:r>
        <w:rPr>
          <w:rFonts w:eastAsia="Times New Roman"/>
          <w:b/>
          <w:bCs/>
          <w:color w:val="CF0A2C"/>
          <w:sz w:val="19"/>
          <w:szCs w:val="19"/>
        </w:rPr>
        <w:t xml:space="preserve">Proposal 3: </w:t>
      </w:r>
      <w:r>
        <w:rPr>
          <w:rFonts w:eastAsia="Times New Roman"/>
          <w:color w:val="000000"/>
          <w:sz w:val="19"/>
          <w:szCs w:val="19"/>
        </w:rPr>
        <w:t>Approval of the 2022 LTIP.</w:t>
      </w:r>
    </w:p>
    <w:p w:rsidR="00CC2C66" w:rsidRDefault="00CC2C66">
      <w:pPr>
        <w:spacing w:line="207" w:lineRule="exact"/>
        <w:rPr>
          <w:sz w:val="20"/>
          <w:szCs w:val="20"/>
        </w:rPr>
      </w:pPr>
    </w:p>
    <w:p w:rsidR="00CC2C66" w:rsidRDefault="00F80B74">
      <w:pPr>
        <w:spacing w:line="245" w:lineRule="auto"/>
        <w:jc w:val="both"/>
        <w:rPr>
          <w:sz w:val="20"/>
          <w:szCs w:val="20"/>
        </w:rPr>
      </w:pPr>
      <w:r>
        <w:rPr>
          <w:rFonts w:eastAsia="Times New Roman"/>
          <w:sz w:val="19"/>
          <w:szCs w:val="19"/>
        </w:rPr>
        <w:t>Pursuant to the Company’s Amended and Restated Bylaws, only business within the purpose or purposes described in the notice of special meeting may be conducte</w:t>
      </w:r>
      <w:r>
        <w:rPr>
          <w:rFonts w:eastAsia="Times New Roman"/>
          <w:sz w:val="19"/>
          <w:szCs w:val="19"/>
        </w:rPr>
        <w:t>d at a special meeting. Accordingly, the only matters that will be brought before the Special Meeting are those described in the Notice.</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00" w:space="320"/>
            <w:col w:w="5120"/>
          </w:cols>
        </w:sectPr>
      </w:pPr>
    </w:p>
    <w:p w:rsidR="00CC2C66" w:rsidRDefault="00CC2C66">
      <w:pPr>
        <w:spacing w:line="377" w:lineRule="exact"/>
        <w:rPr>
          <w:sz w:val="20"/>
          <w:szCs w:val="20"/>
        </w:rPr>
      </w:pPr>
    </w:p>
    <w:p w:rsidR="00CC2C66" w:rsidRDefault="00F80B74">
      <w:pPr>
        <w:ind w:left="420"/>
        <w:rPr>
          <w:sz w:val="20"/>
          <w:szCs w:val="20"/>
        </w:rPr>
      </w:pPr>
      <w:r>
        <w:rPr>
          <w:rFonts w:ascii="Arial" w:eastAsia="Arial" w:hAnsi="Arial" w:cs="Arial"/>
          <w:b/>
          <w:bCs/>
          <w:color w:val="CF0A2C"/>
          <w:sz w:val="30"/>
          <w:szCs w:val="30"/>
        </w:rPr>
        <w:t>Why am I receiving these materials?</w:t>
      </w:r>
    </w:p>
    <w:p w:rsidR="00CC2C66" w:rsidRDefault="00F80B74">
      <w:pPr>
        <w:spacing w:line="20" w:lineRule="exact"/>
        <w:rPr>
          <w:sz w:val="20"/>
          <w:szCs w:val="20"/>
        </w:rPr>
      </w:pPr>
      <w:r>
        <w:rPr>
          <w:noProof/>
          <w:sz w:val="20"/>
          <w:szCs w:val="20"/>
        </w:rPr>
        <w:drawing>
          <wp:anchor distT="0" distB="0" distL="114300" distR="114300" simplePos="0" relativeHeight="251509760"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46" w:lineRule="exact"/>
        <w:rPr>
          <w:sz w:val="20"/>
          <w:szCs w:val="20"/>
        </w:rPr>
      </w:pPr>
    </w:p>
    <w:p w:rsidR="00CC2C66" w:rsidRDefault="00F80B74">
      <w:pPr>
        <w:spacing w:line="252" w:lineRule="auto"/>
        <w:ind w:left="420"/>
        <w:jc w:val="both"/>
        <w:rPr>
          <w:sz w:val="20"/>
          <w:szCs w:val="20"/>
        </w:rPr>
      </w:pPr>
      <w:r>
        <w:rPr>
          <w:rFonts w:eastAsia="Times New Roman"/>
          <w:sz w:val="19"/>
          <w:szCs w:val="19"/>
        </w:rPr>
        <w:t xml:space="preserve">You received these </w:t>
      </w:r>
      <w:r>
        <w:rPr>
          <w:rFonts w:eastAsia="Times New Roman"/>
          <w:sz w:val="19"/>
          <w:szCs w:val="19"/>
        </w:rPr>
        <w:t>materials because our Board of Directors is soliciting your proxy to vote your shares at the Special Meeting. As a stockholder of record as of the close of</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26" w:lineRule="exact"/>
        <w:rPr>
          <w:sz w:val="20"/>
          <w:szCs w:val="20"/>
        </w:rPr>
      </w:pPr>
    </w:p>
    <w:p w:rsidR="00CC2C66" w:rsidRDefault="00F80B74">
      <w:pPr>
        <w:spacing w:line="252" w:lineRule="auto"/>
        <w:jc w:val="both"/>
        <w:rPr>
          <w:sz w:val="20"/>
          <w:szCs w:val="20"/>
        </w:rPr>
      </w:pPr>
      <w:r>
        <w:rPr>
          <w:rFonts w:eastAsia="Times New Roman"/>
          <w:sz w:val="19"/>
          <w:szCs w:val="19"/>
        </w:rPr>
        <w:t xml:space="preserve">business on August 24, 2022, you are invited to attend the Special Meeting and are entitled to </w:t>
      </w:r>
      <w:r>
        <w:rPr>
          <w:rFonts w:eastAsia="Times New Roman"/>
          <w:sz w:val="19"/>
          <w:szCs w:val="19"/>
        </w:rPr>
        <w:t>vote on the Items of Business described in this proxy statement.</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56" w:lineRule="exact"/>
        <w:rPr>
          <w:sz w:val="20"/>
          <w:szCs w:val="20"/>
        </w:rPr>
      </w:pPr>
    </w:p>
    <w:p w:rsidR="00CC2C66" w:rsidRDefault="00F80B74">
      <w:pPr>
        <w:ind w:left="420"/>
        <w:rPr>
          <w:sz w:val="20"/>
          <w:szCs w:val="20"/>
        </w:rPr>
      </w:pPr>
      <w:r>
        <w:rPr>
          <w:rFonts w:ascii="Arial" w:eastAsia="Arial" w:hAnsi="Arial" w:cs="Arial"/>
          <w:b/>
          <w:bCs/>
          <w:color w:val="CF0A2C"/>
          <w:sz w:val="30"/>
          <w:szCs w:val="30"/>
        </w:rPr>
        <w:t>How do I attend the Special Meeting?</w:t>
      </w:r>
    </w:p>
    <w:p w:rsidR="00CC2C66" w:rsidRDefault="00F80B74">
      <w:pPr>
        <w:spacing w:line="20" w:lineRule="exact"/>
        <w:rPr>
          <w:sz w:val="20"/>
          <w:szCs w:val="20"/>
        </w:rPr>
      </w:pPr>
      <w:r>
        <w:rPr>
          <w:noProof/>
          <w:sz w:val="20"/>
          <w:szCs w:val="20"/>
        </w:rPr>
        <w:drawing>
          <wp:anchor distT="0" distB="0" distL="114300" distR="114300" simplePos="0" relativeHeight="251510784"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46" w:lineRule="exact"/>
        <w:rPr>
          <w:sz w:val="20"/>
          <w:szCs w:val="20"/>
        </w:rPr>
      </w:pPr>
    </w:p>
    <w:p w:rsidR="00CC2C66" w:rsidRDefault="00F80B74">
      <w:pPr>
        <w:spacing w:line="242" w:lineRule="auto"/>
        <w:ind w:left="420" w:right="20"/>
        <w:jc w:val="both"/>
        <w:rPr>
          <w:sz w:val="20"/>
          <w:szCs w:val="20"/>
        </w:rPr>
      </w:pPr>
      <w:r>
        <w:rPr>
          <w:rFonts w:eastAsia="Times New Roman"/>
          <w:sz w:val="19"/>
          <w:szCs w:val="19"/>
        </w:rPr>
        <w:t xml:space="preserve">The Special Meeting will be held in a virtual-only format, through a live audio webcast. The </w:t>
      </w:r>
      <w:r>
        <w:rPr>
          <w:rFonts w:eastAsia="Times New Roman"/>
          <w:sz w:val="19"/>
          <w:szCs w:val="19"/>
        </w:rPr>
        <w:t xml:space="preserve">Special Meeting will only be conducted via webcast; there will be no physical meeting location. Stockholders of record as of the close of business on August 24, 2022 and the general public will be able to attend the Special Meeting by visiting our Special </w:t>
      </w:r>
      <w:r>
        <w:rPr>
          <w:rFonts w:eastAsia="Times New Roman"/>
          <w:sz w:val="19"/>
          <w:szCs w:val="19"/>
        </w:rPr>
        <w:t>Meeting website at</w:t>
      </w:r>
    </w:p>
    <w:p w:rsidR="00CC2C66" w:rsidRDefault="00CC2C66">
      <w:pPr>
        <w:spacing w:line="1" w:lineRule="exact"/>
        <w:rPr>
          <w:sz w:val="20"/>
          <w:szCs w:val="20"/>
        </w:rPr>
      </w:pPr>
    </w:p>
    <w:p w:rsidR="00CC2C66" w:rsidRDefault="00F80B74">
      <w:pPr>
        <w:spacing w:line="241" w:lineRule="auto"/>
        <w:ind w:left="420"/>
        <w:jc w:val="both"/>
        <w:rPr>
          <w:sz w:val="20"/>
          <w:szCs w:val="20"/>
        </w:rPr>
      </w:pPr>
      <w:r>
        <w:rPr>
          <w:rFonts w:eastAsia="Times New Roman"/>
          <w:i/>
          <w:iCs/>
          <w:sz w:val="19"/>
          <w:szCs w:val="19"/>
        </w:rPr>
        <w:t xml:space="preserve">www.virtualshareholdermeeting.com/YUMC2022SM. </w:t>
      </w:r>
      <w:r>
        <w:rPr>
          <w:rFonts w:eastAsia="Times New Roman"/>
          <w:sz w:val="19"/>
          <w:szCs w:val="19"/>
        </w:rPr>
        <w:t>To</w:t>
      </w:r>
      <w:r>
        <w:rPr>
          <w:rFonts w:eastAsia="Times New Roman"/>
          <w:i/>
          <w:iCs/>
          <w:sz w:val="19"/>
          <w:szCs w:val="19"/>
        </w:rPr>
        <w:t xml:space="preserve"> </w:t>
      </w:r>
      <w:r>
        <w:rPr>
          <w:rFonts w:eastAsia="Times New Roman"/>
          <w:sz w:val="19"/>
          <w:szCs w:val="19"/>
        </w:rPr>
        <w:t>participate in the Special Meeting, you will need the 16-digit control number included on your</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26" w:lineRule="exact"/>
        <w:rPr>
          <w:sz w:val="20"/>
          <w:szCs w:val="20"/>
        </w:rPr>
      </w:pPr>
    </w:p>
    <w:p w:rsidR="00CC2C66" w:rsidRDefault="00F80B74">
      <w:pPr>
        <w:spacing w:line="265" w:lineRule="auto"/>
        <w:ind w:right="20"/>
        <w:jc w:val="both"/>
        <w:rPr>
          <w:sz w:val="20"/>
          <w:szCs w:val="20"/>
        </w:rPr>
      </w:pPr>
      <w:r>
        <w:rPr>
          <w:rFonts w:eastAsia="Times New Roman"/>
          <w:sz w:val="19"/>
          <w:szCs w:val="19"/>
        </w:rPr>
        <w:t>proxy card or on the instructions that accompanied your proxy materials.</w:t>
      </w:r>
    </w:p>
    <w:p w:rsidR="00CC2C66" w:rsidRDefault="00CC2C66">
      <w:pPr>
        <w:spacing w:line="156" w:lineRule="exact"/>
        <w:rPr>
          <w:sz w:val="20"/>
          <w:szCs w:val="20"/>
        </w:rPr>
      </w:pPr>
    </w:p>
    <w:p w:rsidR="00CC2C66" w:rsidRDefault="00F80B74">
      <w:pPr>
        <w:spacing w:line="260" w:lineRule="auto"/>
        <w:jc w:val="both"/>
        <w:rPr>
          <w:sz w:val="20"/>
          <w:szCs w:val="20"/>
        </w:rPr>
      </w:pPr>
      <w:r>
        <w:rPr>
          <w:rFonts w:eastAsia="Times New Roman"/>
          <w:sz w:val="18"/>
          <w:szCs w:val="18"/>
        </w:rPr>
        <w:t>The Special M</w:t>
      </w:r>
      <w:r>
        <w:rPr>
          <w:rFonts w:eastAsia="Times New Roman"/>
          <w:sz w:val="18"/>
          <w:szCs w:val="18"/>
        </w:rPr>
        <w:t xml:space="preserve">eeting will begin promptly at 8:00 a.m. Beijing/Hong Kong time on Tuesday, October 11, 2022 / 8:00 p.m. U.S. Eastern time on Monday, October 10, 2022. Online check-in will begin 15 minutes prior to the start of the meeting, and you should allow ample time </w:t>
      </w:r>
      <w:r>
        <w:rPr>
          <w:rFonts w:eastAsia="Times New Roman"/>
          <w:sz w:val="18"/>
          <w:szCs w:val="18"/>
        </w:rPr>
        <w:t>for the online check-in procedures. We encourage our stockholders to access the meeting prior to the start time.</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76" w:lineRule="exact"/>
        <w:rPr>
          <w:sz w:val="20"/>
          <w:szCs w:val="20"/>
        </w:rPr>
      </w:pPr>
    </w:p>
    <w:p w:rsidR="00CC2C66" w:rsidRDefault="00F80B74">
      <w:pPr>
        <w:ind w:left="420"/>
        <w:rPr>
          <w:sz w:val="20"/>
          <w:szCs w:val="20"/>
        </w:rPr>
      </w:pPr>
      <w:r>
        <w:rPr>
          <w:rFonts w:ascii="Arial" w:eastAsia="Arial" w:hAnsi="Arial" w:cs="Arial"/>
          <w:b/>
          <w:bCs/>
          <w:color w:val="CF0A2C"/>
          <w:sz w:val="30"/>
          <w:szCs w:val="30"/>
        </w:rPr>
        <w:t>May stockholders ask questions?</w:t>
      </w:r>
    </w:p>
    <w:p w:rsidR="00CC2C66" w:rsidRDefault="00F80B74">
      <w:pPr>
        <w:spacing w:line="20" w:lineRule="exact"/>
        <w:rPr>
          <w:sz w:val="20"/>
          <w:szCs w:val="20"/>
        </w:rPr>
      </w:pPr>
      <w:r>
        <w:rPr>
          <w:noProof/>
          <w:sz w:val="20"/>
          <w:szCs w:val="20"/>
        </w:rPr>
        <w:drawing>
          <wp:anchor distT="0" distB="0" distL="114300" distR="114300" simplePos="0" relativeHeight="251511808"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83" w:lineRule="exact"/>
        <w:rPr>
          <w:sz w:val="20"/>
          <w:szCs w:val="20"/>
        </w:rPr>
      </w:pPr>
    </w:p>
    <w:p w:rsidR="00CC2C66" w:rsidRDefault="00F80B74">
      <w:pPr>
        <w:spacing w:line="247" w:lineRule="auto"/>
        <w:ind w:left="420"/>
        <w:jc w:val="both"/>
        <w:rPr>
          <w:sz w:val="20"/>
          <w:szCs w:val="20"/>
        </w:rPr>
      </w:pPr>
      <w:r>
        <w:rPr>
          <w:rFonts w:eastAsia="Times New Roman"/>
          <w:sz w:val="19"/>
          <w:szCs w:val="19"/>
        </w:rPr>
        <w:t xml:space="preserve">Yes. Stockholders will have the ability to submit </w:t>
      </w:r>
      <w:r>
        <w:rPr>
          <w:rFonts w:eastAsia="Times New Roman"/>
          <w:sz w:val="19"/>
          <w:szCs w:val="19"/>
        </w:rPr>
        <w:t>questions during the Special Meeting via the Special Meeting website. As part of the Special Meeting, we will hold a live Q&amp;A session, during which we intend to answer all</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52" w:lineRule="auto"/>
        <w:ind w:right="20"/>
        <w:jc w:val="both"/>
        <w:rPr>
          <w:sz w:val="20"/>
          <w:szCs w:val="20"/>
        </w:rPr>
      </w:pPr>
      <w:r>
        <w:rPr>
          <w:rFonts w:eastAsia="Times New Roman"/>
          <w:sz w:val="19"/>
          <w:szCs w:val="19"/>
        </w:rPr>
        <w:t xml:space="preserve">questions submitted during the meeting in accordance with the Special Meeting’s </w:t>
      </w:r>
      <w:r>
        <w:rPr>
          <w:rFonts w:eastAsia="Times New Roman"/>
          <w:sz w:val="19"/>
          <w:szCs w:val="19"/>
        </w:rPr>
        <w:t>Rules of Conduct which are pertinent to the Company and the meeting matters, as time permits.</w:t>
      </w:r>
    </w:p>
    <w:p w:rsidR="00CC2C66" w:rsidRDefault="00CC2C66">
      <w:pPr>
        <w:spacing w:line="200" w:lineRule="exact"/>
        <w:rPr>
          <w:sz w:val="20"/>
          <w:szCs w:val="20"/>
        </w:rPr>
      </w:pPr>
    </w:p>
    <w:p w:rsidR="00CC2C66" w:rsidRDefault="00CC2C66">
      <w:pPr>
        <w:spacing w:line="273"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3</w:t>
      </w:r>
    </w:p>
    <w:p w:rsidR="00CC2C66" w:rsidRDefault="00F80B74">
      <w:pPr>
        <w:spacing w:line="20" w:lineRule="exact"/>
        <w:rPr>
          <w:sz w:val="20"/>
          <w:szCs w:val="20"/>
        </w:rPr>
      </w:pPr>
      <w:r>
        <w:rPr>
          <w:noProof/>
          <w:sz w:val="20"/>
          <w:szCs w:val="20"/>
        </w:rPr>
        <w:drawing>
          <wp:anchor distT="0" distB="0" distL="114300" distR="114300" simplePos="0" relativeHeight="251512832"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10" w:name="page10"/>
      <w:bookmarkEnd w:id="10"/>
      <w:r>
        <w:rPr>
          <w:rFonts w:eastAsia="Times New Roman"/>
          <w:b/>
          <w:bCs/>
          <w:noProof/>
          <w:color w:val="0000EE"/>
          <w:sz w:val="17"/>
          <w:szCs w:val="17"/>
          <w:u w:val="single"/>
        </w:rPr>
        <w:lastRenderedPageBreak/>
        <w:drawing>
          <wp:anchor distT="0" distB="0" distL="114300" distR="114300" simplePos="0" relativeHeight="25151385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14880" behindDoc="1" locked="0" layoutInCell="0" allowOverlap="1">
            <wp:simplePos x="0" y="0"/>
            <wp:positionH relativeFrom="column">
              <wp:posOffset>260985</wp:posOffset>
            </wp:positionH>
            <wp:positionV relativeFrom="paragraph">
              <wp:posOffset>196850</wp:posOffset>
            </wp:positionV>
            <wp:extent cx="3602355" cy="1949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blip>
                    <a:srcRect/>
                    <a:stretch>
                      <a:fillRect/>
                    </a:stretch>
                  </pic:blipFill>
                  <pic:spPr bwMode="auto">
                    <a:xfrm>
                      <a:off x="0" y="0"/>
                      <a:ext cx="3602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QUESTIONS AND ANSWERS ABOUT THE SPECIAL MEETING AND VOTING</w:t>
      </w:r>
    </w:p>
    <w:p w:rsidR="00CC2C66" w:rsidRDefault="00CC2C66">
      <w:pPr>
        <w:spacing w:line="184" w:lineRule="exact"/>
        <w:rPr>
          <w:sz w:val="20"/>
          <w:szCs w:val="20"/>
        </w:rPr>
      </w:pPr>
    </w:p>
    <w:p w:rsidR="00CC2C66" w:rsidRDefault="00F80B74">
      <w:pPr>
        <w:spacing w:line="285" w:lineRule="auto"/>
        <w:ind w:left="420" w:right="640"/>
        <w:rPr>
          <w:sz w:val="20"/>
          <w:szCs w:val="20"/>
        </w:rPr>
      </w:pPr>
      <w:r>
        <w:rPr>
          <w:rFonts w:ascii="Arial" w:eastAsia="Arial" w:hAnsi="Arial" w:cs="Arial"/>
          <w:b/>
          <w:bCs/>
          <w:color w:val="CF0A2C"/>
          <w:sz w:val="31"/>
          <w:szCs w:val="31"/>
        </w:rPr>
        <w:t xml:space="preserve">What if I have </w:t>
      </w:r>
      <w:r>
        <w:rPr>
          <w:rFonts w:ascii="Arial" w:eastAsia="Arial" w:hAnsi="Arial" w:cs="Arial"/>
          <w:b/>
          <w:bCs/>
          <w:color w:val="CF0A2C"/>
          <w:sz w:val="31"/>
          <w:szCs w:val="31"/>
        </w:rPr>
        <w:t>technical difficulties or trouble accessing the Special Meeting?</w:t>
      </w:r>
    </w:p>
    <w:p w:rsidR="00CC2C66" w:rsidRDefault="00F80B74">
      <w:pPr>
        <w:spacing w:line="20" w:lineRule="exact"/>
        <w:rPr>
          <w:sz w:val="20"/>
          <w:szCs w:val="20"/>
        </w:rPr>
      </w:pPr>
      <w:r>
        <w:rPr>
          <w:noProof/>
          <w:sz w:val="20"/>
          <w:szCs w:val="20"/>
        </w:rPr>
        <w:drawing>
          <wp:anchor distT="0" distB="0" distL="114300" distR="114300" simplePos="0" relativeHeight="251515904" behindDoc="1" locked="0" layoutInCell="0" allowOverlap="1">
            <wp:simplePos x="0" y="0"/>
            <wp:positionH relativeFrom="column">
              <wp:posOffset>260985</wp:posOffset>
            </wp:positionH>
            <wp:positionV relativeFrom="paragraph">
              <wp:posOffset>88900</wp:posOffset>
            </wp:positionV>
            <wp:extent cx="6620510" cy="825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316" w:lineRule="exact"/>
        <w:rPr>
          <w:sz w:val="20"/>
          <w:szCs w:val="20"/>
        </w:rPr>
      </w:pPr>
    </w:p>
    <w:p w:rsidR="00CC2C66" w:rsidRDefault="00F80B74">
      <w:pPr>
        <w:spacing w:line="265" w:lineRule="auto"/>
        <w:ind w:left="420"/>
        <w:rPr>
          <w:sz w:val="20"/>
          <w:szCs w:val="20"/>
        </w:rPr>
      </w:pPr>
      <w:r>
        <w:rPr>
          <w:rFonts w:eastAsia="Times New Roman"/>
          <w:sz w:val="19"/>
          <w:szCs w:val="19"/>
        </w:rPr>
        <w:t xml:space="preserve">Beginning 30 minutes prior to the start of and during the Special Meeting, you may contact the technical support number posted on the virtual meeting platform for assistance in accessing </w:t>
      </w:r>
      <w:r>
        <w:rPr>
          <w:rFonts w:eastAsia="Times New Roman"/>
          <w:sz w:val="19"/>
          <w:szCs w:val="19"/>
        </w:rPr>
        <w:t>the Special Meeting.</w:t>
      </w:r>
    </w:p>
    <w:p w:rsidR="00CC2C66" w:rsidRDefault="00CC2C66">
      <w:pPr>
        <w:spacing w:line="353" w:lineRule="exact"/>
        <w:rPr>
          <w:sz w:val="20"/>
          <w:szCs w:val="20"/>
        </w:rPr>
      </w:pPr>
    </w:p>
    <w:p w:rsidR="00CC2C66" w:rsidRDefault="00F80B74">
      <w:pPr>
        <w:ind w:left="420"/>
        <w:rPr>
          <w:sz w:val="20"/>
          <w:szCs w:val="20"/>
        </w:rPr>
      </w:pPr>
      <w:r>
        <w:rPr>
          <w:rFonts w:ascii="Arial" w:eastAsia="Arial" w:hAnsi="Arial" w:cs="Arial"/>
          <w:b/>
          <w:bCs/>
          <w:color w:val="CF0A2C"/>
          <w:sz w:val="31"/>
          <w:szCs w:val="31"/>
        </w:rPr>
        <w:t>Who may vote?</w:t>
      </w:r>
    </w:p>
    <w:p w:rsidR="00CC2C66" w:rsidRDefault="00F80B74">
      <w:pPr>
        <w:spacing w:line="20" w:lineRule="exact"/>
        <w:rPr>
          <w:sz w:val="20"/>
          <w:szCs w:val="20"/>
        </w:rPr>
      </w:pPr>
      <w:r>
        <w:rPr>
          <w:noProof/>
          <w:sz w:val="20"/>
          <w:szCs w:val="20"/>
        </w:rPr>
        <w:drawing>
          <wp:anchor distT="0" distB="0" distL="114300" distR="114300" simplePos="0" relativeHeight="251516928"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5" w:lineRule="exact"/>
        <w:rPr>
          <w:sz w:val="20"/>
          <w:szCs w:val="20"/>
        </w:rPr>
      </w:pPr>
    </w:p>
    <w:p w:rsidR="00CC2C66" w:rsidRDefault="00F80B74">
      <w:pPr>
        <w:spacing w:line="252" w:lineRule="auto"/>
        <w:ind w:left="420"/>
        <w:jc w:val="both"/>
        <w:rPr>
          <w:sz w:val="20"/>
          <w:szCs w:val="20"/>
        </w:rPr>
      </w:pPr>
      <w:r>
        <w:rPr>
          <w:rFonts w:eastAsia="Times New Roman"/>
          <w:sz w:val="19"/>
          <w:szCs w:val="19"/>
        </w:rPr>
        <w:t>You may vote if you owned any shares of Company common stock as of the close of business on the record date, August 24, 2022. Each share of Company common stock</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5" w:lineRule="exact"/>
        <w:rPr>
          <w:sz w:val="20"/>
          <w:szCs w:val="20"/>
        </w:rPr>
      </w:pPr>
    </w:p>
    <w:p w:rsidR="00CC2C66" w:rsidRDefault="00F80B74">
      <w:pPr>
        <w:spacing w:line="265" w:lineRule="auto"/>
        <w:rPr>
          <w:sz w:val="20"/>
          <w:szCs w:val="20"/>
        </w:rPr>
      </w:pPr>
      <w:r>
        <w:rPr>
          <w:rFonts w:eastAsia="Times New Roman"/>
          <w:sz w:val="19"/>
          <w:szCs w:val="19"/>
        </w:rPr>
        <w:t>is entitled to one vote. As o</w:t>
      </w:r>
      <w:r>
        <w:rPr>
          <w:rFonts w:eastAsia="Times New Roman"/>
          <w:sz w:val="19"/>
          <w:szCs w:val="19"/>
        </w:rPr>
        <w:t>f August 24, 2022, there were 419,620,866 shares of Company common stock outstanding.</w:t>
      </w:r>
    </w:p>
    <w:p w:rsidR="00CC2C66" w:rsidRDefault="00CC2C66">
      <w:pPr>
        <w:spacing w:line="405"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00" w:space="320"/>
            <w:col w:w="5120"/>
          </w:cols>
        </w:sectPr>
      </w:pPr>
    </w:p>
    <w:p w:rsidR="00CC2C66" w:rsidRDefault="00CC2C66">
      <w:pPr>
        <w:spacing w:line="318" w:lineRule="exact"/>
        <w:rPr>
          <w:sz w:val="20"/>
          <w:szCs w:val="20"/>
        </w:rPr>
      </w:pPr>
    </w:p>
    <w:p w:rsidR="00CC2C66" w:rsidRDefault="00F80B74">
      <w:pPr>
        <w:ind w:left="420"/>
        <w:rPr>
          <w:sz w:val="20"/>
          <w:szCs w:val="20"/>
        </w:rPr>
      </w:pPr>
      <w:r>
        <w:rPr>
          <w:rFonts w:ascii="Arial" w:eastAsia="Arial" w:hAnsi="Arial" w:cs="Arial"/>
          <w:b/>
          <w:bCs/>
          <w:color w:val="CF0A2C"/>
          <w:sz w:val="30"/>
          <w:szCs w:val="30"/>
        </w:rPr>
        <w:t>What am I voting on?</w:t>
      </w:r>
    </w:p>
    <w:p w:rsidR="00CC2C66" w:rsidRDefault="00F80B74">
      <w:pPr>
        <w:spacing w:line="20" w:lineRule="exact"/>
        <w:rPr>
          <w:sz w:val="20"/>
          <w:szCs w:val="20"/>
        </w:rPr>
      </w:pPr>
      <w:r>
        <w:rPr>
          <w:noProof/>
          <w:sz w:val="20"/>
          <w:szCs w:val="20"/>
        </w:rPr>
        <w:drawing>
          <wp:anchor distT="0" distB="0" distL="114300" distR="114300" simplePos="0" relativeHeight="251517952"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4" w:lineRule="exact"/>
        <w:rPr>
          <w:sz w:val="20"/>
          <w:szCs w:val="20"/>
        </w:rPr>
      </w:pPr>
    </w:p>
    <w:p w:rsidR="00CC2C66" w:rsidRDefault="00F80B74">
      <w:pPr>
        <w:ind w:left="420"/>
        <w:rPr>
          <w:sz w:val="20"/>
          <w:szCs w:val="20"/>
        </w:rPr>
      </w:pPr>
      <w:r>
        <w:rPr>
          <w:rFonts w:eastAsia="Times New Roman"/>
          <w:sz w:val="18"/>
          <w:szCs w:val="18"/>
        </w:rPr>
        <w:t>You will be voting on the following three Items of Business at the</w:t>
      </w:r>
    </w:p>
    <w:p w:rsidR="00CC2C66" w:rsidRDefault="00CC2C66">
      <w:pPr>
        <w:spacing w:line="30" w:lineRule="exact"/>
        <w:rPr>
          <w:sz w:val="20"/>
          <w:szCs w:val="20"/>
        </w:rPr>
      </w:pPr>
    </w:p>
    <w:p w:rsidR="00CC2C66" w:rsidRDefault="00F80B74">
      <w:pPr>
        <w:ind w:left="420"/>
        <w:rPr>
          <w:sz w:val="20"/>
          <w:szCs w:val="20"/>
        </w:rPr>
      </w:pPr>
      <w:r>
        <w:rPr>
          <w:rFonts w:eastAsia="Times New Roman"/>
          <w:sz w:val="19"/>
          <w:szCs w:val="19"/>
        </w:rPr>
        <w:t>Special Meeting:</w:t>
      </w:r>
    </w:p>
    <w:p w:rsidR="00CC2C66" w:rsidRDefault="00CC2C66">
      <w:pPr>
        <w:spacing w:line="209" w:lineRule="exact"/>
        <w:rPr>
          <w:sz w:val="20"/>
          <w:szCs w:val="20"/>
        </w:rPr>
      </w:pPr>
    </w:p>
    <w:p w:rsidR="00CC2C66" w:rsidRDefault="00F80B74">
      <w:pPr>
        <w:numPr>
          <w:ilvl w:val="0"/>
          <w:numId w:val="11"/>
        </w:numPr>
        <w:tabs>
          <w:tab w:val="left" w:pos="1180"/>
        </w:tabs>
        <w:spacing w:line="241" w:lineRule="auto"/>
        <w:ind w:left="1180" w:hanging="386"/>
        <w:jc w:val="both"/>
        <w:rPr>
          <w:rFonts w:eastAsia="Times New Roman"/>
          <w:sz w:val="19"/>
          <w:szCs w:val="19"/>
        </w:rPr>
      </w:pPr>
      <w:r>
        <w:rPr>
          <w:rFonts w:eastAsia="Times New Roman"/>
          <w:sz w:val="19"/>
          <w:szCs w:val="19"/>
        </w:rPr>
        <w:t xml:space="preserve">To </w:t>
      </w:r>
      <w:r>
        <w:rPr>
          <w:rFonts w:eastAsia="Times New Roman"/>
          <w:sz w:val="19"/>
          <w:szCs w:val="19"/>
        </w:rPr>
        <w:t xml:space="preserve">approve the Board’s continuing authority to approve the Company’s issuance of shares of its common stock or securities convertible into common stock in an amount not to exceed 20% of the total number of outstanding shares of common stock of the Company as </w:t>
      </w:r>
      <w:r>
        <w:rPr>
          <w:rFonts w:eastAsia="Times New Roman"/>
          <w:sz w:val="19"/>
          <w:szCs w:val="19"/>
        </w:rPr>
        <w:t>of the date of the Special Meeting, effective from the Primary Conversion Effective Date until the earlier of the date the next annual meeting is held or June 26, 2023;</w:t>
      </w:r>
    </w:p>
    <w:p w:rsidR="00CC2C66" w:rsidRDefault="00CC2C66">
      <w:pPr>
        <w:spacing w:line="210" w:lineRule="exact"/>
        <w:rPr>
          <w:rFonts w:eastAsia="Times New Roman"/>
          <w:sz w:val="19"/>
          <w:szCs w:val="19"/>
        </w:rPr>
      </w:pPr>
    </w:p>
    <w:p w:rsidR="00CC2C66" w:rsidRDefault="00F80B74">
      <w:pPr>
        <w:numPr>
          <w:ilvl w:val="0"/>
          <w:numId w:val="11"/>
        </w:numPr>
        <w:tabs>
          <w:tab w:val="left" w:pos="1180"/>
        </w:tabs>
        <w:spacing w:line="245" w:lineRule="auto"/>
        <w:ind w:left="1180" w:hanging="386"/>
        <w:jc w:val="both"/>
        <w:rPr>
          <w:rFonts w:eastAsia="Times New Roman"/>
          <w:sz w:val="19"/>
          <w:szCs w:val="19"/>
        </w:rPr>
      </w:pPr>
      <w:r>
        <w:rPr>
          <w:rFonts w:eastAsia="Times New Roman"/>
          <w:sz w:val="19"/>
          <w:szCs w:val="19"/>
        </w:rPr>
        <w:t>To approve the Board’s continuing authority to approve the Company’s repurchase of sha</w:t>
      </w:r>
      <w:r>
        <w:rPr>
          <w:rFonts w:eastAsia="Times New Roman"/>
          <w:sz w:val="19"/>
          <w:szCs w:val="19"/>
        </w:rPr>
        <w:t>res of its common stock in an amount not to exceed 10% of the total number of outstanding shares of common stock of the Company as of</w:t>
      </w:r>
    </w:p>
    <w:p w:rsidR="00CC2C66" w:rsidRDefault="00CC2C66">
      <w:pPr>
        <w:spacing w:line="265" w:lineRule="exact"/>
        <w:rPr>
          <w:sz w:val="20"/>
          <w:szCs w:val="20"/>
        </w:rPr>
      </w:pPr>
    </w:p>
    <w:p w:rsidR="00CC2C66" w:rsidRDefault="00F80B74">
      <w:pPr>
        <w:numPr>
          <w:ilvl w:val="0"/>
          <w:numId w:val="12"/>
        </w:numPr>
        <w:tabs>
          <w:tab w:val="left" w:pos="900"/>
        </w:tabs>
        <w:ind w:left="900" w:hanging="321"/>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18976" behindDoc="1" locked="0" layoutInCell="0" allowOverlap="1">
            <wp:simplePos x="0" y="0"/>
            <wp:positionH relativeFrom="column">
              <wp:posOffset>463550</wp:posOffset>
            </wp:positionH>
            <wp:positionV relativeFrom="paragraph">
              <wp:posOffset>-97155</wp:posOffset>
            </wp:positionV>
            <wp:extent cx="8255" cy="9715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4" w:lineRule="exact"/>
        <w:rPr>
          <w:sz w:val="20"/>
          <w:szCs w:val="20"/>
        </w:rPr>
      </w:pPr>
    </w:p>
    <w:p w:rsidR="00CC2C66" w:rsidRDefault="00F80B74">
      <w:pPr>
        <w:spacing w:line="247" w:lineRule="auto"/>
        <w:ind w:left="780" w:right="20"/>
        <w:jc w:val="both"/>
        <w:rPr>
          <w:sz w:val="20"/>
          <w:szCs w:val="20"/>
        </w:rPr>
      </w:pPr>
      <w:r>
        <w:rPr>
          <w:rFonts w:eastAsia="Times New Roman"/>
          <w:sz w:val="19"/>
          <w:szCs w:val="19"/>
        </w:rPr>
        <w:t xml:space="preserve">the date of the Special Meeting, effective from the Primary Conversion Effective Date </w:t>
      </w:r>
      <w:r>
        <w:rPr>
          <w:rFonts w:eastAsia="Times New Roman"/>
          <w:sz w:val="19"/>
          <w:szCs w:val="19"/>
        </w:rPr>
        <w:t>until the earlier of the date the next annual meeting is held or June 26, 2023; and</w:t>
      </w:r>
    </w:p>
    <w:p w:rsidR="00CC2C66" w:rsidRDefault="00CC2C66">
      <w:pPr>
        <w:spacing w:line="199" w:lineRule="exact"/>
        <w:rPr>
          <w:sz w:val="20"/>
          <w:szCs w:val="20"/>
        </w:rPr>
      </w:pPr>
    </w:p>
    <w:p w:rsidR="00CC2C66" w:rsidRDefault="00F80B74">
      <w:pPr>
        <w:numPr>
          <w:ilvl w:val="0"/>
          <w:numId w:val="13"/>
        </w:numPr>
        <w:tabs>
          <w:tab w:val="left" w:pos="780"/>
        </w:tabs>
        <w:ind w:left="780" w:hanging="389"/>
        <w:rPr>
          <w:rFonts w:eastAsia="Times New Roman"/>
          <w:sz w:val="19"/>
          <w:szCs w:val="19"/>
        </w:rPr>
      </w:pPr>
      <w:r>
        <w:rPr>
          <w:rFonts w:eastAsia="Times New Roman"/>
          <w:sz w:val="19"/>
          <w:szCs w:val="19"/>
        </w:rPr>
        <w:t>To approve the 2022 LTIP.</w:t>
      </w:r>
    </w:p>
    <w:p w:rsidR="00CC2C66" w:rsidRDefault="00CC2C66">
      <w:pPr>
        <w:spacing w:line="203" w:lineRule="exact"/>
        <w:rPr>
          <w:sz w:val="20"/>
          <w:szCs w:val="20"/>
        </w:rPr>
      </w:pPr>
    </w:p>
    <w:p w:rsidR="00CC2C66" w:rsidRDefault="00F80B74">
      <w:pPr>
        <w:spacing w:line="245" w:lineRule="auto"/>
        <w:jc w:val="both"/>
        <w:rPr>
          <w:sz w:val="20"/>
          <w:szCs w:val="20"/>
        </w:rPr>
      </w:pPr>
      <w:r>
        <w:rPr>
          <w:rFonts w:eastAsia="Times New Roman"/>
          <w:sz w:val="19"/>
          <w:szCs w:val="19"/>
        </w:rPr>
        <w:t>Pursuant to the Company’s Amended and Restated Bylaws, only business within the purpose or purposes described in the notice of special meeting m</w:t>
      </w:r>
      <w:r>
        <w:rPr>
          <w:rFonts w:eastAsia="Times New Roman"/>
          <w:sz w:val="19"/>
          <w:szCs w:val="19"/>
        </w:rPr>
        <w:t>ay be conducted at a special meeting. Accordingly, the only matters that will be brought before the Special Meeting are those described in the Notice.</w:t>
      </w:r>
    </w:p>
    <w:p w:rsidR="00CC2C66" w:rsidRDefault="00CC2C66">
      <w:pPr>
        <w:spacing w:line="171" w:lineRule="exact"/>
        <w:rPr>
          <w:sz w:val="20"/>
          <w:szCs w:val="20"/>
        </w:rPr>
      </w:pPr>
    </w:p>
    <w:p w:rsidR="00CC2C66" w:rsidRDefault="00F80B74">
      <w:pPr>
        <w:spacing w:line="249" w:lineRule="auto"/>
        <w:jc w:val="both"/>
        <w:rPr>
          <w:sz w:val="20"/>
          <w:szCs w:val="20"/>
        </w:rPr>
      </w:pPr>
      <w:r>
        <w:rPr>
          <w:rFonts w:eastAsia="Times New Roman"/>
          <w:b/>
          <w:bCs/>
          <w:sz w:val="19"/>
          <w:szCs w:val="19"/>
        </w:rPr>
        <w:t>THE PRIMARY CONVERSION SHALL NOT BECOME EFFECTIVE IF STOCKHOLDERS FAIL TO APPROVE ANY OF THE ITEMS OF BU</w:t>
      </w:r>
      <w:r>
        <w:rPr>
          <w:rFonts w:eastAsia="Times New Roman"/>
          <w:b/>
          <w:bCs/>
          <w:sz w:val="19"/>
          <w:szCs w:val="19"/>
        </w:rPr>
        <w:t>SINESS FOR WHICH THE SPECIAL MEETING IS CALLED.</w:t>
      </w:r>
    </w:p>
    <w:p w:rsidR="00CC2C66" w:rsidRDefault="00CC2C66">
      <w:pPr>
        <w:sectPr w:rsidR="00CC2C66">
          <w:type w:val="continuous"/>
          <w:pgSz w:w="11900" w:h="16838"/>
          <w:pgMar w:top="439" w:right="739" w:bottom="1440" w:left="320" w:header="0" w:footer="0" w:gutter="0"/>
          <w:cols w:num="2" w:space="720" w:equalWidth="0">
            <w:col w:w="5400" w:space="320"/>
            <w:col w:w="5120"/>
          </w:cols>
        </w:sectPr>
      </w:pPr>
    </w:p>
    <w:p w:rsidR="00CC2C66" w:rsidRDefault="00F80B74">
      <w:pPr>
        <w:rPr>
          <w:sz w:val="20"/>
          <w:szCs w:val="20"/>
        </w:rPr>
      </w:pPr>
      <w:bookmarkStart w:id="11" w:name="page11"/>
      <w:bookmarkEnd w:id="11"/>
      <w:r>
        <w:rPr>
          <w:rFonts w:eastAsia="Times New Roman"/>
          <w:b/>
          <w:bCs/>
          <w:noProof/>
          <w:color w:val="0000EE"/>
          <w:sz w:val="17"/>
          <w:szCs w:val="17"/>
          <w:u w:val="single"/>
        </w:rPr>
        <w:lastRenderedPageBreak/>
        <w:drawing>
          <wp:anchor distT="0" distB="0" distL="114300" distR="114300" simplePos="0" relativeHeight="25152000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21024" behindDoc="1" locked="0" layoutInCell="0" allowOverlap="1">
            <wp:simplePos x="0" y="0"/>
            <wp:positionH relativeFrom="column">
              <wp:posOffset>3173730</wp:posOffset>
            </wp:positionH>
            <wp:positionV relativeFrom="paragraph">
              <wp:posOffset>196850</wp:posOffset>
            </wp:positionV>
            <wp:extent cx="3707765" cy="1949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blip>
                    <a:srcRect/>
                    <a:stretch>
                      <a:fillRect/>
                    </a:stretch>
                  </pic:blipFill>
                  <pic:spPr bwMode="auto">
                    <a:xfrm>
                      <a:off x="0" y="0"/>
                      <a:ext cx="370776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5200"/>
        <w:rPr>
          <w:sz w:val="20"/>
          <w:szCs w:val="20"/>
        </w:rPr>
      </w:pPr>
      <w:r>
        <w:rPr>
          <w:rFonts w:ascii="Arial" w:eastAsia="Arial" w:hAnsi="Arial" w:cs="Arial"/>
          <w:b/>
          <w:bCs/>
          <w:color w:val="FFFFFF"/>
          <w:sz w:val="15"/>
          <w:szCs w:val="15"/>
        </w:rPr>
        <w:t>QUESTIONS AND ANSWERS ABOUT THE SPECIAL MEETING AND VOTING</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How does the Board of Directors recommend that I vote?</w:t>
      </w:r>
    </w:p>
    <w:p w:rsidR="00CC2C66" w:rsidRDefault="00F80B74">
      <w:pPr>
        <w:spacing w:line="20" w:lineRule="exact"/>
        <w:rPr>
          <w:sz w:val="20"/>
          <w:szCs w:val="20"/>
        </w:rPr>
      </w:pPr>
      <w:r>
        <w:rPr>
          <w:noProof/>
          <w:sz w:val="20"/>
          <w:szCs w:val="20"/>
        </w:rPr>
        <w:drawing>
          <wp:anchor distT="0" distB="0" distL="114300" distR="114300" simplePos="0" relativeHeight="251522048"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5" w:lineRule="exact"/>
        <w:rPr>
          <w:sz w:val="20"/>
          <w:szCs w:val="20"/>
        </w:rPr>
      </w:pPr>
    </w:p>
    <w:p w:rsidR="00CC2C66" w:rsidRDefault="00F80B74">
      <w:pPr>
        <w:ind w:left="420"/>
        <w:rPr>
          <w:sz w:val="20"/>
          <w:szCs w:val="20"/>
        </w:rPr>
      </w:pPr>
      <w:r>
        <w:rPr>
          <w:rFonts w:eastAsia="Times New Roman"/>
          <w:sz w:val="19"/>
          <w:szCs w:val="19"/>
        </w:rPr>
        <w:t xml:space="preserve">Our Board of </w:t>
      </w:r>
      <w:r>
        <w:rPr>
          <w:rFonts w:eastAsia="Times New Roman"/>
          <w:sz w:val="19"/>
          <w:szCs w:val="19"/>
        </w:rPr>
        <w:t>Directors recommends that you vote your shares:</w:t>
      </w:r>
    </w:p>
    <w:p w:rsidR="00CC2C66" w:rsidRDefault="00CC2C66">
      <w:pPr>
        <w:spacing w:line="225" w:lineRule="exact"/>
        <w:rPr>
          <w:sz w:val="20"/>
          <w:szCs w:val="20"/>
        </w:rPr>
      </w:pPr>
    </w:p>
    <w:p w:rsidR="00CC2C66" w:rsidRDefault="00F80B74">
      <w:pPr>
        <w:numPr>
          <w:ilvl w:val="0"/>
          <w:numId w:val="14"/>
        </w:numPr>
        <w:tabs>
          <w:tab w:val="left" w:pos="640"/>
        </w:tabs>
        <w:spacing w:line="243" w:lineRule="auto"/>
        <w:ind w:left="640" w:hanging="178"/>
        <w:jc w:val="both"/>
        <w:rPr>
          <w:rFonts w:eastAsia="Times New Roman"/>
          <w:color w:val="CF0A2C"/>
          <w:sz w:val="19"/>
          <w:szCs w:val="19"/>
        </w:rPr>
      </w:pPr>
      <w:r>
        <w:rPr>
          <w:rFonts w:eastAsia="Times New Roman"/>
          <w:b/>
          <w:bCs/>
          <w:sz w:val="19"/>
          <w:szCs w:val="19"/>
        </w:rPr>
        <w:t xml:space="preserve">FOR </w:t>
      </w:r>
      <w:r>
        <w:rPr>
          <w:rFonts w:eastAsia="Times New Roman"/>
          <w:sz w:val="19"/>
          <w:szCs w:val="19"/>
        </w:rPr>
        <w:t>the approval of the Board’s continuing authority to</w:t>
      </w:r>
      <w:r>
        <w:rPr>
          <w:rFonts w:eastAsia="Times New Roman"/>
          <w:b/>
          <w:bCs/>
          <w:sz w:val="19"/>
          <w:szCs w:val="19"/>
        </w:rPr>
        <w:t xml:space="preserve"> </w:t>
      </w:r>
      <w:r>
        <w:rPr>
          <w:rFonts w:eastAsia="Times New Roman"/>
          <w:sz w:val="19"/>
          <w:szCs w:val="19"/>
        </w:rPr>
        <w:t>approve the Company’s issuance of shares of its common stock or securities convertible into common stock in an amount not to exceed 20% of the total nu</w:t>
      </w:r>
      <w:r>
        <w:rPr>
          <w:rFonts w:eastAsia="Times New Roman"/>
          <w:sz w:val="19"/>
          <w:szCs w:val="19"/>
        </w:rPr>
        <w:t>mber of outstanding shares of common stock of the Company as of the date of the Special Meeting, effective from the Primary Conversion Effective Date until the earlier of the date the next annual meeting is held or June 26, 2023;</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1" w:lineRule="exact"/>
        <w:rPr>
          <w:sz w:val="20"/>
          <w:szCs w:val="20"/>
        </w:rPr>
      </w:pPr>
    </w:p>
    <w:p w:rsidR="00CC2C66" w:rsidRDefault="00F80B74">
      <w:pPr>
        <w:numPr>
          <w:ilvl w:val="0"/>
          <w:numId w:val="15"/>
        </w:numPr>
        <w:tabs>
          <w:tab w:val="left" w:pos="181"/>
        </w:tabs>
        <w:spacing w:line="243" w:lineRule="auto"/>
        <w:ind w:left="181" w:right="20" w:hanging="181"/>
        <w:jc w:val="both"/>
        <w:rPr>
          <w:rFonts w:eastAsia="Times New Roman"/>
          <w:color w:val="CF0A2C"/>
          <w:sz w:val="19"/>
          <w:szCs w:val="19"/>
        </w:rPr>
      </w:pPr>
      <w:r>
        <w:rPr>
          <w:rFonts w:eastAsia="Times New Roman"/>
          <w:b/>
          <w:bCs/>
          <w:sz w:val="19"/>
          <w:szCs w:val="19"/>
        </w:rPr>
        <w:t xml:space="preserve">FOR </w:t>
      </w:r>
      <w:r>
        <w:rPr>
          <w:rFonts w:eastAsia="Times New Roman"/>
          <w:sz w:val="19"/>
          <w:szCs w:val="19"/>
        </w:rPr>
        <w:t>the approval of t</w:t>
      </w:r>
      <w:r>
        <w:rPr>
          <w:rFonts w:eastAsia="Times New Roman"/>
          <w:sz w:val="19"/>
          <w:szCs w:val="19"/>
        </w:rPr>
        <w:t>he Board’s continuing authority to</w:t>
      </w:r>
      <w:r>
        <w:rPr>
          <w:rFonts w:eastAsia="Times New Roman"/>
          <w:b/>
          <w:bCs/>
          <w:sz w:val="19"/>
          <w:szCs w:val="19"/>
        </w:rPr>
        <w:t xml:space="preserve"> </w:t>
      </w:r>
      <w:r>
        <w:rPr>
          <w:rFonts w:eastAsia="Times New Roman"/>
          <w:sz w:val="19"/>
          <w:szCs w:val="19"/>
        </w:rPr>
        <w:t xml:space="preserve">approve the Company’s repurchase of shares of its common stock in an amount not to exceed 10% of the total number of outstanding shares of common stock of the Company as of the date of the Special Meeting, effective from </w:t>
      </w:r>
      <w:r>
        <w:rPr>
          <w:rFonts w:eastAsia="Times New Roman"/>
          <w:sz w:val="19"/>
          <w:szCs w:val="19"/>
        </w:rPr>
        <w:t>the Primary Conversion Effective Date until the earlier of the date the next annual meeting is held or June 26, 2023; and</w:t>
      </w:r>
    </w:p>
    <w:p w:rsidR="00CC2C66" w:rsidRDefault="00CC2C66">
      <w:pPr>
        <w:spacing w:line="201" w:lineRule="exact"/>
        <w:rPr>
          <w:rFonts w:eastAsia="Times New Roman"/>
          <w:color w:val="CF0A2C"/>
          <w:sz w:val="19"/>
          <w:szCs w:val="19"/>
        </w:rPr>
      </w:pPr>
    </w:p>
    <w:p w:rsidR="00CC2C66" w:rsidRDefault="00F80B74">
      <w:pPr>
        <w:numPr>
          <w:ilvl w:val="0"/>
          <w:numId w:val="15"/>
        </w:numPr>
        <w:tabs>
          <w:tab w:val="left" w:pos="181"/>
        </w:tabs>
        <w:ind w:left="181" w:hanging="181"/>
        <w:rPr>
          <w:rFonts w:eastAsia="Times New Roman"/>
          <w:color w:val="CF0A2C"/>
          <w:sz w:val="19"/>
          <w:szCs w:val="19"/>
        </w:rPr>
      </w:pPr>
      <w:r>
        <w:rPr>
          <w:rFonts w:eastAsia="Times New Roman"/>
          <w:b/>
          <w:bCs/>
          <w:sz w:val="19"/>
          <w:szCs w:val="19"/>
        </w:rPr>
        <w:t xml:space="preserve">FOR </w:t>
      </w:r>
      <w:r>
        <w:rPr>
          <w:rFonts w:eastAsia="Times New Roman"/>
          <w:sz w:val="19"/>
          <w:szCs w:val="19"/>
        </w:rPr>
        <w:t>the approval of the 2022 LTIP.</w:t>
      </w:r>
    </w:p>
    <w:p w:rsidR="00CC2C66" w:rsidRDefault="00CC2C66">
      <w:pPr>
        <w:spacing w:line="447"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00" w:space="379"/>
            <w:col w:w="5061"/>
          </w:cols>
        </w:sectPr>
      </w:pPr>
    </w:p>
    <w:p w:rsidR="00CC2C66" w:rsidRDefault="00CC2C66">
      <w:pPr>
        <w:spacing w:line="378" w:lineRule="exact"/>
        <w:rPr>
          <w:sz w:val="20"/>
          <w:szCs w:val="20"/>
        </w:rPr>
      </w:pPr>
    </w:p>
    <w:p w:rsidR="00CC2C66" w:rsidRDefault="00F80B74">
      <w:pPr>
        <w:ind w:left="420"/>
        <w:rPr>
          <w:sz w:val="20"/>
          <w:szCs w:val="20"/>
        </w:rPr>
      </w:pPr>
      <w:r>
        <w:rPr>
          <w:rFonts w:ascii="Arial" w:eastAsia="Arial" w:hAnsi="Arial" w:cs="Arial"/>
          <w:b/>
          <w:bCs/>
          <w:color w:val="CF0A2C"/>
          <w:sz w:val="30"/>
          <w:szCs w:val="30"/>
        </w:rPr>
        <w:t>How do I vote before the Special Meeting?</w:t>
      </w:r>
    </w:p>
    <w:p w:rsidR="00CC2C66" w:rsidRDefault="00F80B74">
      <w:pPr>
        <w:spacing w:line="20" w:lineRule="exact"/>
        <w:rPr>
          <w:sz w:val="20"/>
          <w:szCs w:val="20"/>
        </w:rPr>
      </w:pPr>
      <w:r>
        <w:rPr>
          <w:noProof/>
          <w:sz w:val="20"/>
          <w:szCs w:val="20"/>
        </w:rPr>
        <w:drawing>
          <wp:anchor distT="0" distB="0" distL="114300" distR="114300" simplePos="0" relativeHeight="251523072"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4" w:lineRule="exact"/>
        <w:rPr>
          <w:sz w:val="20"/>
          <w:szCs w:val="20"/>
        </w:rPr>
      </w:pPr>
    </w:p>
    <w:p w:rsidR="00CC2C66" w:rsidRDefault="00F80B74">
      <w:pPr>
        <w:ind w:left="420"/>
        <w:rPr>
          <w:sz w:val="20"/>
          <w:szCs w:val="20"/>
        </w:rPr>
      </w:pPr>
      <w:r>
        <w:rPr>
          <w:rFonts w:eastAsia="Times New Roman"/>
          <w:sz w:val="19"/>
          <w:szCs w:val="19"/>
        </w:rPr>
        <w:t>There are three ways to vote before the meeting:</w:t>
      </w:r>
    </w:p>
    <w:p w:rsidR="00CC2C66" w:rsidRDefault="00CC2C66">
      <w:pPr>
        <w:spacing w:line="225" w:lineRule="exact"/>
        <w:rPr>
          <w:sz w:val="20"/>
          <w:szCs w:val="20"/>
        </w:rPr>
      </w:pPr>
    </w:p>
    <w:p w:rsidR="00CC2C66" w:rsidRDefault="00F80B74">
      <w:pPr>
        <w:numPr>
          <w:ilvl w:val="0"/>
          <w:numId w:val="16"/>
        </w:numPr>
        <w:tabs>
          <w:tab w:val="left" w:pos="640"/>
        </w:tabs>
        <w:spacing w:line="254" w:lineRule="auto"/>
        <w:ind w:left="640" w:hanging="178"/>
        <w:jc w:val="both"/>
        <w:rPr>
          <w:rFonts w:eastAsia="Times New Roman"/>
          <w:color w:val="CF0A2C"/>
          <w:sz w:val="19"/>
          <w:szCs w:val="19"/>
        </w:rPr>
      </w:pPr>
      <w:r>
        <w:rPr>
          <w:rFonts w:eastAsia="Times New Roman"/>
          <w:sz w:val="19"/>
          <w:szCs w:val="19"/>
        </w:rPr>
        <w:t xml:space="preserve">By </w:t>
      </w:r>
      <w:r>
        <w:rPr>
          <w:rFonts w:eastAsia="Times New Roman"/>
          <w:b/>
          <w:bCs/>
          <w:sz w:val="19"/>
          <w:szCs w:val="19"/>
        </w:rPr>
        <w:t>Internet</w:t>
      </w:r>
      <w:r>
        <w:rPr>
          <w:rFonts w:eastAsia="Times New Roman"/>
          <w:sz w:val="19"/>
          <w:szCs w:val="19"/>
        </w:rPr>
        <w:t xml:space="preserve">—we encourage you to vote online at </w:t>
      </w:r>
      <w:r>
        <w:rPr>
          <w:rFonts w:eastAsia="Times New Roman"/>
          <w:i/>
          <w:iCs/>
          <w:sz w:val="19"/>
          <w:szCs w:val="19"/>
        </w:rPr>
        <w:t xml:space="preserve">www.proxyvote.com </w:t>
      </w:r>
      <w:r>
        <w:rPr>
          <w:rFonts w:eastAsia="Times New Roman"/>
          <w:sz w:val="19"/>
          <w:szCs w:val="19"/>
        </w:rPr>
        <w:t>by following instructions on the proxy</w:t>
      </w:r>
      <w:r>
        <w:rPr>
          <w:rFonts w:eastAsia="Times New Roman"/>
          <w:i/>
          <w:iCs/>
          <w:sz w:val="19"/>
          <w:szCs w:val="19"/>
        </w:rPr>
        <w:t xml:space="preserve"> </w:t>
      </w:r>
      <w:r>
        <w:rPr>
          <w:rFonts w:eastAsia="Times New Roman"/>
          <w:sz w:val="19"/>
          <w:szCs w:val="19"/>
        </w:rPr>
        <w:t>card;</w:t>
      </w:r>
    </w:p>
    <w:p w:rsidR="00CC2C66" w:rsidRDefault="00CC2C66">
      <w:pPr>
        <w:spacing w:line="187" w:lineRule="exact"/>
        <w:rPr>
          <w:rFonts w:eastAsia="Times New Roman"/>
          <w:color w:val="CF0A2C"/>
          <w:sz w:val="19"/>
          <w:szCs w:val="19"/>
        </w:rPr>
      </w:pPr>
    </w:p>
    <w:p w:rsidR="00CC2C66" w:rsidRDefault="00F80B74">
      <w:pPr>
        <w:numPr>
          <w:ilvl w:val="0"/>
          <w:numId w:val="16"/>
        </w:numPr>
        <w:tabs>
          <w:tab w:val="left" w:pos="640"/>
        </w:tabs>
        <w:spacing w:line="269" w:lineRule="auto"/>
        <w:ind w:left="640" w:hanging="178"/>
        <w:rPr>
          <w:rFonts w:eastAsia="Times New Roman"/>
          <w:color w:val="CF0A2C"/>
          <w:sz w:val="19"/>
          <w:szCs w:val="19"/>
        </w:rPr>
      </w:pPr>
      <w:r>
        <w:rPr>
          <w:rFonts w:eastAsia="Times New Roman"/>
          <w:sz w:val="19"/>
          <w:szCs w:val="19"/>
        </w:rPr>
        <w:t xml:space="preserve">By </w:t>
      </w:r>
      <w:r>
        <w:rPr>
          <w:rFonts w:eastAsia="Times New Roman"/>
          <w:b/>
          <w:bCs/>
          <w:sz w:val="19"/>
          <w:szCs w:val="19"/>
        </w:rPr>
        <w:t>telephone</w:t>
      </w:r>
      <w:r>
        <w:rPr>
          <w:rFonts w:eastAsia="Times New Roman"/>
          <w:sz w:val="19"/>
          <w:szCs w:val="19"/>
        </w:rPr>
        <w:t>—you may vote by making a telephone call to 1 (800) 690-6903 (toll-free in the U.</w:t>
      </w:r>
      <w:r>
        <w:rPr>
          <w:rFonts w:eastAsia="Times New Roman"/>
          <w:sz w:val="19"/>
          <w:szCs w:val="19"/>
        </w:rPr>
        <w:t>S.); or</w:t>
      </w:r>
    </w:p>
    <w:p w:rsidR="00CC2C66" w:rsidRDefault="00CC2C66">
      <w:pPr>
        <w:spacing w:line="174" w:lineRule="exact"/>
        <w:rPr>
          <w:rFonts w:eastAsia="Times New Roman"/>
          <w:color w:val="CF0A2C"/>
          <w:sz w:val="19"/>
          <w:szCs w:val="19"/>
        </w:rPr>
      </w:pPr>
    </w:p>
    <w:p w:rsidR="00CC2C66" w:rsidRDefault="00F80B74">
      <w:pPr>
        <w:numPr>
          <w:ilvl w:val="0"/>
          <w:numId w:val="16"/>
        </w:numPr>
        <w:tabs>
          <w:tab w:val="left" w:pos="640"/>
        </w:tabs>
        <w:spacing w:line="254" w:lineRule="auto"/>
        <w:ind w:left="640" w:hanging="178"/>
        <w:jc w:val="both"/>
        <w:rPr>
          <w:rFonts w:eastAsia="Times New Roman"/>
          <w:color w:val="CF0A2C"/>
          <w:sz w:val="19"/>
          <w:szCs w:val="19"/>
        </w:rPr>
      </w:pPr>
      <w:r>
        <w:rPr>
          <w:rFonts w:eastAsia="Times New Roman"/>
          <w:sz w:val="19"/>
          <w:szCs w:val="19"/>
        </w:rPr>
        <w:t xml:space="preserve">By </w:t>
      </w:r>
      <w:r>
        <w:rPr>
          <w:rFonts w:eastAsia="Times New Roman"/>
          <w:b/>
          <w:bCs/>
          <w:sz w:val="19"/>
          <w:szCs w:val="19"/>
        </w:rPr>
        <w:t>mail</w:t>
      </w:r>
      <w:r>
        <w:rPr>
          <w:rFonts w:eastAsia="Times New Roman"/>
          <w:sz w:val="19"/>
          <w:szCs w:val="19"/>
        </w:rPr>
        <w:t>—if you received your proxy materials by mail, you may vote by completing, signing, dating and mailing the proxy card in the postage-paid envelope provided.</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4" w:lineRule="exact"/>
        <w:rPr>
          <w:sz w:val="20"/>
          <w:szCs w:val="20"/>
        </w:rPr>
      </w:pPr>
    </w:p>
    <w:p w:rsidR="00CC2C66" w:rsidRDefault="00F80B74">
      <w:pPr>
        <w:spacing w:line="245" w:lineRule="auto"/>
        <w:jc w:val="both"/>
        <w:rPr>
          <w:sz w:val="20"/>
          <w:szCs w:val="20"/>
        </w:rPr>
      </w:pPr>
      <w:r>
        <w:rPr>
          <w:rFonts w:eastAsia="Times New Roman"/>
          <w:sz w:val="19"/>
          <w:szCs w:val="19"/>
        </w:rPr>
        <w:t>Proxies submitted through the Internet or by telephone as described above must</w:t>
      </w:r>
      <w:r>
        <w:rPr>
          <w:rFonts w:eastAsia="Times New Roman"/>
          <w:sz w:val="19"/>
          <w:szCs w:val="19"/>
        </w:rPr>
        <w:t xml:space="preserve"> be received by 11:59 a.m. Beijing/Hong Kong time on October 10, 2022 / 11:59 p.m. U.S. Eastern time on October 9, 2022. Proxies submitted by mail must be received prior to the meeting.</w:t>
      </w:r>
    </w:p>
    <w:p w:rsidR="00CC2C66" w:rsidRDefault="00CC2C66">
      <w:pPr>
        <w:spacing w:line="171" w:lineRule="exact"/>
        <w:rPr>
          <w:sz w:val="20"/>
          <w:szCs w:val="20"/>
        </w:rPr>
      </w:pPr>
    </w:p>
    <w:p w:rsidR="00CC2C66" w:rsidRDefault="00F80B74">
      <w:pPr>
        <w:spacing w:line="249" w:lineRule="auto"/>
        <w:jc w:val="both"/>
        <w:rPr>
          <w:sz w:val="20"/>
          <w:szCs w:val="20"/>
        </w:rPr>
      </w:pPr>
      <w:r>
        <w:rPr>
          <w:rFonts w:eastAsia="Times New Roman"/>
          <w:i/>
          <w:iCs/>
          <w:sz w:val="19"/>
          <w:szCs w:val="19"/>
        </w:rPr>
        <w:t xml:space="preserve">If you hold your shares in the name of a bank, broker, or other </w:t>
      </w:r>
      <w:r>
        <w:rPr>
          <w:rFonts w:eastAsia="Times New Roman"/>
          <w:i/>
          <w:iCs/>
          <w:sz w:val="19"/>
          <w:szCs w:val="19"/>
        </w:rPr>
        <w:t>nominee, your ability to vote before the Special Meeting depends on their voting processes. Please follow the directions of your bank, broker, or other nominee carefully.</w:t>
      </w:r>
    </w:p>
    <w:p w:rsidR="00CC2C66" w:rsidRDefault="00CC2C66">
      <w:pPr>
        <w:spacing w:line="689"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00" w:space="320"/>
            <w:col w:w="5120"/>
          </w:cols>
        </w:sectPr>
      </w:pPr>
    </w:p>
    <w:p w:rsidR="00CC2C66" w:rsidRDefault="00CC2C66">
      <w:pPr>
        <w:spacing w:line="368" w:lineRule="exact"/>
        <w:rPr>
          <w:sz w:val="20"/>
          <w:szCs w:val="20"/>
        </w:rPr>
      </w:pPr>
    </w:p>
    <w:p w:rsidR="00CC2C66" w:rsidRDefault="00F80B74">
      <w:pPr>
        <w:ind w:left="420"/>
        <w:rPr>
          <w:sz w:val="20"/>
          <w:szCs w:val="20"/>
        </w:rPr>
      </w:pPr>
      <w:r>
        <w:rPr>
          <w:rFonts w:ascii="Arial" w:eastAsia="Arial" w:hAnsi="Arial" w:cs="Arial"/>
          <w:b/>
          <w:bCs/>
          <w:color w:val="CF0A2C"/>
          <w:sz w:val="30"/>
          <w:szCs w:val="30"/>
        </w:rPr>
        <w:t>Can I vote during the Special Meeting?</w:t>
      </w:r>
    </w:p>
    <w:p w:rsidR="00CC2C66" w:rsidRDefault="00F80B74">
      <w:pPr>
        <w:spacing w:line="20" w:lineRule="exact"/>
        <w:rPr>
          <w:sz w:val="20"/>
          <w:szCs w:val="20"/>
        </w:rPr>
      </w:pPr>
      <w:r>
        <w:rPr>
          <w:noProof/>
          <w:sz w:val="20"/>
          <w:szCs w:val="20"/>
        </w:rPr>
        <w:drawing>
          <wp:anchor distT="0" distB="0" distL="114300" distR="114300" simplePos="0" relativeHeight="251524096"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46" w:lineRule="exact"/>
        <w:rPr>
          <w:sz w:val="20"/>
          <w:szCs w:val="20"/>
        </w:rPr>
      </w:pPr>
    </w:p>
    <w:p w:rsidR="00CC2C66" w:rsidRDefault="00F80B74">
      <w:pPr>
        <w:spacing w:line="243" w:lineRule="auto"/>
        <w:ind w:left="420"/>
        <w:jc w:val="both"/>
        <w:rPr>
          <w:sz w:val="20"/>
          <w:szCs w:val="20"/>
        </w:rPr>
      </w:pPr>
      <w:r>
        <w:rPr>
          <w:rFonts w:eastAsia="Times New Roman"/>
          <w:sz w:val="19"/>
          <w:szCs w:val="19"/>
        </w:rPr>
        <w:t>Yes. To vote during the Special Meeting, you will need the 16-digit control number included on your proxy card or on the instructions that accompanied your proxy materials. Even if you plan to attend the Special Meeting, we encour</w:t>
      </w:r>
      <w:r>
        <w:rPr>
          <w:rFonts w:eastAsia="Times New Roman"/>
          <w:sz w:val="19"/>
          <w:szCs w:val="19"/>
        </w:rPr>
        <w:t>age you to vote your shares by proxy. You may still vote your shares during the Special Meeting even if you have previously voted by proxy.</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22" w:lineRule="exact"/>
        <w:rPr>
          <w:sz w:val="20"/>
          <w:szCs w:val="20"/>
        </w:rPr>
      </w:pPr>
    </w:p>
    <w:p w:rsidR="00CC2C66" w:rsidRDefault="00F80B74">
      <w:pPr>
        <w:spacing w:line="249" w:lineRule="auto"/>
        <w:jc w:val="both"/>
        <w:rPr>
          <w:sz w:val="20"/>
          <w:szCs w:val="20"/>
        </w:rPr>
      </w:pPr>
      <w:r>
        <w:rPr>
          <w:rFonts w:eastAsia="Times New Roman"/>
          <w:i/>
          <w:iCs/>
          <w:sz w:val="19"/>
          <w:szCs w:val="19"/>
        </w:rPr>
        <w:t>If you hold your shares in the name of a bank, broker, or other nominee, your ability to vote during the Specia</w:t>
      </w:r>
      <w:r>
        <w:rPr>
          <w:rFonts w:eastAsia="Times New Roman"/>
          <w:i/>
          <w:iCs/>
          <w:sz w:val="19"/>
          <w:szCs w:val="19"/>
        </w:rPr>
        <w:t>l Meeting depends on their voting processes. Please follow the directions of your bank, broker, or other nominee carefully.</w:t>
      </w:r>
    </w:p>
    <w:p w:rsidR="00CC2C66" w:rsidRDefault="00CC2C66">
      <w:pPr>
        <w:spacing w:line="624"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286"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5</w:t>
      </w:r>
    </w:p>
    <w:p w:rsidR="00CC2C66" w:rsidRDefault="00F80B74">
      <w:pPr>
        <w:spacing w:line="20" w:lineRule="exact"/>
        <w:rPr>
          <w:sz w:val="20"/>
          <w:szCs w:val="20"/>
        </w:rPr>
      </w:pPr>
      <w:r>
        <w:rPr>
          <w:noProof/>
          <w:sz w:val="20"/>
          <w:szCs w:val="20"/>
        </w:rPr>
        <w:drawing>
          <wp:anchor distT="0" distB="0" distL="114300" distR="114300" simplePos="0" relativeHeight="251525120"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12" w:name="page12"/>
      <w:bookmarkEnd w:id="12"/>
      <w:r>
        <w:rPr>
          <w:rFonts w:eastAsia="Times New Roman"/>
          <w:b/>
          <w:bCs/>
          <w:noProof/>
          <w:color w:val="0000EE"/>
          <w:sz w:val="17"/>
          <w:szCs w:val="17"/>
          <w:u w:val="single"/>
        </w:rPr>
        <w:lastRenderedPageBreak/>
        <w:drawing>
          <wp:anchor distT="0" distB="0" distL="114300" distR="114300" simplePos="0" relativeHeight="25152614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27168" behindDoc="1" locked="0" layoutInCell="0" allowOverlap="1">
            <wp:simplePos x="0" y="0"/>
            <wp:positionH relativeFrom="column">
              <wp:posOffset>260985</wp:posOffset>
            </wp:positionH>
            <wp:positionV relativeFrom="paragraph">
              <wp:posOffset>196850</wp:posOffset>
            </wp:positionV>
            <wp:extent cx="3602355" cy="1949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blip>
                    <a:srcRect/>
                    <a:stretch>
                      <a:fillRect/>
                    </a:stretch>
                  </pic:blipFill>
                  <pic:spPr bwMode="auto">
                    <a:xfrm>
                      <a:off x="0" y="0"/>
                      <a:ext cx="3602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 xml:space="preserve">QUESTIONS AND ANSWERS </w:t>
      </w:r>
      <w:r>
        <w:rPr>
          <w:rFonts w:ascii="Arial" w:eastAsia="Arial" w:hAnsi="Arial" w:cs="Arial"/>
          <w:b/>
          <w:bCs/>
          <w:color w:val="FFFFFF"/>
          <w:sz w:val="15"/>
          <w:szCs w:val="15"/>
        </w:rPr>
        <w:t>ABOUT THE SPECIAL MEETING AND VOTING</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Can I change my mind after I vote?</w:t>
      </w:r>
    </w:p>
    <w:p w:rsidR="00CC2C66" w:rsidRDefault="00F80B74">
      <w:pPr>
        <w:spacing w:line="20" w:lineRule="exact"/>
        <w:rPr>
          <w:sz w:val="20"/>
          <w:szCs w:val="20"/>
        </w:rPr>
      </w:pPr>
      <w:r>
        <w:rPr>
          <w:noProof/>
          <w:sz w:val="20"/>
          <w:szCs w:val="20"/>
        </w:rPr>
        <w:drawing>
          <wp:anchor distT="0" distB="0" distL="114300" distR="114300" simplePos="0" relativeHeight="251528192" behindDoc="1" locked="0" layoutInCell="0" allowOverlap="1">
            <wp:simplePos x="0" y="0"/>
            <wp:positionH relativeFrom="column">
              <wp:posOffset>260985</wp:posOffset>
            </wp:positionH>
            <wp:positionV relativeFrom="paragraph">
              <wp:posOffset>124460</wp:posOffset>
            </wp:positionV>
            <wp:extent cx="6620510" cy="825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7" w:lineRule="exact"/>
        <w:rPr>
          <w:sz w:val="20"/>
          <w:szCs w:val="20"/>
        </w:rPr>
      </w:pPr>
    </w:p>
    <w:p w:rsidR="00CC2C66" w:rsidRDefault="00F80B74">
      <w:pPr>
        <w:ind w:left="420"/>
        <w:rPr>
          <w:sz w:val="20"/>
          <w:szCs w:val="20"/>
        </w:rPr>
      </w:pPr>
      <w:r>
        <w:rPr>
          <w:rFonts w:eastAsia="Times New Roman"/>
          <w:sz w:val="18"/>
          <w:szCs w:val="18"/>
        </w:rPr>
        <w:t>You may change your vote at any time before the polls close at the</w:t>
      </w:r>
    </w:p>
    <w:p w:rsidR="00CC2C66" w:rsidRDefault="00CC2C66">
      <w:pPr>
        <w:spacing w:line="30" w:lineRule="exact"/>
        <w:rPr>
          <w:sz w:val="20"/>
          <w:szCs w:val="20"/>
        </w:rPr>
      </w:pPr>
    </w:p>
    <w:p w:rsidR="00CC2C66" w:rsidRDefault="00F80B74">
      <w:pPr>
        <w:ind w:left="420"/>
        <w:rPr>
          <w:sz w:val="20"/>
          <w:szCs w:val="20"/>
        </w:rPr>
      </w:pPr>
      <w:r>
        <w:rPr>
          <w:rFonts w:eastAsia="Times New Roman"/>
          <w:sz w:val="19"/>
          <w:szCs w:val="19"/>
        </w:rPr>
        <w:t>Special Meeting. You may do this by:</w:t>
      </w:r>
    </w:p>
    <w:p w:rsidR="00CC2C66" w:rsidRDefault="00CC2C66">
      <w:pPr>
        <w:spacing w:line="209" w:lineRule="exact"/>
        <w:rPr>
          <w:sz w:val="20"/>
          <w:szCs w:val="20"/>
        </w:rPr>
      </w:pPr>
    </w:p>
    <w:p w:rsidR="00CC2C66" w:rsidRDefault="00F80B74">
      <w:pPr>
        <w:numPr>
          <w:ilvl w:val="0"/>
          <w:numId w:val="17"/>
        </w:numPr>
        <w:tabs>
          <w:tab w:val="left" w:pos="640"/>
        </w:tabs>
        <w:spacing w:line="265" w:lineRule="auto"/>
        <w:ind w:left="640" w:right="20" w:hanging="178"/>
        <w:rPr>
          <w:rFonts w:eastAsia="Times New Roman"/>
          <w:color w:val="CF0A2C"/>
          <w:sz w:val="19"/>
          <w:szCs w:val="19"/>
        </w:rPr>
      </w:pPr>
      <w:r>
        <w:rPr>
          <w:rFonts w:eastAsia="Times New Roman"/>
          <w:sz w:val="19"/>
          <w:szCs w:val="19"/>
        </w:rPr>
        <w:t xml:space="preserve">signing another proxy card with a later date and </w:t>
      </w:r>
      <w:r>
        <w:rPr>
          <w:rFonts w:eastAsia="Times New Roman"/>
          <w:sz w:val="19"/>
          <w:szCs w:val="19"/>
        </w:rPr>
        <w:t>returning it to us for receipt prior to the Special Meeting;</w:t>
      </w:r>
    </w:p>
    <w:p w:rsidR="00CC2C66" w:rsidRDefault="00CC2C66">
      <w:pPr>
        <w:spacing w:line="181" w:lineRule="exact"/>
        <w:rPr>
          <w:rFonts w:eastAsia="Times New Roman"/>
          <w:color w:val="CF0A2C"/>
          <w:sz w:val="19"/>
          <w:szCs w:val="19"/>
        </w:rPr>
      </w:pPr>
    </w:p>
    <w:p w:rsidR="00CC2C66" w:rsidRDefault="00F80B74">
      <w:pPr>
        <w:numPr>
          <w:ilvl w:val="0"/>
          <w:numId w:val="17"/>
        </w:numPr>
        <w:tabs>
          <w:tab w:val="left" w:pos="640"/>
        </w:tabs>
        <w:spacing w:line="252" w:lineRule="auto"/>
        <w:ind w:left="640" w:right="20" w:hanging="178"/>
        <w:jc w:val="both"/>
        <w:rPr>
          <w:rFonts w:eastAsia="Times New Roman"/>
          <w:color w:val="CF0A2C"/>
          <w:sz w:val="19"/>
          <w:szCs w:val="19"/>
        </w:rPr>
      </w:pPr>
      <w:r>
        <w:rPr>
          <w:rFonts w:eastAsia="Times New Roman"/>
          <w:sz w:val="19"/>
          <w:szCs w:val="19"/>
        </w:rPr>
        <w:t>voting again through the Internet or by telephone prior to 11:59 a.m. Beijing/Hong Kong time on October 10, 2022 / 11:59 p.m. U.S. Eastern time on October 9, 2022;</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87" w:lineRule="exact"/>
        <w:rPr>
          <w:sz w:val="20"/>
          <w:szCs w:val="20"/>
        </w:rPr>
      </w:pPr>
    </w:p>
    <w:p w:rsidR="00CC2C66" w:rsidRDefault="00F80B74">
      <w:pPr>
        <w:numPr>
          <w:ilvl w:val="0"/>
          <w:numId w:val="18"/>
        </w:numPr>
        <w:tabs>
          <w:tab w:val="left" w:pos="240"/>
        </w:tabs>
        <w:spacing w:line="265" w:lineRule="auto"/>
        <w:ind w:left="240" w:right="20" w:hanging="181"/>
        <w:rPr>
          <w:rFonts w:eastAsia="Times New Roman"/>
          <w:color w:val="CF0A2C"/>
          <w:sz w:val="19"/>
          <w:szCs w:val="19"/>
        </w:rPr>
      </w:pPr>
      <w:r>
        <w:rPr>
          <w:rFonts w:eastAsia="Times New Roman"/>
          <w:sz w:val="19"/>
          <w:szCs w:val="19"/>
        </w:rPr>
        <w:t xml:space="preserve">giving written notice to </w:t>
      </w:r>
      <w:r>
        <w:rPr>
          <w:rFonts w:eastAsia="Times New Roman"/>
          <w:sz w:val="19"/>
          <w:szCs w:val="19"/>
        </w:rPr>
        <w:t>the Corporate Secretary of the Company prior to the Special Meeting; or</w:t>
      </w:r>
    </w:p>
    <w:p w:rsidR="00CC2C66" w:rsidRDefault="00CC2C66">
      <w:pPr>
        <w:spacing w:line="181" w:lineRule="exact"/>
        <w:rPr>
          <w:rFonts w:eastAsia="Times New Roman"/>
          <w:color w:val="CF0A2C"/>
          <w:sz w:val="19"/>
          <w:szCs w:val="19"/>
        </w:rPr>
      </w:pPr>
    </w:p>
    <w:p w:rsidR="00CC2C66" w:rsidRDefault="00F80B74">
      <w:pPr>
        <w:numPr>
          <w:ilvl w:val="0"/>
          <w:numId w:val="18"/>
        </w:numPr>
        <w:tabs>
          <w:tab w:val="left" w:pos="240"/>
        </w:tabs>
        <w:ind w:left="240" w:hanging="181"/>
        <w:rPr>
          <w:rFonts w:eastAsia="Times New Roman"/>
          <w:color w:val="CF0A2C"/>
          <w:sz w:val="19"/>
          <w:szCs w:val="19"/>
        </w:rPr>
      </w:pPr>
      <w:r>
        <w:rPr>
          <w:rFonts w:eastAsia="Times New Roman"/>
          <w:sz w:val="19"/>
          <w:szCs w:val="19"/>
        </w:rPr>
        <w:t>voting again during the Special Meeting.</w:t>
      </w:r>
    </w:p>
    <w:p w:rsidR="00CC2C66" w:rsidRDefault="00CC2C66">
      <w:pPr>
        <w:spacing w:line="203" w:lineRule="exact"/>
        <w:rPr>
          <w:sz w:val="20"/>
          <w:szCs w:val="20"/>
        </w:rPr>
      </w:pPr>
    </w:p>
    <w:p w:rsidR="00CC2C66" w:rsidRDefault="00F80B74">
      <w:pPr>
        <w:spacing w:line="265" w:lineRule="auto"/>
        <w:ind w:right="20"/>
        <w:jc w:val="both"/>
        <w:rPr>
          <w:sz w:val="20"/>
          <w:szCs w:val="20"/>
        </w:rPr>
      </w:pPr>
      <w:r>
        <w:rPr>
          <w:rFonts w:eastAsia="Times New Roman"/>
          <w:sz w:val="19"/>
          <w:szCs w:val="19"/>
        </w:rPr>
        <w:t>Taking the above steps will result in the revocation of your prior vote or votes.</w:t>
      </w:r>
    </w:p>
    <w:p w:rsidR="00CC2C66" w:rsidRDefault="00CC2C66">
      <w:pPr>
        <w:spacing w:line="152" w:lineRule="exact"/>
        <w:rPr>
          <w:sz w:val="20"/>
          <w:szCs w:val="20"/>
        </w:rPr>
      </w:pPr>
    </w:p>
    <w:p w:rsidR="00CC2C66" w:rsidRDefault="00F80B74">
      <w:pPr>
        <w:spacing w:line="249" w:lineRule="auto"/>
        <w:jc w:val="both"/>
        <w:rPr>
          <w:sz w:val="20"/>
          <w:szCs w:val="20"/>
        </w:rPr>
      </w:pPr>
      <w:r>
        <w:rPr>
          <w:rFonts w:eastAsia="Times New Roman"/>
          <w:i/>
          <w:iCs/>
          <w:sz w:val="19"/>
          <w:szCs w:val="19"/>
        </w:rPr>
        <w:t xml:space="preserve">If you hold your shares in the name of a bank, broker, or </w:t>
      </w:r>
      <w:r>
        <w:rPr>
          <w:rFonts w:eastAsia="Times New Roman"/>
          <w:i/>
          <w:iCs/>
          <w:sz w:val="19"/>
          <w:szCs w:val="19"/>
        </w:rPr>
        <w:t>other nominee, your ability change your vote depends on their voting processes. Please follow the directions of your bank, broker, or other nominee carefully.</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08" w:lineRule="exact"/>
        <w:rPr>
          <w:sz w:val="20"/>
          <w:szCs w:val="20"/>
        </w:rPr>
      </w:pPr>
    </w:p>
    <w:p w:rsidR="00CC2C66" w:rsidRDefault="00F80B74">
      <w:pPr>
        <w:ind w:left="420"/>
        <w:rPr>
          <w:sz w:val="20"/>
          <w:szCs w:val="20"/>
        </w:rPr>
      </w:pPr>
      <w:r>
        <w:rPr>
          <w:rFonts w:ascii="Arial" w:eastAsia="Arial" w:hAnsi="Arial" w:cs="Arial"/>
          <w:b/>
          <w:bCs/>
          <w:color w:val="CF0A2C"/>
          <w:sz w:val="31"/>
          <w:szCs w:val="31"/>
        </w:rPr>
        <w:t>Who will count the votes?</w:t>
      </w:r>
    </w:p>
    <w:p w:rsidR="00CC2C66" w:rsidRDefault="00F80B74">
      <w:pPr>
        <w:spacing w:line="20" w:lineRule="exact"/>
        <w:rPr>
          <w:sz w:val="20"/>
          <w:szCs w:val="20"/>
        </w:rPr>
      </w:pPr>
      <w:r>
        <w:rPr>
          <w:noProof/>
          <w:sz w:val="20"/>
          <w:szCs w:val="20"/>
        </w:rPr>
        <w:drawing>
          <wp:anchor distT="0" distB="0" distL="114300" distR="114300" simplePos="0" relativeHeight="251529216" behindDoc="1" locked="0" layoutInCell="0" allowOverlap="1">
            <wp:simplePos x="0" y="0"/>
            <wp:positionH relativeFrom="column">
              <wp:posOffset>260985</wp:posOffset>
            </wp:positionH>
            <wp:positionV relativeFrom="paragraph">
              <wp:posOffset>124460</wp:posOffset>
            </wp:positionV>
            <wp:extent cx="6620510" cy="825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193" w:lineRule="exact"/>
        <w:rPr>
          <w:sz w:val="20"/>
          <w:szCs w:val="20"/>
        </w:rPr>
      </w:pPr>
    </w:p>
    <w:p w:rsidR="00CC2C66" w:rsidRDefault="00F80B74">
      <w:pPr>
        <w:ind w:left="420"/>
        <w:rPr>
          <w:sz w:val="20"/>
          <w:szCs w:val="20"/>
        </w:rPr>
      </w:pPr>
      <w:r>
        <w:rPr>
          <w:rFonts w:eastAsia="Times New Roman"/>
          <w:sz w:val="19"/>
          <w:szCs w:val="19"/>
        </w:rPr>
        <w:t xml:space="preserve">Representatives of Broadridge </w:t>
      </w:r>
      <w:r>
        <w:rPr>
          <w:rFonts w:eastAsia="Times New Roman"/>
          <w:sz w:val="19"/>
          <w:szCs w:val="19"/>
        </w:rPr>
        <w:t>Financial Solutions will count the votes and will serve as the independent inspector of election.</w:t>
      </w:r>
    </w:p>
    <w:p w:rsidR="00CC2C66" w:rsidRDefault="00CC2C66">
      <w:pPr>
        <w:spacing w:line="349" w:lineRule="exact"/>
        <w:rPr>
          <w:sz w:val="20"/>
          <w:szCs w:val="20"/>
        </w:rPr>
      </w:pPr>
    </w:p>
    <w:p w:rsidR="00CC2C66" w:rsidRDefault="00F80B74">
      <w:pPr>
        <w:ind w:left="420"/>
        <w:rPr>
          <w:sz w:val="20"/>
          <w:szCs w:val="20"/>
        </w:rPr>
      </w:pPr>
      <w:r>
        <w:rPr>
          <w:rFonts w:ascii="Arial" w:eastAsia="Arial" w:hAnsi="Arial" w:cs="Arial"/>
          <w:b/>
          <w:bCs/>
          <w:color w:val="CF0A2C"/>
          <w:sz w:val="30"/>
          <w:szCs w:val="30"/>
        </w:rPr>
        <w:t>What if I return my proxy card but do not provide voting instructions?</w:t>
      </w:r>
    </w:p>
    <w:p w:rsidR="00CC2C66" w:rsidRDefault="00F80B74">
      <w:pPr>
        <w:spacing w:line="20" w:lineRule="exact"/>
        <w:rPr>
          <w:sz w:val="20"/>
          <w:szCs w:val="20"/>
        </w:rPr>
      </w:pPr>
      <w:r>
        <w:rPr>
          <w:noProof/>
          <w:sz w:val="20"/>
          <w:szCs w:val="20"/>
        </w:rPr>
        <w:drawing>
          <wp:anchor distT="0" distB="0" distL="114300" distR="114300" simplePos="0" relativeHeight="251530240" behindDoc="1" locked="0" layoutInCell="0" allowOverlap="1">
            <wp:simplePos x="0" y="0"/>
            <wp:positionH relativeFrom="column">
              <wp:posOffset>260985</wp:posOffset>
            </wp:positionH>
            <wp:positionV relativeFrom="paragraph">
              <wp:posOffset>131445</wp:posOffset>
            </wp:positionV>
            <wp:extent cx="6620510" cy="825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19" w:lineRule="exact"/>
        <w:rPr>
          <w:sz w:val="20"/>
          <w:szCs w:val="20"/>
        </w:rPr>
      </w:pPr>
    </w:p>
    <w:p w:rsidR="00CC2C66" w:rsidRDefault="00F80B74">
      <w:pPr>
        <w:spacing w:line="252" w:lineRule="auto"/>
        <w:ind w:left="420"/>
        <w:jc w:val="both"/>
        <w:rPr>
          <w:sz w:val="20"/>
          <w:szCs w:val="20"/>
        </w:rPr>
      </w:pPr>
      <w:r>
        <w:rPr>
          <w:rFonts w:eastAsia="Times New Roman"/>
          <w:sz w:val="19"/>
          <w:szCs w:val="19"/>
        </w:rPr>
        <w:t xml:space="preserve">If you vote by proxy card, your shares will be voted as you </w:t>
      </w:r>
      <w:r>
        <w:rPr>
          <w:rFonts w:eastAsia="Times New Roman"/>
          <w:sz w:val="19"/>
          <w:szCs w:val="19"/>
        </w:rPr>
        <w:t>instruct by the individuals named on the proxy card. If you sign and return a proxy card but do not specify how your</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99" w:lineRule="exact"/>
        <w:rPr>
          <w:sz w:val="20"/>
          <w:szCs w:val="20"/>
        </w:rPr>
      </w:pPr>
    </w:p>
    <w:p w:rsidR="00CC2C66" w:rsidRDefault="00F80B74">
      <w:pPr>
        <w:spacing w:line="252" w:lineRule="auto"/>
        <w:jc w:val="both"/>
        <w:rPr>
          <w:sz w:val="20"/>
          <w:szCs w:val="20"/>
        </w:rPr>
      </w:pPr>
      <w:r>
        <w:rPr>
          <w:rFonts w:eastAsia="Times New Roman"/>
          <w:sz w:val="19"/>
          <w:szCs w:val="19"/>
        </w:rPr>
        <w:t xml:space="preserve">shares are to be voted, the persons named as proxies on the proxy card will vote your shares in accordance with the recommendations of </w:t>
      </w:r>
      <w:r>
        <w:rPr>
          <w:rFonts w:eastAsia="Times New Roman"/>
          <w:sz w:val="19"/>
          <w:szCs w:val="19"/>
        </w:rPr>
        <w:t>the Board set forth on page 5.</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05" w:lineRule="exact"/>
        <w:rPr>
          <w:sz w:val="20"/>
          <w:szCs w:val="20"/>
        </w:rPr>
      </w:pPr>
    </w:p>
    <w:p w:rsidR="00CC2C66" w:rsidRDefault="00F80B74">
      <w:pPr>
        <w:ind w:left="420"/>
        <w:rPr>
          <w:sz w:val="20"/>
          <w:szCs w:val="20"/>
        </w:rPr>
      </w:pPr>
      <w:r>
        <w:rPr>
          <w:rFonts w:ascii="Arial" w:eastAsia="Arial" w:hAnsi="Arial" w:cs="Arial"/>
          <w:b/>
          <w:bCs/>
          <w:color w:val="CF0A2C"/>
          <w:sz w:val="30"/>
          <w:szCs w:val="30"/>
        </w:rPr>
        <w:t>What does it mean if I receive more than one proxy card?</w:t>
      </w:r>
    </w:p>
    <w:p w:rsidR="00CC2C66" w:rsidRDefault="00F80B74">
      <w:pPr>
        <w:spacing w:line="20" w:lineRule="exact"/>
        <w:rPr>
          <w:sz w:val="20"/>
          <w:szCs w:val="20"/>
        </w:rPr>
      </w:pPr>
      <w:r>
        <w:rPr>
          <w:noProof/>
          <w:sz w:val="20"/>
          <w:szCs w:val="20"/>
        </w:rPr>
        <w:drawing>
          <wp:anchor distT="0" distB="0" distL="114300" distR="114300" simplePos="0" relativeHeight="251531264" behindDoc="1" locked="0" layoutInCell="0" allowOverlap="1">
            <wp:simplePos x="0" y="0"/>
            <wp:positionH relativeFrom="column">
              <wp:posOffset>260985</wp:posOffset>
            </wp:positionH>
            <wp:positionV relativeFrom="paragraph">
              <wp:posOffset>131445</wp:posOffset>
            </wp:positionV>
            <wp:extent cx="6620510" cy="825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6"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If you received more than one proxy card, it means that you have multiple accounts with brokers and/or our </w:t>
      </w:r>
      <w:r>
        <w:rPr>
          <w:rFonts w:eastAsia="Times New Roman"/>
          <w:sz w:val="19"/>
          <w:szCs w:val="19"/>
        </w:rPr>
        <w:t>transfer agent. Please vote all of these shares. We recommend that you contact your broker and/or our transfer agent to consolidate as many accounts as possible under the same name and address. Our U.S. transfer agent is Computer-</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86" w:lineRule="exact"/>
        <w:rPr>
          <w:sz w:val="20"/>
          <w:szCs w:val="20"/>
        </w:rPr>
      </w:pPr>
    </w:p>
    <w:p w:rsidR="00CC2C66" w:rsidRDefault="00F80B74">
      <w:pPr>
        <w:spacing w:line="245" w:lineRule="auto"/>
        <w:jc w:val="both"/>
        <w:rPr>
          <w:sz w:val="20"/>
          <w:szCs w:val="20"/>
        </w:rPr>
      </w:pPr>
      <w:r>
        <w:rPr>
          <w:rFonts w:eastAsia="Times New Roman"/>
          <w:sz w:val="19"/>
          <w:szCs w:val="19"/>
        </w:rPr>
        <w:t xml:space="preserve">share Trust Company, </w:t>
      </w:r>
      <w:r>
        <w:rPr>
          <w:rFonts w:eastAsia="Times New Roman"/>
          <w:sz w:val="19"/>
          <w:szCs w:val="19"/>
        </w:rPr>
        <w:t>N.A., which may be reached at 1 (877) 854-0865 (U.S.) and 1 (781) 575-3102 (International). Computershare Investor Services Limited, which can be reached at 852-2862-8500 (Hong Kong), acts as our co-transfer agent to maintain the Hong Kong share register.</w:t>
      </w:r>
    </w:p>
    <w:p w:rsidR="00CC2C66" w:rsidRDefault="00CC2C66">
      <w:pPr>
        <w:spacing w:line="412"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18" w:lineRule="exact"/>
        <w:rPr>
          <w:sz w:val="20"/>
          <w:szCs w:val="20"/>
        </w:rPr>
      </w:pPr>
    </w:p>
    <w:p w:rsidR="00CC2C66" w:rsidRDefault="00F80B74">
      <w:pPr>
        <w:ind w:left="420"/>
        <w:rPr>
          <w:sz w:val="20"/>
          <w:szCs w:val="20"/>
        </w:rPr>
      </w:pPr>
      <w:r>
        <w:rPr>
          <w:rFonts w:ascii="Arial" w:eastAsia="Arial" w:hAnsi="Arial" w:cs="Arial"/>
          <w:b/>
          <w:bCs/>
          <w:color w:val="CF0A2C"/>
          <w:sz w:val="30"/>
          <w:szCs w:val="30"/>
        </w:rPr>
        <w:t>Will my shares be voted if I do not provide my proxy?</w:t>
      </w:r>
    </w:p>
    <w:p w:rsidR="00CC2C66" w:rsidRDefault="00F80B74">
      <w:pPr>
        <w:spacing w:line="20" w:lineRule="exact"/>
        <w:rPr>
          <w:sz w:val="20"/>
          <w:szCs w:val="20"/>
        </w:rPr>
      </w:pPr>
      <w:r>
        <w:rPr>
          <w:noProof/>
          <w:sz w:val="20"/>
          <w:szCs w:val="20"/>
        </w:rPr>
        <w:drawing>
          <wp:anchor distT="0" distB="0" distL="114300" distR="114300" simplePos="0" relativeHeight="251532288" behindDoc="1" locked="0" layoutInCell="0" allowOverlap="1">
            <wp:simplePos x="0" y="0"/>
            <wp:positionH relativeFrom="column">
              <wp:posOffset>260985</wp:posOffset>
            </wp:positionH>
            <wp:positionV relativeFrom="paragraph">
              <wp:posOffset>131445</wp:posOffset>
            </wp:positionV>
            <wp:extent cx="6620510" cy="825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19" w:lineRule="exact"/>
        <w:rPr>
          <w:sz w:val="20"/>
          <w:szCs w:val="20"/>
        </w:rPr>
      </w:pPr>
    </w:p>
    <w:p w:rsidR="00CC2C66" w:rsidRDefault="00F80B74">
      <w:pPr>
        <w:spacing w:line="245" w:lineRule="auto"/>
        <w:ind w:left="420"/>
        <w:jc w:val="both"/>
        <w:rPr>
          <w:sz w:val="20"/>
          <w:szCs w:val="20"/>
        </w:rPr>
      </w:pPr>
      <w:r>
        <w:rPr>
          <w:rFonts w:eastAsia="Times New Roman"/>
          <w:sz w:val="19"/>
          <w:szCs w:val="19"/>
        </w:rPr>
        <w:t xml:space="preserve">The matters to be voted on at our Special Meeting are not considered “routine” under applicable rules. When a matter is not a routine matter and </w:t>
      </w:r>
      <w:r>
        <w:rPr>
          <w:rFonts w:eastAsia="Times New Roman"/>
          <w:sz w:val="19"/>
          <w:szCs w:val="19"/>
        </w:rPr>
        <w:t>the brokerage firm has not received voting instructions from the beneficial owner of the shares with respect to that matter, the brokerage firm</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99" w:lineRule="exact"/>
        <w:rPr>
          <w:sz w:val="20"/>
          <w:szCs w:val="20"/>
        </w:rPr>
      </w:pPr>
    </w:p>
    <w:p w:rsidR="00CC2C66" w:rsidRDefault="00F80B74">
      <w:pPr>
        <w:spacing w:line="247" w:lineRule="auto"/>
        <w:jc w:val="both"/>
        <w:rPr>
          <w:sz w:val="20"/>
          <w:szCs w:val="20"/>
        </w:rPr>
      </w:pPr>
      <w:r>
        <w:rPr>
          <w:rFonts w:eastAsia="Times New Roman"/>
          <w:sz w:val="19"/>
          <w:szCs w:val="19"/>
        </w:rPr>
        <w:t>cannot vote the shares on that proposal. This is called a “broker non-vote.” Because there are no routine ma</w:t>
      </w:r>
      <w:r>
        <w:rPr>
          <w:rFonts w:eastAsia="Times New Roman"/>
          <w:sz w:val="19"/>
          <w:szCs w:val="19"/>
        </w:rPr>
        <w:t>tters on which brokerage firms can vote without instruction, no broker non-votes are expected at the Special Meeting.</w:t>
      </w:r>
    </w:p>
    <w:p w:rsidR="00CC2C66" w:rsidRDefault="00CC2C66">
      <w:pPr>
        <w:spacing w:line="415"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53" w:lineRule="exact"/>
        <w:rPr>
          <w:sz w:val="20"/>
          <w:szCs w:val="20"/>
        </w:rPr>
      </w:pPr>
    </w:p>
    <w:p w:rsidR="00CC2C66" w:rsidRDefault="00F80B74">
      <w:pPr>
        <w:numPr>
          <w:ilvl w:val="0"/>
          <w:numId w:val="19"/>
        </w:numPr>
        <w:tabs>
          <w:tab w:val="left" w:pos="900"/>
        </w:tabs>
        <w:ind w:left="900" w:hanging="321"/>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33312" behindDoc="1" locked="0" layoutInCell="0" allowOverlap="1">
            <wp:simplePos x="0" y="0"/>
            <wp:positionH relativeFrom="column">
              <wp:posOffset>463550</wp:posOffset>
            </wp:positionH>
            <wp:positionV relativeFrom="paragraph">
              <wp:posOffset>-81915</wp:posOffset>
            </wp:positionV>
            <wp:extent cx="8255" cy="9715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13" w:name="page13"/>
      <w:bookmarkEnd w:id="13"/>
      <w:r>
        <w:rPr>
          <w:rFonts w:eastAsia="Times New Roman"/>
          <w:b/>
          <w:bCs/>
          <w:noProof/>
          <w:color w:val="0000EE"/>
          <w:sz w:val="17"/>
          <w:szCs w:val="17"/>
          <w:u w:val="single"/>
        </w:rPr>
        <w:lastRenderedPageBreak/>
        <w:drawing>
          <wp:anchor distT="0" distB="0" distL="114300" distR="114300" simplePos="0" relativeHeight="25153433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35360" behindDoc="1" locked="0" layoutInCell="0" allowOverlap="1">
            <wp:simplePos x="0" y="0"/>
            <wp:positionH relativeFrom="column">
              <wp:posOffset>3173730</wp:posOffset>
            </wp:positionH>
            <wp:positionV relativeFrom="paragraph">
              <wp:posOffset>196850</wp:posOffset>
            </wp:positionV>
            <wp:extent cx="3707765" cy="19494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blip>
                    <a:srcRect/>
                    <a:stretch>
                      <a:fillRect/>
                    </a:stretch>
                  </pic:blipFill>
                  <pic:spPr bwMode="auto">
                    <a:xfrm>
                      <a:off x="0" y="0"/>
                      <a:ext cx="370776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5200"/>
        <w:rPr>
          <w:sz w:val="20"/>
          <w:szCs w:val="20"/>
        </w:rPr>
      </w:pPr>
      <w:r>
        <w:rPr>
          <w:rFonts w:ascii="Arial" w:eastAsia="Arial" w:hAnsi="Arial" w:cs="Arial"/>
          <w:b/>
          <w:bCs/>
          <w:color w:val="FFFFFF"/>
          <w:sz w:val="15"/>
          <w:szCs w:val="15"/>
        </w:rPr>
        <w:t xml:space="preserve">QUESTIONS AND ANSWERS ABOUT THE </w:t>
      </w:r>
      <w:r>
        <w:rPr>
          <w:rFonts w:ascii="Arial" w:eastAsia="Arial" w:hAnsi="Arial" w:cs="Arial"/>
          <w:b/>
          <w:bCs/>
          <w:color w:val="FFFFFF"/>
          <w:sz w:val="15"/>
          <w:szCs w:val="15"/>
        </w:rPr>
        <w:t>SPECIAL MEETING AND VOTING</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How many votes must be present to hold the Special Meeting?</w:t>
      </w:r>
    </w:p>
    <w:p w:rsidR="00CC2C66" w:rsidRDefault="00F80B74">
      <w:pPr>
        <w:spacing w:line="20" w:lineRule="exact"/>
        <w:rPr>
          <w:sz w:val="20"/>
          <w:szCs w:val="20"/>
        </w:rPr>
      </w:pPr>
      <w:r>
        <w:rPr>
          <w:noProof/>
          <w:sz w:val="20"/>
          <w:szCs w:val="20"/>
        </w:rPr>
        <w:drawing>
          <wp:anchor distT="0" distB="0" distL="114300" distR="114300" simplePos="0" relativeHeight="251536384"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5" w:lineRule="exact"/>
        <w:rPr>
          <w:sz w:val="20"/>
          <w:szCs w:val="20"/>
        </w:rPr>
      </w:pPr>
    </w:p>
    <w:p w:rsidR="00CC2C66" w:rsidRDefault="00F80B74">
      <w:pPr>
        <w:spacing w:line="245" w:lineRule="auto"/>
        <w:ind w:left="420"/>
        <w:jc w:val="both"/>
        <w:rPr>
          <w:sz w:val="20"/>
          <w:szCs w:val="20"/>
        </w:rPr>
      </w:pPr>
      <w:r>
        <w:rPr>
          <w:rFonts w:eastAsia="Times New Roman"/>
          <w:sz w:val="19"/>
          <w:szCs w:val="19"/>
        </w:rPr>
        <w:t>Your shares are counted as present at the Special Meeting if you attend the Special Meeting via webcast using your 16-digit control number or i</w:t>
      </w:r>
      <w:r>
        <w:rPr>
          <w:rFonts w:eastAsia="Times New Roman"/>
          <w:sz w:val="19"/>
          <w:szCs w:val="19"/>
        </w:rPr>
        <w:t>f you properly submit a proxy by Internet, telephone, or mail. In order for us to conduct our Special Meeting, a majority of the shares of Company</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5" w:lineRule="exact"/>
        <w:rPr>
          <w:sz w:val="20"/>
          <w:szCs w:val="20"/>
        </w:rPr>
      </w:pPr>
    </w:p>
    <w:p w:rsidR="00CC2C66" w:rsidRDefault="00F80B74">
      <w:pPr>
        <w:spacing w:line="247" w:lineRule="auto"/>
        <w:jc w:val="both"/>
        <w:rPr>
          <w:sz w:val="20"/>
          <w:szCs w:val="20"/>
        </w:rPr>
      </w:pPr>
      <w:r>
        <w:rPr>
          <w:rFonts w:eastAsia="Times New Roman"/>
          <w:sz w:val="19"/>
          <w:szCs w:val="19"/>
        </w:rPr>
        <w:t xml:space="preserve">common stock outstanding as of August 24, 2022 must be present via webcast or represented by proxy at </w:t>
      </w:r>
      <w:r>
        <w:rPr>
          <w:rFonts w:eastAsia="Times New Roman"/>
          <w:sz w:val="19"/>
          <w:szCs w:val="19"/>
        </w:rPr>
        <w:t>the Special Meeting. This is referred to as a “quorum.” Abstentions will be counted for purposes of establishing a quorum at the Special Meeting.</w:t>
      </w:r>
    </w:p>
    <w:p w:rsidR="00CC2C66" w:rsidRDefault="00CC2C66">
      <w:pPr>
        <w:spacing w:line="415"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77" w:lineRule="exact"/>
        <w:rPr>
          <w:sz w:val="20"/>
          <w:szCs w:val="20"/>
        </w:rPr>
      </w:pPr>
    </w:p>
    <w:p w:rsidR="00CC2C66" w:rsidRDefault="00F80B74">
      <w:pPr>
        <w:ind w:left="420"/>
        <w:rPr>
          <w:sz w:val="20"/>
          <w:szCs w:val="20"/>
        </w:rPr>
      </w:pPr>
      <w:r>
        <w:rPr>
          <w:rFonts w:ascii="Arial" w:eastAsia="Arial" w:hAnsi="Arial" w:cs="Arial"/>
          <w:b/>
          <w:bCs/>
          <w:color w:val="CF0A2C"/>
          <w:sz w:val="30"/>
          <w:szCs w:val="30"/>
        </w:rPr>
        <w:t>How many votes are needed to approve the proposals?</w:t>
      </w:r>
    </w:p>
    <w:p w:rsidR="00CC2C66" w:rsidRDefault="00F80B74">
      <w:pPr>
        <w:spacing w:line="20" w:lineRule="exact"/>
        <w:rPr>
          <w:sz w:val="20"/>
          <w:szCs w:val="20"/>
        </w:rPr>
      </w:pPr>
      <w:r>
        <w:rPr>
          <w:noProof/>
          <w:sz w:val="20"/>
          <w:szCs w:val="20"/>
        </w:rPr>
        <w:drawing>
          <wp:anchor distT="0" distB="0" distL="114300" distR="114300" simplePos="0" relativeHeight="251537408"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4" w:lineRule="exact"/>
        <w:rPr>
          <w:sz w:val="20"/>
          <w:szCs w:val="20"/>
        </w:rPr>
      </w:pPr>
    </w:p>
    <w:p w:rsidR="00CC2C66" w:rsidRDefault="00F80B74">
      <w:pPr>
        <w:spacing w:line="243" w:lineRule="auto"/>
        <w:ind w:left="420"/>
        <w:jc w:val="both"/>
        <w:rPr>
          <w:sz w:val="20"/>
          <w:szCs w:val="20"/>
        </w:rPr>
      </w:pPr>
      <w:r>
        <w:rPr>
          <w:rFonts w:eastAsia="Times New Roman"/>
          <w:sz w:val="19"/>
          <w:szCs w:val="19"/>
        </w:rPr>
        <w:t>Proposals 1, 2, and 3 must receive the “FOR” vote of a majority of the shares of our common stock, present via webcast or represented by proxy, and entitled to vote at the Special Meeting. For each of the proposals, you may vote “FOR,” “AGAINST,” or “ABSTA</w:t>
      </w:r>
      <w:r>
        <w:rPr>
          <w:rFonts w:eastAsia="Times New Roman"/>
          <w:sz w:val="19"/>
          <w:szCs w:val="19"/>
        </w:rPr>
        <w:t>IN.” Abstentions will be counted as shares present and entitled to vote at the Special Meeting. Accordingly, abstentions will have the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4" w:lineRule="exact"/>
        <w:rPr>
          <w:sz w:val="20"/>
          <w:szCs w:val="20"/>
        </w:rPr>
      </w:pPr>
    </w:p>
    <w:p w:rsidR="00CC2C66" w:rsidRDefault="00F80B74">
      <w:pPr>
        <w:spacing w:line="243" w:lineRule="auto"/>
        <w:jc w:val="both"/>
        <w:rPr>
          <w:sz w:val="20"/>
          <w:szCs w:val="20"/>
        </w:rPr>
      </w:pPr>
      <w:r>
        <w:rPr>
          <w:rFonts w:eastAsia="Times New Roman"/>
          <w:sz w:val="19"/>
          <w:szCs w:val="19"/>
        </w:rPr>
        <w:t>same effect as a vote “AGAINST” proposals 1, 2, and 3. Because matters to be voted on at our Special Meeting are not</w:t>
      </w:r>
      <w:r>
        <w:rPr>
          <w:rFonts w:eastAsia="Times New Roman"/>
          <w:sz w:val="19"/>
          <w:szCs w:val="19"/>
        </w:rPr>
        <w:t xml:space="preserve"> considered “routine,” broker non-votes will not be counted as shares present and entitled to vote with respect to any particular matter on which the broker has not voted. Thus, broker non-votes will not affect the outcome of these proposals.</w:t>
      </w:r>
    </w:p>
    <w:p w:rsidR="00CC2C66" w:rsidRDefault="00CC2C66">
      <w:pPr>
        <w:spacing w:line="421"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78" w:lineRule="exact"/>
        <w:rPr>
          <w:sz w:val="20"/>
          <w:szCs w:val="20"/>
        </w:rPr>
      </w:pPr>
    </w:p>
    <w:p w:rsidR="00CC2C66" w:rsidRDefault="00F80B74">
      <w:pPr>
        <w:ind w:left="420"/>
        <w:rPr>
          <w:sz w:val="20"/>
          <w:szCs w:val="20"/>
        </w:rPr>
      </w:pPr>
      <w:r>
        <w:rPr>
          <w:rFonts w:ascii="Arial" w:eastAsia="Arial" w:hAnsi="Arial" w:cs="Arial"/>
          <w:b/>
          <w:bCs/>
          <w:color w:val="CF0A2C"/>
          <w:sz w:val="30"/>
          <w:szCs w:val="30"/>
        </w:rPr>
        <w:t>When will the Company announce the voting results?</w:t>
      </w:r>
    </w:p>
    <w:p w:rsidR="00CC2C66" w:rsidRDefault="00F80B74">
      <w:pPr>
        <w:spacing w:line="20" w:lineRule="exact"/>
        <w:rPr>
          <w:sz w:val="20"/>
          <w:szCs w:val="20"/>
        </w:rPr>
      </w:pPr>
      <w:r>
        <w:rPr>
          <w:noProof/>
          <w:sz w:val="20"/>
          <w:szCs w:val="20"/>
        </w:rPr>
        <w:drawing>
          <wp:anchor distT="0" distB="0" distL="114300" distR="114300" simplePos="0" relativeHeight="251538432"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46" w:lineRule="exact"/>
        <w:rPr>
          <w:sz w:val="20"/>
          <w:szCs w:val="20"/>
        </w:rPr>
      </w:pPr>
    </w:p>
    <w:p w:rsidR="00CC2C66" w:rsidRDefault="00F80B74">
      <w:pPr>
        <w:spacing w:line="252" w:lineRule="auto"/>
        <w:ind w:left="420"/>
        <w:jc w:val="both"/>
        <w:rPr>
          <w:sz w:val="20"/>
          <w:szCs w:val="20"/>
        </w:rPr>
      </w:pPr>
      <w:r>
        <w:rPr>
          <w:rFonts w:eastAsia="Times New Roman"/>
          <w:sz w:val="19"/>
          <w:szCs w:val="19"/>
        </w:rPr>
        <w:t>The Company will announce the voting results of the Special Meeting on a Current Report on Form 8-K filed with the SEC within four business days of</w:t>
      </w:r>
      <w:r>
        <w:rPr>
          <w:rFonts w:eastAsia="Times New Roman"/>
          <w:sz w:val="19"/>
          <w:szCs w:val="19"/>
        </w:rPr>
        <w:t xml:space="preserve"> the Special</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26" w:lineRule="exact"/>
        <w:rPr>
          <w:sz w:val="20"/>
          <w:szCs w:val="20"/>
        </w:rPr>
      </w:pPr>
    </w:p>
    <w:p w:rsidR="00CC2C66" w:rsidRDefault="00F80B74">
      <w:pPr>
        <w:spacing w:line="265" w:lineRule="auto"/>
        <w:ind w:right="20"/>
        <w:rPr>
          <w:sz w:val="20"/>
          <w:szCs w:val="20"/>
        </w:rPr>
      </w:pPr>
      <w:r>
        <w:rPr>
          <w:rFonts w:eastAsia="Times New Roman"/>
          <w:sz w:val="19"/>
          <w:szCs w:val="19"/>
        </w:rPr>
        <w:t>Meeting. The voting results will also be filed with Hong Kong Stock Exchange simultaneously.</w:t>
      </w:r>
    </w:p>
    <w:p w:rsidR="00CC2C66" w:rsidRDefault="00CC2C66">
      <w:pPr>
        <w:spacing w:line="405"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356" w:lineRule="exact"/>
        <w:rPr>
          <w:sz w:val="20"/>
          <w:szCs w:val="20"/>
        </w:rPr>
      </w:pPr>
    </w:p>
    <w:p w:rsidR="00CC2C66" w:rsidRDefault="00F80B74">
      <w:pPr>
        <w:spacing w:line="285" w:lineRule="auto"/>
        <w:ind w:left="420" w:right="620"/>
        <w:rPr>
          <w:sz w:val="20"/>
          <w:szCs w:val="20"/>
        </w:rPr>
      </w:pPr>
      <w:r>
        <w:rPr>
          <w:rFonts w:ascii="Arial" w:eastAsia="Arial" w:hAnsi="Arial" w:cs="Arial"/>
          <w:b/>
          <w:bCs/>
          <w:color w:val="CF0A2C"/>
          <w:sz w:val="31"/>
          <w:szCs w:val="31"/>
        </w:rPr>
        <w:t>What if other matters are presented for consideration at the Special Meeting?</w:t>
      </w:r>
    </w:p>
    <w:p w:rsidR="00CC2C66" w:rsidRDefault="00F80B74">
      <w:pPr>
        <w:spacing w:line="20" w:lineRule="exact"/>
        <w:rPr>
          <w:sz w:val="20"/>
          <w:szCs w:val="20"/>
        </w:rPr>
      </w:pPr>
      <w:r>
        <w:rPr>
          <w:noProof/>
          <w:sz w:val="20"/>
          <w:szCs w:val="20"/>
        </w:rPr>
        <w:drawing>
          <wp:anchor distT="0" distB="0" distL="114300" distR="114300" simplePos="0" relativeHeight="251539456" behindDoc="1" locked="0" layoutInCell="0" allowOverlap="1">
            <wp:simplePos x="0" y="0"/>
            <wp:positionH relativeFrom="column">
              <wp:posOffset>260985</wp:posOffset>
            </wp:positionH>
            <wp:positionV relativeFrom="paragraph">
              <wp:posOffset>88900</wp:posOffset>
            </wp:positionV>
            <wp:extent cx="6620510" cy="825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3" w:lineRule="exact"/>
        <w:rPr>
          <w:sz w:val="20"/>
          <w:szCs w:val="20"/>
        </w:rPr>
      </w:pPr>
    </w:p>
    <w:p w:rsidR="00CC2C66" w:rsidRDefault="00F80B74">
      <w:pPr>
        <w:spacing w:line="247" w:lineRule="auto"/>
        <w:ind w:left="420"/>
        <w:jc w:val="both"/>
        <w:rPr>
          <w:sz w:val="20"/>
          <w:szCs w:val="20"/>
        </w:rPr>
      </w:pPr>
      <w:r>
        <w:rPr>
          <w:rFonts w:eastAsia="Times New Roman"/>
          <w:sz w:val="19"/>
          <w:szCs w:val="19"/>
        </w:rPr>
        <w:t xml:space="preserve">The </w:t>
      </w:r>
      <w:r>
        <w:rPr>
          <w:rFonts w:eastAsia="Times New Roman"/>
          <w:sz w:val="19"/>
          <w:szCs w:val="19"/>
        </w:rPr>
        <w:t>Company knows of no other matters to be submitted to the stockholders at the Special Meeting, other than the proposals referred to in this proxy statement. If any other matters properly come before the stockholders at the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83" w:lineRule="exact"/>
        <w:rPr>
          <w:sz w:val="20"/>
          <w:szCs w:val="20"/>
        </w:rPr>
      </w:pPr>
    </w:p>
    <w:p w:rsidR="00CC2C66" w:rsidRDefault="00F80B74">
      <w:pPr>
        <w:spacing w:line="252" w:lineRule="auto"/>
        <w:jc w:val="both"/>
        <w:rPr>
          <w:sz w:val="20"/>
          <w:szCs w:val="20"/>
        </w:rPr>
      </w:pPr>
      <w:r>
        <w:rPr>
          <w:rFonts w:eastAsia="Times New Roman"/>
          <w:sz w:val="19"/>
          <w:szCs w:val="19"/>
        </w:rPr>
        <w:t>Special Meeting, it is the int</w:t>
      </w:r>
      <w:r>
        <w:rPr>
          <w:rFonts w:eastAsia="Times New Roman"/>
          <w:sz w:val="19"/>
          <w:szCs w:val="19"/>
        </w:rPr>
        <w:t>ention of the persons named on the proxy card to vote the shares represented thereby on such matters in accordance with their best judgment.</w:t>
      </w:r>
    </w:p>
    <w:p w:rsidR="00CC2C66" w:rsidRDefault="00CC2C66">
      <w:pPr>
        <w:spacing w:line="411"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00" w:space="320"/>
            <w:col w:w="5120"/>
          </w:cols>
        </w:sectPr>
      </w:pPr>
    </w:p>
    <w:p w:rsidR="00CC2C66" w:rsidRDefault="00CC2C66">
      <w:pPr>
        <w:spacing w:line="375" w:lineRule="exact"/>
        <w:rPr>
          <w:sz w:val="20"/>
          <w:szCs w:val="20"/>
        </w:rPr>
      </w:pPr>
    </w:p>
    <w:p w:rsidR="00CC2C66" w:rsidRDefault="00F80B74">
      <w:pPr>
        <w:ind w:left="420"/>
        <w:rPr>
          <w:sz w:val="20"/>
          <w:szCs w:val="20"/>
        </w:rPr>
      </w:pPr>
      <w:r>
        <w:rPr>
          <w:rFonts w:ascii="Arial" w:eastAsia="Arial" w:hAnsi="Arial" w:cs="Arial"/>
          <w:b/>
          <w:bCs/>
          <w:color w:val="CF0A2C"/>
          <w:sz w:val="31"/>
          <w:szCs w:val="31"/>
        </w:rPr>
        <w:t>How are dollar values indicated in this proxy statement?</w:t>
      </w:r>
    </w:p>
    <w:p w:rsidR="00CC2C66" w:rsidRDefault="00F80B74">
      <w:pPr>
        <w:spacing w:line="20" w:lineRule="exact"/>
        <w:rPr>
          <w:sz w:val="20"/>
          <w:szCs w:val="20"/>
        </w:rPr>
      </w:pPr>
      <w:r>
        <w:rPr>
          <w:noProof/>
          <w:sz w:val="20"/>
          <w:szCs w:val="20"/>
        </w:rPr>
        <w:drawing>
          <wp:anchor distT="0" distB="0" distL="114300" distR="114300" simplePos="0" relativeHeight="251540480"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74" w:lineRule="exact"/>
        <w:rPr>
          <w:sz w:val="20"/>
          <w:szCs w:val="20"/>
        </w:rPr>
      </w:pPr>
    </w:p>
    <w:p w:rsidR="00CC2C66" w:rsidRDefault="00F80B74">
      <w:pPr>
        <w:ind w:left="420"/>
        <w:rPr>
          <w:sz w:val="20"/>
          <w:szCs w:val="20"/>
        </w:rPr>
      </w:pPr>
      <w:r>
        <w:rPr>
          <w:rFonts w:eastAsia="Times New Roman"/>
          <w:sz w:val="18"/>
          <w:szCs w:val="18"/>
        </w:rPr>
        <w:t>In this proxy statement</w:t>
      </w:r>
      <w:r>
        <w:rPr>
          <w:rFonts w:eastAsia="Times New Roman"/>
          <w:sz w:val="18"/>
          <w:szCs w:val="18"/>
        </w:rPr>
        <w:t>, the Company uses “$” to refer to U.S. dollars, and “HK$” to refer to Hong Kong dollars.</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162"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7</w:t>
      </w:r>
    </w:p>
    <w:p w:rsidR="00CC2C66" w:rsidRDefault="00F80B74">
      <w:pPr>
        <w:spacing w:line="20" w:lineRule="exact"/>
        <w:rPr>
          <w:sz w:val="20"/>
          <w:szCs w:val="20"/>
        </w:rPr>
      </w:pPr>
      <w:r>
        <w:rPr>
          <w:noProof/>
          <w:sz w:val="20"/>
          <w:szCs w:val="20"/>
        </w:rPr>
        <w:drawing>
          <wp:anchor distT="0" distB="0" distL="114300" distR="114300" simplePos="0" relativeHeight="251541504"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14" w:name="page14"/>
      <w:bookmarkEnd w:id="14"/>
      <w:r>
        <w:rPr>
          <w:rFonts w:eastAsia="Times New Roman"/>
          <w:b/>
          <w:bCs/>
          <w:noProof/>
          <w:color w:val="0000EE"/>
          <w:sz w:val="17"/>
          <w:szCs w:val="17"/>
          <w:u w:val="single"/>
        </w:rPr>
        <w:lastRenderedPageBreak/>
        <w:drawing>
          <wp:anchor distT="0" distB="0" distL="114300" distR="114300" simplePos="0" relativeHeight="25154252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43552" behindDoc="1" locked="0" layoutInCell="0" allowOverlap="1">
            <wp:simplePos x="0" y="0"/>
            <wp:positionH relativeFrom="column">
              <wp:posOffset>260985</wp:posOffset>
            </wp:positionH>
            <wp:positionV relativeFrom="paragraph">
              <wp:posOffset>196850</wp:posOffset>
            </wp:positionV>
            <wp:extent cx="6620510" cy="47879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blip>
                    <a:srcRect/>
                    <a:stretch>
                      <a:fillRect/>
                    </a:stretch>
                  </pic:blipFill>
                  <pic:spPr bwMode="auto">
                    <a:xfrm>
                      <a:off x="0" y="0"/>
                      <a:ext cx="6620510" cy="4787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ind w:left="500"/>
        <w:rPr>
          <w:sz w:val="20"/>
          <w:szCs w:val="20"/>
        </w:rPr>
      </w:pPr>
      <w:r>
        <w:rPr>
          <w:rFonts w:ascii="Arial" w:eastAsia="Arial" w:hAnsi="Arial" w:cs="Arial"/>
          <w:b/>
          <w:bCs/>
          <w:color w:val="FFFFFF"/>
          <w:sz w:val="31"/>
          <w:szCs w:val="31"/>
        </w:rPr>
        <w:t>MATTERS REQUIRING STOCKHOLDER ACTION</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78" w:lineRule="exact"/>
        <w:rPr>
          <w:sz w:val="20"/>
          <w:szCs w:val="20"/>
        </w:rPr>
      </w:pPr>
    </w:p>
    <w:p w:rsidR="00CC2C66" w:rsidRDefault="00F80B74">
      <w:pPr>
        <w:spacing w:line="285" w:lineRule="auto"/>
        <w:ind w:left="420" w:right="900"/>
        <w:rPr>
          <w:sz w:val="20"/>
          <w:szCs w:val="20"/>
        </w:rPr>
      </w:pPr>
      <w:r>
        <w:rPr>
          <w:rFonts w:ascii="Arial" w:eastAsia="Arial" w:hAnsi="Arial" w:cs="Arial"/>
          <w:b/>
          <w:bCs/>
          <w:color w:val="CF0A2C"/>
          <w:sz w:val="31"/>
          <w:szCs w:val="31"/>
        </w:rPr>
        <w:t xml:space="preserve">ITEM 1. </w:t>
      </w:r>
      <w:r>
        <w:rPr>
          <w:rFonts w:ascii="Arial" w:eastAsia="Arial" w:hAnsi="Arial" w:cs="Arial"/>
          <w:b/>
          <w:bCs/>
          <w:color w:val="000000"/>
          <w:sz w:val="31"/>
          <w:szCs w:val="31"/>
        </w:rPr>
        <w:t xml:space="preserve">Authorization to </w:t>
      </w:r>
      <w:r>
        <w:rPr>
          <w:rFonts w:ascii="Arial" w:eastAsia="Arial" w:hAnsi="Arial" w:cs="Arial"/>
          <w:b/>
          <w:bCs/>
          <w:color w:val="000000"/>
          <w:sz w:val="31"/>
          <w:szCs w:val="31"/>
        </w:rPr>
        <w:t>Issue Shares up to 20% of Outstanding</w:t>
      </w:r>
      <w:r>
        <w:rPr>
          <w:rFonts w:ascii="Arial" w:eastAsia="Arial" w:hAnsi="Arial" w:cs="Arial"/>
          <w:b/>
          <w:bCs/>
          <w:color w:val="CF0A2C"/>
          <w:sz w:val="31"/>
          <w:szCs w:val="31"/>
        </w:rPr>
        <w:t xml:space="preserve"> </w:t>
      </w:r>
      <w:r>
        <w:rPr>
          <w:rFonts w:ascii="Arial" w:eastAsia="Arial" w:hAnsi="Arial" w:cs="Arial"/>
          <w:b/>
          <w:bCs/>
          <w:color w:val="000000"/>
          <w:sz w:val="31"/>
          <w:szCs w:val="31"/>
        </w:rPr>
        <w:t>Shares.</w:t>
      </w:r>
    </w:p>
    <w:p w:rsidR="00CC2C66" w:rsidRDefault="00F80B74">
      <w:pPr>
        <w:spacing w:line="20" w:lineRule="exact"/>
        <w:rPr>
          <w:sz w:val="20"/>
          <w:szCs w:val="20"/>
        </w:rPr>
      </w:pPr>
      <w:r>
        <w:rPr>
          <w:noProof/>
          <w:sz w:val="20"/>
          <w:szCs w:val="20"/>
        </w:rPr>
        <w:drawing>
          <wp:anchor distT="0" distB="0" distL="114300" distR="114300" simplePos="0" relativeHeight="251544576" behindDoc="1" locked="0" layoutInCell="0" allowOverlap="1">
            <wp:simplePos x="0" y="0"/>
            <wp:positionH relativeFrom="column">
              <wp:posOffset>260985</wp:posOffset>
            </wp:positionH>
            <wp:positionV relativeFrom="paragraph">
              <wp:posOffset>88900</wp:posOffset>
            </wp:positionV>
            <wp:extent cx="6620510" cy="825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3" w:lineRule="exact"/>
        <w:rPr>
          <w:sz w:val="20"/>
          <w:szCs w:val="20"/>
        </w:rPr>
      </w:pPr>
    </w:p>
    <w:p w:rsidR="00CC2C66" w:rsidRDefault="00F80B74">
      <w:pPr>
        <w:ind w:left="420"/>
        <w:jc w:val="both"/>
        <w:rPr>
          <w:sz w:val="20"/>
          <w:szCs w:val="20"/>
        </w:rPr>
      </w:pPr>
      <w:r>
        <w:rPr>
          <w:rFonts w:eastAsia="Times New Roman"/>
          <w:sz w:val="19"/>
          <w:szCs w:val="19"/>
        </w:rPr>
        <w:t>Prior to the Primary Conversion Effective Date, the Board’s authority includes the ability to issue shares. Such authority is generally on par with other NYSE-listed U.S. companies. Howe</w:t>
      </w:r>
      <w:r>
        <w:rPr>
          <w:rFonts w:eastAsia="Times New Roman"/>
          <w:sz w:val="19"/>
          <w:szCs w:val="19"/>
        </w:rPr>
        <w:t>ver, under the Hong Kong Listing Rules, a primary-listed company must have authority from its stockholders to issue any shares, including shares that are part of the company’s authorized but unissued share capital, unless they are offered to existing stock</w:t>
      </w:r>
      <w:r>
        <w:rPr>
          <w:rFonts w:eastAsia="Times New Roman"/>
          <w:sz w:val="19"/>
          <w:szCs w:val="19"/>
        </w:rPr>
        <w:t>holders pro-rata to their existing holdings. Approval of this proposal will permit the Board the authority to authorize the Company to issue shares in compliance with the Hong Kong Listing Rules to the same extent already authorized under our Amended and R</w:t>
      </w:r>
      <w:r>
        <w:rPr>
          <w:rFonts w:eastAsia="Times New Roman"/>
          <w:sz w:val="19"/>
          <w:szCs w:val="19"/>
        </w:rPr>
        <w:t>estated Certificate of Incorporation and the rules of the NYSE. We are not asking you to approve an increase in our authorized share capital.</w:t>
      </w:r>
    </w:p>
    <w:p w:rsidR="00CC2C66" w:rsidRDefault="00CC2C66">
      <w:pPr>
        <w:spacing w:line="225" w:lineRule="exact"/>
        <w:rPr>
          <w:sz w:val="20"/>
          <w:szCs w:val="20"/>
        </w:rPr>
      </w:pPr>
    </w:p>
    <w:p w:rsidR="00CC2C66" w:rsidRDefault="00F80B74">
      <w:pPr>
        <w:spacing w:line="256" w:lineRule="auto"/>
        <w:ind w:left="420"/>
        <w:jc w:val="both"/>
        <w:rPr>
          <w:sz w:val="20"/>
          <w:szCs w:val="20"/>
        </w:rPr>
      </w:pPr>
      <w:r>
        <w:rPr>
          <w:rFonts w:eastAsia="Times New Roman"/>
          <w:sz w:val="18"/>
          <w:szCs w:val="18"/>
        </w:rPr>
        <w:t>In light of the dynamics of the China market in which it operates, the Company has always believed in maintaining</w:t>
      </w:r>
      <w:r>
        <w:rPr>
          <w:rFonts w:eastAsia="Times New Roman"/>
          <w:sz w:val="18"/>
          <w:szCs w:val="18"/>
        </w:rPr>
        <w:t xml:space="preserve"> a strong balance sheet and maximum financial flexibility. This authority will enable the Company to address business contingency and capture growth opportunities, in accordance with its long-term strategic goals, in a timely manner. Consistent with its pa</w:t>
      </w:r>
      <w:r>
        <w:rPr>
          <w:rFonts w:eastAsia="Times New Roman"/>
          <w:sz w:val="18"/>
          <w:szCs w:val="18"/>
        </w:rPr>
        <w:t>st practice, the Board will authorize future issuances of securities only if it determines that such issuances are in the best interests of the Company and its stockholders. The Board has no immediate plans to issue any shares pursuant to this authorizatio</w:t>
      </w:r>
      <w:r>
        <w:rPr>
          <w:rFonts w:eastAsia="Times New Roman"/>
          <w:sz w:val="18"/>
          <w:szCs w:val="18"/>
        </w:rPr>
        <w:t>n and we are not asking you to approve a specific issuance of shares.</w:t>
      </w:r>
    </w:p>
    <w:p w:rsidR="00CC2C66" w:rsidRDefault="00CC2C66">
      <w:pPr>
        <w:spacing w:line="191" w:lineRule="exact"/>
        <w:rPr>
          <w:sz w:val="20"/>
          <w:szCs w:val="20"/>
        </w:rPr>
      </w:pPr>
    </w:p>
    <w:p w:rsidR="00CC2C66" w:rsidRDefault="00F80B74">
      <w:pPr>
        <w:spacing w:line="262" w:lineRule="auto"/>
        <w:ind w:left="420"/>
        <w:jc w:val="both"/>
        <w:rPr>
          <w:sz w:val="20"/>
          <w:szCs w:val="20"/>
        </w:rPr>
      </w:pPr>
      <w:r>
        <w:rPr>
          <w:rFonts w:eastAsia="Times New Roman"/>
          <w:sz w:val="18"/>
          <w:szCs w:val="18"/>
        </w:rPr>
        <w:t>Furthermore, the Company does not intend to issue any shares under this authority at a discount of more than 10% to the “benchmarked price” (as described in Rule 13.36(5) of the Hong Ko</w:t>
      </w:r>
      <w:r>
        <w:rPr>
          <w:rFonts w:eastAsia="Times New Roman"/>
          <w:sz w:val="18"/>
          <w:szCs w:val="18"/>
        </w:rPr>
        <w:t>ng Listing Rules), which is more restrictive than the maximum discount of 20% permitted under the Hong Kong Listing Rules.</w:t>
      </w:r>
    </w:p>
    <w:p w:rsidR="00CC2C66" w:rsidRDefault="00CC2C66">
      <w:pPr>
        <w:spacing w:line="251" w:lineRule="exact"/>
        <w:rPr>
          <w:sz w:val="20"/>
          <w:szCs w:val="20"/>
        </w:rPr>
      </w:pPr>
    </w:p>
    <w:p w:rsidR="00CC2C66" w:rsidRDefault="00F80B74">
      <w:pPr>
        <w:numPr>
          <w:ilvl w:val="0"/>
          <w:numId w:val="20"/>
        </w:numPr>
        <w:tabs>
          <w:tab w:val="left" w:pos="900"/>
        </w:tabs>
        <w:ind w:left="900" w:hanging="321"/>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45600" behindDoc="1" locked="0" layoutInCell="0" allowOverlap="1">
            <wp:simplePos x="0" y="0"/>
            <wp:positionH relativeFrom="column">
              <wp:posOffset>463550</wp:posOffset>
            </wp:positionH>
            <wp:positionV relativeFrom="paragraph">
              <wp:posOffset>-96520</wp:posOffset>
            </wp:positionV>
            <wp:extent cx="8255" cy="9715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83" w:lineRule="exact"/>
        <w:rPr>
          <w:sz w:val="20"/>
          <w:szCs w:val="20"/>
        </w:rPr>
      </w:pPr>
    </w:p>
    <w:p w:rsidR="00CC2C66" w:rsidRDefault="00F80B74">
      <w:pPr>
        <w:spacing w:line="253" w:lineRule="auto"/>
        <w:jc w:val="both"/>
        <w:rPr>
          <w:sz w:val="20"/>
          <w:szCs w:val="20"/>
        </w:rPr>
      </w:pPr>
      <w:r>
        <w:rPr>
          <w:rFonts w:eastAsia="Times New Roman"/>
          <w:sz w:val="18"/>
          <w:szCs w:val="18"/>
        </w:rPr>
        <w:t>Granting the Board this authority is an annual, routine matter for primary-listed companies on the</w:t>
      </w:r>
      <w:r>
        <w:rPr>
          <w:rFonts w:eastAsia="Times New Roman"/>
          <w:sz w:val="18"/>
          <w:szCs w:val="18"/>
        </w:rPr>
        <w:t xml:space="preserve"> Hong Kong Stock Exchange. In accordance with the Hong Kong Listing Rules, it is a customary practice for primary-listed companies on the Hong Kong Stock Exchange to seek stockholder authority to issue up to 20% of a company’s outstanding shares and for su</w:t>
      </w:r>
      <w:r>
        <w:rPr>
          <w:rFonts w:eastAsia="Times New Roman"/>
          <w:sz w:val="18"/>
          <w:szCs w:val="18"/>
        </w:rPr>
        <w:t xml:space="preserve">ch authority to be effective until the next annual meeting, unless otherwise earlier revoked or modified by a duly adopted resolution of the stockholders. June 26, 2023 is the thirteen-month anniversary of the 2022 Annual Meeting and reflects the end date </w:t>
      </w:r>
      <w:r>
        <w:rPr>
          <w:rFonts w:eastAsia="Times New Roman"/>
          <w:sz w:val="18"/>
          <w:szCs w:val="18"/>
        </w:rPr>
        <w:t>of the authorization, after which the authorization cannot extend. Therefore, consistent with this market practice, and as allowed under the Hong Kong Listing Rules, we are seeking approval for continuing authority for the Board to authorize the Company to</w:t>
      </w:r>
      <w:r>
        <w:rPr>
          <w:rFonts w:eastAsia="Times New Roman"/>
          <w:sz w:val="18"/>
          <w:szCs w:val="18"/>
        </w:rPr>
        <w:t xml:space="preserve"> issue common stock or securities convertible into common stock up to a maximum of 20% of our outstanding shares as of the date of the Special Meeting, for a period from the Primary Conversion Effective Date until the earlier of the 2023 Annual Meeting of </w:t>
      </w:r>
      <w:r>
        <w:rPr>
          <w:rFonts w:eastAsia="Times New Roman"/>
          <w:sz w:val="18"/>
          <w:szCs w:val="18"/>
        </w:rPr>
        <w:t>Stockholders or June 26, 2023. We expect to propose a renewal of this authorization at our 2023 Annual Meeting of Stockholders, and then annually thereafter. Pursuant to this proposal, assuming for illustrative purposes that our outstanding shares remain u</w:t>
      </w:r>
      <w:r>
        <w:rPr>
          <w:rFonts w:eastAsia="Times New Roman"/>
          <w:sz w:val="18"/>
          <w:szCs w:val="18"/>
        </w:rPr>
        <w:t>nchanged from August 24, 2022 to the date of the Special Meeting, the Company will be allowed to issue a maximum of 83,924,173 shares of common stock.</w:t>
      </w:r>
    </w:p>
    <w:p w:rsidR="00CC2C66" w:rsidRDefault="00CC2C66">
      <w:pPr>
        <w:spacing w:line="215" w:lineRule="exact"/>
        <w:rPr>
          <w:sz w:val="20"/>
          <w:szCs w:val="20"/>
        </w:rPr>
      </w:pPr>
    </w:p>
    <w:p w:rsidR="00CC2C66" w:rsidRDefault="00F80B74">
      <w:pPr>
        <w:spacing w:line="269" w:lineRule="auto"/>
        <w:ind w:right="20"/>
        <w:jc w:val="both"/>
        <w:rPr>
          <w:sz w:val="20"/>
          <w:szCs w:val="20"/>
        </w:rPr>
      </w:pPr>
      <w:r>
        <w:rPr>
          <w:rFonts w:eastAsia="Times New Roman"/>
          <w:b/>
          <w:bCs/>
          <w:sz w:val="19"/>
          <w:szCs w:val="19"/>
        </w:rPr>
        <w:t>The approval of this proposal is a condition for the Primary Conversion to become effective.</w:t>
      </w:r>
    </w:p>
    <w:p w:rsidR="00CC2C66" w:rsidRDefault="00CC2C66">
      <w:pPr>
        <w:spacing w:line="175" w:lineRule="exact"/>
        <w:rPr>
          <w:sz w:val="20"/>
          <w:szCs w:val="20"/>
        </w:rPr>
      </w:pPr>
    </w:p>
    <w:p w:rsidR="00CC2C66" w:rsidRDefault="00F80B74">
      <w:pPr>
        <w:spacing w:line="249" w:lineRule="auto"/>
        <w:jc w:val="both"/>
        <w:rPr>
          <w:sz w:val="20"/>
          <w:szCs w:val="20"/>
        </w:rPr>
      </w:pPr>
      <w:r>
        <w:rPr>
          <w:rFonts w:eastAsia="Times New Roman"/>
          <w:b/>
          <w:bCs/>
          <w:sz w:val="19"/>
          <w:szCs w:val="19"/>
        </w:rPr>
        <w:t>In the eve</w:t>
      </w:r>
      <w:r>
        <w:rPr>
          <w:rFonts w:eastAsia="Times New Roman"/>
          <w:b/>
          <w:bCs/>
          <w:sz w:val="19"/>
          <w:szCs w:val="19"/>
        </w:rPr>
        <w:t>nt that the Primary Conversion does not become effective, the Company and its Board will retain the ability to authorize and carry out stock issuances to the full extent permitted under applicable U.S. federal law, Delaware law, the</w:t>
      </w: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15" w:name="page15"/>
      <w:bookmarkEnd w:id="15"/>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3" w:lineRule="exact"/>
        <w:rPr>
          <w:sz w:val="20"/>
          <w:szCs w:val="20"/>
        </w:rPr>
      </w:pPr>
    </w:p>
    <w:p w:rsidR="00CC2C66" w:rsidRDefault="00F80B74">
      <w:pPr>
        <w:spacing w:line="269" w:lineRule="auto"/>
        <w:ind w:left="420"/>
        <w:rPr>
          <w:sz w:val="20"/>
          <w:szCs w:val="20"/>
        </w:rPr>
      </w:pPr>
      <w:r>
        <w:rPr>
          <w:rFonts w:eastAsia="Times New Roman"/>
          <w:b/>
          <w:bCs/>
          <w:sz w:val="19"/>
          <w:szCs w:val="19"/>
        </w:rPr>
        <w:t>NYSE listing standards, and the Company’s organizational documents notwithstanding the outcome of this vote.</w:t>
      </w:r>
    </w:p>
    <w:p w:rsidR="00CC2C66" w:rsidRDefault="00CC2C66">
      <w:pPr>
        <w:spacing w:line="187" w:lineRule="exact"/>
        <w:rPr>
          <w:sz w:val="20"/>
          <w:szCs w:val="20"/>
        </w:rPr>
      </w:pPr>
    </w:p>
    <w:p w:rsidR="00CC2C66" w:rsidRDefault="00F80B74">
      <w:pPr>
        <w:spacing w:line="269" w:lineRule="auto"/>
        <w:ind w:left="420" w:right="20"/>
        <w:rPr>
          <w:sz w:val="20"/>
          <w:szCs w:val="20"/>
        </w:rPr>
      </w:pPr>
      <w:r>
        <w:rPr>
          <w:rFonts w:eastAsia="Times New Roman"/>
          <w:b/>
          <w:bCs/>
          <w:color w:val="CF0A2C"/>
          <w:sz w:val="19"/>
          <w:szCs w:val="19"/>
        </w:rPr>
        <w:t xml:space="preserve">Accordingly, we ask our stockholders to vote in favor of the following resolution at the </w:t>
      </w:r>
      <w:r>
        <w:rPr>
          <w:rFonts w:eastAsia="Times New Roman"/>
          <w:b/>
          <w:bCs/>
          <w:color w:val="CF0A2C"/>
          <w:sz w:val="19"/>
          <w:szCs w:val="19"/>
        </w:rPr>
        <w:t>Special Meeting:</w:t>
      </w:r>
    </w:p>
    <w:p w:rsidR="00CC2C66" w:rsidRDefault="00CC2C66">
      <w:pPr>
        <w:spacing w:line="187" w:lineRule="exact"/>
        <w:rPr>
          <w:sz w:val="20"/>
          <w:szCs w:val="20"/>
        </w:rPr>
      </w:pPr>
    </w:p>
    <w:p w:rsidR="00CC2C66" w:rsidRDefault="00F80B74">
      <w:pPr>
        <w:spacing w:line="243" w:lineRule="auto"/>
        <w:ind w:left="800"/>
        <w:jc w:val="both"/>
        <w:rPr>
          <w:sz w:val="20"/>
          <w:szCs w:val="20"/>
        </w:rPr>
      </w:pPr>
      <w:r>
        <w:rPr>
          <w:rFonts w:eastAsia="Times New Roman"/>
          <w:b/>
          <w:bCs/>
          <w:sz w:val="19"/>
          <w:szCs w:val="19"/>
        </w:rPr>
        <w:t>To approve the Board’s continuing authority to approve the Company’s issuance of shares of its common stock or securities convertible into common stock in an amount not to exceed 20% of the total number of outstanding shares of common sto</w:t>
      </w:r>
      <w:r>
        <w:rPr>
          <w:rFonts w:eastAsia="Times New Roman"/>
          <w:b/>
          <w:bCs/>
          <w:sz w:val="19"/>
          <w:szCs w:val="19"/>
        </w:rPr>
        <w:t>ck of the Company as of the date of the Special Meeting, effective from the Primary Conversion Effective Date until the earlier of the date the next annual meeting is held or June 26, 2023.</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1460"/>
        <w:rPr>
          <w:sz w:val="20"/>
          <w:szCs w:val="20"/>
        </w:rPr>
      </w:pPr>
      <w:r>
        <w:rPr>
          <w:rFonts w:ascii="Arial" w:eastAsia="Arial" w:hAnsi="Arial" w:cs="Arial"/>
          <w:b/>
          <w:bCs/>
          <w:color w:val="FFFFFF"/>
          <w:sz w:val="15"/>
          <w:szCs w:val="15"/>
        </w:rPr>
        <w:t>MATTERS REQUIRING STOCKHOLDER ACTION</w:t>
      </w:r>
    </w:p>
    <w:p w:rsidR="00CC2C66" w:rsidRDefault="00F80B74">
      <w:pPr>
        <w:spacing w:line="20" w:lineRule="exact"/>
        <w:rPr>
          <w:sz w:val="20"/>
          <w:szCs w:val="20"/>
        </w:rPr>
      </w:pPr>
      <w:r>
        <w:rPr>
          <w:noProof/>
          <w:sz w:val="20"/>
          <w:szCs w:val="20"/>
        </w:rPr>
        <w:drawing>
          <wp:anchor distT="0" distB="0" distL="114300" distR="114300" simplePos="0" relativeHeight="251546624"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547648" behindDoc="1" locked="0" layoutInCell="0" allowOverlap="1">
            <wp:simplePos x="0" y="0"/>
            <wp:positionH relativeFrom="column">
              <wp:posOffset>791210</wp:posOffset>
            </wp:positionH>
            <wp:positionV relativeFrom="paragraph">
              <wp:posOffset>-148590</wp:posOffset>
            </wp:positionV>
            <wp:extent cx="2458085" cy="19494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blip>
                    <a:srcRect/>
                    <a:stretch>
                      <a:fillRect/>
                    </a:stretch>
                  </pic:blipFill>
                  <pic:spPr bwMode="auto">
                    <a:xfrm>
                      <a:off x="0" y="0"/>
                      <a:ext cx="245808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43" w:lineRule="auto"/>
        <w:jc w:val="both"/>
        <w:rPr>
          <w:sz w:val="20"/>
          <w:szCs w:val="20"/>
        </w:rPr>
      </w:pPr>
      <w:r>
        <w:rPr>
          <w:rFonts w:eastAsia="Times New Roman"/>
          <w:sz w:val="19"/>
          <w:szCs w:val="19"/>
        </w:rPr>
        <w:t>For clarity, this aut</w:t>
      </w:r>
      <w:r>
        <w:rPr>
          <w:rFonts w:eastAsia="Times New Roman"/>
          <w:sz w:val="19"/>
          <w:szCs w:val="19"/>
        </w:rPr>
        <w:t>hority will include the authority to issue securities convertible into shares of common stock, or options, warrants or similar rights to subscribe for shares of common stock or such convertible securities of the Company and to make or grant offers, agreeme</w:t>
      </w:r>
      <w:r>
        <w:rPr>
          <w:rFonts w:eastAsia="Times New Roman"/>
          <w:sz w:val="19"/>
          <w:szCs w:val="19"/>
        </w:rPr>
        <w:t>nts and/or options (including bonds, warrants and debentures convertible into shares of common stock), subject to the limitations described in the resolution set forth above.</w:t>
      </w:r>
    </w:p>
    <w:p w:rsidR="00CC2C66" w:rsidRDefault="00CC2C66">
      <w:pPr>
        <w:spacing w:line="211" w:lineRule="exact"/>
        <w:rPr>
          <w:sz w:val="20"/>
          <w:szCs w:val="20"/>
        </w:rPr>
      </w:pPr>
    </w:p>
    <w:p w:rsidR="00CC2C66" w:rsidRDefault="00F80B74">
      <w:pPr>
        <w:rPr>
          <w:sz w:val="20"/>
          <w:szCs w:val="20"/>
        </w:rPr>
      </w:pPr>
      <w:r>
        <w:rPr>
          <w:rFonts w:eastAsia="Times New Roman"/>
          <w:b/>
          <w:bCs/>
          <w:color w:val="CF0A2C"/>
          <w:sz w:val="19"/>
          <w:szCs w:val="19"/>
        </w:rPr>
        <w:t>What vote is required to approve this proposal?</w:t>
      </w:r>
    </w:p>
    <w:p w:rsidR="00CC2C66" w:rsidRDefault="00CC2C66">
      <w:pPr>
        <w:spacing w:line="245" w:lineRule="exact"/>
        <w:rPr>
          <w:sz w:val="20"/>
          <w:szCs w:val="20"/>
        </w:rPr>
      </w:pPr>
    </w:p>
    <w:p w:rsidR="00CC2C66" w:rsidRDefault="00F80B74">
      <w:pPr>
        <w:spacing w:line="252" w:lineRule="auto"/>
        <w:jc w:val="both"/>
        <w:rPr>
          <w:sz w:val="20"/>
          <w:szCs w:val="20"/>
        </w:rPr>
      </w:pPr>
      <w:r>
        <w:rPr>
          <w:rFonts w:eastAsia="Times New Roman"/>
          <w:sz w:val="19"/>
          <w:szCs w:val="19"/>
        </w:rPr>
        <w:t>Approval of this proposal requi</w:t>
      </w:r>
      <w:r>
        <w:rPr>
          <w:rFonts w:eastAsia="Times New Roman"/>
          <w:sz w:val="19"/>
          <w:szCs w:val="19"/>
        </w:rPr>
        <w:t>res the affirmative vote of a majority of shares present via webcast or represented by proxy and entitled to vote at the Special Meeting.</w:t>
      </w:r>
    </w:p>
    <w:p w:rsidR="00CC2C66" w:rsidRDefault="00CC2C66">
      <w:pPr>
        <w:spacing w:line="189" w:lineRule="exact"/>
        <w:rPr>
          <w:sz w:val="20"/>
          <w:szCs w:val="20"/>
        </w:rPr>
      </w:pPr>
    </w:p>
    <w:p w:rsidR="00CC2C66" w:rsidRDefault="00F80B74">
      <w:pPr>
        <w:spacing w:line="269" w:lineRule="auto"/>
        <w:jc w:val="both"/>
        <w:rPr>
          <w:sz w:val="20"/>
          <w:szCs w:val="20"/>
        </w:rPr>
      </w:pPr>
      <w:r>
        <w:rPr>
          <w:rFonts w:eastAsia="Times New Roman"/>
          <w:b/>
          <w:bCs/>
          <w:color w:val="CF0A2C"/>
          <w:sz w:val="19"/>
          <w:szCs w:val="19"/>
        </w:rPr>
        <w:t>The Board of Directors recommends that stockholders vote FOR the approval of this proposal.</w:t>
      </w:r>
    </w:p>
    <w:p w:rsidR="00CC2C66" w:rsidRDefault="00CC2C66">
      <w:pPr>
        <w:spacing w:line="241"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Proxy </w:t>
      </w:r>
      <w:r>
        <w:rPr>
          <w:rFonts w:ascii="Arial" w:eastAsia="Arial" w:hAnsi="Arial" w:cs="Arial"/>
          <w:i/>
          <w:iCs/>
          <w:color w:val="4C4C4C"/>
          <w:sz w:val="14"/>
          <w:szCs w:val="14"/>
        </w:rPr>
        <w:t>Statement</w:t>
      </w:r>
      <w:r>
        <w:rPr>
          <w:sz w:val="20"/>
          <w:szCs w:val="20"/>
        </w:rPr>
        <w:tab/>
      </w:r>
      <w:r>
        <w:rPr>
          <w:rFonts w:ascii="Arial" w:eastAsia="Arial" w:hAnsi="Arial" w:cs="Arial"/>
          <w:color w:val="CF0A2C"/>
          <w:sz w:val="14"/>
          <w:szCs w:val="14"/>
        </w:rPr>
        <w:t>9</w:t>
      </w:r>
    </w:p>
    <w:p w:rsidR="00CC2C66" w:rsidRDefault="00F80B74">
      <w:pPr>
        <w:spacing w:line="20" w:lineRule="exact"/>
        <w:rPr>
          <w:sz w:val="20"/>
          <w:szCs w:val="20"/>
        </w:rPr>
      </w:pPr>
      <w:r>
        <w:rPr>
          <w:noProof/>
          <w:sz w:val="20"/>
          <w:szCs w:val="20"/>
        </w:rPr>
        <w:drawing>
          <wp:anchor distT="0" distB="0" distL="114300" distR="114300" simplePos="0" relativeHeight="251548672"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16" w:name="page16"/>
      <w:bookmarkEnd w:id="16"/>
      <w:r>
        <w:rPr>
          <w:rFonts w:eastAsia="Times New Roman"/>
          <w:b/>
          <w:bCs/>
          <w:noProof/>
          <w:color w:val="0000EE"/>
          <w:sz w:val="17"/>
          <w:szCs w:val="17"/>
          <w:u w:val="single"/>
        </w:rPr>
        <w:lastRenderedPageBreak/>
        <w:drawing>
          <wp:anchor distT="0" distB="0" distL="114300" distR="114300" simplePos="0" relativeHeight="25154969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50720" behindDoc="1" locked="0" layoutInCell="0" allowOverlap="1">
            <wp:simplePos x="0" y="0"/>
            <wp:positionH relativeFrom="column">
              <wp:posOffset>260985</wp:posOffset>
            </wp:positionH>
            <wp:positionV relativeFrom="paragraph">
              <wp:posOffset>196850</wp:posOffset>
            </wp:positionV>
            <wp:extent cx="2352675" cy="19494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extLst/>
                    </a:blip>
                    <a:srcRect/>
                    <a:stretch>
                      <a:fillRect/>
                    </a:stretch>
                  </pic:blipFill>
                  <pic:spPr bwMode="auto">
                    <a:xfrm>
                      <a:off x="0" y="0"/>
                      <a:ext cx="235267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MATTERS REQUIRING STOCKHOLDER ACTION</w:t>
      </w:r>
    </w:p>
    <w:p w:rsidR="00CC2C66" w:rsidRDefault="00CC2C66">
      <w:pPr>
        <w:spacing w:line="184" w:lineRule="exact"/>
        <w:rPr>
          <w:sz w:val="20"/>
          <w:szCs w:val="20"/>
        </w:rPr>
      </w:pPr>
    </w:p>
    <w:p w:rsidR="00CC2C66" w:rsidRDefault="00F80B74">
      <w:pPr>
        <w:spacing w:line="285" w:lineRule="auto"/>
        <w:ind w:left="420" w:right="1820"/>
        <w:rPr>
          <w:sz w:val="20"/>
          <w:szCs w:val="20"/>
        </w:rPr>
      </w:pPr>
      <w:r>
        <w:rPr>
          <w:rFonts w:ascii="Arial" w:eastAsia="Arial" w:hAnsi="Arial" w:cs="Arial"/>
          <w:b/>
          <w:bCs/>
          <w:color w:val="CF0A2C"/>
          <w:sz w:val="31"/>
          <w:szCs w:val="31"/>
        </w:rPr>
        <w:t xml:space="preserve">ITEM 2. </w:t>
      </w:r>
      <w:r>
        <w:rPr>
          <w:rFonts w:ascii="Arial" w:eastAsia="Arial" w:hAnsi="Arial" w:cs="Arial"/>
          <w:b/>
          <w:bCs/>
          <w:color w:val="000000"/>
          <w:sz w:val="31"/>
          <w:szCs w:val="31"/>
        </w:rPr>
        <w:t>Authorization to Repurchase Shares up to 10% of</w:t>
      </w:r>
      <w:r>
        <w:rPr>
          <w:rFonts w:ascii="Arial" w:eastAsia="Arial" w:hAnsi="Arial" w:cs="Arial"/>
          <w:b/>
          <w:bCs/>
          <w:color w:val="CF0A2C"/>
          <w:sz w:val="31"/>
          <w:szCs w:val="31"/>
        </w:rPr>
        <w:t xml:space="preserve"> </w:t>
      </w:r>
      <w:r>
        <w:rPr>
          <w:rFonts w:ascii="Arial" w:eastAsia="Arial" w:hAnsi="Arial" w:cs="Arial"/>
          <w:b/>
          <w:bCs/>
          <w:color w:val="000000"/>
          <w:sz w:val="31"/>
          <w:szCs w:val="31"/>
        </w:rPr>
        <w:t>Outstanding Shares.</w:t>
      </w:r>
    </w:p>
    <w:p w:rsidR="00CC2C66" w:rsidRDefault="00F80B74">
      <w:pPr>
        <w:spacing w:line="20" w:lineRule="exact"/>
        <w:rPr>
          <w:sz w:val="20"/>
          <w:szCs w:val="20"/>
        </w:rPr>
      </w:pPr>
      <w:r>
        <w:rPr>
          <w:noProof/>
          <w:sz w:val="20"/>
          <w:szCs w:val="20"/>
        </w:rPr>
        <w:drawing>
          <wp:anchor distT="0" distB="0" distL="114300" distR="114300" simplePos="0" relativeHeight="251551744" behindDoc="1" locked="0" layoutInCell="0" allowOverlap="1">
            <wp:simplePos x="0" y="0"/>
            <wp:positionH relativeFrom="column">
              <wp:posOffset>260985</wp:posOffset>
            </wp:positionH>
            <wp:positionV relativeFrom="paragraph">
              <wp:posOffset>88900</wp:posOffset>
            </wp:positionV>
            <wp:extent cx="6620510" cy="825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99" w:lineRule="exact"/>
        <w:rPr>
          <w:sz w:val="20"/>
          <w:szCs w:val="20"/>
        </w:rPr>
      </w:pPr>
    </w:p>
    <w:p w:rsidR="00CC2C66" w:rsidRDefault="00F80B74">
      <w:pPr>
        <w:spacing w:line="244" w:lineRule="auto"/>
        <w:ind w:left="420"/>
        <w:jc w:val="both"/>
        <w:rPr>
          <w:sz w:val="20"/>
          <w:szCs w:val="20"/>
        </w:rPr>
      </w:pPr>
      <w:r>
        <w:rPr>
          <w:rFonts w:eastAsia="Times New Roman"/>
          <w:i/>
          <w:iCs/>
          <w:sz w:val="19"/>
          <w:szCs w:val="19"/>
        </w:rPr>
        <w:t xml:space="preserve">This section serves as a reference to the explanatory </w:t>
      </w:r>
      <w:r>
        <w:rPr>
          <w:rFonts w:eastAsia="Times New Roman"/>
          <w:i/>
          <w:iCs/>
          <w:sz w:val="19"/>
          <w:szCs w:val="19"/>
        </w:rPr>
        <w:t>statement pursuant to Rule 10.06(1)(b) of the Hong Kong Listing Rules to provide information for our stockholders to make a reasonably informed decision on whether to vote for or against the resolution with respect to the authorization to repurchase shares</w:t>
      </w:r>
      <w:r>
        <w:rPr>
          <w:rFonts w:eastAsia="Times New Roman"/>
          <w:i/>
          <w:iCs/>
          <w:sz w:val="19"/>
          <w:szCs w:val="19"/>
        </w:rPr>
        <w:t xml:space="preserve"> to be proposed at the Special Meeting.</w:t>
      </w:r>
    </w:p>
    <w:p w:rsidR="00CC2C66" w:rsidRDefault="00CC2C66">
      <w:pPr>
        <w:spacing w:line="217" w:lineRule="exact"/>
        <w:rPr>
          <w:sz w:val="20"/>
          <w:szCs w:val="20"/>
        </w:rPr>
      </w:pPr>
    </w:p>
    <w:p w:rsidR="00CC2C66" w:rsidRDefault="00F80B74">
      <w:pPr>
        <w:ind w:left="420"/>
        <w:jc w:val="both"/>
        <w:rPr>
          <w:sz w:val="20"/>
          <w:szCs w:val="20"/>
        </w:rPr>
      </w:pPr>
      <w:r>
        <w:rPr>
          <w:rFonts w:eastAsia="Times New Roman"/>
          <w:sz w:val="19"/>
          <w:szCs w:val="19"/>
        </w:rPr>
        <w:t>We have historically used share repurchases as a means of returning cash to stockholders. The Board believes that, after we become a primary-listed company on the Hong Kong Stock Exchange it is in the best interests</w:t>
      </w:r>
      <w:r>
        <w:rPr>
          <w:rFonts w:eastAsia="Times New Roman"/>
          <w:sz w:val="19"/>
          <w:szCs w:val="19"/>
        </w:rPr>
        <w:t xml:space="preserve"> of the Company and our stockholders to continue have a general authority from our stockholders to enable our Company to purchase shares of common stock in the markets. Further, the Company prioritizes the equality of our stockholders, regardless of the ex</w:t>
      </w:r>
      <w:r>
        <w:rPr>
          <w:rFonts w:eastAsia="Times New Roman"/>
          <w:sz w:val="19"/>
          <w:szCs w:val="19"/>
        </w:rPr>
        <w:t>change on which the shares they hold trade. After we become a primary-listed company on the Hong Kong Stock Exchange, our goal is to maintain that priority and ensure that our stockholders holding our shares that trade on the Hong Kong Stock Exchange are a</w:t>
      </w:r>
      <w:r>
        <w:rPr>
          <w:rFonts w:eastAsia="Times New Roman"/>
          <w:sz w:val="19"/>
          <w:szCs w:val="19"/>
        </w:rPr>
        <w:t>lso allowed the benefit of our share repurchase program.</w:t>
      </w:r>
    </w:p>
    <w:p w:rsidR="00CC2C66" w:rsidRDefault="00CC2C66">
      <w:pPr>
        <w:spacing w:line="213" w:lineRule="exact"/>
        <w:rPr>
          <w:sz w:val="20"/>
          <w:szCs w:val="20"/>
        </w:rPr>
      </w:pPr>
    </w:p>
    <w:p w:rsidR="00CC2C66" w:rsidRDefault="00F80B74">
      <w:pPr>
        <w:spacing w:line="256" w:lineRule="auto"/>
        <w:ind w:left="420"/>
        <w:jc w:val="both"/>
        <w:rPr>
          <w:sz w:val="20"/>
          <w:szCs w:val="20"/>
        </w:rPr>
      </w:pPr>
      <w:r>
        <w:rPr>
          <w:rFonts w:eastAsia="Times New Roman"/>
          <w:sz w:val="18"/>
          <w:szCs w:val="18"/>
        </w:rPr>
        <w:t>The Company first adopted a share repurchase program in the U.S. in 2017 (the “</w:t>
      </w:r>
      <w:r>
        <w:rPr>
          <w:rFonts w:eastAsia="Times New Roman"/>
          <w:b/>
          <w:bCs/>
          <w:i/>
          <w:iCs/>
          <w:sz w:val="18"/>
          <w:szCs w:val="18"/>
        </w:rPr>
        <w:t>U.S. Repurchase Program</w:t>
      </w:r>
      <w:r>
        <w:rPr>
          <w:rFonts w:eastAsia="Times New Roman"/>
          <w:sz w:val="18"/>
          <w:szCs w:val="18"/>
        </w:rPr>
        <w:t>”) and has increased the authorization thereunder from time to time. The Company has also adopte</w:t>
      </w:r>
      <w:r>
        <w:rPr>
          <w:rFonts w:eastAsia="Times New Roman"/>
          <w:sz w:val="18"/>
          <w:szCs w:val="18"/>
        </w:rPr>
        <w:t>d plans in compliance with Rule 10b5-1 and/or Rule 10b-18 of the Securities Exchange Act of 1934 (the “</w:t>
      </w:r>
      <w:r>
        <w:rPr>
          <w:rFonts w:eastAsia="Times New Roman"/>
          <w:b/>
          <w:bCs/>
          <w:i/>
          <w:iCs/>
          <w:sz w:val="18"/>
          <w:szCs w:val="18"/>
        </w:rPr>
        <w:t>Exchange</w:t>
      </w:r>
      <w:r>
        <w:rPr>
          <w:rFonts w:eastAsia="Times New Roman"/>
          <w:sz w:val="18"/>
          <w:szCs w:val="18"/>
        </w:rPr>
        <w:t xml:space="preserve"> </w:t>
      </w:r>
      <w:r>
        <w:rPr>
          <w:rFonts w:eastAsia="Times New Roman"/>
          <w:b/>
          <w:bCs/>
          <w:i/>
          <w:iCs/>
          <w:sz w:val="18"/>
          <w:szCs w:val="18"/>
        </w:rPr>
        <w:t>Act</w:t>
      </w:r>
      <w:r>
        <w:rPr>
          <w:rFonts w:eastAsia="Times New Roman"/>
          <w:sz w:val="18"/>
          <w:szCs w:val="18"/>
        </w:rPr>
        <w:t>”) to effect repurchases under the U.S. Repurchase Program.</w:t>
      </w:r>
      <w:r>
        <w:rPr>
          <w:rFonts w:eastAsia="Times New Roman"/>
          <w:b/>
          <w:bCs/>
          <w:i/>
          <w:iCs/>
          <w:sz w:val="18"/>
          <w:szCs w:val="18"/>
        </w:rPr>
        <w:t xml:space="preserve"> </w:t>
      </w:r>
      <w:r>
        <w:rPr>
          <w:rFonts w:eastAsia="Times New Roman"/>
          <w:sz w:val="18"/>
          <w:szCs w:val="18"/>
        </w:rPr>
        <w:t>After we become a primary-listed company on the Hong Kong Stock Exchange, we inte</w:t>
      </w:r>
      <w:r>
        <w:rPr>
          <w:rFonts w:eastAsia="Times New Roman"/>
          <w:sz w:val="18"/>
          <w:szCs w:val="18"/>
        </w:rPr>
        <w:t>nd to carry on the U.S. Repurchase Program. It is also anticipated that we will adopt a share repurchase program in Hong Kong which is analogous to the U.S. Repurchase Program after the Primary Conversion.</w:t>
      </w:r>
    </w:p>
    <w:p w:rsidR="00CC2C66" w:rsidRDefault="00CC2C66">
      <w:pPr>
        <w:spacing w:line="203"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Under the Hong Kong Listing Rules, a </w:t>
      </w:r>
      <w:r>
        <w:rPr>
          <w:rFonts w:eastAsia="Times New Roman"/>
          <w:sz w:val="19"/>
          <w:szCs w:val="19"/>
        </w:rPr>
        <w:t>primary-listed company must obtain authority from its stockholders to repurchase its shares on the Hong Kong Stock Exchange if it wishes to conduct share repurchases on the Hong Kong Stock Exchange. Granting the Company this authority is a routine matter f</w:t>
      </w:r>
      <w:r>
        <w:rPr>
          <w:rFonts w:eastAsia="Times New Roman"/>
          <w:sz w:val="19"/>
          <w:szCs w:val="19"/>
        </w:rPr>
        <w:t>or primary-listed companies on the Hong Kong Stock Exchange and is consistent with</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83" w:lineRule="exact"/>
        <w:rPr>
          <w:sz w:val="20"/>
          <w:szCs w:val="20"/>
        </w:rPr>
      </w:pPr>
    </w:p>
    <w:p w:rsidR="00CC2C66" w:rsidRDefault="00F80B74">
      <w:pPr>
        <w:spacing w:line="255" w:lineRule="auto"/>
        <w:jc w:val="both"/>
        <w:rPr>
          <w:sz w:val="20"/>
          <w:szCs w:val="20"/>
        </w:rPr>
      </w:pPr>
      <w:r>
        <w:rPr>
          <w:rFonts w:eastAsia="Times New Roman"/>
          <w:sz w:val="18"/>
          <w:szCs w:val="18"/>
        </w:rPr>
        <w:t>market practice. After we become a primary-listed company on the Hong Kong Stock Exchange, we expect to propose a renewal of this authorization during our 2023 Annual Me</w:t>
      </w:r>
      <w:r>
        <w:rPr>
          <w:rFonts w:eastAsia="Times New Roman"/>
          <w:sz w:val="18"/>
          <w:szCs w:val="18"/>
        </w:rPr>
        <w:t>eting of Stockholders and annually thereafter. Without this authority, the Company’s ability to repurchase shares would be limited to the repurchase of shares that trade on the NYSE and would not include repurchases on the Hong Kong Stock Exchange. Grantin</w:t>
      </w:r>
      <w:r>
        <w:rPr>
          <w:rFonts w:eastAsia="Times New Roman"/>
          <w:sz w:val="18"/>
          <w:szCs w:val="18"/>
        </w:rPr>
        <w:t>g the Company this authority will ensure continuous parity between investors who hold our shares that trade on the NYSE and investors that hold our shares on the Hong Kong Stock Exchange. Any repurchases made in Hong Kong or the United States will reduce t</w:t>
      </w:r>
      <w:r>
        <w:rPr>
          <w:rFonts w:eastAsia="Times New Roman"/>
          <w:sz w:val="18"/>
          <w:szCs w:val="18"/>
        </w:rPr>
        <w:t>he available authority under the repurchase mandate and the repurchase authorization.</w:t>
      </w:r>
    </w:p>
    <w:p w:rsidR="00CC2C66" w:rsidRDefault="00CC2C66">
      <w:pPr>
        <w:spacing w:line="210" w:lineRule="exact"/>
        <w:rPr>
          <w:sz w:val="20"/>
          <w:szCs w:val="20"/>
        </w:rPr>
      </w:pPr>
    </w:p>
    <w:p w:rsidR="00CC2C66" w:rsidRDefault="00F80B74">
      <w:pPr>
        <w:jc w:val="both"/>
        <w:rPr>
          <w:sz w:val="20"/>
          <w:szCs w:val="20"/>
        </w:rPr>
      </w:pPr>
      <w:r>
        <w:rPr>
          <w:rFonts w:eastAsia="Times New Roman"/>
          <w:sz w:val="19"/>
          <w:szCs w:val="19"/>
        </w:rPr>
        <w:t>In connection with the authorizations established by the Board regarding our share repurchase programs, these repurchases would be made only at price levels that the Com</w:t>
      </w:r>
      <w:r>
        <w:rPr>
          <w:rFonts w:eastAsia="Times New Roman"/>
          <w:sz w:val="19"/>
          <w:szCs w:val="19"/>
        </w:rPr>
        <w:t>pany would consider to be in the best interests of the stockholders generally, after taking into account the Company’s overall financial position. Our Board of Directors has authorized an aggregate of $2.4 billion for our share repurchase program, includin</w:t>
      </w:r>
      <w:r>
        <w:rPr>
          <w:rFonts w:eastAsia="Times New Roman"/>
          <w:sz w:val="19"/>
          <w:szCs w:val="19"/>
        </w:rPr>
        <w:t>g its most recent increase in authorization in March 2022. As of June 30, 2022, approximately $1.2 billion remained available under that program. As a Delaware corporation, we are bound by the requirements the Delaware General Corporation Law, which prohib</w:t>
      </w:r>
      <w:r>
        <w:rPr>
          <w:rFonts w:eastAsia="Times New Roman"/>
          <w:sz w:val="19"/>
          <w:szCs w:val="19"/>
        </w:rPr>
        <w:t>its a corporation from purchasing its shares of capital stock when the purchase would cause any impairment of our capital, as well as applicable SEC and NYSE requirements.</w:t>
      </w:r>
    </w:p>
    <w:p w:rsidR="00CC2C66" w:rsidRDefault="00CC2C66">
      <w:pPr>
        <w:spacing w:line="208" w:lineRule="exact"/>
        <w:rPr>
          <w:sz w:val="20"/>
          <w:szCs w:val="20"/>
        </w:rPr>
      </w:pPr>
    </w:p>
    <w:p w:rsidR="00CC2C66" w:rsidRDefault="00F80B74">
      <w:pPr>
        <w:rPr>
          <w:sz w:val="20"/>
          <w:szCs w:val="20"/>
        </w:rPr>
      </w:pPr>
      <w:r>
        <w:rPr>
          <w:rFonts w:eastAsia="Times New Roman"/>
          <w:b/>
          <w:bCs/>
          <w:color w:val="CF0A2C"/>
          <w:sz w:val="19"/>
          <w:szCs w:val="19"/>
        </w:rPr>
        <w:t>Share Capital</w:t>
      </w:r>
    </w:p>
    <w:p w:rsidR="00CC2C66" w:rsidRDefault="00CC2C66">
      <w:pPr>
        <w:spacing w:line="245" w:lineRule="exact"/>
        <w:rPr>
          <w:sz w:val="20"/>
          <w:szCs w:val="20"/>
        </w:rPr>
      </w:pPr>
    </w:p>
    <w:p w:rsidR="00CC2C66" w:rsidRDefault="00F80B74">
      <w:pPr>
        <w:spacing w:line="243" w:lineRule="auto"/>
        <w:jc w:val="both"/>
        <w:rPr>
          <w:sz w:val="20"/>
          <w:szCs w:val="20"/>
        </w:rPr>
      </w:pPr>
      <w:r>
        <w:rPr>
          <w:rFonts w:eastAsia="Times New Roman"/>
          <w:sz w:val="19"/>
          <w:szCs w:val="19"/>
        </w:rPr>
        <w:t>As of August 24, 2022, the total number of outstanding shares of com</w:t>
      </w:r>
      <w:r>
        <w:rPr>
          <w:rFonts w:eastAsia="Times New Roman"/>
          <w:sz w:val="19"/>
          <w:szCs w:val="19"/>
        </w:rPr>
        <w:t>mon stock of the Company was 419,620,866. Pursuant to this proposal, and assuming for illustrative purposes that our outstanding shares remain unchanged from August 24, 2022 to the date of the Special Meeting, we are seeking continuing authority to repurch</w:t>
      </w:r>
      <w:r>
        <w:rPr>
          <w:rFonts w:eastAsia="Times New Roman"/>
          <w:sz w:val="19"/>
          <w:szCs w:val="19"/>
        </w:rPr>
        <w:t>ase up to a maximum of 41,962,086 shares of common stock, representing 10% of our outstanding</w:t>
      </w:r>
    </w:p>
    <w:p w:rsidR="00CC2C66" w:rsidRDefault="00CC2C66">
      <w:pPr>
        <w:spacing w:line="851"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66" w:lineRule="exact"/>
        <w:rPr>
          <w:sz w:val="20"/>
          <w:szCs w:val="20"/>
        </w:rPr>
      </w:pPr>
    </w:p>
    <w:p w:rsidR="00CC2C66" w:rsidRDefault="00F80B74">
      <w:pPr>
        <w:numPr>
          <w:ilvl w:val="0"/>
          <w:numId w:val="21"/>
        </w:numPr>
        <w:tabs>
          <w:tab w:val="left" w:pos="940"/>
        </w:tabs>
        <w:ind w:left="940" w:hanging="385"/>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52768" behindDoc="1" locked="0" layoutInCell="0" allowOverlap="1">
            <wp:simplePos x="0" y="0"/>
            <wp:positionH relativeFrom="column">
              <wp:posOffset>496570</wp:posOffset>
            </wp:positionH>
            <wp:positionV relativeFrom="paragraph">
              <wp:posOffset>-81915</wp:posOffset>
            </wp:positionV>
            <wp:extent cx="8255" cy="971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17" w:name="page17"/>
      <w:bookmarkEnd w:id="17"/>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42" w:lineRule="auto"/>
        <w:ind w:left="420"/>
        <w:jc w:val="both"/>
        <w:rPr>
          <w:sz w:val="20"/>
          <w:szCs w:val="20"/>
        </w:rPr>
      </w:pPr>
      <w:r>
        <w:rPr>
          <w:rFonts w:eastAsia="Times New Roman"/>
          <w:sz w:val="19"/>
          <w:szCs w:val="19"/>
        </w:rPr>
        <w:t xml:space="preserve">shares as of the date of the Special Meeting. The </w:t>
      </w:r>
      <w:r>
        <w:rPr>
          <w:rFonts w:eastAsia="Times New Roman"/>
          <w:sz w:val="19"/>
          <w:szCs w:val="19"/>
        </w:rPr>
        <w:t>authority will be effective for a period from the Primary Conversion Effective Date until the earlier of the 2023 Annual Meeting of Stockholders or June 26, 2023, unless earlier revoked or modified by a duly adopted resolution of the stockholders. As noted</w:t>
      </w:r>
      <w:r>
        <w:rPr>
          <w:rFonts w:eastAsia="Times New Roman"/>
          <w:sz w:val="19"/>
          <w:szCs w:val="19"/>
        </w:rPr>
        <w:t>, June 26, 2023 is the thirteen-month anniversary of the 2022 Annual Meeting and reflects the end date of the authorization, after which the authorization cannot extend.</w:t>
      </w:r>
    </w:p>
    <w:p w:rsidR="00CC2C66" w:rsidRDefault="00CC2C66">
      <w:pPr>
        <w:spacing w:line="214" w:lineRule="exact"/>
        <w:rPr>
          <w:sz w:val="20"/>
          <w:szCs w:val="20"/>
        </w:rPr>
      </w:pPr>
    </w:p>
    <w:p w:rsidR="00CC2C66" w:rsidRDefault="00F80B74">
      <w:pPr>
        <w:ind w:left="420"/>
        <w:rPr>
          <w:sz w:val="20"/>
          <w:szCs w:val="20"/>
        </w:rPr>
      </w:pPr>
      <w:r>
        <w:rPr>
          <w:rFonts w:eastAsia="Times New Roman"/>
          <w:b/>
          <w:bCs/>
          <w:color w:val="CF0A2C"/>
          <w:sz w:val="19"/>
          <w:szCs w:val="19"/>
        </w:rPr>
        <w:t>Funding of Repurchase</w:t>
      </w:r>
    </w:p>
    <w:p w:rsidR="00CC2C66" w:rsidRDefault="00CC2C66">
      <w:pPr>
        <w:spacing w:line="245" w:lineRule="exact"/>
        <w:rPr>
          <w:sz w:val="20"/>
          <w:szCs w:val="20"/>
        </w:rPr>
      </w:pPr>
    </w:p>
    <w:p w:rsidR="00CC2C66" w:rsidRDefault="00F80B74">
      <w:pPr>
        <w:spacing w:line="241" w:lineRule="auto"/>
        <w:ind w:left="420"/>
        <w:jc w:val="both"/>
        <w:rPr>
          <w:sz w:val="20"/>
          <w:szCs w:val="20"/>
        </w:rPr>
      </w:pPr>
      <w:r>
        <w:rPr>
          <w:rFonts w:eastAsia="Times New Roman"/>
          <w:sz w:val="19"/>
          <w:szCs w:val="19"/>
        </w:rPr>
        <w:t>The repurchases may depend on market conditions and funding ar</w:t>
      </w:r>
      <w:r>
        <w:rPr>
          <w:rFonts w:eastAsia="Times New Roman"/>
          <w:sz w:val="19"/>
          <w:szCs w:val="19"/>
        </w:rPr>
        <w:t xml:space="preserve">rangements at the time and will be made only when the Company believes that such repurchases will benefit the Company and our stockholders. Repurchases of shares of common stock will be funded out of funds legally available for such purposes in accordance </w:t>
      </w:r>
      <w:r>
        <w:rPr>
          <w:rFonts w:eastAsia="Times New Roman"/>
          <w:sz w:val="19"/>
          <w:szCs w:val="19"/>
        </w:rPr>
        <w:t>with the Company’s Amended and Restated Bylaws, the Hong Kong Listing Rules, applicable U.S. federal law, Delaware law, the NYSE listing standards, and other applicable laws and regulations in U.S. and Hong Kong.</w:t>
      </w:r>
    </w:p>
    <w:p w:rsidR="00CC2C66" w:rsidRDefault="00CC2C66">
      <w:pPr>
        <w:spacing w:line="206" w:lineRule="exact"/>
        <w:rPr>
          <w:sz w:val="20"/>
          <w:szCs w:val="20"/>
        </w:rPr>
      </w:pPr>
    </w:p>
    <w:p w:rsidR="00CC2C66" w:rsidRDefault="00F80B74">
      <w:pPr>
        <w:ind w:left="420"/>
        <w:rPr>
          <w:sz w:val="20"/>
          <w:szCs w:val="20"/>
        </w:rPr>
      </w:pPr>
      <w:r>
        <w:rPr>
          <w:rFonts w:eastAsia="Times New Roman"/>
          <w:b/>
          <w:bCs/>
          <w:color w:val="CF0A2C"/>
          <w:sz w:val="19"/>
          <w:szCs w:val="19"/>
        </w:rPr>
        <w:t>Impact of Repurchases</w:t>
      </w:r>
    </w:p>
    <w:p w:rsidR="00CC2C66" w:rsidRDefault="00CC2C66">
      <w:pPr>
        <w:spacing w:line="245" w:lineRule="exact"/>
        <w:rPr>
          <w:sz w:val="20"/>
          <w:szCs w:val="20"/>
        </w:rPr>
      </w:pPr>
    </w:p>
    <w:p w:rsidR="00CC2C66" w:rsidRDefault="00F80B74">
      <w:pPr>
        <w:spacing w:line="241" w:lineRule="auto"/>
        <w:ind w:left="420"/>
        <w:jc w:val="both"/>
        <w:rPr>
          <w:sz w:val="20"/>
          <w:szCs w:val="20"/>
        </w:rPr>
      </w:pPr>
      <w:r>
        <w:rPr>
          <w:rFonts w:eastAsia="Times New Roman"/>
          <w:sz w:val="19"/>
          <w:szCs w:val="19"/>
        </w:rPr>
        <w:t>The repurchase of c</w:t>
      </w:r>
      <w:r>
        <w:rPr>
          <w:rFonts w:eastAsia="Times New Roman"/>
          <w:sz w:val="19"/>
          <w:szCs w:val="19"/>
        </w:rPr>
        <w:t>ommon stock pursuant to this proposal may have a material adverse impact on the working capital or leverage of the Company as compared with the position as at June 30, 2022 in the event that the proposed repurchases were to be carried out in full at any ti</w:t>
      </w:r>
      <w:r>
        <w:rPr>
          <w:rFonts w:eastAsia="Times New Roman"/>
          <w:sz w:val="19"/>
          <w:szCs w:val="19"/>
        </w:rPr>
        <w:t>me during proposed repurchase period. However, our directors are subject to fiduciary duties to the Company and are bound by the requirements the Delaware General Corporation Law, which prohibits a corporation from purchasing its shares of capital stock wh</w:t>
      </w:r>
      <w:r>
        <w:rPr>
          <w:rFonts w:eastAsia="Times New Roman"/>
          <w:sz w:val="19"/>
          <w:szCs w:val="19"/>
        </w:rPr>
        <w:t>en the purchase would cause any impairment of our capital.</w:t>
      </w:r>
    </w:p>
    <w:p w:rsidR="00CC2C66" w:rsidRDefault="00CC2C66">
      <w:pPr>
        <w:spacing w:line="215" w:lineRule="exact"/>
        <w:rPr>
          <w:sz w:val="20"/>
          <w:szCs w:val="20"/>
        </w:rPr>
      </w:pPr>
    </w:p>
    <w:p w:rsidR="00CC2C66" w:rsidRDefault="00F80B74">
      <w:pPr>
        <w:ind w:left="420"/>
        <w:rPr>
          <w:sz w:val="20"/>
          <w:szCs w:val="20"/>
        </w:rPr>
      </w:pPr>
      <w:r>
        <w:rPr>
          <w:rFonts w:eastAsia="Times New Roman"/>
          <w:b/>
          <w:bCs/>
          <w:color w:val="CF0A2C"/>
          <w:sz w:val="19"/>
          <w:szCs w:val="19"/>
        </w:rPr>
        <w:t xml:space="preserve">The Code on Takeovers and Mergers (the </w:t>
      </w:r>
      <w:r>
        <w:rPr>
          <w:rFonts w:eastAsia="Times New Roman"/>
          <w:b/>
          <w:bCs/>
          <w:i/>
          <w:iCs/>
          <w:color w:val="CF0A2C"/>
          <w:sz w:val="19"/>
          <w:szCs w:val="19"/>
        </w:rPr>
        <w:t>“Takeovers Code”</w:t>
      </w:r>
      <w:r>
        <w:rPr>
          <w:rFonts w:eastAsia="Times New Roman"/>
          <w:b/>
          <w:bCs/>
          <w:color w:val="CF0A2C"/>
          <w:sz w:val="19"/>
          <w:szCs w:val="19"/>
        </w:rPr>
        <w:t>)</w:t>
      </w:r>
    </w:p>
    <w:p w:rsidR="00CC2C66" w:rsidRDefault="00CC2C66">
      <w:pPr>
        <w:spacing w:line="235" w:lineRule="exact"/>
        <w:rPr>
          <w:sz w:val="20"/>
          <w:szCs w:val="20"/>
        </w:rPr>
      </w:pPr>
    </w:p>
    <w:p w:rsidR="00CC2C66" w:rsidRDefault="00F80B74">
      <w:pPr>
        <w:spacing w:line="243" w:lineRule="auto"/>
        <w:ind w:left="420"/>
        <w:jc w:val="both"/>
        <w:rPr>
          <w:sz w:val="20"/>
          <w:szCs w:val="20"/>
        </w:rPr>
      </w:pPr>
      <w:r>
        <w:rPr>
          <w:rFonts w:eastAsia="Times New Roman"/>
          <w:sz w:val="19"/>
          <w:szCs w:val="19"/>
        </w:rPr>
        <w:t>If, as a result of a repurchase pursuant to the authorization to repurchase shares, a stockholder’s proportionate interest in the voting r</w:t>
      </w:r>
      <w:r>
        <w:rPr>
          <w:rFonts w:eastAsia="Times New Roman"/>
          <w:sz w:val="19"/>
          <w:szCs w:val="19"/>
        </w:rPr>
        <w:t>ights of our Company increases, such increase will be treated as an acquisition of voting rights for the purposes of the Takeovers Code. Accordingly, a stockholder, or a group of stockholders acting in concert (within the meaning under the Takeovers Code),</w:t>
      </w:r>
      <w:r>
        <w:rPr>
          <w:rFonts w:eastAsia="Times New Roman"/>
          <w:sz w:val="19"/>
          <w:szCs w:val="19"/>
        </w:rPr>
        <w:t xml:space="preserve"> depend-</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1460"/>
        <w:rPr>
          <w:sz w:val="20"/>
          <w:szCs w:val="20"/>
        </w:rPr>
      </w:pPr>
      <w:r>
        <w:rPr>
          <w:rFonts w:ascii="Arial" w:eastAsia="Arial" w:hAnsi="Arial" w:cs="Arial"/>
          <w:b/>
          <w:bCs/>
          <w:color w:val="FFFFFF"/>
          <w:sz w:val="15"/>
          <w:szCs w:val="15"/>
        </w:rPr>
        <w:t>MATTERS REQUIRING STOCKHOLDER ACTION</w:t>
      </w:r>
    </w:p>
    <w:p w:rsidR="00CC2C66" w:rsidRDefault="00F80B74">
      <w:pPr>
        <w:spacing w:line="20" w:lineRule="exact"/>
        <w:rPr>
          <w:sz w:val="20"/>
          <w:szCs w:val="20"/>
        </w:rPr>
      </w:pPr>
      <w:r>
        <w:rPr>
          <w:noProof/>
          <w:sz w:val="20"/>
          <w:szCs w:val="20"/>
        </w:rPr>
        <w:drawing>
          <wp:anchor distT="0" distB="0" distL="114300" distR="114300" simplePos="0" relativeHeight="251553792"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554816" behindDoc="1" locked="0" layoutInCell="0" allowOverlap="1">
            <wp:simplePos x="0" y="0"/>
            <wp:positionH relativeFrom="column">
              <wp:posOffset>791210</wp:posOffset>
            </wp:positionH>
            <wp:positionV relativeFrom="paragraph">
              <wp:posOffset>-148590</wp:posOffset>
            </wp:positionV>
            <wp:extent cx="2458085" cy="19494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blip>
                    <a:srcRect/>
                    <a:stretch>
                      <a:fillRect/>
                    </a:stretch>
                  </pic:blipFill>
                  <pic:spPr bwMode="auto">
                    <a:xfrm>
                      <a:off x="0" y="0"/>
                      <a:ext cx="245808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47" w:lineRule="auto"/>
        <w:jc w:val="both"/>
        <w:rPr>
          <w:sz w:val="20"/>
          <w:szCs w:val="20"/>
        </w:rPr>
      </w:pPr>
      <w:r>
        <w:rPr>
          <w:rFonts w:eastAsia="Times New Roman"/>
          <w:sz w:val="19"/>
          <w:szCs w:val="19"/>
        </w:rPr>
        <w:t xml:space="preserve">ing on the level of increase in the stockholder’s interest, could obtain or consolidate control of our Company and thereby become obliged to make a mandatory offer in accordance with Rule 26 of the </w:t>
      </w:r>
      <w:r>
        <w:rPr>
          <w:rFonts w:eastAsia="Times New Roman"/>
          <w:sz w:val="19"/>
          <w:szCs w:val="19"/>
        </w:rPr>
        <w:t>Takeovers Code.</w:t>
      </w:r>
    </w:p>
    <w:p w:rsidR="00CC2C66" w:rsidRDefault="00CC2C66">
      <w:pPr>
        <w:spacing w:line="212" w:lineRule="exact"/>
        <w:rPr>
          <w:sz w:val="20"/>
          <w:szCs w:val="20"/>
        </w:rPr>
      </w:pPr>
    </w:p>
    <w:p w:rsidR="00CC2C66" w:rsidRDefault="00F80B74">
      <w:pPr>
        <w:spacing w:line="241" w:lineRule="auto"/>
        <w:jc w:val="both"/>
        <w:rPr>
          <w:sz w:val="20"/>
          <w:szCs w:val="20"/>
        </w:rPr>
      </w:pPr>
      <w:r>
        <w:rPr>
          <w:rFonts w:eastAsia="Times New Roman"/>
          <w:sz w:val="19"/>
          <w:szCs w:val="19"/>
        </w:rPr>
        <w:t xml:space="preserve">As of August 24, 2022, to the best knowledge and belief of our Board of Directors, our largest stockholder beneficially owned 40,727,617 shares of common stock, representing approximately 9.7% of our outstanding shares, based on Amendment </w:t>
      </w:r>
      <w:r>
        <w:rPr>
          <w:rFonts w:eastAsia="Times New Roman"/>
          <w:sz w:val="19"/>
          <w:szCs w:val="19"/>
        </w:rPr>
        <w:t xml:space="preserve">No. 3 to the Schedule 13G filed on February 10, 2022 with the SEC by the stockholder. In the event that our Board of Directors should exercise in full the authorization to repurchase shares, the shareholding of our largest stockholder will be increased to </w:t>
      </w:r>
      <w:r>
        <w:rPr>
          <w:rFonts w:eastAsia="Times New Roman"/>
          <w:sz w:val="19"/>
          <w:szCs w:val="19"/>
        </w:rPr>
        <w:t>approximately 10.8% of our outstanding shares.</w:t>
      </w:r>
    </w:p>
    <w:p w:rsidR="00CC2C66" w:rsidRDefault="00CC2C66">
      <w:pPr>
        <w:spacing w:line="223" w:lineRule="exact"/>
        <w:rPr>
          <w:sz w:val="20"/>
          <w:szCs w:val="20"/>
        </w:rPr>
      </w:pPr>
    </w:p>
    <w:p w:rsidR="00CC2C66" w:rsidRDefault="00F80B74">
      <w:pPr>
        <w:jc w:val="both"/>
        <w:rPr>
          <w:sz w:val="20"/>
          <w:szCs w:val="20"/>
        </w:rPr>
      </w:pPr>
      <w:r>
        <w:rPr>
          <w:rFonts w:eastAsia="Times New Roman"/>
          <w:sz w:val="19"/>
          <w:szCs w:val="19"/>
        </w:rPr>
        <w:t>To the best knowledge and belief of our Board of Directors, such increase would not give rise to an obligation to make a mandatory offer under the Takeovers Code. Our Board of Directors has no present intenti</w:t>
      </w:r>
      <w:r>
        <w:rPr>
          <w:rFonts w:eastAsia="Times New Roman"/>
          <w:sz w:val="19"/>
          <w:szCs w:val="19"/>
        </w:rPr>
        <w:t xml:space="preserve">on to repurchase the shares of common stock to the extent that will trigger the obligations under the Takeovers Code for our largest stockholder to make a mandatory offer. Our Board of Directors is not aware of any other consequences which may arise under </w:t>
      </w:r>
      <w:r>
        <w:rPr>
          <w:rFonts w:eastAsia="Times New Roman"/>
          <w:sz w:val="19"/>
          <w:szCs w:val="19"/>
        </w:rPr>
        <w:t>the Takeovers Code as a result of a repurchase pursuant to the authorization to repurchase shares. The Hong Kong Listing Rules prohibit a company from buying back shares on the Hong Kong Stock Exchange if the result of the repurchases would be that less th</w:t>
      </w:r>
      <w:r>
        <w:rPr>
          <w:rFonts w:eastAsia="Times New Roman"/>
          <w:sz w:val="19"/>
          <w:szCs w:val="19"/>
        </w:rPr>
        <w:t>an 25% (or such other prescribed minimum percentage as determined by the Hong Kong Stock Exchange) of our outstanding shares would be in public hands. Our Board of Directors does not propose to repurchase shares which would result in less than the prescrib</w:t>
      </w:r>
      <w:r>
        <w:rPr>
          <w:rFonts w:eastAsia="Times New Roman"/>
          <w:sz w:val="19"/>
          <w:szCs w:val="19"/>
        </w:rPr>
        <w:t>ed minimum percentage of shares of common stock in public hands.</w:t>
      </w:r>
    </w:p>
    <w:p w:rsidR="00CC2C66" w:rsidRDefault="00CC2C66">
      <w:pPr>
        <w:spacing w:line="204" w:lineRule="exact"/>
        <w:rPr>
          <w:sz w:val="20"/>
          <w:szCs w:val="20"/>
        </w:rPr>
      </w:pPr>
    </w:p>
    <w:p w:rsidR="00CC2C66" w:rsidRDefault="00F80B74">
      <w:pPr>
        <w:rPr>
          <w:sz w:val="20"/>
          <w:szCs w:val="20"/>
        </w:rPr>
      </w:pPr>
      <w:r>
        <w:rPr>
          <w:rFonts w:eastAsia="Times New Roman"/>
          <w:b/>
          <w:bCs/>
          <w:color w:val="CF0A2C"/>
          <w:sz w:val="19"/>
          <w:szCs w:val="19"/>
        </w:rPr>
        <w:t>Market Prices of Shares</w:t>
      </w:r>
    </w:p>
    <w:p w:rsidR="00CC2C66" w:rsidRDefault="00CC2C66">
      <w:pPr>
        <w:spacing w:line="239" w:lineRule="exact"/>
        <w:rPr>
          <w:sz w:val="20"/>
          <w:szCs w:val="20"/>
        </w:rPr>
      </w:pPr>
    </w:p>
    <w:p w:rsidR="00CC2C66" w:rsidRDefault="00F80B74">
      <w:pPr>
        <w:spacing w:line="244" w:lineRule="auto"/>
        <w:jc w:val="both"/>
        <w:rPr>
          <w:sz w:val="20"/>
          <w:szCs w:val="20"/>
        </w:rPr>
      </w:pPr>
      <w:r>
        <w:rPr>
          <w:rFonts w:eastAsia="Times New Roman"/>
          <w:b/>
          <w:bCs/>
          <w:i/>
          <w:iCs/>
          <w:sz w:val="19"/>
          <w:szCs w:val="19"/>
        </w:rPr>
        <w:t>This section includes information required to be provided pursuant to Rule 10.06(1)(b) of the Hong Kong Listing Rules. While our shares are primary listed on the NYS</w:t>
      </w:r>
      <w:r>
        <w:rPr>
          <w:rFonts w:eastAsia="Times New Roman"/>
          <w:b/>
          <w:bCs/>
          <w:i/>
          <w:iCs/>
          <w:sz w:val="19"/>
          <w:szCs w:val="19"/>
        </w:rPr>
        <w:t xml:space="preserve">E, the information set forth below relates exclusively to our secondary listing on the Hong Kong Stock Exchange and is therefore provided in Hong Kong dollars. </w:t>
      </w:r>
      <w:r>
        <w:rPr>
          <w:rFonts w:eastAsia="Times New Roman"/>
          <w:b/>
          <w:bCs/>
          <w:i/>
          <w:iCs/>
          <w:sz w:val="19"/>
          <w:szCs w:val="19"/>
          <w:u w:val="single"/>
        </w:rPr>
        <w:t>The below values do not represent trading prices of</w:t>
      </w:r>
      <w:r>
        <w:rPr>
          <w:rFonts w:eastAsia="Times New Roman"/>
          <w:b/>
          <w:bCs/>
          <w:i/>
          <w:iCs/>
          <w:sz w:val="19"/>
          <w:szCs w:val="19"/>
        </w:rPr>
        <w:t xml:space="preserve"> </w:t>
      </w:r>
      <w:r>
        <w:rPr>
          <w:rFonts w:eastAsia="Times New Roman"/>
          <w:b/>
          <w:bCs/>
          <w:i/>
          <w:iCs/>
          <w:sz w:val="19"/>
          <w:szCs w:val="19"/>
          <w:u w:val="single"/>
        </w:rPr>
        <w:t>our shares on the NYSE.</w:t>
      </w:r>
    </w:p>
    <w:p w:rsidR="00CC2C66" w:rsidRDefault="00CC2C66">
      <w:pPr>
        <w:spacing w:line="200" w:lineRule="exact"/>
        <w:rPr>
          <w:sz w:val="20"/>
          <w:szCs w:val="20"/>
        </w:rPr>
      </w:pPr>
    </w:p>
    <w:p w:rsidR="00CC2C66" w:rsidRDefault="00CC2C66">
      <w:pPr>
        <w:spacing w:line="320"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Proxy </w:t>
      </w:r>
      <w:r>
        <w:rPr>
          <w:rFonts w:ascii="Arial" w:eastAsia="Arial" w:hAnsi="Arial" w:cs="Arial"/>
          <w:i/>
          <w:iCs/>
          <w:color w:val="4C4C4C"/>
          <w:sz w:val="14"/>
          <w:szCs w:val="14"/>
        </w:rPr>
        <w:t>Statement</w:t>
      </w:r>
      <w:r>
        <w:rPr>
          <w:sz w:val="20"/>
          <w:szCs w:val="20"/>
        </w:rPr>
        <w:tab/>
      </w:r>
      <w:r>
        <w:rPr>
          <w:rFonts w:ascii="Arial" w:eastAsia="Arial" w:hAnsi="Arial" w:cs="Arial"/>
          <w:color w:val="CF0A2C"/>
          <w:sz w:val="12"/>
          <w:szCs w:val="12"/>
        </w:rPr>
        <w:t>11</w:t>
      </w:r>
    </w:p>
    <w:p w:rsidR="00CC2C66" w:rsidRDefault="00F80B74">
      <w:pPr>
        <w:spacing w:line="20" w:lineRule="exact"/>
        <w:rPr>
          <w:sz w:val="20"/>
          <w:szCs w:val="20"/>
        </w:rPr>
      </w:pPr>
      <w:r>
        <w:rPr>
          <w:noProof/>
          <w:sz w:val="20"/>
          <w:szCs w:val="20"/>
        </w:rPr>
        <w:drawing>
          <wp:anchor distT="0" distB="0" distL="114300" distR="114300" simplePos="0" relativeHeight="251555840"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18" w:name="page18"/>
      <w:bookmarkEnd w:id="18"/>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556864" behindDoc="1" locked="0" layoutInCell="0" allowOverlap="1">
            <wp:simplePos x="0" y="0"/>
            <wp:positionH relativeFrom="column">
              <wp:posOffset>260985</wp:posOffset>
            </wp:positionH>
            <wp:positionV relativeFrom="paragraph">
              <wp:posOffset>196850</wp:posOffset>
            </wp:positionV>
            <wp:extent cx="2352675" cy="19494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a:extLst/>
                    </a:blip>
                    <a:srcRect/>
                    <a:stretch>
                      <a:fillRect/>
                    </a:stretch>
                  </pic:blipFill>
                  <pic:spPr bwMode="auto">
                    <a:xfrm>
                      <a:off x="0" y="0"/>
                      <a:ext cx="235267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MATTERS REQUIRING STOCKHOLDER ACTION</w:t>
      </w:r>
    </w:p>
    <w:p w:rsidR="00CC2C66" w:rsidRDefault="00CC2C66">
      <w:pPr>
        <w:spacing w:line="243" w:lineRule="exact"/>
        <w:rPr>
          <w:sz w:val="20"/>
          <w:szCs w:val="20"/>
        </w:rPr>
      </w:pPr>
    </w:p>
    <w:p w:rsidR="00CC2C66" w:rsidRDefault="00F80B74">
      <w:pPr>
        <w:spacing w:line="245" w:lineRule="auto"/>
        <w:ind w:left="420"/>
        <w:jc w:val="both"/>
        <w:rPr>
          <w:sz w:val="20"/>
          <w:szCs w:val="20"/>
        </w:rPr>
      </w:pPr>
      <w:r>
        <w:rPr>
          <w:rFonts w:eastAsia="Times New Roman"/>
          <w:sz w:val="19"/>
          <w:szCs w:val="19"/>
        </w:rPr>
        <w:t xml:space="preserve">The shares of common stock were listed on the Hong Kong Stock Exchange on September 10, 2020. The following table sets forth the highest and lowest prices </w:t>
      </w:r>
      <w:r>
        <w:rPr>
          <w:rFonts w:eastAsia="Times New Roman"/>
          <w:sz w:val="19"/>
          <w:szCs w:val="19"/>
        </w:rPr>
        <w:t>at which the shares of common stock traded on the Hong Kong Stock Exchange during each month during the previous twelve months and until July 2022:</w:t>
      </w:r>
    </w:p>
    <w:p w:rsidR="00CC2C66" w:rsidRDefault="00CC2C66">
      <w:pPr>
        <w:spacing w:line="214" w:lineRule="exact"/>
        <w:rPr>
          <w:sz w:val="20"/>
          <w:szCs w:val="20"/>
        </w:rPr>
      </w:pPr>
    </w:p>
    <w:p w:rsidR="00CC2C66" w:rsidRDefault="00F80B74">
      <w:pPr>
        <w:spacing w:line="265" w:lineRule="auto"/>
        <w:ind w:left="420" w:right="20"/>
        <w:jc w:val="center"/>
        <w:rPr>
          <w:sz w:val="20"/>
          <w:szCs w:val="20"/>
        </w:rPr>
      </w:pPr>
      <w:r>
        <w:rPr>
          <w:rFonts w:eastAsia="Times New Roman"/>
          <w:sz w:val="19"/>
          <w:szCs w:val="19"/>
        </w:rPr>
        <w:t>Yum China’s Highest and Lowest Monthly Close Price (July 2021 – July 2022)</w:t>
      </w:r>
    </w:p>
    <w:p w:rsidR="00CC2C66" w:rsidRDefault="00CC2C66">
      <w:pPr>
        <w:spacing w:line="240"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3100"/>
        <w:gridCol w:w="1120"/>
        <w:gridCol w:w="760"/>
        <w:gridCol w:w="20"/>
      </w:tblGrid>
      <w:tr w:rsidR="00CC2C66">
        <w:trPr>
          <w:trHeight w:val="193"/>
        </w:trPr>
        <w:tc>
          <w:tcPr>
            <w:tcW w:w="3100" w:type="dxa"/>
            <w:vAlign w:val="bottom"/>
          </w:tcPr>
          <w:p w:rsidR="00CC2C66" w:rsidRDefault="00CC2C66">
            <w:pPr>
              <w:rPr>
                <w:sz w:val="16"/>
                <w:szCs w:val="16"/>
              </w:rPr>
            </w:pPr>
          </w:p>
        </w:tc>
        <w:tc>
          <w:tcPr>
            <w:tcW w:w="1880" w:type="dxa"/>
            <w:gridSpan w:val="2"/>
            <w:tcBorders>
              <w:bottom w:val="single" w:sz="8" w:space="0" w:color="CF0A2C"/>
            </w:tcBorders>
            <w:vAlign w:val="bottom"/>
          </w:tcPr>
          <w:p w:rsidR="00CC2C66" w:rsidRDefault="00F80B74">
            <w:pPr>
              <w:ind w:right="283"/>
              <w:jc w:val="right"/>
              <w:rPr>
                <w:sz w:val="20"/>
                <w:szCs w:val="20"/>
              </w:rPr>
            </w:pPr>
            <w:r>
              <w:rPr>
                <w:rFonts w:ascii="Arial" w:eastAsia="Arial" w:hAnsi="Arial" w:cs="Arial"/>
                <w:b/>
                <w:bCs/>
                <w:color w:val="CF0A2C"/>
                <w:sz w:val="15"/>
                <w:szCs w:val="15"/>
              </w:rPr>
              <w:t>Share price</w:t>
            </w:r>
          </w:p>
        </w:tc>
        <w:tc>
          <w:tcPr>
            <w:tcW w:w="0" w:type="dxa"/>
            <w:vAlign w:val="bottom"/>
          </w:tcPr>
          <w:p w:rsidR="00CC2C66" w:rsidRDefault="00CC2C66">
            <w:pPr>
              <w:rPr>
                <w:sz w:val="1"/>
                <w:szCs w:val="1"/>
              </w:rPr>
            </w:pPr>
          </w:p>
        </w:tc>
      </w:tr>
      <w:tr w:rsidR="00CC2C66">
        <w:trPr>
          <w:trHeight w:val="172"/>
        </w:trPr>
        <w:tc>
          <w:tcPr>
            <w:tcW w:w="3100" w:type="dxa"/>
            <w:tcBorders>
              <w:bottom w:val="single" w:sz="8" w:space="0" w:color="CF0A2C"/>
            </w:tcBorders>
            <w:vAlign w:val="bottom"/>
          </w:tcPr>
          <w:p w:rsidR="00CC2C66" w:rsidRDefault="00CC2C66">
            <w:pPr>
              <w:rPr>
                <w:sz w:val="14"/>
                <w:szCs w:val="14"/>
              </w:rPr>
            </w:pPr>
          </w:p>
        </w:tc>
        <w:tc>
          <w:tcPr>
            <w:tcW w:w="1120" w:type="dxa"/>
            <w:tcBorders>
              <w:bottom w:val="single" w:sz="8" w:space="0" w:color="CF0A2C"/>
            </w:tcBorders>
            <w:vAlign w:val="bottom"/>
          </w:tcPr>
          <w:p w:rsidR="00CC2C66" w:rsidRDefault="00F80B74">
            <w:pPr>
              <w:ind w:right="123"/>
              <w:jc w:val="right"/>
              <w:rPr>
                <w:sz w:val="20"/>
                <w:szCs w:val="20"/>
              </w:rPr>
            </w:pPr>
            <w:r>
              <w:rPr>
                <w:rFonts w:ascii="Arial" w:eastAsia="Arial" w:hAnsi="Arial" w:cs="Arial"/>
                <w:b/>
                <w:bCs/>
                <w:color w:val="CF0A2C"/>
                <w:sz w:val="15"/>
                <w:szCs w:val="15"/>
              </w:rPr>
              <w:t>Highest</w:t>
            </w:r>
          </w:p>
        </w:tc>
        <w:tc>
          <w:tcPr>
            <w:tcW w:w="760" w:type="dxa"/>
            <w:tcBorders>
              <w:bottom w:val="single" w:sz="8" w:space="0" w:color="CF0A2C"/>
            </w:tcBorders>
            <w:vAlign w:val="bottom"/>
          </w:tcPr>
          <w:p w:rsidR="00CC2C66" w:rsidRDefault="00F80B74">
            <w:pPr>
              <w:jc w:val="right"/>
              <w:rPr>
                <w:sz w:val="20"/>
                <w:szCs w:val="20"/>
              </w:rPr>
            </w:pPr>
            <w:r>
              <w:rPr>
                <w:rFonts w:ascii="Arial" w:eastAsia="Arial" w:hAnsi="Arial" w:cs="Arial"/>
                <w:b/>
                <w:bCs/>
                <w:color w:val="CF0A2C"/>
                <w:sz w:val="15"/>
                <w:szCs w:val="15"/>
              </w:rPr>
              <w:t>Lowest</w:t>
            </w:r>
          </w:p>
        </w:tc>
        <w:tc>
          <w:tcPr>
            <w:tcW w:w="0" w:type="dxa"/>
            <w:vAlign w:val="bottom"/>
          </w:tcPr>
          <w:p w:rsidR="00CC2C66" w:rsidRDefault="00CC2C66">
            <w:pPr>
              <w:rPr>
                <w:sz w:val="1"/>
                <w:szCs w:val="1"/>
              </w:rPr>
            </w:pPr>
          </w:p>
        </w:tc>
      </w:tr>
      <w:tr w:rsidR="00CC2C66">
        <w:trPr>
          <w:trHeight w:val="204"/>
        </w:trPr>
        <w:tc>
          <w:tcPr>
            <w:tcW w:w="3100" w:type="dxa"/>
            <w:vMerge w:val="restart"/>
            <w:vAlign w:val="bottom"/>
          </w:tcPr>
          <w:p w:rsidR="00CC2C66" w:rsidRDefault="00F80B74">
            <w:pPr>
              <w:rPr>
                <w:sz w:val="20"/>
                <w:szCs w:val="20"/>
              </w:rPr>
            </w:pPr>
            <w:r>
              <w:rPr>
                <w:rFonts w:ascii="Arial" w:eastAsia="Arial" w:hAnsi="Arial" w:cs="Arial"/>
                <w:b/>
                <w:bCs/>
                <w:color w:val="CF0A2C"/>
                <w:sz w:val="15"/>
                <w:szCs w:val="15"/>
              </w:rPr>
              <w:t>2021</w:t>
            </w:r>
          </w:p>
        </w:tc>
        <w:tc>
          <w:tcPr>
            <w:tcW w:w="1120" w:type="dxa"/>
            <w:vAlign w:val="bottom"/>
          </w:tcPr>
          <w:p w:rsidR="00CC2C66" w:rsidRDefault="00F80B74">
            <w:pPr>
              <w:ind w:right="203"/>
              <w:jc w:val="right"/>
              <w:rPr>
                <w:sz w:val="20"/>
                <w:szCs w:val="20"/>
              </w:rPr>
            </w:pPr>
            <w:r>
              <w:rPr>
                <w:rFonts w:ascii="Arial" w:eastAsia="Arial" w:hAnsi="Arial" w:cs="Arial"/>
                <w:b/>
                <w:bCs/>
                <w:color w:val="CF0A2C"/>
                <w:sz w:val="15"/>
                <w:szCs w:val="15"/>
              </w:rPr>
              <w:t>(HK$)</w:t>
            </w:r>
          </w:p>
        </w:tc>
        <w:tc>
          <w:tcPr>
            <w:tcW w:w="760" w:type="dxa"/>
            <w:vAlign w:val="bottom"/>
          </w:tcPr>
          <w:p w:rsidR="00CC2C66" w:rsidRDefault="00F80B74">
            <w:pPr>
              <w:ind w:right="23"/>
              <w:jc w:val="right"/>
              <w:rPr>
                <w:sz w:val="20"/>
                <w:szCs w:val="20"/>
              </w:rPr>
            </w:pPr>
            <w:r>
              <w:rPr>
                <w:rFonts w:ascii="Arial" w:eastAsia="Arial" w:hAnsi="Arial" w:cs="Arial"/>
                <w:b/>
                <w:bCs/>
                <w:color w:val="CF0A2C"/>
                <w:sz w:val="15"/>
                <w:szCs w:val="15"/>
              </w:rPr>
              <w:t>(HK$)</w:t>
            </w:r>
          </w:p>
        </w:tc>
        <w:tc>
          <w:tcPr>
            <w:tcW w:w="0" w:type="dxa"/>
            <w:vAlign w:val="bottom"/>
          </w:tcPr>
          <w:p w:rsidR="00CC2C66" w:rsidRDefault="00CC2C66">
            <w:pPr>
              <w:rPr>
                <w:sz w:val="1"/>
                <w:szCs w:val="1"/>
              </w:rPr>
            </w:pPr>
          </w:p>
        </w:tc>
      </w:tr>
      <w:tr w:rsidR="00CC2C66">
        <w:trPr>
          <w:trHeight w:val="135"/>
        </w:trPr>
        <w:tc>
          <w:tcPr>
            <w:tcW w:w="3100" w:type="dxa"/>
            <w:vMerge/>
            <w:vAlign w:val="bottom"/>
          </w:tcPr>
          <w:p w:rsidR="00CC2C66" w:rsidRDefault="00CC2C66">
            <w:pPr>
              <w:rPr>
                <w:sz w:val="11"/>
                <w:szCs w:val="11"/>
              </w:rPr>
            </w:pPr>
          </w:p>
        </w:tc>
        <w:tc>
          <w:tcPr>
            <w:tcW w:w="1120" w:type="dxa"/>
            <w:vAlign w:val="bottom"/>
          </w:tcPr>
          <w:p w:rsidR="00CC2C66" w:rsidRDefault="00CC2C66">
            <w:pPr>
              <w:rPr>
                <w:sz w:val="11"/>
                <w:szCs w:val="11"/>
              </w:rPr>
            </w:pPr>
          </w:p>
        </w:tc>
        <w:tc>
          <w:tcPr>
            <w:tcW w:w="760" w:type="dxa"/>
            <w:vAlign w:val="bottom"/>
          </w:tcPr>
          <w:p w:rsidR="00CC2C66" w:rsidRDefault="00CC2C66">
            <w:pPr>
              <w:rPr>
                <w:sz w:val="11"/>
                <w:szCs w:val="11"/>
              </w:rPr>
            </w:pP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July</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514.5</w:t>
            </w:r>
          </w:p>
        </w:tc>
        <w:tc>
          <w:tcPr>
            <w:tcW w:w="760" w:type="dxa"/>
            <w:vAlign w:val="bottom"/>
          </w:tcPr>
          <w:p w:rsidR="00CC2C66" w:rsidRDefault="00F80B74">
            <w:pPr>
              <w:jc w:val="right"/>
              <w:rPr>
                <w:sz w:val="20"/>
                <w:szCs w:val="20"/>
              </w:rPr>
            </w:pPr>
            <w:r>
              <w:rPr>
                <w:rFonts w:ascii="Arial" w:eastAsia="Arial" w:hAnsi="Arial" w:cs="Arial"/>
                <w:color w:val="CF0A2C"/>
                <w:sz w:val="15"/>
                <w:szCs w:val="15"/>
              </w:rPr>
              <w:t>467.8</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August</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480.2</w:t>
            </w:r>
          </w:p>
        </w:tc>
        <w:tc>
          <w:tcPr>
            <w:tcW w:w="760" w:type="dxa"/>
            <w:vAlign w:val="bottom"/>
          </w:tcPr>
          <w:p w:rsidR="00CC2C66" w:rsidRDefault="00F80B74">
            <w:pPr>
              <w:jc w:val="right"/>
              <w:rPr>
                <w:sz w:val="20"/>
                <w:szCs w:val="20"/>
              </w:rPr>
            </w:pPr>
            <w:r>
              <w:rPr>
                <w:rFonts w:ascii="Arial" w:eastAsia="Arial" w:hAnsi="Arial" w:cs="Arial"/>
                <w:color w:val="CF0A2C"/>
                <w:sz w:val="15"/>
                <w:szCs w:val="15"/>
              </w:rPr>
              <w:t>453.0</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September</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498.2</w:t>
            </w:r>
          </w:p>
        </w:tc>
        <w:tc>
          <w:tcPr>
            <w:tcW w:w="760" w:type="dxa"/>
            <w:vAlign w:val="bottom"/>
          </w:tcPr>
          <w:p w:rsidR="00CC2C66" w:rsidRDefault="00F80B74">
            <w:pPr>
              <w:jc w:val="right"/>
              <w:rPr>
                <w:sz w:val="20"/>
                <w:szCs w:val="20"/>
              </w:rPr>
            </w:pPr>
            <w:r>
              <w:rPr>
                <w:rFonts w:ascii="Arial" w:eastAsia="Arial" w:hAnsi="Arial" w:cs="Arial"/>
                <w:color w:val="CF0A2C"/>
                <w:sz w:val="15"/>
                <w:szCs w:val="15"/>
              </w:rPr>
              <w:t>416.4</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October</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473.8</w:t>
            </w:r>
          </w:p>
        </w:tc>
        <w:tc>
          <w:tcPr>
            <w:tcW w:w="760" w:type="dxa"/>
            <w:vAlign w:val="bottom"/>
          </w:tcPr>
          <w:p w:rsidR="00CC2C66" w:rsidRDefault="00F80B74">
            <w:pPr>
              <w:jc w:val="right"/>
              <w:rPr>
                <w:sz w:val="20"/>
                <w:szCs w:val="20"/>
              </w:rPr>
            </w:pPr>
            <w:r>
              <w:rPr>
                <w:rFonts w:ascii="Arial" w:eastAsia="Arial" w:hAnsi="Arial" w:cs="Arial"/>
                <w:color w:val="CF0A2C"/>
                <w:sz w:val="15"/>
                <w:szCs w:val="15"/>
              </w:rPr>
              <w:t>450.0</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November</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449.8</w:t>
            </w:r>
          </w:p>
        </w:tc>
        <w:tc>
          <w:tcPr>
            <w:tcW w:w="760" w:type="dxa"/>
            <w:vAlign w:val="bottom"/>
          </w:tcPr>
          <w:p w:rsidR="00CC2C66" w:rsidRDefault="00F80B74">
            <w:pPr>
              <w:jc w:val="right"/>
              <w:rPr>
                <w:sz w:val="20"/>
                <w:szCs w:val="20"/>
              </w:rPr>
            </w:pPr>
            <w:r>
              <w:rPr>
                <w:rFonts w:ascii="Arial" w:eastAsia="Arial" w:hAnsi="Arial" w:cs="Arial"/>
                <w:color w:val="CF0A2C"/>
                <w:sz w:val="15"/>
                <w:szCs w:val="15"/>
              </w:rPr>
              <w:t>390.2</w:t>
            </w:r>
          </w:p>
        </w:tc>
        <w:tc>
          <w:tcPr>
            <w:tcW w:w="0" w:type="dxa"/>
            <w:vAlign w:val="bottom"/>
          </w:tcPr>
          <w:p w:rsidR="00CC2C66" w:rsidRDefault="00CC2C66">
            <w:pPr>
              <w:rPr>
                <w:sz w:val="1"/>
                <w:szCs w:val="1"/>
              </w:rPr>
            </w:pPr>
          </w:p>
        </w:tc>
      </w:tr>
      <w:tr w:rsidR="00CC2C66">
        <w:trPr>
          <w:trHeight w:val="201"/>
        </w:trPr>
        <w:tc>
          <w:tcPr>
            <w:tcW w:w="3100" w:type="dxa"/>
            <w:vAlign w:val="bottom"/>
          </w:tcPr>
          <w:p w:rsidR="00CC2C66" w:rsidRDefault="00F80B74">
            <w:pPr>
              <w:rPr>
                <w:sz w:val="20"/>
                <w:szCs w:val="20"/>
              </w:rPr>
            </w:pPr>
            <w:r>
              <w:rPr>
                <w:rFonts w:ascii="Arial" w:eastAsia="Arial" w:hAnsi="Arial" w:cs="Arial"/>
                <w:color w:val="CF0A2C"/>
                <w:sz w:val="15"/>
                <w:szCs w:val="15"/>
              </w:rPr>
              <w:t>December</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407.0</w:t>
            </w:r>
          </w:p>
        </w:tc>
        <w:tc>
          <w:tcPr>
            <w:tcW w:w="760" w:type="dxa"/>
            <w:vAlign w:val="bottom"/>
          </w:tcPr>
          <w:p w:rsidR="00CC2C66" w:rsidRDefault="00F80B74">
            <w:pPr>
              <w:jc w:val="right"/>
              <w:rPr>
                <w:sz w:val="20"/>
                <w:szCs w:val="20"/>
              </w:rPr>
            </w:pPr>
            <w:r>
              <w:rPr>
                <w:rFonts w:ascii="Arial" w:eastAsia="Arial" w:hAnsi="Arial" w:cs="Arial"/>
                <w:color w:val="CF0A2C"/>
                <w:sz w:val="15"/>
                <w:szCs w:val="15"/>
              </w:rPr>
              <w:t>366.6</w:t>
            </w:r>
          </w:p>
        </w:tc>
        <w:tc>
          <w:tcPr>
            <w:tcW w:w="0" w:type="dxa"/>
            <w:vAlign w:val="bottom"/>
          </w:tcPr>
          <w:p w:rsidR="00CC2C66" w:rsidRDefault="00CC2C66">
            <w:pPr>
              <w:rPr>
                <w:sz w:val="1"/>
                <w:szCs w:val="1"/>
              </w:rPr>
            </w:pPr>
          </w:p>
        </w:tc>
      </w:tr>
      <w:tr w:rsidR="00CC2C66">
        <w:trPr>
          <w:trHeight w:val="259"/>
        </w:trPr>
        <w:tc>
          <w:tcPr>
            <w:tcW w:w="3100" w:type="dxa"/>
            <w:vAlign w:val="bottom"/>
          </w:tcPr>
          <w:p w:rsidR="00CC2C66" w:rsidRDefault="00F80B74">
            <w:pPr>
              <w:rPr>
                <w:sz w:val="20"/>
                <w:szCs w:val="20"/>
              </w:rPr>
            </w:pPr>
            <w:r>
              <w:rPr>
                <w:rFonts w:ascii="Arial" w:eastAsia="Arial" w:hAnsi="Arial" w:cs="Arial"/>
                <w:b/>
                <w:bCs/>
                <w:color w:val="CF0A2C"/>
                <w:sz w:val="15"/>
                <w:szCs w:val="15"/>
              </w:rPr>
              <w:t>2022</w:t>
            </w:r>
          </w:p>
        </w:tc>
        <w:tc>
          <w:tcPr>
            <w:tcW w:w="1120" w:type="dxa"/>
            <w:vAlign w:val="bottom"/>
          </w:tcPr>
          <w:p w:rsidR="00CC2C66" w:rsidRDefault="00CC2C66"/>
        </w:tc>
        <w:tc>
          <w:tcPr>
            <w:tcW w:w="760" w:type="dxa"/>
            <w:vAlign w:val="bottom"/>
          </w:tcPr>
          <w:p w:rsidR="00CC2C66" w:rsidRDefault="00CC2C66"/>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January</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390.4</w:t>
            </w:r>
          </w:p>
        </w:tc>
        <w:tc>
          <w:tcPr>
            <w:tcW w:w="760" w:type="dxa"/>
            <w:vAlign w:val="bottom"/>
          </w:tcPr>
          <w:p w:rsidR="00CC2C66" w:rsidRDefault="00F80B74">
            <w:pPr>
              <w:jc w:val="right"/>
              <w:rPr>
                <w:sz w:val="20"/>
                <w:szCs w:val="20"/>
              </w:rPr>
            </w:pPr>
            <w:r>
              <w:rPr>
                <w:rFonts w:ascii="Arial" w:eastAsia="Arial" w:hAnsi="Arial" w:cs="Arial"/>
                <w:color w:val="CF0A2C"/>
                <w:sz w:val="15"/>
                <w:szCs w:val="15"/>
              </w:rPr>
              <w:t>348.8</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February</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412.8</w:t>
            </w:r>
          </w:p>
        </w:tc>
        <w:tc>
          <w:tcPr>
            <w:tcW w:w="760" w:type="dxa"/>
            <w:vAlign w:val="bottom"/>
          </w:tcPr>
          <w:p w:rsidR="00CC2C66" w:rsidRDefault="00F80B74">
            <w:pPr>
              <w:jc w:val="right"/>
              <w:rPr>
                <w:sz w:val="20"/>
                <w:szCs w:val="20"/>
              </w:rPr>
            </w:pPr>
            <w:r>
              <w:rPr>
                <w:rFonts w:ascii="Arial" w:eastAsia="Arial" w:hAnsi="Arial" w:cs="Arial"/>
                <w:color w:val="CF0A2C"/>
                <w:sz w:val="15"/>
                <w:szCs w:val="15"/>
              </w:rPr>
              <w:t>347.4</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March</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416.4</w:t>
            </w:r>
          </w:p>
        </w:tc>
        <w:tc>
          <w:tcPr>
            <w:tcW w:w="760" w:type="dxa"/>
            <w:vAlign w:val="bottom"/>
          </w:tcPr>
          <w:p w:rsidR="00CC2C66" w:rsidRDefault="00F80B74">
            <w:pPr>
              <w:jc w:val="right"/>
              <w:rPr>
                <w:sz w:val="20"/>
                <w:szCs w:val="20"/>
              </w:rPr>
            </w:pPr>
            <w:r>
              <w:rPr>
                <w:rFonts w:ascii="Arial" w:eastAsia="Arial" w:hAnsi="Arial" w:cs="Arial"/>
                <w:color w:val="CF0A2C"/>
                <w:sz w:val="15"/>
                <w:szCs w:val="15"/>
              </w:rPr>
              <w:t>290.0</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April</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355.4</w:t>
            </w:r>
          </w:p>
        </w:tc>
        <w:tc>
          <w:tcPr>
            <w:tcW w:w="760" w:type="dxa"/>
            <w:vAlign w:val="bottom"/>
          </w:tcPr>
          <w:p w:rsidR="00CC2C66" w:rsidRDefault="00F80B74">
            <w:pPr>
              <w:jc w:val="right"/>
              <w:rPr>
                <w:sz w:val="20"/>
                <w:szCs w:val="20"/>
              </w:rPr>
            </w:pPr>
            <w:r>
              <w:rPr>
                <w:rFonts w:ascii="Arial" w:eastAsia="Arial" w:hAnsi="Arial" w:cs="Arial"/>
                <w:color w:val="CF0A2C"/>
                <w:sz w:val="15"/>
                <w:szCs w:val="15"/>
              </w:rPr>
              <w:t>313.2</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May</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360.2</w:t>
            </w:r>
          </w:p>
        </w:tc>
        <w:tc>
          <w:tcPr>
            <w:tcW w:w="760" w:type="dxa"/>
            <w:vAlign w:val="bottom"/>
          </w:tcPr>
          <w:p w:rsidR="00CC2C66" w:rsidRDefault="00F80B74">
            <w:pPr>
              <w:jc w:val="right"/>
              <w:rPr>
                <w:sz w:val="20"/>
                <w:szCs w:val="20"/>
              </w:rPr>
            </w:pPr>
            <w:r>
              <w:rPr>
                <w:rFonts w:ascii="Arial" w:eastAsia="Arial" w:hAnsi="Arial" w:cs="Arial"/>
                <w:color w:val="CF0A2C"/>
                <w:sz w:val="15"/>
                <w:szCs w:val="15"/>
              </w:rPr>
              <w:t>292.8</w:t>
            </w:r>
          </w:p>
        </w:tc>
        <w:tc>
          <w:tcPr>
            <w:tcW w:w="0" w:type="dxa"/>
            <w:vAlign w:val="bottom"/>
          </w:tcPr>
          <w:p w:rsidR="00CC2C66" w:rsidRDefault="00CC2C66">
            <w:pPr>
              <w:rPr>
                <w:sz w:val="1"/>
                <w:szCs w:val="1"/>
              </w:rPr>
            </w:pPr>
          </w:p>
        </w:tc>
      </w:tr>
      <w:tr w:rsidR="00CC2C66">
        <w:trPr>
          <w:trHeight w:val="179"/>
        </w:trPr>
        <w:tc>
          <w:tcPr>
            <w:tcW w:w="3100" w:type="dxa"/>
            <w:vAlign w:val="bottom"/>
          </w:tcPr>
          <w:p w:rsidR="00CC2C66" w:rsidRDefault="00F80B74">
            <w:pPr>
              <w:rPr>
                <w:sz w:val="20"/>
                <w:szCs w:val="20"/>
              </w:rPr>
            </w:pPr>
            <w:r>
              <w:rPr>
                <w:rFonts w:ascii="Arial" w:eastAsia="Arial" w:hAnsi="Arial" w:cs="Arial"/>
                <w:color w:val="CF0A2C"/>
                <w:sz w:val="15"/>
                <w:szCs w:val="15"/>
              </w:rPr>
              <w:t>June</w:t>
            </w:r>
          </w:p>
        </w:tc>
        <w:tc>
          <w:tcPr>
            <w:tcW w:w="1120" w:type="dxa"/>
            <w:vAlign w:val="bottom"/>
          </w:tcPr>
          <w:p w:rsidR="00CC2C66" w:rsidRDefault="00F80B74">
            <w:pPr>
              <w:ind w:right="123"/>
              <w:jc w:val="right"/>
              <w:rPr>
                <w:sz w:val="20"/>
                <w:szCs w:val="20"/>
              </w:rPr>
            </w:pPr>
            <w:r>
              <w:rPr>
                <w:rFonts w:ascii="Arial" w:eastAsia="Arial" w:hAnsi="Arial" w:cs="Arial"/>
                <w:color w:val="CF0A2C"/>
                <w:sz w:val="15"/>
                <w:szCs w:val="15"/>
              </w:rPr>
              <w:t>385.2</w:t>
            </w:r>
          </w:p>
        </w:tc>
        <w:tc>
          <w:tcPr>
            <w:tcW w:w="760" w:type="dxa"/>
            <w:vAlign w:val="bottom"/>
          </w:tcPr>
          <w:p w:rsidR="00CC2C66" w:rsidRDefault="00F80B74">
            <w:pPr>
              <w:jc w:val="right"/>
              <w:rPr>
                <w:sz w:val="20"/>
                <w:szCs w:val="20"/>
              </w:rPr>
            </w:pPr>
            <w:r>
              <w:rPr>
                <w:rFonts w:ascii="Arial" w:eastAsia="Arial" w:hAnsi="Arial" w:cs="Arial"/>
                <w:color w:val="CF0A2C"/>
                <w:sz w:val="15"/>
                <w:szCs w:val="15"/>
              </w:rPr>
              <w:t>320.4</w:t>
            </w:r>
          </w:p>
        </w:tc>
        <w:tc>
          <w:tcPr>
            <w:tcW w:w="0" w:type="dxa"/>
            <w:vAlign w:val="bottom"/>
          </w:tcPr>
          <w:p w:rsidR="00CC2C66" w:rsidRDefault="00CC2C66">
            <w:pPr>
              <w:rPr>
                <w:sz w:val="1"/>
                <w:szCs w:val="1"/>
              </w:rPr>
            </w:pPr>
          </w:p>
        </w:tc>
      </w:tr>
      <w:tr w:rsidR="00CC2C66">
        <w:trPr>
          <w:trHeight w:val="191"/>
        </w:trPr>
        <w:tc>
          <w:tcPr>
            <w:tcW w:w="3100" w:type="dxa"/>
            <w:tcBorders>
              <w:bottom w:val="single" w:sz="8" w:space="0" w:color="CF0A2C"/>
            </w:tcBorders>
            <w:vAlign w:val="bottom"/>
          </w:tcPr>
          <w:p w:rsidR="00CC2C66" w:rsidRDefault="00F80B74">
            <w:pPr>
              <w:rPr>
                <w:sz w:val="20"/>
                <w:szCs w:val="20"/>
              </w:rPr>
            </w:pPr>
            <w:r>
              <w:rPr>
                <w:rFonts w:ascii="Arial" w:eastAsia="Arial" w:hAnsi="Arial" w:cs="Arial"/>
                <w:color w:val="CF0A2C"/>
                <w:sz w:val="15"/>
                <w:szCs w:val="15"/>
              </w:rPr>
              <w:t>July</w:t>
            </w:r>
          </w:p>
        </w:tc>
        <w:tc>
          <w:tcPr>
            <w:tcW w:w="1120" w:type="dxa"/>
            <w:tcBorders>
              <w:bottom w:val="single" w:sz="8" w:space="0" w:color="CF0A2C"/>
            </w:tcBorders>
            <w:vAlign w:val="bottom"/>
          </w:tcPr>
          <w:p w:rsidR="00CC2C66" w:rsidRDefault="00F80B74">
            <w:pPr>
              <w:ind w:right="123"/>
              <w:jc w:val="right"/>
              <w:rPr>
                <w:sz w:val="20"/>
                <w:szCs w:val="20"/>
              </w:rPr>
            </w:pPr>
            <w:r>
              <w:rPr>
                <w:rFonts w:ascii="Arial" w:eastAsia="Arial" w:hAnsi="Arial" w:cs="Arial"/>
                <w:color w:val="CF0A2C"/>
                <w:sz w:val="15"/>
                <w:szCs w:val="15"/>
              </w:rPr>
              <w:t>392.2</w:t>
            </w:r>
          </w:p>
        </w:tc>
        <w:tc>
          <w:tcPr>
            <w:tcW w:w="76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358.2</w:t>
            </w:r>
          </w:p>
        </w:tc>
        <w:tc>
          <w:tcPr>
            <w:tcW w:w="0" w:type="dxa"/>
            <w:vAlign w:val="bottom"/>
          </w:tcPr>
          <w:p w:rsidR="00CC2C66" w:rsidRDefault="00CC2C66">
            <w:pPr>
              <w:rPr>
                <w:sz w:val="1"/>
                <w:szCs w:val="1"/>
              </w:rPr>
            </w:pPr>
          </w:p>
        </w:tc>
      </w:tr>
    </w:tbl>
    <w:p w:rsidR="00CC2C66" w:rsidRDefault="00CC2C66">
      <w:pPr>
        <w:spacing w:line="218" w:lineRule="exact"/>
        <w:rPr>
          <w:sz w:val="20"/>
          <w:szCs w:val="20"/>
        </w:rPr>
      </w:pPr>
    </w:p>
    <w:p w:rsidR="00CC2C66" w:rsidRDefault="00F80B74">
      <w:pPr>
        <w:ind w:left="420"/>
        <w:rPr>
          <w:sz w:val="20"/>
          <w:szCs w:val="20"/>
        </w:rPr>
      </w:pPr>
      <w:r>
        <w:rPr>
          <w:rFonts w:eastAsia="Times New Roman"/>
          <w:b/>
          <w:bCs/>
          <w:color w:val="CF0A2C"/>
          <w:sz w:val="19"/>
          <w:szCs w:val="19"/>
        </w:rPr>
        <w:t>Repurchases of Shares</w:t>
      </w:r>
    </w:p>
    <w:p w:rsidR="00CC2C66" w:rsidRDefault="00CC2C66">
      <w:pPr>
        <w:spacing w:line="233" w:lineRule="exact"/>
        <w:rPr>
          <w:sz w:val="20"/>
          <w:szCs w:val="20"/>
        </w:rPr>
      </w:pPr>
    </w:p>
    <w:p w:rsidR="00CC2C66" w:rsidRDefault="00F80B74">
      <w:pPr>
        <w:spacing w:line="245" w:lineRule="auto"/>
        <w:ind w:left="420"/>
        <w:jc w:val="both"/>
        <w:rPr>
          <w:sz w:val="20"/>
          <w:szCs w:val="20"/>
        </w:rPr>
      </w:pPr>
      <w:r>
        <w:rPr>
          <w:rFonts w:eastAsia="Times New Roman"/>
          <w:sz w:val="19"/>
          <w:szCs w:val="19"/>
        </w:rPr>
        <w:t>For the year ended December 31, 2021 and the six months ended June 30, 2022, we repurchased approximately 1.3 million shares and 9 million shares of our common stock in open market</w:t>
      </w:r>
      <w:r>
        <w:rPr>
          <w:rFonts w:eastAsia="Times New Roman"/>
          <w:sz w:val="19"/>
          <w:szCs w:val="19"/>
        </w:rPr>
        <w:t xml:space="preserve"> transactions for a total cost of approximately $75 million and $400 million, respectively.</w:t>
      </w:r>
    </w:p>
    <w:p w:rsidR="00CC2C66" w:rsidRDefault="00CC2C66">
      <w:pPr>
        <w:spacing w:line="265" w:lineRule="exact"/>
        <w:rPr>
          <w:sz w:val="20"/>
          <w:szCs w:val="20"/>
        </w:rPr>
      </w:pPr>
    </w:p>
    <w:p w:rsidR="00CC2C66" w:rsidRDefault="00F80B74">
      <w:pPr>
        <w:numPr>
          <w:ilvl w:val="0"/>
          <w:numId w:val="22"/>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5788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59" w:lineRule="exact"/>
        <w:rPr>
          <w:sz w:val="20"/>
          <w:szCs w:val="20"/>
        </w:rPr>
      </w:pPr>
    </w:p>
    <w:p w:rsidR="00CC2C66" w:rsidRDefault="00F80B74">
      <w:pPr>
        <w:spacing w:line="269" w:lineRule="auto"/>
        <w:ind w:right="20"/>
        <w:jc w:val="both"/>
        <w:rPr>
          <w:sz w:val="20"/>
          <w:szCs w:val="20"/>
        </w:rPr>
      </w:pPr>
      <w:r>
        <w:rPr>
          <w:rFonts w:eastAsia="Times New Roman"/>
          <w:b/>
          <w:bCs/>
          <w:sz w:val="19"/>
          <w:szCs w:val="19"/>
        </w:rPr>
        <w:t>The approval of this proposal is a condition for the Primary Conversion to become effective.</w:t>
      </w:r>
    </w:p>
    <w:p w:rsidR="00CC2C66" w:rsidRDefault="00F80B74">
      <w:pPr>
        <w:spacing w:line="20" w:lineRule="exact"/>
        <w:rPr>
          <w:sz w:val="20"/>
          <w:szCs w:val="20"/>
        </w:rPr>
      </w:pPr>
      <w:r>
        <w:rPr>
          <w:noProof/>
          <w:sz w:val="20"/>
          <w:szCs w:val="20"/>
        </w:rPr>
        <w:drawing>
          <wp:anchor distT="0" distB="0" distL="114300" distR="114300" simplePos="0" relativeHeight="251558912" behindDoc="1" locked="0" layoutInCell="0" allowOverlap="1">
            <wp:simplePos x="0" y="0"/>
            <wp:positionH relativeFrom="column">
              <wp:posOffset>-3642995</wp:posOffset>
            </wp:positionH>
            <wp:positionV relativeFrom="paragraph">
              <wp:posOffset>-1122045</wp:posOffset>
            </wp:positionV>
            <wp:extent cx="7181215" cy="3683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167" w:lineRule="exact"/>
        <w:rPr>
          <w:sz w:val="20"/>
          <w:szCs w:val="20"/>
        </w:rPr>
      </w:pPr>
    </w:p>
    <w:p w:rsidR="00CC2C66" w:rsidRDefault="00F80B74">
      <w:pPr>
        <w:spacing w:line="244" w:lineRule="auto"/>
        <w:jc w:val="both"/>
        <w:rPr>
          <w:sz w:val="20"/>
          <w:szCs w:val="20"/>
        </w:rPr>
      </w:pPr>
      <w:r>
        <w:rPr>
          <w:rFonts w:eastAsia="Times New Roman"/>
          <w:b/>
          <w:bCs/>
          <w:sz w:val="19"/>
          <w:szCs w:val="19"/>
        </w:rPr>
        <w:t xml:space="preserve">In the event that the Primary </w:t>
      </w:r>
      <w:r>
        <w:rPr>
          <w:rFonts w:eastAsia="Times New Roman"/>
          <w:b/>
          <w:bCs/>
          <w:sz w:val="19"/>
          <w:szCs w:val="19"/>
        </w:rPr>
        <w:t>Conversion does not become effective, the Company and its Board will retain the ability to authorize and carry out stock repurchases to the full extent permitted under applicable U.S. federal law, Delaware law, the NYSE listing standards, and the Company’s</w:t>
      </w:r>
      <w:r>
        <w:rPr>
          <w:rFonts w:eastAsia="Times New Roman"/>
          <w:b/>
          <w:bCs/>
          <w:sz w:val="19"/>
          <w:szCs w:val="19"/>
        </w:rPr>
        <w:t xml:space="preserve"> organizational documents, notwithstanding the outcome of this vote.</w:t>
      </w:r>
    </w:p>
    <w:p w:rsidR="00CC2C66" w:rsidRDefault="00CC2C66">
      <w:pPr>
        <w:spacing w:line="213" w:lineRule="exact"/>
        <w:rPr>
          <w:sz w:val="20"/>
          <w:szCs w:val="20"/>
        </w:rPr>
      </w:pPr>
    </w:p>
    <w:p w:rsidR="00CC2C66" w:rsidRDefault="00F80B74">
      <w:pPr>
        <w:spacing w:line="269" w:lineRule="auto"/>
        <w:ind w:right="20"/>
        <w:jc w:val="both"/>
        <w:rPr>
          <w:sz w:val="20"/>
          <w:szCs w:val="20"/>
        </w:rPr>
      </w:pPr>
      <w:r>
        <w:rPr>
          <w:rFonts w:eastAsia="Times New Roman"/>
          <w:b/>
          <w:bCs/>
          <w:color w:val="CF0A2C"/>
          <w:sz w:val="19"/>
          <w:szCs w:val="19"/>
        </w:rPr>
        <w:t>Accordingly, we ask our stockholders to vote in favor of the following resolution at the Special Meeting:</w:t>
      </w:r>
    </w:p>
    <w:p w:rsidR="00CC2C66" w:rsidRDefault="00CC2C66">
      <w:pPr>
        <w:spacing w:line="175" w:lineRule="exact"/>
        <w:rPr>
          <w:sz w:val="20"/>
          <w:szCs w:val="20"/>
        </w:rPr>
      </w:pPr>
    </w:p>
    <w:p w:rsidR="00CC2C66" w:rsidRDefault="00F80B74">
      <w:pPr>
        <w:spacing w:line="243" w:lineRule="auto"/>
        <w:ind w:left="400"/>
        <w:jc w:val="both"/>
        <w:rPr>
          <w:sz w:val="20"/>
          <w:szCs w:val="20"/>
        </w:rPr>
      </w:pPr>
      <w:r>
        <w:rPr>
          <w:rFonts w:eastAsia="Times New Roman"/>
          <w:b/>
          <w:bCs/>
          <w:sz w:val="19"/>
          <w:szCs w:val="19"/>
        </w:rPr>
        <w:t>To approve the Board’s continuing authority to approve the Company’s repurchase</w:t>
      </w:r>
      <w:r>
        <w:rPr>
          <w:rFonts w:eastAsia="Times New Roman"/>
          <w:b/>
          <w:bCs/>
          <w:sz w:val="19"/>
          <w:szCs w:val="19"/>
        </w:rPr>
        <w:t xml:space="preserve"> of shares of its common stock in an amount not to exceed 10% of the total number of outstanding shares of common stock of the Company as of the date of the Special Meeting, effective from the Primary Conversion Effective Date until the earlier of the date</w:t>
      </w:r>
      <w:r>
        <w:rPr>
          <w:rFonts w:eastAsia="Times New Roman"/>
          <w:b/>
          <w:bCs/>
          <w:sz w:val="19"/>
          <w:szCs w:val="19"/>
        </w:rPr>
        <w:t xml:space="preserve"> the next annual meeting is held or June 26, 2023.</w:t>
      </w:r>
    </w:p>
    <w:p w:rsidR="00CC2C66" w:rsidRDefault="00CC2C66">
      <w:pPr>
        <w:spacing w:line="215" w:lineRule="exact"/>
        <w:rPr>
          <w:sz w:val="20"/>
          <w:szCs w:val="20"/>
        </w:rPr>
      </w:pPr>
    </w:p>
    <w:p w:rsidR="00CC2C66" w:rsidRDefault="00F80B74">
      <w:pPr>
        <w:rPr>
          <w:sz w:val="20"/>
          <w:szCs w:val="20"/>
        </w:rPr>
      </w:pPr>
      <w:r>
        <w:rPr>
          <w:rFonts w:eastAsia="Times New Roman"/>
          <w:b/>
          <w:bCs/>
          <w:color w:val="CF0A2C"/>
          <w:sz w:val="19"/>
          <w:szCs w:val="19"/>
        </w:rPr>
        <w:t>What vote is required to approve this proposal?</w:t>
      </w:r>
    </w:p>
    <w:p w:rsidR="00CC2C66" w:rsidRDefault="00CC2C66">
      <w:pPr>
        <w:spacing w:line="245" w:lineRule="exact"/>
        <w:rPr>
          <w:sz w:val="20"/>
          <w:szCs w:val="20"/>
        </w:rPr>
      </w:pPr>
    </w:p>
    <w:p w:rsidR="00CC2C66" w:rsidRDefault="00F80B74">
      <w:pPr>
        <w:spacing w:line="252" w:lineRule="auto"/>
        <w:jc w:val="both"/>
        <w:rPr>
          <w:sz w:val="20"/>
          <w:szCs w:val="20"/>
        </w:rPr>
      </w:pPr>
      <w:r>
        <w:rPr>
          <w:rFonts w:eastAsia="Times New Roman"/>
          <w:sz w:val="19"/>
          <w:szCs w:val="19"/>
        </w:rPr>
        <w:t>Approval of this proposal requires the affirmative vote of a majority of shares present via webcast or represented by proxy and entitled to vote at the Spe</w:t>
      </w:r>
      <w:r>
        <w:rPr>
          <w:rFonts w:eastAsia="Times New Roman"/>
          <w:sz w:val="19"/>
          <w:szCs w:val="19"/>
        </w:rPr>
        <w:t>cial Meeting.</w:t>
      </w:r>
    </w:p>
    <w:p w:rsidR="00CC2C66" w:rsidRDefault="00CC2C66">
      <w:pPr>
        <w:spacing w:line="187" w:lineRule="exact"/>
        <w:rPr>
          <w:sz w:val="20"/>
          <w:szCs w:val="20"/>
        </w:rPr>
      </w:pPr>
    </w:p>
    <w:p w:rsidR="00CC2C66" w:rsidRDefault="00F80B74">
      <w:pPr>
        <w:spacing w:line="272" w:lineRule="auto"/>
        <w:ind w:right="20"/>
        <w:jc w:val="both"/>
        <w:rPr>
          <w:sz w:val="20"/>
          <w:szCs w:val="20"/>
        </w:rPr>
      </w:pPr>
      <w:r>
        <w:rPr>
          <w:rFonts w:eastAsia="Times New Roman"/>
          <w:b/>
          <w:bCs/>
          <w:i/>
          <w:iCs/>
          <w:color w:val="CF0A2C"/>
          <w:sz w:val="19"/>
          <w:szCs w:val="19"/>
        </w:rPr>
        <w:t>The Board of Directors recommends that stockholders vote FOR the approval of this proposal.</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19" w:name="page19"/>
      <w:bookmarkEnd w:id="19"/>
      <w:r>
        <w:rPr>
          <w:rFonts w:eastAsia="Times New Roman"/>
          <w:b/>
          <w:bCs/>
          <w:noProof/>
          <w:color w:val="0000EE"/>
          <w:sz w:val="17"/>
          <w:szCs w:val="17"/>
          <w:u w:val="single"/>
        </w:rPr>
        <w:lastRenderedPageBreak/>
        <w:drawing>
          <wp:anchor distT="0" distB="0" distL="114300" distR="114300" simplePos="0" relativeHeight="25155993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60960" behindDoc="1" locked="0" layoutInCell="0" allowOverlap="1">
            <wp:simplePos x="0" y="0"/>
            <wp:positionH relativeFrom="column">
              <wp:posOffset>4423410</wp:posOffset>
            </wp:positionH>
            <wp:positionV relativeFrom="paragraph">
              <wp:posOffset>196850</wp:posOffset>
            </wp:positionV>
            <wp:extent cx="2458085" cy="19494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blip>
                    <a:srcRect/>
                    <a:stretch>
                      <a:fillRect/>
                    </a:stretch>
                  </pic:blipFill>
                  <pic:spPr bwMode="auto">
                    <a:xfrm>
                      <a:off x="0" y="0"/>
                      <a:ext cx="245808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7180"/>
        <w:rPr>
          <w:sz w:val="20"/>
          <w:szCs w:val="20"/>
        </w:rPr>
      </w:pPr>
      <w:r>
        <w:rPr>
          <w:rFonts w:ascii="Arial" w:eastAsia="Arial" w:hAnsi="Arial" w:cs="Arial"/>
          <w:b/>
          <w:bCs/>
          <w:color w:val="FFFFFF"/>
          <w:sz w:val="15"/>
          <w:szCs w:val="15"/>
        </w:rPr>
        <w:t>MATTERS REQUIRING STOCKHOLDER ACTION</w:t>
      </w:r>
    </w:p>
    <w:p w:rsidR="00CC2C66" w:rsidRDefault="00CC2C66">
      <w:pPr>
        <w:spacing w:line="184" w:lineRule="exact"/>
        <w:rPr>
          <w:sz w:val="20"/>
          <w:szCs w:val="20"/>
        </w:rPr>
      </w:pPr>
    </w:p>
    <w:p w:rsidR="00CC2C66" w:rsidRDefault="00F80B74">
      <w:pPr>
        <w:spacing w:line="285" w:lineRule="auto"/>
        <w:ind w:left="420" w:right="1140"/>
        <w:rPr>
          <w:sz w:val="20"/>
          <w:szCs w:val="20"/>
        </w:rPr>
      </w:pPr>
      <w:r>
        <w:rPr>
          <w:rFonts w:ascii="Arial" w:eastAsia="Arial" w:hAnsi="Arial" w:cs="Arial"/>
          <w:b/>
          <w:bCs/>
          <w:color w:val="CF0A2C"/>
          <w:sz w:val="31"/>
          <w:szCs w:val="31"/>
        </w:rPr>
        <w:t xml:space="preserve">ITEM 3. </w:t>
      </w:r>
      <w:r>
        <w:rPr>
          <w:rFonts w:ascii="Arial" w:eastAsia="Arial" w:hAnsi="Arial" w:cs="Arial"/>
          <w:b/>
          <w:bCs/>
          <w:color w:val="000000"/>
          <w:sz w:val="31"/>
          <w:szCs w:val="31"/>
        </w:rPr>
        <w:t>Approval of Yum China Holdings, Inc. 2022 Long Term</w:t>
      </w:r>
      <w:r>
        <w:rPr>
          <w:rFonts w:ascii="Arial" w:eastAsia="Arial" w:hAnsi="Arial" w:cs="Arial"/>
          <w:b/>
          <w:bCs/>
          <w:color w:val="CF0A2C"/>
          <w:sz w:val="31"/>
          <w:szCs w:val="31"/>
        </w:rPr>
        <w:t xml:space="preserve"> </w:t>
      </w:r>
      <w:r>
        <w:rPr>
          <w:rFonts w:ascii="Arial" w:eastAsia="Arial" w:hAnsi="Arial" w:cs="Arial"/>
          <w:b/>
          <w:bCs/>
          <w:color w:val="000000"/>
          <w:sz w:val="31"/>
          <w:szCs w:val="31"/>
        </w:rPr>
        <w:t>Incentive Plan.</w:t>
      </w:r>
    </w:p>
    <w:p w:rsidR="00CC2C66" w:rsidRDefault="00F80B74">
      <w:pPr>
        <w:spacing w:line="20" w:lineRule="exact"/>
        <w:rPr>
          <w:sz w:val="20"/>
          <w:szCs w:val="20"/>
        </w:rPr>
      </w:pPr>
      <w:r>
        <w:rPr>
          <w:noProof/>
          <w:sz w:val="20"/>
          <w:szCs w:val="20"/>
        </w:rPr>
        <w:drawing>
          <wp:anchor distT="0" distB="0" distL="114300" distR="114300" simplePos="0" relativeHeight="251561984" behindDoc="1" locked="0" layoutInCell="0" allowOverlap="1">
            <wp:simplePos x="0" y="0"/>
            <wp:positionH relativeFrom="column">
              <wp:posOffset>260985</wp:posOffset>
            </wp:positionH>
            <wp:positionV relativeFrom="paragraph">
              <wp:posOffset>88900</wp:posOffset>
            </wp:positionV>
            <wp:extent cx="6620510" cy="825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3" w:lineRule="exact"/>
        <w:rPr>
          <w:sz w:val="20"/>
          <w:szCs w:val="20"/>
        </w:rPr>
      </w:pPr>
    </w:p>
    <w:p w:rsidR="00CC2C66" w:rsidRDefault="00F80B74">
      <w:pPr>
        <w:spacing w:line="260" w:lineRule="auto"/>
        <w:ind w:left="420"/>
        <w:jc w:val="both"/>
        <w:rPr>
          <w:sz w:val="20"/>
          <w:szCs w:val="20"/>
        </w:rPr>
      </w:pPr>
      <w:r>
        <w:rPr>
          <w:rFonts w:eastAsia="Times New Roman"/>
          <w:sz w:val="18"/>
          <w:szCs w:val="18"/>
        </w:rPr>
        <w:t>On September 1, 2022, the Board approved the Yum China Holdings, Inc. 2022 Long Term Incentive Plan (the “</w:t>
      </w:r>
      <w:r>
        <w:rPr>
          <w:rFonts w:eastAsia="Times New Roman"/>
          <w:b/>
          <w:bCs/>
          <w:i/>
          <w:iCs/>
          <w:sz w:val="18"/>
          <w:szCs w:val="18"/>
        </w:rPr>
        <w:t>2022 LTIP</w:t>
      </w:r>
      <w:r>
        <w:rPr>
          <w:rFonts w:eastAsia="Times New Roman"/>
          <w:sz w:val="18"/>
          <w:szCs w:val="18"/>
        </w:rPr>
        <w:t>”), subject to approval by our stockholders at the Special Meeting. Following approval by our stockho</w:t>
      </w:r>
      <w:r>
        <w:rPr>
          <w:rFonts w:eastAsia="Times New Roman"/>
          <w:sz w:val="18"/>
          <w:szCs w:val="18"/>
        </w:rPr>
        <w:t>lders at the Special Meeting, the 2022 LTIP will become effective upon consummation of the Primary Conversion in accordance with its terms.</w:t>
      </w:r>
    </w:p>
    <w:p w:rsidR="00CC2C66" w:rsidRDefault="00CC2C66">
      <w:pPr>
        <w:spacing w:line="201" w:lineRule="exact"/>
        <w:rPr>
          <w:sz w:val="20"/>
          <w:szCs w:val="20"/>
        </w:rPr>
      </w:pPr>
    </w:p>
    <w:p w:rsidR="00CC2C66" w:rsidRDefault="00F80B74">
      <w:pPr>
        <w:spacing w:line="255" w:lineRule="auto"/>
        <w:ind w:left="420"/>
        <w:jc w:val="both"/>
        <w:rPr>
          <w:sz w:val="20"/>
          <w:szCs w:val="20"/>
        </w:rPr>
      </w:pPr>
      <w:r>
        <w:rPr>
          <w:rFonts w:eastAsia="Times New Roman"/>
          <w:sz w:val="18"/>
          <w:szCs w:val="18"/>
        </w:rPr>
        <w:t>If the 2022 LTIP is approved by stockholders, the 2022 LTIP will replace the Yum China Holdings, Inc. Long Term Inc</w:t>
      </w:r>
      <w:r>
        <w:rPr>
          <w:rFonts w:eastAsia="Times New Roman"/>
          <w:sz w:val="18"/>
          <w:szCs w:val="18"/>
        </w:rPr>
        <w:t>entive Plan (the “</w:t>
      </w:r>
      <w:r>
        <w:rPr>
          <w:rFonts w:eastAsia="Times New Roman"/>
          <w:b/>
          <w:bCs/>
          <w:i/>
          <w:iCs/>
          <w:sz w:val="18"/>
          <w:szCs w:val="18"/>
        </w:rPr>
        <w:t>2016 LTIP</w:t>
      </w:r>
      <w:r>
        <w:rPr>
          <w:rFonts w:eastAsia="Times New Roman"/>
          <w:sz w:val="18"/>
          <w:szCs w:val="18"/>
        </w:rPr>
        <w:t>”), which was adopted in connection with our spin-off from Yum! Brands, Inc. (“</w:t>
      </w:r>
      <w:r>
        <w:rPr>
          <w:rFonts w:eastAsia="Times New Roman"/>
          <w:b/>
          <w:bCs/>
          <w:i/>
          <w:iCs/>
          <w:sz w:val="18"/>
          <w:szCs w:val="18"/>
        </w:rPr>
        <w:t>YUM</w:t>
      </w:r>
      <w:r>
        <w:rPr>
          <w:rFonts w:eastAsia="Times New Roman"/>
          <w:sz w:val="18"/>
          <w:szCs w:val="18"/>
        </w:rPr>
        <w:t>”). No new awards will be granted under the 2016 LTIP after the 2022 LTIP becomes effective, but the 2016 LTIP will continue to govern awards grant</w:t>
      </w:r>
      <w:r>
        <w:rPr>
          <w:rFonts w:eastAsia="Times New Roman"/>
          <w:sz w:val="18"/>
          <w:szCs w:val="18"/>
        </w:rPr>
        <w:t>ed under the 2016 LTIP prior to the effectiveness of the 2022 LTIP. After the 2022 LTIP becomes effective upon consummation of the Primary Conversion, we will be able to make awards of long-term equity incentives under the 2022 LTIP, which we believe are c</w:t>
      </w:r>
      <w:r>
        <w:rPr>
          <w:rFonts w:eastAsia="Times New Roman"/>
          <w:sz w:val="18"/>
          <w:szCs w:val="18"/>
        </w:rPr>
        <w:t>ritical for attracting, motivating, rewarding and retaining a talented team who will contribute to our success.</w:t>
      </w:r>
    </w:p>
    <w:p w:rsidR="00CC2C66" w:rsidRDefault="00CC2C66">
      <w:pPr>
        <w:spacing w:line="197" w:lineRule="exact"/>
        <w:rPr>
          <w:sz w:val="20"/>
          <w:szCs w:val="20"/>
        </w:rPr>
      </w:pPr>
    </w:p>
    <w:p w:rsidR="00CC2C66" w:rsidRDefault="00F80B74">
      <w:pPr>
        <w:spacing w:line="247" w:lineRule="auto"/>
        <w:ind w:left="420"/>
        <w:jc w:val="both"/>
        <w:rPr>
          <w:sz w:val="20"/>
          <w:szCs w:val="20"/>
        </w:rPr>
      </w:pPr>
      <w:r>
        <w:rPr>
          <w:rFonts w:eastAsia="Times New Roman"/>
          <w:sz w:val="19"/>
          <w:szCs w:val="19"/>
        </w:rPr>
        <w:t>If the 2022 LTIP is not approved by our stockholders or the Primary Conversation does not become effective, the Company will continue to operat</w:t>
      </w:r>
      <w:r>
        <w:rPr>
          <w:rFonts w:eastAsia="Times New Roman"/>
          <w:sz w:val="19"/>
          <w:szCs w:val="19"/>
        </w:rPr>
        <w:t>e the 2016 LTIP pursuant to its current provisions and grant awards under the 2016 LTIP.</w:t>
      </w:r>
    </w:p>
    <w:p w:rsidR="00CC2C66" w:rsidRDefault="00CC2C66">
      <w:pPr>
        <w:spacing w:line="212" w:lineRule="exact"/>
        <w:rPr>
          <w:sz w:val="20"/>
          <w:szCs w:val="20"/>
        </w:rPr>
      </w:pPr>
    </w:p>
    <w:p w:rsidR="00CC2C66" w:rsidRDefault="00F80B74">
      <w:pPr>
        <w:spacing w:line="243" w:lineRule="auto"/>
        <w:ind w:left="420"/>
        <w:jc w:val="both"/>
        <w:rPr>
          <w:sz w:val="20"/>
          <w:szCs w:val="20"/>
        </w:rPr>
      </w:pPr>
      <w:r>
        <w:rPr>
          <w:rFonts w:eastAsia="Times New Roman"/>
          <w:sz w:val="19"/>
          <w:szCs w:val="19"/>
        </w:rPr>
        <w:t>The 2022 LTIP is largely based on the 2016 LTIP, but with updates to conform to the Hong Kong Listing Rules, to delete provisions relating to our spin-off that are no</w:t>
      </w:r>
      <w:r>
        <w:rPr>
          <w:rFonts w:eastAsia="Times New Roman"/>
          <w:sz w:val="19"/>
          <w:szCs w:val="19"/>
        </w:rPr>
        <w:t xml:space="preserve"> longer applicable and to make certain other administrative changes. The 2022 LTIP will be subject to the requirements under Chapter 17 of the Hong Kong Listing Rules, as amended, supplemented or otherwise modified from time to time.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79" w:lineRule="exact"/>
        <w:rPr>
          <w:sz w:val="20"/>
          <w:szCs w:val="20"/>
        </w:rPr>
      </w:pPr>
    </w:p>
    <w:p w:rsidR="00CC2C66" w:rsidRDefault="00F80B74">
      <w:pPr>
        <w:rPr>
          <w:sz w:val="20"/>
          <w:szCs w:val="20"/>
        </w:rPr>
      </w:pPr>
      <w:r>
        <w:rPr>
          <w:rFonts w:eastAsia="Times New Roman"/>
          <w:b/>
          <w:bCs/>
          <w:color w:val="CF0A2C"/>
          <w:sz w:val="19"/>
          <w:szCs w:val="19"/>
        </w:rPr>
        <w:t>Equity Grant Pract</w:t>
      </w:r>
      <w:r>
        <w:rPr>
          <w:rFonts w:eastAsia="Times New Roman"/>
          <w:b/>
          <w:bCs/>
          <w:color w:val="CF0A2C"/>
          <w:sz w:val="19"/>
          <w:szCs w:val="19"/>
        </w:rPr>
        <w:t>ices</w:t>
      </w:r>
    </w:p>
    <w:p w:rsidR="00CC2C66" w:rsidRDefault="00CC2C66">
      <w:pPr>
        <w:spacing w:line="245" w:lineRule="exact"/>
        <w:rPr>
          <w:sz w:val="20"/>
          <w:szCs w:val="20"/>
        </w:rPr>
      </w:pPr>
    </w:p>
    <w:p w:rsidR="00CC2C66" w:rsidRDefault="00F80B74">
      <w:pPr>
        <w:spacing w:line="243" w:lineRule="auto"/>
        <w:jc w:val="both"/>
        <w:rPr>
          <w:sz w:val="20"/>
          <w:szCs w:val="20"/>
        </w:rPr>
      </w:pPr>
      <w:r>
        <w:rPr>
          <w:rFonts w:eastAsia="Times New Roman"/>
          <w:sz w:val="19"/>
          <w:szCs w:val="19"/>
        </w:rPr>
        <w:t>We attempt to manage our long-term shareholder dilution by limiting the number of equity incentive awards we grant annually. The Compensation Committee carefully monitors our annual burn rate, total dilution, and equity expense in order to maximize s</w:t>
      </w:r>
      <w:r>
        <w:rPr>
          <w:rFonts w:eastAsia="Times New Roman"/>
          <w:sz w:val="19"/>
          <w:szCs w:val="19"/>
        </w:rPr>
        <w:t>hareholder value by granting only the number of equity incentive awards that it believes is necessary to attract, reward, and retain employees.</w:t>
      </w:r>
    </w:p>
    <w:p w:rsidR="00CC2C66" w:rsidRDefault="00CC2C66">
      <w:pPr>
        <w:spacing w:line="202" w:lineRule="exact"/>
        <w:rPr>
          <w:sz w:val="20"/>
          <w:szCs w:val="20"/>
        </w:rPr>
      </w:pPr>
    </w:p>
    <w:p w:rsidR="00CC2C66" w:rsidRDefault="00F80B74">
      <w:pPr>
        <w:spacing w:line="239" w:lineRule="auto"/>
        <w:jc w:val="both"/>
        <w:rPr>
          <w:sz w:val="20"/>
          <w:szCs w:val="20"/>
        </w:rPr>
      </w:pPr>
      <w:r>
        <w:rPr>
          <w:rFonts w:eastAsia="Times New Roman"/>
          <w:sz w:val="19"/>
          <w:szCs w:val="19"/>
        </w:rPr>
        <w:t>As of August 24, 2022, there were 2,069,722 shares of Company common stock subject to restricted stock unit (“</w:t>
      </w:r>
      <w:r>
        <w:rPr>
          <w:rFonts w:eastAsia="Times New Roman"/>
          <w:b/>
          <w:bCs/>
          <w:i/>
          <w:iCs/>
          <w:sz w:val="19"/>
          <w:szCs w:val="19"/>
        </w:rPr>
        <w:t>R</w:t>
      </w:r>
      <w:r>
        <w:rPr>
          <w:rFonts w:eastAsia="Times New Roman"/>
          <w:b/>
          <w:bCs/>
          <w:i/>
          <w:iCs/>
          <w:sz w:val="19"/>
          <w:szCs w:val="19"/>
        </w:rPr>
        <w:t>SU</w:t>
      </w:r>
      <w:r>
        <w:rPr>
          <w:rFonts w:eastAsia="Times New Roman"/>
          <w:sz w:val="19"/>
          <w:szCs w:val="19"/>
        </w:rPr>
        <w:t>”) and performance stock unit (“</w:t>
      </w:r>
      <w:r>
        <w:rPr>
          <w:rFonts w:eastAsia="Times New Roman"/>
          <w:b/>
          <w:bCs/>
          <w:i/>
          <w:iCs/>
          <w:sz w:val="19"/>
          <w:szCs w:val="19"/>
        </w:rPr>
        <w:t>PSU</w:t>
      </w:r>
      <w:r>
        <w:rPr>
          <w:rFonts w:eastAsia="Times New Roman"/>
          <w:sz w:val="19"/>
          <w:szCs w:val="19"/>
        </w:rPr>
        <w:t xml:space="preserve">”) awards granted and outstanding under the 2016 LTIP (assuming achievement of the target vesting level for the outstanding PSUs). Under the terms of the award agreements, the vesting levels for PSU awards may range </w:t>
      </w:r>
      <w:r>
        <w:rPr>
          <w:rFonts w:eastAsia="Times New Roman"/>
          <w:sz w:val="19"/>
          <w:szCs w:val="19"/>
        </w:rPr>
        <w:t>from 0% to 200% of target (or, in some cases, 240% of target), depending on achievement against the applicable performance goals with respect to such awards. As of August 24, 2022, there were 10,391,188 shares of Company common stock subject to stock optio</w:t>
      </w:r>
      <w:r>
        <w:rPr>
          <w:rFonts w:eastAsia="Times New Roman"/>
          <w:sz w:val="19"/>
          <w:szCs w:val="19"/>
        </w:rPr>
        <w:t>ns and stock appreciation rights (“</w:t>
      </w:r>
      <w:r>
        <w:rPr>
          <w:rFonts w:eastAsia="Times New Roman"/>
          <w:b/>
          <w:bCs/>
          <w:i/>
          <w:iCs/>
          <w:sz w:val="19"/>
          <w:szCs w:val="19"/>
        </w:rPr>
        <w:t>SARs</w:t>
      </w:r>
      <w:r>
        <w:rPr>
          <w:rFonts w:eastAsia="Times New Roman"/>
          <w:sz w:val="19"/>
          <w:szCs w:val="19"/>
        </w:rPr>
        <w:t>”) outstanding under the 2016 LTIP. As of that date, the weighted average base price of our outstanding SARs and stock options was $33.96, and the weighted average remaining contractual term for the outstanding SARs a</w:t>
      </w:r>
      <w:r>
        <w:rPr>
          <w:rFonts w:eastAsia="Times New Roman"/>
          <w:sz w:val="19"/>
          <w:szCs w:val="19"/>
        </w:rPr>
        <w:t>nd stock options was 5.10 years. As of August 24, 2022, there were 9,559,849 shares of Company common stock that remained available for future issuances under the 2016 LTIP (assuming outstanding performance awards are counted at the maximum vesting level a</w:t>
      </w:r>
      <w:r>
        <w:rPr>
          <w:rFonts w:eastAsia="Times New Roman"/>
          <w:sz w:val="19"/>
          <w:szCs w:val="19"/>
        </w:rPr>
        <w:t>nd applying the two-for-one fungible share ratio applicable to RSU and PSU awards). If our stockholders approve the 2022 LTIP, then after the 2022 LTIP becomes effective upon consummation of the Primary Conversion, we will not make any additional awards un</w:t>
      </w:r>
      <w:r>
        <w:rPr>
          <w:rFonts w:eastAsia="Times New Roman"/>
          <w:sz w:val="19"/>
          <w:szCs w:val="19"/>
        </w:rPr>
        <w:t>der the 2016 LTIP.</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84"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13</w:t>
      </w:r>
    </w:p>
    <w:p w:rsidR="00CC2C66" w:rsidRDefault="00F80B74">
      <w:pPr>
        <w:spacing w:line="20" w:lineRule="exact"/>
        <w:rPr>
          <w:sz w:val="20"/>
          <w:szCs w:val="20"/>
        </w:rPr>
      </w:pPr>
      <w:r>
        <w:rPr>
          <w:noProof/>
          <w:sz w:val="20"/>
          <w:szCs w:val="20"/>
        </w:rPr>
        <w:drawing>
          <wp:anchor distT="0" distB="0" distL="114300" distR="114300" simplePos="0" relativeHeight="251563008"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20" w:name="page20"/>
      <w:bookmarkEnd w:id="20"/>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564032" behindDoc="1" locked="0" layoutInCell="0" allowOverlap="1">
            <wp:simplePos x="0" y="0"/>
            <wp:positionH relativeFrom="column">
              <wp:posOffset>260985</wp:posOffset>
            </wp:positionH>
            <wp:positionV relativeFrom="paragraph">
              <wp:posOffset>196850</wp:posOffset>
            </wp:positionV>
            <wp:extent cx="2352675" cy="19494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extLst/>
                    </a:blip>
                    <a:srcRect/>
                    <a:stretch>
                      <a:fillRect/>
                    </a:stretch>
                  </pic:blipFill>
                  <pic:spPr bwMode="auto">
                    <a:xfrm>
                      <a:off x="0" y="0"/>
                      <a:ext cx="235267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MATTERS REQUIRING STOCKHOLDER ACTION</w:t>
      </w:r>
    </w:p>
    <w:p w:rsidR="00CC2C66" w:rsidRDefault="00CC2C66">
      <w:pPr>
        <w:spacing w:line="243" w:lineRule="exact"/>
        <w:rPr>
          <w:sz w:val="20"/>
          <w:szCs w:val="20"/>
        </w:rPr>
      </w:pPr>
    </w:p>
    <w:p w:rsidR="00CC2C66" w:rsidRDefault="00F80B74">
      <w:pPr>
        <w:spacing w:line="247" w:lineRule="auto"/>
        <w:ind w:left="420"/>
        <w:jc w:val="both"/>
        <w:rPr>
          <w:sz w:val="20"/>
          <w:szCs w:val="20"/>
        </w:rPr>
      </w:pPr>
      <w:r>
        <w:rPr>
          <w:rFonts w:eastAsia="Times New Roman"/>
          <w:sz w:val="19"/>
          <w:szCs w:val="19"/>
        </w:rPr>
        <w:t xml:space="preserve">Burn rate is a measure of the number of shares subject to equity awards that we grant </w:t>
      </w:r>
      <w:r>
        <w:rPr>
          <w:rFonts w:eastAsia="Times New Roman"/>
          <w:sz w:val="19"/>
          <w:szCs w:val="19"/>
        </w:rPr>
        <w:t>annually, which helps indicate the life expectancy of our equity plans and is a measure of stockholder dilution. We determine our burn rate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47" w:lineRule="auto"/>
        <w:jc w:val="both"/>
        <w:rPr>
          <w:sz w:val="20"/>
          <w:szCs w:val="20"/>
        </w:rPr>
      </w:pPr>
      <w:r>
        <w:rPr>
          <w:rFonts w:eastAsia="Times New Roman"/>
          <w:sz w:val="19"/>
          <w:szCs w:val="19"/>
        </w:rPr>
        <w:t>by dividing the aggregate number of shares subject to awards granted during the year by the weighted average n</w:t>
      </w:r>
      <w:r>
        <w:rPr>
          <w:rFonts w:eastAsia="Times New Roman"/>
          <w:sz w:val="19"/>
          <w:szCs w:val="19"/>
        </w:rPr>
        <w:t>umber of shares outstanding during the year. Our burn rate for the past three fiscal years has been as follows:</w:t>
      </w:r>
    </w:p>
    <w:p w:rsidR="00CC2C66" w:rsidRDefault="00F80B74">
      <w:pPr>
        <w:spacing w:line="20" w:lineRule="exact"/>
        <w:rPr>
          <w:sz w:val="20"/>
          <w:szCs w:val="20"/>
        </w:rPr>
      </w:pPr>
      <w:r>
        <w:rPr>
          <w:noProof/>
          <w:sz w:val="20"/>
          <w:szCs w:val="20"/>
        </w:rPr>
        <w:drawing>
          <wp:anchor distT="0" distB="0" distL="114300" distR="114300" simplePos="0" relativeHeight="251565056" behindDoc="1" locked="0" layoutInCell="0" allowOverlap="1">
            <wp:simplePos x="0" y="0"/>
            <wp:positionH relativeFrom="column">
              <wp:posOffset>-3642995</wp:posOffset>
            </wp:positionH>
            <wp:positionV relativeFrom="paragraph">
              <wp:posOffset>-1384935</wp:posOffset>
            </wp:positionV>
            <wp:extent cx="7181215" cy="3683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CC2C66">
      <w:pPr>
        <w:spacing w:line="198"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0"/>
        <w:gridCol w:w="2380"/>
        <w:gridCol w:w="2800"/>
        <w:gridCol w:w="800"/>
        <w:gridCol w:w="900"/>
        <w:gridCol w:w="880"/>
        <w:gridCol w:w="940"/>
        <w:gridCol w:w="1080"/>
        <w:gridCol w:w="620"/>
        <w:gridCol w:w="20"/>
      </w:tblGrid>
      <w:tr w:rsidR="00CC2C66">
        <w:trPr>
          <w:trHeight w:val="180"/>
        </w:trPr>
        <w:tc>
          <w:tcPr>
            <w:tcW w:w="20" w:type="dxa"/>
            <w:vAlign w:val="bottom"/>
          </w:tcPr>
          <w:p w:rsidR="00CC2C66" w:rsidRDefault="00CC2C66">
            <w:pPr>
              <w:rPr>
                <w:sz w:val="15"/>
                <w:szCs w:val="15"/>
              </w:rPr>
            </w:pPr>
          </w:p>
        </w:tc>
        <w:tc>
          <w:tcPr>
            <w:tcW w:w="2380" w:type="dxa"/>
            <w:vAlign w:val="bottom"/>
          </w:tcPr>
          <w:p w:rsidR="00CC2C66" w:rsidRDefault="00CC2C66">
            <w:pPr>
              <w:rPr>
                <w:sz w:val="15"/>
                <w:szCs w:val="15"/>
              </w:rPr>
            </w:pPr>
          </w:p>
        </w:tc>
        <w:tc>
          <w:tcPr>
            <w:tcW w:w="2800" w:type="dxa"/>
            <w:vAlign w:val="bottom"/>
          </w:tcPr>
          <w:p w:rsidR="00CC2C66" w:rsidRDefault="00CC2C66">
            <w:pPr>
              <w:rPr>
                <w:sz w:val="15"/>
                <w:szCs w:val="15"/>
              </w:rPr>
            </w:pPr>
          </w:p>
        </w:tc>
        <w:tc>
          <w:tcPr>
            <w:tcW w:w="2580" w:type="dxa"/>
            <w:gridSpan w:val="3"/>
            <w:vAlign w:val="bottom"/>
          </w:tcPr>
          <w:p w:rsidR="00CC2C66" w:rsidRDefault="00F80B74">
            <w:pPr>
              <w:ind w:right="503"/>
              <w:jc w:val="right"/>
              <w:rPr>
                <w:sz w:val="20"/>
                <w:szCs w:val="20"/>
              </w:rPr>
            </w:pPr>
            <w:r>
              <w:rPr>
                <w:rFonts w:ascii="Arial" w:eastAsia="Arial" w:hAnsi="Arial" w:cs="Arial"/>
                <w:b/>
                <w:bCs/>
                <w:color w:val="CF0A2C"/>
                <w:sz w:val="15"/>
                <w:szCs w:val="15"/>
              </w:rPr>
              <w:t>Full Value Awards</w:t>
            </w:r>
          </w:p>
        </w:tc>
        <w:tc>
          <w:tcPr>
            <w:tcW w:w="940" w:type="dxa"/>
            <w:vAlign w:val="bottom"/>
          </w:tcPr>
          <w:p w:rsidR="00CC2C66" w:rsidRDefault="00CC2C66">
            <w:pPr>
              <w:rPr>
                <w:sz w:val="15"/>
                <w:szCs w:val="15"/>
              </w:rPr>
            </w:pPr>
          </w:p>
        </w:tc>
        <w:tc>
          <w:tcPr>
            <w:tcW w:w="1080" w:type="dxa"/>
            <w:vAlign w:val="bottom"/>
          </w:tcPr>
          <w:p w:rsidR="00CC2C66" w:rsidRDefault="00F80B74">
            <w:pPr>
              <w:jc w:val="center"/>
              <w:rPr>
                <w:sz w:val="20"/>
                <w:szCs w:val="20"/>
              </w:rPr>
            </w:pPr>
            <w:r>
              <w:rPr>
                <w:rFonts w:ascii="Arial" w:eastAsia="Arial" w:hAnsi="Arial" w:cs="Arial"/>
                <w:b/>
                <w:bCs/>
                <w:color w:val="CF0A2C"/>
                <w:sz w:val="15"/>
                <w:szCs w:val="15"/>
              </w:rPr>
              <w:t>Weighted</w:t>
            </w:r>
          </w:p>
        </w:tc>
        <w:tc>
          <w:tcPr>
            <w:tcW w:w="62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38"/>
        </w:trPr>
        <w:tc>
          <w:tcPr>
            <w:tcW w:w="20" w:type="dxa"/>
            <w:vAlign w:val="bottom"/>
          </w:tcPr>
          <w:p w:rsidR="00CC2C66" w:rsidRDefault="00CC2C66">
            <w:pPr>
              <w:rPr>
                <w:sz w:val="3"/>
                <w:szCs w:val="3"/>
              </w:rPr>
            </w:pPr>
          </w:p>
        </w:tc>
        <w:tc>
          <w:tcPr>
            <w:tcW w:w="2380" w:type="dxa"/>
            <w:vAlign w:val="bottom"/>
          </w:tcPr>
          <w:p w:rsidR="00CC2C66" w:rsidRDefault="00CC2C66">
            <w:pPr>
              <w:rPr>
                <w:sz w:val="3"/>
                <w:szCs w:val="3"/>
              </w:rPr>
            </w:pPr>
          </w:p>
        </w:tc>
        <w:tc>
          <w:tcPr>
            <w:tcW w:w="2800" w:type="dxa"/>
            <w:vAlign w:val="bottom"/>
          </w:tcPr>
          <w:p w:rsidR="00CC2C66" w:rsidRDefault="00CC2C66">
            <w:pPr>
              <w:rPr>
                <w:sz w:val="3"/>
                <w:szCs w:val="3"/>
              </w:rPr>
            </w:pPr>
          </w:p>
        </w:tc>
        <w:tc>
          <w:tcPr>
            <w:tcW w:w="800" w:type="dxa"/>
            <w:tcBorders>
              <w:bottom w:val="single" w:sz="8" w:space="0" w:color="CF0A2C"/>
            </w:tcBorders>
            <w:vAlign w:val="bottom"/>
          </w:tcPr>
          <w:p w:rsidR="00CC2C66" w:rsidRDefault="00CC2C66">
            <w:pPr>
              <w:rPr>
                <w:sz w:val="3"/>
                <w:szCs w:val="3"/>
              </w:rPr>
            </w:pPr>
          </w:p>
        </w:tc>
        <w:tc>
          <w:tcPr>
            <w:tcW w:w="900" w:type="dxa"/>
            <w:tcBorders>
              <w:bottom w:val="single" w:sz="8" w:space="0" w:color="CF0A2C"/>
            </w:tcBorders>
            <w:vAlign w:val="bottom"/>
          </w:tcPr>
          <w:p w:rsidR="00CC2C66" w:rsidRDefault="00CC2C66">
            <w:pPr>
              <w:rPr>
                <w:sz w:val="3"/>
                <w:szCs w:val="3"/>
              </w:rPr>
            </w:pPr>
          </w:p>
        </w:tc>
        <w:tc>
          <w:tcPr>
            <w:tcW w:w="880" w:type="dxa"/>
            <w:tcBorders>
              <w:bottom w:val="single" w:sz="8" w:space="0" w:color="CF0A2C"/>
            </w:tcBorders>
            <w:vAlign w:val="bottom"/>
          </w:tcPr>
          <w:p w:rsidR="00CC2C66" w:rsidRDefault="00CC2C66">
            <w:pPr>
              <w:rPr>
                <w:sz w:val="3"/>
                <w:szCs w:val="3"/>
              </w:rPr>
            </w:pPr>
          </w:p>
        </w:tc>
        <w:tc>
          <w:tcPr>
            <w:tcW w:w="940" w:type="dxa"/>
            <w:vAlign w:val="bottom"/>
          </w:tcPr>
          <w:p w:rsidR="00CC2C66" w:rsidRDefault="00CC2C66">
            <w:pPr>
              <w:rPr>
                <w:sz w:val="3"/>
                <w:szCs w:val="3"/>
              </w:rPr>
            </w:pPr>
          </w:p>
        </w:tc>
        <w:tc>
          <w:tcPr>
            <w:tcW w:w="1080" w:type="dxa"/>
            <w:vMerge w:val="restart"/>
            <w:vAlign w:val="bottom"/>
          </w:tcPr>
          <w:p w:rsidR="00CC2C66" w:rsidRDefault="00F80B74">
            <w:pPr>
              <w:jc w:val="center"/>
              <w:rPr>
                <w:sz w:val="20"/>
                <w:szCs w:val="20"/>
              </w:rPr>
            </w:pPr>
            <w:r>
              <w:rPr>
                <w:rFonts w:ascii="Arial" w:eastAsia="Arial" w:hAnsi="Arial" w:cs="Arial"/>
                <w:b/>
                <w:bCs/>
                <w:color w:val="CF0A2C"/>
                <w:sz w:val="15"/>
                <w:szCs w:val="15"/>
              </w:rPr>
              <w:t>Average</w:t>
            </w:r>
          </w:p>
        </w:tc>
        <w:tc>
          <w:tcPr>
            <w:tcW w:w="620" w:type="dxa"/>
            <w:vAlign w:val="bottom"/>
          </w:tcPr>
          <w:p w:rsidR="00CC2C66" w:rsidRDefault="00CC2C66">
            <w:pPr>
              <w:rPr>
                <w:sz w:val="3"/>
                <w:szCs w:val="3"/>
              </w:rPr>
            </w:pPr>
          </w:p>
        </w:tc>
        <w:tc>
          <w:tcPr>
            <w:tcW w:w="0" w:type="dxa"/>
            <w:vAlign w:val="bottom"/>
          </w:tcPr>
          <w:p w:rsidR="00CC2C66" w:rsidRDefault="00CC2C66">
            <w:pPr>
              <w:rPr>
                <w:sz w:val="1"/>
                <w:szCs w:val="1"/>
              </w:rPr>
            </w:pPr>
          </w:p>
        </w:tc>
      </w:tr>
      <w:tr w:rsidR="00CC2C66">
        <w:trPr>
          <w:trHeight w:val="119"/>
        </w:trPr>
        <w:tc>
          <w:tcPr>
            <w:tcW w:w="20" w:type="dxa"/>
            <w:vAlign w:val="bottom"/>
          </w:tcPr>
          <w:p w:rsidR="00CC2C66" w:rsidRDefault="00CC2C66">
            <w:pPr>
              <w:rPr>
                <w:sz w:val="10"/>
                <w:szCs w:val="10"/>
              </w:rPr>
            </w:pPr>
          </w:p>
        </w:tc>
        <w:tc>
          <w:tcPr>
            <w:tcW w:w="2380" w:type="dxa"/>
            <w:vAlign w:val="bottom"/>
          </w:tcPr>
          <w:p w:rsidR="00CC2C66" w:rsidRDefault="00CC2C66">
            <w:pPr>
              <w:rPr>
                <w:sz w:val="10"/>
                <w:szCs w:val="10"/>
              </w:rPr>
            </w:pPr>
          </w:p>
        </w:tc>
        <w:tc>
          <w:tcPr>
            <w:tcW w:w="2800" w:type="dxa"/>
            <w:vAlign w:val="bottom"/>
          </w:tcPr>
          <w:p w:rsidR="00CC2C66" w:rsidRDefault="00CC2C66">
            <w:pPr>
              <w:rPr>
                <w:sz w:val="10"/>
                <w:szCs w:val="10"/>
              </w:rPr>
            </w:pPr>
          </w:p>
        </w:tc>
        <w:tc>
          <w:tcPr>
            <w:tcW w:w="800" w:type="dxa"/>
            <w:vAlign w:val="bottom"/>
          </w:tcPr>
          <w:p w:rsidR="00CC2C66" w:rsidRDefault="00CC2C66">
            <w:pPr>
              <w:rPr>
                <w:sz w:val="10"/>
                <w:szCs w:val="10"/>
              </w:rPr>
            </w:pPr>
          </w:p>
        </w:tc>
        <w:tc>
          <w:tcPr>
            <w:tcW w:w="900" w:type="dxa"/>
            <w:vAlign w:val="bottom"/>
          </w:tcPr>
          <w:p w:rsidR="00CC2C66" w:rsidRDefault="00CC2C66">
            <w:pPr>
              <w:rPr>
                <w:sz w:val="10"/>
                <w:szCs w:val="10"/>
              </w:rPr>
            </w:pPr>
          </w:p>
        </w:tc>
        <w:tc>
          <w:tcPr>
            <w:tcW w:w="880" w:type="dxa"/>
            <w:vAlign w:val="bottom"/>
          </w:tcPr>
          <w:p w:rsidR="00CC2C66" w:rsidRDefault="00CC2C66">
            <w:pPr>
              <w:rPr>
                <w:sz w:val="10"/>
                <w:szCs w:val="10"/>
              </w:rPr>
            </w:pPr>
          </w:p>
        </w:tc>
        <w:tc>
          <w:tcPr>
            <w:tcW w:w="940" w:type="dxa"/>
            <w:vAlign w:val="bottom"/>
          </w:tcPr>
          <w:p w:rsidR="00CC2C66" w:rsidRDefault="00CC2C66">
            <w:pPr>
              <w:rPr>
                <w:sz w:val="10"/>
                <w:szCs w:val="10"/>
              </w:rPr>
            </w:pPr>
          </w:p>
        </w:tc>
        <w:tc>
          <w:tcPr>
            <w:tcW w:w="1080" w:type="dxa"/>
            <w:vMerge/>
            <w:vAlign w:val="bottom"/>
          </w:tcPr>
          <w:p w:rsidR="00CC2C66" w:rsidRDefault="00CC2C66">
            <w:pPr>
              <w:rPr>
                <w:sz w:val="10"/>
                <w:szCs w:val="10"/>
              </w:rPr>
            </w:pPr>
          </w:p>
        </w:tc>
        <w:tc>
          <w:tcPr>
            <w:tcW w:w="620" w:type="dxa"/>
            <w:vAlign w:val="bottom"/>
          </w:tcPr>
          <w:p w:rsidR="00CC2C66" w:rsidRDefault="00CC2C66">
            <w:pPr>
              <w:rPr>
                <w:sz w:val="10"/>
                <w:szCs w:val="10"/>
              </w:rPr>
            </w:pPr>
          </w:p>
        </w:tc>
        <w:tc>
          <w:tcPr>
            <w:tcW w:w="0" w:type="dxa"/>
            <w:vAlign w:val="bottom"/>
          </w:tcPr>
          <w:p w:rsidR="00CC2C66" w:rsidRDefault="00CC2C66">
            <w:pPr>
              <w:rPr>
                <w:sz w:val="1"/>
                <w:szCs w:val="1"/>
              </w:rPr>
            </w:pPr>
          </w:p>
        </w:tc>
      </w:tr>
      <w:tr w:rsidR="00CC2C66">
        <w:trPr>
          <w:trHeight w:val="179"/>
        </w:trPr>
        <w:tc>
          <w:tcPr>
            <w:tcW w:w="20" w:type="dxa"/>
            <w:vAlign w:val="bottom"/>
          </w:tcPr>
          <w:p w:rsidR="00CC2C66" w:rsidRDefault="00CC2C66">
            <w:pPr>
              <w:rPr>
                <w:sz w:val="15"/>
                <w:szCs w:val="15"/>
              </w:rPr>
            </w:pPr>
          </w:p>
        </w:tc>
        <w:tc>
          <w:tcPr>
            <w:tcW w:w="2380" w:type="dxa"/>
            <w:vAlign w:val="bottom"/>
          </w:tcPr>
          <w:p w:rsidR="00CC2C66" w:rsidRDefault="00CC2C66">
            <w:pPr>
              <w:rPr>
                <w:sz w:val="15"/>
                <w:szCs w:val="15"/>
              </w:rPr>
            </w:pPr>
          </w:p>
        </w:tc>
        <w:tc>
          <w:tcPr>
            <w:tcW w:w="2800" w:type="dxa"/>
            <w:vAlign w:val="bottom"/>
          </w:tcPr>
          <w:p w:rsidR="00CC2C66" w:rsidRDefault="00CC2C66">
            <w:pPr>
              <w:rPr>
                <w:sz w:val="15"/>
                <w:szCs w:val="15"/>
              </w:rPr>
            </w:pPr>
          </w:p>
        </w:tc>
        <w:tc>
          <w:tcPr>
            <w:tcW w:w="800" w:type="dxa"/>
            <w:vAlign w:val="bottom"/>
          </w:tcPr>
          <w:p w:rsidR="00CC2C66" w:rsidRDefault="00CC2C66">
            <w:pPr>
              <w:rPr>
                <w:sz w:val="15"/>
                <w:szCs w:val="15"/>
              </w:rPr>
            </w:pPr>
          </w:p>
        </w:tc>
        <w:tc>
          <w:tcPr>
            <w:tcW w:w="900" w:type="dxa"/>
            <w:vAlign w:val="bottom"/>
          </w:tcPr>
          <w:p w:rsidR="00CC2C66" w:rsidRDefault="00CC2C66">
            <w:pPr>
              <w:rPr>
                <w:sz w:val="15"/>
                <w:szCs w:val="15"/>
              </w:rPr>
            </w:pPr>
          </w:p>
        </w:tc>
        <w:tc>
          <w:tcPr>
            <w:tcW w:w="880" w:type="dxa"/>
            <w:vAlign w:val="bottom"/>
          </w:tcPr>
          <w:p w:rsidR="00CC2C66" w:rsidRDefault="00F80B74">
            <w:pPr>
              <w:jc w:val="center"/>
              <w:rPr>
                <w:sz w:val="20"/>
                <w:szCs w:val="20"/>
              </w:rPr>
            </w:pPr>
            <w:r>
              <w:rPr>
                <w:rFonts w:ascii="Arial" w:eastAsia="Arial" w:hAnsi="Arial" w:cs="Arial"/>
                <w:b/>
                <w:bCs/>
                <w:color w:val="CF0A2C"/>
                <w:sz w:val="15"/>
                <w:szCs w:val="15"/>
              </w:rPr>
              <w:t>Direct</w:t>
            </w:r>
          </w:p>
        </w:tc>
        <w:tc>
          <w:tcPr>
            <w:tcW w:w="940" w:type="dxa"/>
            <w:vAlign w:val="bottom"/>
          </w:tcPr>
          <w:p w:rsidR="00CC2C66" w:rsidRDefault="00CC2C66">
            <w:pPr>
              <w:rPr>
                <w:sz w:val="15"/>
                <w:szCs w:val="15"/>
              </w:rPr>
            </w:pPr>
          </w:p>
        </w:tc>
        <w:tc>
          <w:tcPr>
            <w:tcW w:w="1080" w:type="dxa"/>
            <w:vAlign w:val="bottom"/>
          </w:tcPr>
          <w:p w:rsidR="00CC2C66" w:rsidRDefault="00F80B74">
            <w:pPr>
              <w:jc w:val="center"/>
              <w:rPr>
                <w:sz w:val="20"/>
                <w:szCs w:val="20"/>
              </w:rPr>
            </w:pPr>
            <w:r>
              <w:rPr>
                <w:rFonts w:ascii="Arial" w:eastAsia="Arial" w:hAnsi="Arial" w:cs="Arial"/>
                <w:b/>
                <w:bCs/>
                <w:color w:val="CF0A2C"/>
                <w:sz w:val="15"/>
                <w:szCs w:val="15"/>
              </w:rPr>
              <w:t>Number of</w:t>
            </w:r>
          </w:p>
        </w:tc>
        <w:tc>
          <w:tcPr>
            <w:tcW w:w="62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179"/>
        </w:trPr>
        <w:tc>
          <w:tcPr>
            <w:tcW w:w="20" w:type="dxa"/>
            <w:vAlign w:val="bottom"/>
          </w:tcPr>
          <w:p w:rsidR="00CC2C66" w:rsidRDefault="00CC2C66">
            <w:pPr>
              <w:rPr>
                <w:sz w:val="15"/>
                <w:szCs w:val="15"/>
              </w:rPr>
            </w:pPr>
          </w:p>
        </w:tc>
        <w:tc>
          <w:tcPr>
            <w:tcW w:w="2380" w:type="dxa"/>
            <w:vAlign w:val="bottom"/>
          </w:tcPr>
          <w:p w:rsidR="00CC2C66" w:rsidRDefault="00CC2C66">
            <w:pPr>
              <w:rPr>
                <w:sz w:val="15"/>
                <w:szCs w:val="15"/>
              </w:rPr>
            </w:pPr>
          </w:p>
        </w:tc>
        <w:tc>
          <w:tcPr>
            <w:tcW w:w="2800" w:type="dxa"/>
            <w:vAlign w:val="bottom"/>
          </w:tcPr>
          <w:p w:rsidR="00CC2C66" w:rsidRDefault="00CC2C66">
            <w:pPr>
              <w:rPr>
                <w:sz w:val="15"/>
                <w:szCs w:val="15"/>
              </w:rPr>
            </w:pPr>
          </w:p>
        </w:tc>
        <w:tc>
          <w:tcPr>
            <w:tcW w:w="800" w:type="dxa"/>
            <w:vAlign w:val="bottom"/>
          </w:tcPr>
          <w:p w:rsidR="00CC2C66" w:rsidRDefault="00CC2C66">
            <w:pPr>
              <w:rPr>
                <w:sz w:val="15"/>
                <w:szCs w:val="15"/>
              </w:rPr>
            </w:pPr>
          </w:p>
        </w:tc>
        <w:tc>
          <w:tcPr>
            <w:tcW w:w="900" w:type="dxa"/>
            <w:vAlign w:val="bottom"/>
          </w:tcPr>
          <w:p w:rsidR="00CC2C66" w:rsidRDefault="00CC2C66">
            <w:pPr>
              <w:rPr>
                <w:sz w:val="15"/>
                <w:szCs w:val="15"/>
              </w:rPr>
            </w:pPr>
          </w:p>
        </w:tc>
        <w:tc>
          <w:tcPr>
            <w:tcW w:w="880" w:type="dxa"/>
            <w:vAlign w:val="bottom"/>
          </w:tcPr>
          <w:p w:rsidR="00CC2C66" w:rsidRDefault="00F80B74">
            <w:pPr>
              <w:jc w:val="center"/>
              <w:rPr>
                <w:sz w:val="20"/>
                <w:szCs w:val="20"/>
              </w:rPr>
            </w:pPr>
            <w:r>
              <w:rPr>
                <w:rFonts w:ascii="Arial" w:eastAsia="Arial" w:hAnsi="Arial" w:cs="Arial"/>
                <w:b/>
                <w:bCs/>
                <w:color w:val="CF0A2C"/>
                <w:sz w:val="15"/>
                <w:szCs w:val="15"/>
              </w:rPr>
              <w:t>Stock</w:t>
            </w:r>
          </w:p>
        </w:tc>
        <w:tc>
          <w:tcPr>
            <w:tcW w:w="940" w:type="dxa"/>
            <w:vAlign w:val="bottom"/>
          </w:tcPr>
          <w:p w:rsidR="00CC2C66" w:rsidRDefault="00F80B74">
            <w:pPr>
              <w:jc w:val="center"/>
              <w:rPr>
                <w:sz w:val="20"/>
                <w:szCs w:val="20"/>
              </w:rPr>
            </w:pPr>
            <w:r>
              <w:rPr>
                <w:rFonts w:ascii="Arial" w:eastAsia="Arial" w:hAnsi="Arial" w:cs="Arial"/>
                <w:b/>
                <w:bCs/>
                <w:color w:val="CF0A2C"/>
                <w:sz w:val="15"/>
                <w:szCs w:val="15"/>
              </w:rPr>
              <w:t>SARs +</w:t>
            </w:r>
          </w:p>
        </w:tc>
        <w:tc>
          <w:tcPr>
            <w:tcW w:w="1080" w:type="dxa"/>
            <w:vAlign w:val="bottom"/>
          </w:tcPr>
          <w:p w:rsidR="00CC2C66" w:rsidRDefault="00F80B74">
            <w:pPr>
              <w:jc w:val="center"/>
              <w:rPr>
                <w:sz w:val="20"/>
                <w:szCs w:val="20"/>
              </w:rPr>
            </w:pPr>
            <w:r>
              <w:rPr>
                <w:rFonts w:ascii="Arial" w:eastAsia="Arial" w:hAnsi="Arial" w:cs="Arial"/>
                <w:b/>
                <w:bCs/>
                <w:color w:val="CF0A2C"/>
                <w:sz w:val="15"/>
                <w:szCs w:val="15"/>
              </w:rPr>
              <w:t>Ordinary</w:t>
            </w:r>
          </w:p>
        </w:tc>
        <w:tc>
          <w:tcPr>
            <w:tcW w:w="62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179"/>
        </w:trPr>
        <w:tc>
          <w:tcPr>
            <w:tcW w:w="20" w:type="dxa"/>
            <w:vAlign w:val="bottom"/>
          </w:tcPr>
          <w:p w:rsidR="00CC2C66" w:rsidRDefault="00CC2C66">
            <w:pPr>
              <w:rPr>
                <w:sz w:val="15"/>
                <w:szCs w:val="15"/>
              </w:rPr>
            </w:pPr>
          </w:p>
        </w:tc>
        <w:tc>
          <w:tcPr>
            <w:tcW w:w="2380" w:type="dxa"/>
            <w:vAlign w:val="bottom"/>
          </w:tcPr>
          <w:p w:rsidR="00CC2C66" w:rsidRDefault="00CC2C66">
            <w:pPr>
              <w:rPr>
                <w:sz w:val="15"/>
                <w:szCs w:val="15"/>
              </w:rPr>
            </w:pPr>
          </w:p>
        </w:tc>
        <w:tc>
          <w:tcPr>
            <w:tcW w:w="2800" w:type="dxa"/>
            <w:vAlign w:val="bottom"/>
          </w:tcPr>
          <w:p w:rsidR="00CC2C66" w:rsidRDefault="00F80B74">
            <w:pPr>
              <w:ind w:left="2180"/>
              <w:rPr>
                <w:sz w:val="20"/>
                <w:szCs w:val="20"/>
              </w:rPr>
            </w:pPr>
            <w:r>
              <w:rPr>
                <w:rFonts w:ascii="Arial" w:eastAsia="Arial" w:hAnsi="Arial" w:cs="Arial"/>
                <w:b/>
                <w:bCs/>
                <w:color w:val="CF0A2C"/>
                <w:sz w:val="15"/>
                <w:szCs w:val="15"/>
              </w:rPr>
              <w:t>SARs</w:t>
            </w:r>
          </w:p>
        </w:tc>
        <w:tc>
          <w:tcPr>
            <w:tcW w:w="800" w:type="dxa"/>
            <w:vAlign w:val="bottom"/>
          </w:tcPr>
          <w:p w:rsidR="00CC2C66" w:rsidRDefault="00F80B74">
            <w:pPr>
              <w:ind w:right="103"/>
              <w:jc w:val="right"/>
              <w:rPr>
                <w:sz w:val="20"/>
                <w:szCs w:val="20"/>
              </w:rPr>
            </w:pPr>
            <w:r>
              <w:rPr>
                <w:rFonts w:ascii="Arial" w:eastAsia="Arial" w:hAnsi="Arial" w:cs="Arial"/>
                <w:b/>
                <w:bCs/>
                <w:color w:val="CF0A2C"/>
                <w:sz w:val="15"/>
                <w:szCs w:val="15"/>
              </w:rPr>
              <w:t>RSUs</w:t>
            </w:r>
          </w:p>
        </w:tc>
        <w:tc>
          <w:tcPr>
            <w:tcW w:w="900" w:type="dxa"/>
            <w:vAlign w:val="bottom"/>
          </w:tcPr>
          <w:p w:rsidR="00CC2C66" w:rsidRDefault="00F80B74">
            <w:pPr>
              <w:ind w:right="183"/>
              <w:jc w:val="right"/>
              <w:rPr>
                <w:sz w:val="20"/>
                <w:szCs w:val="20"/>
              </w:rPr>
            </w:pPr>
            <w:r>
              <w:rPr>
                <w:rFonts w:ascii="Arial" w:eastAsia="Arial" w:hAnsi="Arial" w:cs="Arial"/>
                <w:b/>
                <w:bCs/>
                <w:color w:val="CF0A2C"/>
                <w:sz w:val="15"/>
                <w:szCs w:val="15"/>
              </w:rPr>
              <w:t>PSUs</w:t>
            </w:r>
          </w:p>
        </w:tc>
        <w:tc>
          <w:tcPr>
            <w:tcW w:w="880" w:type="dxa"/>
            <w:vAlign w:val="bottom"/>
          </w:tcPr>
          <w:p w:rsidR="00CC2C66" w:rsidRDefault="00F80B74">
            <w:pPr>
              <w:jc w:val="right"/>
              <w:rPr>
                <w:sz w:val="20"/>
                <w:szCs w:val="20"/>
              </w:rPr>
            </w:pPr>
            <w:r>
              <w:rPr>
                <w:rFonts w:ascii="Arial" w:eastAsia="Arial" w:hAnsi="Arial" w:cs="Arial"/>
                <w:b/>
                <w:bCs/>
                <w:color w:val="CF0A2C"/>
                <w:sz w:val="15"/>
                <w:szCs w:val="15"/>
              </w:rPr>
              <w:t>Issuances</w:t>
            </w:r>
          </w:p>
        </w:tc>
        <w:tc>
          <w:tcPr>
            <w:tcW w:w="940" w:type="dxa"/>
            <w:vAlign w:val="bottom"/>
          </w:tcPr>
          <w:p w:rsidR="00CC2C66" w:rsidRDefault="00F80B74">
            <w:pPr>
              <w:jc w:val="center"/>
              <w:rPr>
                <w:sz w:val="20"/>
                <w:szCs w:val="20"/>
              </w:rPr>
            </w:pPr>
            <w:r>
              <w:rPr>
                <w:rFonts w:ascii="Arial" w:eastAsia="Arial" w:hAnsi="Arial" w:cs="Arial"/>
                <w:b/>
                <w:bCs/>
                <w:color w:val="CF0A2C"/>
                <w:sz w:val="15"/>
                <w:szCs w:val="15"/>
              </w:rPr>
              <w:t>Full Value</w:t>
            </w:r>
          </w:p>
        </w:tc>
        <w:tc>
          <w:tcPr>
            <w:tcW w:w="1080" w:type="dxa"/>
            <w:vAlign w:val="bottom"/>
          </w:tcPr>
          <w:p w:rsidR="00CC2C66" w:rsidRDefault="00F80B74">
            <w:pPr>
              <w:jc w:val="center"/>
              <w:rPr>
                <w:sz w:val="20"/>
                <w:szCs w:val="20"/>
              </w:rPr>
            </w:pPr>
            <w:r>
              <w:rPr>
                <w:rFonts w:ascii="Arial" w:eastAsia="Arial" w:hAnsi="Arial" w:cs="Arial"/>
                <w:b/>
                <w:bCs/>
                <w:color w:val="CF0A2C"/>
                <w:w w:val="99"/>
                <w:sz w:val="15"/>
                <w:szCs w:val="15"/>
              </w:rPr>
              <w:t>Shares</w:t>
            </w:r>
          </w:p>
        </w:tc>
        <w:tc>
          <w:tcPr>
            <w:tcW w:w="620" w:type="dxa"/>
            <w:vAlign w:val="bottom"/>
          </w:tcPr>
          <w:p w:rsidR="00CC2C66" w:rsidRDefault="00F80B74">
            <w:pPr>
              <w:ind w:right="123"/>
              <w:jc w:val="right"/>
              <w:rPr>
                <w:sz w:val="20"/>
                <w:szCs w:val="20"/>
              </w:rPr>
            </w:pPr>
            <w:r>
              <w:rPr>
                <w:rFonts w:ascii="Arial" w:eastAsia="Arial" w:hAnsi="Arial" w:cs="Arial"/>
                <w:b/>
                <w:bCs/>
                <w:color w:val="CF0A2C"/>
                <w:sz w:val="15"/>
                <w:szCs w:val="15"/>
              </w:rPr>
              <w:t>Burn</w:t>
            </w:r>
          </w:p>
        </w:tc>
        <w:tc>
          <w:tcPr>
            <w:tcW w:w="0" w:type="dxa"/>
            <w:vAlign w:val="bottom"/>
          </w:tcPr>
          <w:p w:rsidR="00CC2C66" w:rsidRDefault="00CC2C66">
            <w:pPr>
              <w:rPr>
                <w:sz w:val="1"/>
                <w:szCs w:val="1"/>
              </w:rPr>
            </w:pPr>
          </w:p>
        </w:tc>
      </w:tr>
      <w:tr w:rsidR="00CC2C66">
        <w:trPr>
          <w:trHeight w:val="206"/>
        </w:trPr>
        <w:tc>
          <w:tcPr>
            <w:tcW w:w="20" w:type="dxa"/>
            <w:vAlign w:val="bottom"/>
          </w:tcPr>
          <w:p w:rsidR="00CC2C66" w:rsidRDefault="00CC2C66">
            <w:pPr>
              <w:rPr>
                <w:sz w:val="17"/>
                <w:szCs w:val="17"/>
              </w:rPr>
            </w:pPr>
          </w:p>
        </w:tc>
        <w:tc>
          <w:tcPr>
            <w:tcW w:w="2380" w:type="dxa"/>
            <w:tcBorders>
              <w:bottom w:val="single" w:sz="8" w:space="0" w:color="CF0A2C"/>
            </w:tcBorders>
            <w:vAlign w:val="bottom"/>
          </w:tcPr>
          <w:p w:rsidR="00CC2C66" w:rsidRDefault="00CC2C66">
            <w:pPr>
              <w:rPr>
                <w:sz w:val="17"/>
                <w:szCs w:val="17"/>
              </w:rPr>
            </w:pPr>
          </w:p>
        </w:tc>
        <w:tc>
          <w:tcPr>
            <w:tcW w:w="2800" w:type="dxa"/>
            <w:tcBorders>
              <w:bottom w:val="single" w:sz="8" w:space="0" w:color="CF0A2C"/>
            </w:tcBorders>
            <w:vAlign w:val="bottom"/>
          </w:tcPr>
          <w:p w:rsidR="00CC2C66" w:rsidRDefault="00F80B74">
            <w:pPr>
              <w:ind w:left="2080"/>
              <w:rPr>
                <w:sz w:val="20"/>
                <w:szCs w:val="20"/>
              </w:rPr>
            </w:pPr>
            <w:r>
              <w:rPr>
                <w:rFonts w:ascii="Arial" w:eastAsia="Arial" w:hAnsi="Arial" w:cs="Arial"/>
                <w:b/>
                <w:bCs/>
                <w:color w:val="CF0A2C"/>
                <w:sz w:val="15"/>
                <w:szCs w:val="15"/>
              </w:rPr>
              <w:t>Granted</w:t>
            </w:r>
          </w:p>
        </w:tc>
        <w:tc>
          <w:tcPr>
            <w:tcW w:w="800" w:type="dxa"/>
            <w:tcBorders>
              <w:bottom w:val="single" w:sz="8" w:space="0" w:color="CF0A2C"/>
            </w:tcBorders>
            <w:vAlign w:val="bottom"/>
          </w:tcPr>
          <w:p w:rsidR="00CC2C66" w:rsidRDefault="00F80B74">
            <w:pPr>
              <w:ind w:right="23"/>
              <w:jc w:val="right"/>
              <w:rPr>
                <w:sz w:val="20"/>
                <w:szCs w:val="20"/>
              </w:rPr>
            </w:pPr>
            <w:r>
              <w:rPr>
                <w:rFonts w:ascii="Arial" w:eastAsia="Arial" w:hAnsi="Arial" w:cs="Arial"/>
                <w:b/>
                <w:bCs/>
                <w:color w:val="CF0A2C"/>
                <w:sz w:val="15"/>
                <w:szCs w:val="15"/>
              </w:rPr>
              <w:t>Granted</w:t>
            </w:r>
          </w:p>
        </w:tc>
        <w:tc>
          <w:tcPr>
            <w:tcW w:w="900" w:type="dxa"/>
            <w:tcBorders>
              <w:bottom w:val="single" w:sz="8" w:space="0" w:color="CF0A2C"/>
            </w:tcBorders>
            <w:vAlign w:val="bottom"/>
          </w:tcPr>
          <w:p w:rsidR="00CC2C66" w:rsidRDefault="00F80B74">
            <w:pPr>
              <w:spacing w:line="206" w:lineRule="exact"/>
              <w:ind w:right="23"/>
              <w:jc w:val="right"/>
              <w:rPr>
                <w:sz w:val="20"/>
                <w:szCs w:val="20"/>
              </w:rPr>
            </w:pPr>
            <w:r>
              <w:rPr>
                <w:rFonts w:ascii="Arial" w:eastAsia="Arial" w:hAnsi="Arial" w:cs="Arial"/>
                <w:b/>
                <w:bCs/>
                <w:color w:val="CF0A2C"/>
                <w:sz w:val="15"/>
                <w:szCs w:val="15"/>
              </w:rPr>
              <w:t>Granted</w:t>
            </w:r>
            <w:r>
              <w:rPr>
                <w:rFonts w:ascii="Arial" w:eastAsia="Arial" w:hAnsi="Arial" w:cs="Arial"/>
                <w:b/>
                <w:bCs/>
                <w:color w:val="CF0A2C"/>
                <w:vertAlign w:val="superscript"/>
              </w:rPr>
              <w:t>(1)</w:t>
            </w:r>
          </w:p>
        </w:tc>
        <w:tc>
          <w:tcPr>
            <w:tcW w:w="880" w:type="dxa"/>
            <w:tcBorders>
              <w:bottom w:val="single" w:sz="8" w:space="0" w:color="CF0A2C"/>
            </w:tcBorders>
            <w:vAlign w:val="bottom"/>
          </w:tcPr>
          <w:p w:rsidR="00CC2C66" w:rsidRDefault="00F80B74">
            <w:pPr>
              <w:jc w:val="center"/>
              <w:rPr>
                <w:sz w:val="20"/>
                <w:szCs w:val="20"/>
              </w:rPr>
            </w:pPr>
            <w:r>
              <w:rPr>
                <w:rFonts w:ascii="Arial" w:eastAsia="Arial" w:hAnsi="Arial" w:cs="Arial"/>
                <w:b/>
                <w:bCs/>
                <w:color w:val="CF0A2C"/>
                <w:sz w:val="15"/>
                <w:szCs w:val="15"/>
              </w:rPr>
              <w:t>Granted</w:t>
            </w:r>
          </w:p>
        </w:tc>
        <w:tc>
          <w:tcPr>
            <w:tcW w:w="940" w:type="dxa"/>
            <w:tcBorders>
              <w:bottom w:val="single" w:sz="8" w:space="0" w:color="CF0A2C"/>
            </w:tcBorders>
            <w:vAlign w:val="bottom"/>
          </w:tcPr>
          <w:p w:rsidR="00CC2C66" w:rsidRDefault="00F80B74">
            <w:pPr>
              <w:jc w:val="center"/>
              <w:rPr>
                <w:sz w:val="20"/>
                <w:szCs w:val="20"/>
              </w:rPr>
            </w:pPr>
            <w:r>
              <w:rPr>
                <w:rFonts w:ascii="Arial" w:eastAsia="Arial" w:hAnsi="Arial" w:cs="Arial"/>
                <w:b/>
                <w:bCs/>
                <w:color w:val="CF0A2C"/>
                <w:sz w:val="15"/>
                <w:szCs w:val="15"/>
              </w:rPr>
              <w:t>Awards</w:t>
            </w:r>
          </w:p>
        </w:tc>
        <w:tc>
          <w:tcPr>
            <w:tcW w:w="1080" w:type="dxa"/>
            <w:tcBorders>
              <w:bottom w:val="single" w:sz="8" w:space="0" w:color="CF0A2C"/>
            </w:tcBorders>
            <w:vAlign w:val="bottom"/>
          </w:tcPr>
          <w:p w:rsidR="00CC2C66" w:rsidRDefault="00F80B74">
            <w:pPr>
              <w:jc w:val="center"/>
              <w:rPr>
                <w:sz w:val="20"/>
                <w:szCs w:val="20"/>
              </w:rPr>
            </w:pPr>
            <w:r>
              <w:rPr>
                <w:rFonts w:ascii="Arial" w:eastAsia="Arial" w:hAnsi="Arial" w:cs="Arial"/>
                <w:b/>
                <w:bCs/>
                <w:color w:val="CF0A2C"/>
                <w:sz w:val="15"/>
                <w:szCs w:val="15"/>
              </w:rPr>
              <w:t>Outstanding</w:t>
            </w:r>
          </w:p>
        </w:tc>
        <w:tc>
          <w:tcPr>
            <w:tcW w:w="620" w:type="dxa"/>
            <w:tcBorders>
              <w:bottom w:val="single" w:sz="8" w:space="0" w:color="CF0A2C"/>
            </w:tcBorders>
            <w:vAlign w:val="bottom"/>
          </w:tcPr>
          <w:p w:rsidR="00CC2C66" w:rsidRDefault="00F80B74">
            <w:pPr>
              <w:ind w:right="123"/>
              <w:jc w:val="right"/>
              <w:rPr>
                <w:sz w:val="20"/>
                <w:szCs w:val="20"/>
              </w:rPr>
            </w:pPr>
            <w:r>
              <w:rPr>
                <w:rFonts w:ascii="Arial" w:eastAsia="Arial" w:hAnsi="Arial" w:cs="Arial"/>
                <w:b/>
                <w:bCs/>
                <w:color w:val="CF0A2C"/>
                <w:sz w:val="15"/>
                <w:szCs w:val="15"/>
              </w:rPr>
              <w:t>Rate</w:t>
            </w:r>
          </w:p>
        </w:tc>
        <w:tc>
          <w:tcPr>
            <w:tcW w:w="0" w:type="dxa"/>
            <w:vAlign w:val="bottom"/>
          </w:tcPr>
          <w:p w:rsidR="00CC2C66" w:rsidRDefault="00CC2C66">
            <w:pPr>
              <w:rPr>
                <w:sz w:val="1"/>
                <w:szCs w:val="1"/>
              </w:rPr>
            </w:pPr>
          </w:p>
        </w:tc>
      </w:tr>
      <w:tr w:rsidR="00CC2C66">
        <w:trPr>
          <w:trHeight w:val="184"/>
        </w:trPr>
        <w:tc>
          <w:tcPr>
            <w:tcW w:w="20" w:type="dxa"/>
            <w:tcBorders>
              <w:bottom w:val="single" w:sz="8" w:space="0" w:color="CF0A2C"/>
            </w:tcBorders>
            <w:vAlign w:val="bottom"/>
          </w:tcPr>
          <w:p w:rsidR="00CC2C66" w:rsidRDefault="00CC2C66">
            <w:pPr>
              <w:rPr>
                <w:sz w:val="16"/>
                <w:szCs w:val="16"/>
              </w:rPr>
            </w:pPr>
          </w:p>
        </w:tc>
        <w:tc>
          <w:tcPr>
            <w:tcW w:w="2380" w:type="dxa"/>
            <w:tcBorders>
              <w:bottom w:val="single" w:sz="8" w:space="0" w:color="CF0A2C"/>
            </w:tcBorders>
            <w:vAlign w:val="bottom"/>
          </w:tcPr>
          <w:p w:rsidR="00CC2C66" w:rsidRDefault="00F80B74">
            <w:pPr>
              <w:ind w:right="1983"/>
              <w:jc w:val="right"/>
              <w:rPr>
                <w:sz w:val="20"/>
                <w:szCs w:val="20"/>
              </w:rPr>
            </w:pPr>
            <w:r>
              <w:rPr>
                <w:rFonts w:ascii="Arial" w:eastAsia="Arial" w:hAnsi="Arial" w:cs="Arial"/>
                <w:b/>
                <w:bCs/>
                <w:color w:val="CF0A2C"/>
                <w:w w:val="89"/>
                <w:sz w:val="15"/>
                <w:szCs w:val="15"/>
              </w:rPr>
              <w:t>2021</w:t>
            </w:r>
          </w:p>
        </w:tc>
        <w:tc>
          <w:tcPr>
            <w:tcW w:w="2800" w:type="dxa"/>
            <w:tcBorders>
              <w:bottom w:val="single" w:sz="8" w:space="0" w:color="CF0A2C"/>
            </w:tcBorders>
            <w:vAlign w:val="bottom"/>
          </w:tcPr>
          <w:p w:rsidR="00CC2C66" w:rsidRDefault="00F80B74">
            <w:pPr>
              <w:ind w:left="2080"/>
              <w:rPr>
                <w:sz w:val="20"/>
                <w:szCs w:val="20"/>
              </w:rPr>
            </w:pPr>
            <w:r>
              <w:rPr>
                <w:rFonts w:ascii="Arial" w:eastAsia="Arial" w:hAnsi="Arial" w:cs="Arial"/>
                <w:color w:val="CF0A2C"/>
                <w:sz w:val="15"/>
                <w:szCs w:val="15"/>
              </w:rPr>
              <w:t>1,171,030</w:t>
            </w:r>
          </w:p>
        </w:tc>
        <w:tc>
          <w:tcPr>
            <w:tcW w:w="80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460,785</w:t>
            </w:r>
          </w:p>
        </w:tc>
        <w:tc>
          <w:tcPr>
            <w:tcW w:w="90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135,241</w:t>
            </w:r>
          </w:p>
        </w:tc>
        <w:tc>
          <w:tcPr>
            <w:tcW w:w="88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31,182</w:t>
            </w:r>
          </w:p>
        </w:tc>
        <w:tc>
          <w:tcPr>
            <w:tcW w:w="940" w:type="dxa"/>
            <w:tcBorders>
              <w:bottom w:val="single" w:sz="8" w:space="0" w:color="CF0A2C"/>
            </w:tcBorders>
            <w:vAlign w:val="bottom"/>
          </w:tcPr>
          <w:p w:rsidR="00CC2C66" w:rsidRDefault="00F80B74">
            <w:pPr>
              <w:ind w:right="23"/>
              <w:jc w:val="right"/>
              <w:rPr>
                <w:sz w:val="20"/>
                <w:szCs w:val="20"/>
              </w:rPr>
            </w:pPr>
            <w:r>
              <w:rPr>
                <w:rFonts w:ascii="Arial" w:eastAsia="Arial" w:hAnsi="Arial" w:cs="Arial"/>
                <w:color w:val="CF0A2C"/>
                <w:sz w:val="15"/>
                <w:szCs w:val="15"/>
              </w:rPr>
              <w:t>1,798,238</w:t>
            </w:r>
          </w:p>
        </w:tc>
        <w:tc>
          <w:tcPr>
            <w:tcW w:w="108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422,540,478</w:t>
            </w:r>
          </w:p>
        </w:tc>
        <w:tc>
          <w:tcPr>
            <w:tcW w:w="62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0.43%</w:t>
            </w:r>
          </w:p>
        </w:tc>
        <w:tc>
          <w:tcPr>
            <w:tcW w:w="0" w:type="dxa"/>
            <w:vAlign w:val="bottom"/>
          </w:tcPr>
          <w:p w:rsidR="00CC2C66" w:rsidRDefault="00CC2C66">
            <w:pPr>
              <w:rPr>
                <w:sz w:val="1"/>
                <w:szCs w:val="1"/>
              </w:rPr>
            </w:pPr>
          </w:p>
        </w:tc>
      </w:tr>
      <w:tr w:rsidR="00CC2C66">
        <w:trPr>
          <w:trHeight w:val="184"/>
        </w:trPr>
        <w:tc>
          <w:tcPr>
            <w:tcW w:w="2400" w:type="dxa"/>
            <w:gridSpan w:val="2"/>
            <w:tcBorders>
              <w:bottom w:val="single" w:sz="8" w:space="0" w:color="CF0A2C"/>
            </w:tcBorders>
            <w:vAlign w:val="bottom"/>
          </w:tcPr>
          <w:p w:rsidR="00CC2C66" w:rsidRDefault="00F80B74">
            <w:pPr>
              <w:ind w:right="1983"/>
              <w:jc w:val="right"/>
              <w:rPr>
                <w:sz w:val="20"/>
                <w:szCs w:val="20"/>
              </w:rPr>
            </w:pPr>
            <w:r>
              <w:rPr>
                <w:rFonts w:ascii="Arial" w:eastAsia="Arial" w:hAnsi="Arial" w:cs="Arial"/>
                <w:b/>
                <w:bCs/>
                <w:color w:val="CF0A2C"/>
                <w:w w:val="95"/>
                <w:sz w:val="15"/>
                <w:szCs w:val="15"/>
              </w:rPr>
              <w:t>2020</w:t>
            </w:r>
          </w:p>
        </w:tc>
        <w:tc>
          <w:tcPr>
            <w:tcW w:w="2800" w:type="dxa"/>
            <w:tcBorders>
              <w:bottom w:val="single" w:sz="8" w:space="0" w:color="CF0A2C"/>
            </w:tcBorders>
            <w:vAlign w:val="bottom"/>
          </w:tcPr>
          <w:p w:rsidR="00CC2C66" w:rsidRDefault="00F80B74">
            <w:pPr>
              <w:ind w:left="2080"/>
              <w:rPr>
                <w:sz w:val="20"/>
                <w:szCs w:val="20"/>
              </w:rPr>
            </w:pPr>
            <w:r>
              <w:rPr>
                <w:rFonts w:ascii="Arial" w:eastAsia="Arial" w:hAnsi="Arial" w:cs="Arial"/>
                <w:color w:val="CF0A2C"/>
                <w:sz w:val="15"/>
                <w:szCs w:val="15"/>
              </w:rPr>
              <w:t>1,313,547</w:t>
            </w:r>
          </w:p>
        </w:tc>
        <w:tc>
          <w:tcPr>
            <w:tcW w:w="80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103,913</w:t>
            </w:r>
          </w:p>
        </w:tc>
        <w:tc>
          <w:tcPr>
            <w:tcW w:w="90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1,110,091</w:t>
            </w:r>
          </w:p>
        </w:tc>
        <w:tc>
          <w:tcPr>
            <w:tcW w:w="88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54,757</w:t>
            </w:r>
          </w:p>
        </w:tc>
        <w:tc>
          <w:tcPr>
            <w:tcW w:w="940" w:type="dxa"/>
            <w:tcBorders>
              <w:bottom w:val="single" w:sz="8" w:space="0" w:color="CF0A2C"/>
            </w:tcBorders>
            <w:vAlign w:val="bottom"/>
          </w:tcPr>
          <w:p w:rsidR="00CC2C66" w:rsidRDefault="00F80B74">
            <w:pPr>
              <w:ind w:right="23"/>
              <w:jc w:val="right"/>
              <w:rPr>
                <w:sz w:val="20"/>
                <w:szCs w:val="20"/>
              </w:rPr>
            </w:pPr>
            <w:r>
              <w:rPr>
                <w:rFonts w:ascii="Arial" w:eastAsia="Arial" w:hAnsi="Arial" w:cs="Arial"/>
                <w:color w:val="CF0A2C"/>
                <w:sz w:val="15"/>
                <w:szCs w:val="15"/>
              </w:rPr>
              <w:t>2,582,308</w:t>
            </w:r>
          </w:p>
        </w:tc>
        <w:tc>
          <w:tcPr>
            <w:tcW w:w="108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389,907,587</w:t>
            </w:r>
          </w:p>
        </w:tc>
        <w:tc>
          <w:tcPr>
            <w:tcW w:w="62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0.66%</w:t>
            </w:r>
          </w:p>
        </w:tc>
        <w:tc>
          <w:tcPr>
            <w:tcW w:w="0" w:type="dxa"/>
            <w:vAlign w:val="bottom"/>
          </w:tcPr>
          <w:p w:rsidR="00CC2C66" w:rsidRDefault="00CC2C66">
            <w:pPr>
              <w:rPr>
                <w:sz w:val="1"/>
                <w:szCs w:val="1"/>
              </w:rPr>
            </w:pPr>
          </w:p>
        </w:tc>
      </w:tr>
      <w:tr w:rsidR="00CC2C66">
        <w:trPr>
          <w:trHeight w:val="184"/>
        </w:trPr>
        <w:tc>
          <w:tcPr>
            <w:tcW w:w="2400" w:type="dxa"/>
            <w:gridSpan w:val="2"/>
            <w:tcBorders>
              <w:bottom w:val="single" w:sz="8" w:space="0" w:color="CF0A2C"/>
            </w:tcBorders>
            <w:vAlign w:val="bottom"/>
          </w:tcPr>
          <w:p w:rsidR="00CC2C66" w:rsidRDefault="00F80B74">
            <w:pPr>
              <w:ind w:right="1983"/>
              <w:jc w:val="right"/>
              <w:rPr>
                <w:sz w:val="20"/>
                <w:szCs w:val="20"/>
              </w:rPr>
            </w:pPr>
            <w:r>
              <w:rPr>
                <w:rFonts w:ascii="Arial" w:eastAsia="Arial" w:hAnsi="Arial" w:cs="Arial"/>
                <w:b/>
                <w:bCs/>
                <w:color w:val="CF0A2C"/>
                <w:w w:val="95"/>
                <w:sz w:val="15"/>
                <w:szCs w:val="15"/>
              </w:rPr>
              <w:t>2019</w:t>
            </w:r>
          </w:p>
        </w:tc>
        <w:tc>
          <w:tcPr>
            <w:tcW w:w="2800" w:type="dxa"/>
            <w:tcBorders>
              <w:bottom w:val="single" w:sz="8" w:space="0" w:color="CF0A2C"/>
            </w:tcBorders>
            <w:vAlign w:val="bottom"/>
          </w:tcPr>
          <w:p w:rsidR="00CC2C66" w:rsidRDefault="00F80B74">
            <w:pPr>
              <w:ind w:left="2080"/>
              <w:rPr>
                <w:sz w:val="20"/>
                <w:szCs w:val="20"/>
              </w:rPr>
            </w:pPr>
            <w:r>
              <w:rPr>
                <w:rFonts w:ascii="Arial" w:eastAsia="Arial" w:hAnsi="Arial" w:cs="Arial"/>
                <w:color w:val="CF0A2C"/>
                <w:sz w:val="15"/>
                <w:szCs w:val="15"/>
              </w:rPr>
              <w:t>1,468,569</w:t>
            </w:r>
          </w:p>
        </w:tc>
        <w:tc>
          <w:tcPr>
            <w:tcW w:w="80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284,076</w:t>
            </w:r>
          </w:p>
        </w:tc>
        <w:tc>
          <w:tcPr>
            <w:tcW w:w="90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47,700</w:t>
            </w:r>
          </w:p>
        </w:tc>
        <w:tc>
          <w:tcPr>
            <w:tcW w:w="88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60,419</w:t>
            </w:r>
          </w:p>
        </w:tc>
        <w:tc>
          <w:tcPr>
            <w:tcW w:w="940" w:type="dxa"/>
            <w:tcBorders>
              <w:bottom w:val="single" w:sz="8" w:space="0" w:color="CF0A2C"/>
            </w:tcBorders>
            <w:vAlign w:val="bottom"/>
          </w:tcPr>
          <w:p w:rsidR="00CC2C66" w:rsidRDefault="00F80B74">
            <w:pPr>
              <w:ind w:right="23"/>
              <w:jc w:val="right"/>
              <w:rPr>
                <w:sz w:val="20"/>
                <w:szCs w:val="20"/>
              </w:rPr>
            </w:pPr>
            <w:r>
              <w:rPr>
                <w:rFonts w:ascii="Arial" w:eastAsia="Arial" w:hAnsi="Arial" w:cs="Arial"/>
                <w:color w:val="CF0A2C"/>
                <w:sz w:val="15"/>
                <w:szCs w:val="15"/>
              </w:rPr>
              <w:t>1,860,764</w:t>
            </w:r>
          </w:p>
        </w:tc>
        <w:tc>
          <w:tcPr>
            <w:tcW w:w="1080" w:type="dxa"/>
            <w:tcBorders>
              <w:bottom w:val="single" w:sz="8" w:space="0" w:color="CF0A2C"/>
            </w:tcBorders>
            <w:vAlign w:val="bottom"/>
          </w:tcPr>
          <w:p w:rsidR="00CC2C66" w:rsidRDefault="00F80B74">
            <w:pPr>
              <w:ind w:right="3"/>
              <w:jc w:val="right"/>
              <w:rPr>
                <w:sz w:val="20"/>
                <w:szCs w:val="20"/>
              </w:rPr>
            </w:pPr>
            <w:r>
              <w:rPr>
                <w:rFonts w:ascii="Arial" w:eastAsia="Arial" w:hAnsi="Arial" w:cs="Arial"/>
                <w:color w:val="CF0A2C"/>
                <w:sz w:val="15"/>
                <w:szCs w:val="15"/>
              </w:rPr>
              <w:t>377,361,406</w:t>
            </w:r>
          </w:p>
        </w:tc>
        <w:tc>
          <w:tcPr>
            <w:tcW w:w="62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0.49%</w:t>
            </w:r>
          </w:p>
        </w:tc>
        <w:tc>
          <w:tcPr>
            <w:tcW w:w="0" w:type="dxa"/>
            <w:vAlign w:val="bottom"/>
          </w:tcPr>
          <w:p w:rsidR="00CC2C66" w:rsidRDefault="00CC2C66">
            <w:pPr>
              <w:rPr>
                <w:sz w:val="1"/>
                <w:szCs w:val="1"/>
              </w:rPr>
            </w:pPr>
          </w:p>
        </w:tc>
      </w:tr>
    </w:tbl>
    <w:p w:rsidR="00CC2C66" w:rsidRDefault="00CC2C66">
      <w:pPr>
        <w:spacing w:line="260" w:lineRule="exact"/>
        <w:rPr>
          <w:sz w:val="20"/>
          <w:szCs w:val="20"/>
        </w:rPr>
      </w:pPr>
    </w:p>
    <w:p w:rsidR="00CC2C66" w:rsidRDefault="00F80B74">
      <w:pPr>
        <w:numPr>
          <w:ilvl w:val="0"/>
          <w:numId w:val="23"/>
        </w:numPr>
        <w:tabs>
          <w:tab w:val="left" w:pos="1020"/>
        </w:tabs>
        <w:ind w:left="1020" w:hanging="609"/>
        <w:rPr>
          <w:rFonts w:eastAsia="Times New Roman"/>
          <w:sz w:val="19"/>
          <w:szCs w:val="19"/>
        </w:rPr>
      </w:pPr>
      <w:r>
        <w:rPr>
          <w:rFonts w:eastAsia="Times New Roman"/>
          <w:sz w:val="19"/>
          <w:szCs w:val="19"/>
        </w:rPr>
        <w:t>Our annual PSU grants have a three-year period and cliff-vest following the expiration of the three-year performance period.</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331" w:lineRule="exact"/>
        <w:rPr>
          <w:sz w:val="20"/>
          <w:szCs w:val="20"/>
        </w:rPr>
      </w:pPr>
    </w:p>
    <w:p w:rsidR="00CC2C66" w:rsidRDefault="00F80B74">
      <w:pPr>
        <w:spacing w:line="247" w:lineRule="auto"/>
        <w:ind w:left="420"/>
        <w:jc w:val="both"/>
        <w:rPr>
          <w:sz w:val="20"/>
          <w:szCs w:val="20"/>
        </w:rPr>
      </w:pPr>
      <w:r>
        <w:rPr>
          <w:rFonts w:eastAsia="Times New Roman"/>
          <w:sz w:val="19"/>
          <w:szCs w:val="19"/>
        </w:rPr>
        <w:t xml:space="preserve">Our three-year </w:t>
      </w:r>
      <w:r>
        <w:rPr>
          <w:rFonts w:eastAsia="Times New Roman"/>
          <w:sz w:val="19"/>
          <w:szCs w:val="19"/>
        </w:rPr>
        <w:t>average burn rate is 0.53%. Applying the two-for-one fungible share ratio applicable to full value awards granted under the 2016 LTIP would result in a three-year average burn rate of 0.72%.</w:t>
      </w:r>
    </w:p>
    <w:p w:rsidR="00CC2C66" w:rsidRDefault="00CC2C66">
      <w:pPr>
        <w:spacing w:line="208" w:lineRule="exact"/>
        <w:rPr>
          <w:sz w:val="20"/>
          <w:szCs w:val="20"/>
        </w:rPr>
      </w:pPr>
    </w:p>
    <w:p w:rsidR="00CC2C66" w:rsidRDefault="00F80B74">
      <w:pPr>
        <w:ind w:left="420"/>
        <w:rPr>
          <w:sz w:val="20"/>
          <w:szCs w:val="20"/>
        </w:rPr>
      </w:pPr>
      <w:r>
        <w:rPr>
          <w:rFonts w:eastAsia="Times New Roman"/>
          <w:b/>
          <w:bCs/>
          <w:color w:val="CF0A2C"/>
          <w:sz w:val="19"/>
          <w:szCs w:val="19"/>
        </w:rPr>
        <w:t>Certain Corporate Governance Features of the 2022 LTIP</w:t>
      </w:r>
    </w:p>
    <w:p w:rsidR="00CC2C66" w:rsidRDefault="00CC2C66">
      <w:pPr>
        <w:spacing w:line="233" w:lineRule="exact"/>
        <w:rPr>
          <w:sz w:val="20"/>
          <w:szCs w:val="20"/>
        </w:rPr>
      </w:pPr>
    </w:p>
    <w:p w:rsidR="00CC2C66" w:rsidRDefault="00F80B74">
      <w:pPr>
        <w:spacing w:line="247" w:lineRule="auto"/>
        <w:ind w:left="420"/>
        <w:jc w:val="both"/>
        <w:rPr>
          <w:sz w:val="20"/>
          <w:szCs w:val="20"/>
        </w:rPr>
      </w:pPr>
      <w:r>
        <w:rPr>
          <w:rFonts w:eastAsia="Times New Roman"/>
          <w:sz w:val="19"/>
          <w:szCs w:val="19"/>
        </w:rPr>
        <w:t>The foll</w:t>
      </w:r>
      <w:r>
        <w:rPr>
          <w:rFonts w:eastAsia="Times New Roman"/>
          <w:sz w:val="19"/>
          <w:szCs w:val="19"/>
        </w:rPr>
        <w:t>owing features of the 2022 LTIP are designed to reinforce alignment between the equity compensation arrangements awarded pursuant to the 2022 LTIP and our stockholders’ interests:</w:t>
      </w:r>
    </w:p>
    <w:p w:rsidR="00CC2C66" w:rsidRDefault="00CC2C66">
      <w:pPr>
        <w:spacing w:line="251" w:lineRule="exact"/>
        <w:rPr>
          <w:sz w:val="20"/>
          <w:szCs w:val="20"/>
        </w:rPr>
      </w:pPr>
    </w:p>
    <w:p w:rsidR="00CC2C66" w:rsidRDefault="00F80B74">
      <w:pPr>
        <w:numPr>
          <w:ilvl w:val="0"/>
          <w:numId w:val="24"/>
        </w:numPr>
        <w:tabs>
          <w:tab w:val="left" w:pos="640"/>
        </w:tabs>
        <w:spacing w:line="243" w:lineRule="auto"/>
        <w:ind w:left="640" w:right="20" w:hanging="178"/>
        <w:jc w:val="both"/>
        <w:rPr>
          <w:rFonts w:eastAsia="Times New Roman"/>
          <w:color w:val="CF0A2C"/>
          <w:sz w:val="19"/>
          <w:szCs w:val="19"/>
        </w:rPr>
      </w:pPr>
      <w:r>
        <w:rPr>
          <w:rFonts w:eastAsia="Times New Roman"/>
          <w:sz w:val="19"/>
          <w:szCs w:val="19"/>
        </w:rPr>
        <w:t>Awards will be subject to a one-year minimum vesting period, subject to lim</w:t>
      </w:r>
      <w:r>
        <w:rPr>
          <w:rFonts w:eastAsia="Times New Roman"/>
          <w:sz w:val="19"/>
          <w:szCs w:val="19"/>
        </w:rPr>
        <w:t>ited exceptions set forth in the 2022 LTIP as described below and the Committee’s (as defined below) ability to provide for accelerated exercisability or vesting of any award in cases of retirement, separation, retention, death, disability or a change in c</w:t>
      </w:r>
      <w:r>
        <w:rPr>
          <w:rFonts w:eastAsia="Times New Roman"/>
          <w:sz w:val="19"/>
          <w:szCs w:val="19"/>
        </w:rPr>
        <w:t>ontrol, as set forth in the terms of the award agreement or otherwise;</w:t>
      </w:r>
    </w:p>
    <w:p w:rsidR="00CC2C66" w:rsidRDefault="00CC2C66">
      <w:pPr>
        <w:spacing w:line="253" w:lineRule="exact"/>
        <w:rPr>
          <w:rFonts w:eastAsia="Times New Roman"/>
          <w:color w:val="CF0A2C"/>
          <w:sz w:val="19"/>
          <w:szCs w:val="19"/>
        </w:rPr>
      </w:pPr>
    </w:p>
    <w:p w:rsidR="00CC2C66" w:rsidRDefault="00F80B74">
      <w:pPr>
        <w:numPr>
          <w:ilvl w:val="0"/>
          <w:numId w:val="24"/>
        </w:numPr>
        <w:tabs>
          <w:tab w:val="left" w:pos="640"/>
        </w:tabs>
        <w:spacing w:line="252" w:lineRule="auto"/>
        <w:ind w:left="640" w:right="20" w:hanging="178"/>
        <w:jc w:val="both"/>
        <w:rPr>
          <w:rFonts w:eastAsia="Times New Roman"/>
          <w:color w:val="CF0A2C"/>
          <w:sz w:val="19"/>
          <w:szCs w:val="19"/>
        </w:rPr>
      </w:pPr>
      <w:r>
        <w:rPr>
          <w:rFonts w:eastAsia="Times New Roman"/>
          <w:sz w:val="19"/>
          <w:szCs w:val="19"/>
        </w:rPr>
        <w:t>Full Value Awards (as defined below) reduce the available share pool on a two-for-one basis, while stock options and SARs reduce the share reserve on a one-for-one basis;</w:t>
      </w:r>
    </w:p>
    <w:p w:rsidR="00CC2C66" w:rsidRDefault="00CC2C66">
      <w:pPr>
        <w:spacing w:line="244" w:lineRule="exact"/>
        <w:rPr>
          <w:rFonts w:eastAsia="Times New Roman"/>
          <w:color w:val="CF0A2C"/>
          <w:sz w:val="19"/>
          <w:szCs w:val="19"/>
        </w:rPr>
      </w:pPr>
    </w:p>
    <w:p w:rsidR="00CC2C66" w:rsidRDefault="00F80B74">
      <w:pPr>
        <w:numPr>
          <w:ilvl w:val="0"/>
          <w:numId w:val="24"/>
        </w:numPr>
        <w:tabs>
          <w:tab w:val="left" w:pos="640"/>
        </w:tabs>
        <w:ind w:left="640" w:hanging="178"/>
        <w:rPr>
          <w:rFonts w:eastAsia="Times New Roman"/>
          <w:color w:val="CF0A2C"/>
          <w:sz w:val="19"/>
          <w:szCs w:val="19"/>
        </w:rPr>
      </w:pPr>
      <w:r>
        <w:rPr>
          <w:rFonts w:eastAsia="Times New Roman"/>
          <w:sz w:val="19"/>
          <w:szCs w:val="19"/>
        </w:rPr>
        <w:t>No discounti</w:t>
      </w:r>
      <w:r>
        <w:rPr>
          <w:rFonts w:eastAsia="Times New Roman"/>
          <w:sz w:val="19"/>
          <w:szCs w:val="19"/>
        </w:rPr>
        <w:t>ng of stock options or SARs;</w:t>
      </w:r>
    </w:p>
    <w:p w:rsidR="00CC2C66" w:rsidRDefault="00CC2C66">
      <w:pPr>
        <w:spacing w:line="279" w:lineRule="exact"/>
        <w:rPr>
          <w:rFonts w:eastAsia="Times New Roman"/>
          <w:color w:val="CF0A2C"/>
          <w:sz w:val="19"/>
          <w:szCs w:val="19"/>
        </w:rPr>
      </w:pPr>
    </w:p>
    <w:p w:rsidR="00CC2C66" w:rsidRDefault="00F80B74">
      <w:pPr>
        <w:numPr>
          <w:ilvl w:val="0"/>
          <w:numId w:val="24"/>
        </w:numPr>
        <w:tabs>
          <w:tab w:val="left" w:pos="640"/>
        </w:tabs>
        <w:spacing w:line="265" w:lineRule="auto"/>
        <w:ind w:left="640" w:right="20" w:hanging="178"/>
        <w:rPr>
          <w:rFonts w:eastAsia="Times New Roman"/>
          <w:color w:val="CF0A2C"/>
          <w:sz w:val="19"/>
          <w:szCs w:val="19"/>
        </w:rPr>
      </w:pPr>
      <w:r>
        <w:rPr>
          <w:rFonts w:eastAsia="Times New Roman"/>
          <w:sz w:val="19"/>
          <w:szCs w:val="19"/>
        </w:rPr>
        <w:t>No repricing or replacement of underwater stock options or SARs without stockholder approval;</w:t>
      </w:r>
    </w:p>
    <w:p w:rsidR="00CC2C66" w:rsidRDefault="00F80B74">
      <w:pPr>
        <w:spacing w:line="20" w:lineRule="exact"/>
        <w:rPr>
          <w:sz w:val="20"/>
          <w:szCs w:val="20"/>
        </w:rPr>
      </w:pPr>
      <w:r>
        <w:rPr>
          <w:sz w:val="20"/>
          <w:szCs w:val="20"/>
        </w:rPr>
        <w:br w:type="column"/>
      </w:r>
    </w:p>
    <w:p w:rsidR="00CC2C66" w:rsidRDefault="00CC2C66">
      <w:pPr>
        <w:spacing w:line="311" w:lineRule="exact"/>
        <w:rPr>
          <w:sz w:val="20"/>
          <w:szCs w:val="20"/>
        </w:rPr>
      </w:pPr>
    </w:p>
    <w:p w:rsidR="00CC2C66" w:rsidRDefault="00F80B74">
      <w:pPr>
        <w:numPr>
          <w:ilvl w:val="0"/>
          <w:numId w:val="25"/>
        </w:numPr>
        <w:tabs>
          <w:tab w:val="left" w:pos="240"/>
        </w:tabs>
        <w:ind w:left="240" w:hanging="181"/>
        <w:rPr>
          <w:rFonts w:eastAsia="Times New Roman"/>
          <w:color w:val="CF0A2C"/>
          <w:sz w:val="19"/>
          <w:szCs w:val="19"/>
        </w:rPr>
      </w:pPr>
      <w:r>
        <w:rPr>
          <w:rFonts w:eastAsia="Times New Roman"/>
          <w:sz w:val="19"/>
          <w:szCs w:val="19"/>
        </w:rPr>
        <w:t>No dividend equivalents on stock options or SARs;</w:t>
      </w:r>
    </w:p>
    <w:p w:rsidR="00CC2C66" w:rsidRDefault="00CC2C66">
      <w:pPr>
        <w:spacing w:line="279" w:lineRule="exact"/>
        <w:rPr>
          <w:rFonts w:eastAsia="Times New Roman"/>
          <w:color w:val="CF0A2C"/>
          <w:sz w:val="19"/>
          <w:szCs w:val="19"/>
        </w:rPr>
      </w:pPr>
    </w:p>
    <w:p w:rsidR="00CC2C66" w:rsidRDefault="00F80B74">
      <w:pPr>
        <w:numPr>
          <w:ilvl w:val="0"/>
          <w:numId w:val="25"/>
        </w:numPr>
        <w:tabs>
          <w:tab w:val="left" w:pos="240"/>
        </w:tabs>
        <w:ind w:left="240" w:hanging="181"/>
        <w:rPr>
          <w:rFonts w:eastAsia="Times New Roman"/>
          <w:color w:val="CF0A2C"/>
          <w:sz w:val="19"/>
          <w:szCs w:val="19"/>
        </w:rPr>
      </w:pPr>
      <w:r>
        <w:rPr>
          <w:rFonts w:eastAsia="Times New Roman"/>
          <w:sz w:val="19"/>
          <w:szCs w:val="19"/>
        </w:rPr>
        <w:t>No dividends or dividend equivalents paid on unearned awards;</w:t>
      </w:r>
    </w:p>
    <w:p w:rsidR="00CC2C66" w:rsidRDefault="00CC2C66">
      <w:pPr>
        <w:spacing w:line="279" w:lineRule="exact"/>
        <w:rPr>
          <w:rFonts w:eastAsia="Times New Roman"/>
          <w:color w:val="CF0A2C"/>
          <w:sz w:val="19"/>
          <w:szCs w:val="19"/>
        </w:rPr>
      </w:pPr>
    </w:p>
    <w:p w:rsidR="00CC2C66" w:rsidRDefault="00F80B74">
      <w:pPr>
        <w:numPr>
          <w:ilvl w:val="0"/>
          <w:numId w:val="25"/>
        </w:numPr>
        <w:tabs>
          <w:tab w:val="left" w:pos="240"/>
        </w:tabs>
        <w:ind w:left="240" w:hanging="181"/>
        <w:rPr>
          <w:rFonts w:eastAsia="Times New Roman"/>
          <w:color w:val="CF0A2C"/>
          <w:sz w:val="19"/>
          <w:szCs w:val="19"/>
        </w:rPr>
      </w:pPr>
      <w:r>
        <w:rPr>
          <w:rFonts w:eastAsia="Times New Roman"/>
          <w:sz w:val="19"/>
          <w:szCs w:val="19"/>
        </w:rPr>
        <w:t xml:space="preserve">Annual </w:t>
      </w:r>
      <w:r>
        <w:rPr>
          <w:rFonts w:eastAsia="Times New Roman"/>
          <w:sz w:val="19"/>
          <w:szCs w:val="19"/>
        </w:rPr>
        <w:t>non-employee director compensation limit;</w:t>
      </w:r>
    </w:p>
    <w:p w:rsidR="00CC2C66" w:rsidRDefault="00CC2C66">
      <w:pPr>
        <w:spacing w:line="279" w:lineRule="exact"/>
        <w:rPr>
          <w:rFonts w:eastAsia="Times New Roman"/>
          <w:color w:val="CF0A2C"/>
          <w:sz w:val="19"/>
          <w:szCs w:val="19"/>
        </w:rPr>
      </w:pPr>
    </w:p>
    <w:p w:rsidR="00CC2C66" w:rsidRDefault="00F80B74">
      <w:pPr>
        <w:numPr>
          <w:ilvl w:val="0"/>
          <w:numId w:val="25"/>
        </w:numPr>
        <w:tabs>
          <w:tab w:val="left" w:pos="240"/>
        </w:tabs>
        <w:spacing w:line="247" w:lineRule="auto"/>
        <w:ind w:left="240" w:right="20" w:hanging="181"/>
        <w:jc w:val="both"/>
        <w:rPr>
          <w:rFonts w:eastAsia="Times New Roman"/>
          <w:color w:val="CF0A2C"/>
          <w:sz w:val="19"/>
          <w:szCs w:val="19"/>
        </w:rPr>
      </w:pPr>
      <w:r>
        <w:rPr>
          <w:rFonts w:eastAsia="Times New Roman"/>
          <w:sz w:val="19"/>
          <w:szCs w:val="19"/>
        </w:rPr>
        <w:t>During any five calendar-year period, no individual may receive stock options and SARs with respect to more than 9,000,000 shares or Full Value Awards with respect to more than 3,000,000 shares;</w:t>
      </w:r>
    </w:p>
    <w:p w:rsidR="00CC2C66" w:rsidRDefault="00CC2C66">
      <w:pPr>
        <w:spacing w:line="250" w:lineRule="exact"/>
        <w:rPr>
          <w:rFonts w:eastAsia="Times New Roman"/>
          <w:color w:val="CF0A2C"/>
          <w:sz w:val="19"/>
          <w:szCs w:val="19"/>
        </w:rPr>
      </w:pPr>
    </w:p>
    <w:p w:rsidR="00CC2C66" w:rsidRDefault="00F80B74">
      <w:pPr>
        <w:numPr>
          <w:ilvl w:val="0"/>
          <w:numId w:val="25"/>
        </w:numPr>
        <w:tabs>
          <w:tab w:val="left" w:pos="240"/>
        </w:tabs>
        <w:ind w:left="240" w:hanging="181"/>
        <w:rPr>
          <w:rFonts w:eastAsia="Times New Roman"/>
          <w:color w:val="CF0A2C"/>
          <w:sz w:val="19"/>
          <w:szCs w:val="19"/>
        </w:rPr>
      </w:pPr>
      <w:r>
        <w:rPr>
          <w:rFonts w:eastAsia="Times New Roman"/>
          <w:sz w:val="19"/>
          <w:szCs w:val="19"/>
        </w:rPr>
        <w:t>No “liberal” chan</w:t>
      </w:r>
      <w:r>
        <w:rPr>
          <w:rFonts w:eastAsia="Times New Roman"/>
          <w:sz w:val="19"/>
          <w:szCs w:val="19"/>
        </w:rPr>
        <w:t>ge in control definition under the 2022 LTIP;</w:t>
      </w:r>
    </w:p>
    <w:p w:rsidR="00CC2C66" w:rsidRDefault="00CC2C66">
      <w:pPr>
        <w:spacing w:line="279" w:lineRule="exact"/>
        <w:rPr>
          <w:rFonts w:eastAsia="Times New Roman"/>
          <w:color w:val="CF0A2C"/>
          <w:sz w:val="19"/>
          <w:szCs w:val="19"/>
        </w:rPr>
      </w:pPr>
    </w:p>
    <w:p w:rsidR="00CC2C66" w:rsidRDefault="00F80B74">
      <w:pPr>
        <w:numPr>
          <w:ilvl w:val="0"/>
          <w:numId w:val="25"/>
        </w:numPr>
        <w:tabs>
          <w:tab w:val="left" w:pos="240"/>
        </w:tabs>
        <w:spacing w:line="265" w:lineRule="auto"/>
        <w:ind w:left="240" w:right="20" w:hanging="181"/>
        <w:rPr>
          <w:rFonts w:eastAsia="Times New Roman"/>
          <w:color w:val="CF0A2C"/>
          <w:sz w:val="19"/>
          <w:szCs w:val="19"/>
        </w:rPr>
      </w:pPr>
      <w:r>
        <w:rPr>
          <w:rFonts w:eastAsia="Times New Roman"/>
          <w:sz w:val="19"/>
          <w:szCs w:val="19"/>
        </w:rPr>
        <w:t>No automatic single trigger vesting upon a change in control; and</w:t>
      </w:r>
    </w:p>
    <w:p w:rsidR="00CC2C66" w:rsidRDefault="00CC2C66">
      <w:pPr>
        <w:spacing w:line="233" w:lineRule="exact"/>
        <w:rPr>
          <w:rFonts w:eastAsia="Times New Roman"/>
          <w:color w:val="CF0A2C"/>
          <w:sz w:val="19"/>
          <w:szCs w:val="19"/>
        </w:rPr>
      </w:pPr>
    </w:p>
    <w:p w:rsidR="00CC2C66" w:rsidRDefault="00F80B74">
      <w:pPr>
        <w:numPr>
          <w:ilvl w:val="0"/>
          <w:numId w:val="25"/>
        </w:numPr>
        <w:tabs>
          <w:tab w:val="left" w:pos="240"/>
        </w:tabs>
        <w:spacing w:line="247" w:lineRule="auto"/>
        <w:ind w:left="240" w:right="20" w:hanging="181"/>
        <w:jc w:val="both"/>
        <w:rPr>
          <w:rFonts w:eastAsia="Times New Roman"/>
          <w:color w:val="CF0A2C"/>
          <w:sz w:val="19"/>
          <w:szCs w:val="19"/>
        </w:rPr>
      </w:pPr>
      <w:r>
        <w:rPr>
          <w:rFonts w:eastAsia="Times New Roman"/>
          <w:sz w:val="19"/>
          <w:szCs w:val="19"/>
        </w:rPr>
        <w:t xml:space="preserve">Awards granted under the 2022 LTIP will be, unless otherwise specified by the Committee, subject to our compensation recovery, clawback and </w:t>
      </w:r>
      <w:r>
        <w:rPr>
          <w:rFonts w:eastAsia="Times New Roman"/>
          <w:sz w:val="19"/>
          <w:szCs w:val="19"/>
        </w:rPr>
        <w:t>recoupment policies as in effect from time to time.</w:t>
      </w:r>
    </w:p>
    <w:p w:rsidR="00CC2C66" w:rsidRDefault="00CC2C66">
      <w:pPr>
        <w:spacing w:line="208" w:lineRule="exact"/>
        <w:rPr>
          <w:sz w:val="20"/>
          <w:szCs w:val="20"/>
        </w:rPr>
      </w:pPr>
    </w:p>
    <w:p w:rsidR="00CC2C66" w:rsidRDefault="00F80B74">
      <w:pPr>
        <w:rPr>
          <w:sz w:val="20"/>
          <w:szCs w:val="20"/>
        </w:rPr>
      </w:pPr>
      <w:r>
        <w:rPr>
          <w:rFonts w:eastAsia="Times New Roman"/>
          <w:b/>
          <w:bCs/>
          <w:color w:val="CF0A2C"/>
          <w:sz w:val="19"/>
          <w:szCs w:val="19"/>
        </w:rPr>
        <w:t>Purposes of the 2022 LTIP</w:t>
      </w:r>
    </w:p>
    <w:p w:rsidR="00CC2C66" w:rsidRDefault="00CC2C66">
      <w:pPr>
        <w:spacing w:line="233" w:lineRule="exact"/>
        <w:rPr>
          <w:sz w:val="20"/>
          <w:szCs w:val="20"/>
        </w:rPr>
      </w:pPr>
    </w:p>
    <w:p w:rsidR="00CC2C66" w:rsidRDefault="00F80B74">
      <w:pPr>
        <w:spacing w:line="252" w:lineRule="auto"/>
        <w:jc w:val="both"/>
        <w:rPr>
          <w:sz w:val="20"/>
          <w:szCs w:val="20"/>
        </w:rPr>
      </w:pPr>
      <w:r>
        <w:rPr>
          <w:rFonts w:eastAsia="Times New Roman"/>
          <w:sz w:val="19"/>
          <w:szCs w:val="19"/>
        </w:rPr>
        <w:t>Equity-based compensation is a significant component of our compensation program and the 2022 LTIP is intended to serve the following purposes:</w:t>
      </w:r>
    </w:p>
    <w:p w:rsidR="00CC2C66" w:rsidRDefault="00CC2C66">
      <w:pPr>
        <w:spacing w:line="245" w:lineRule="exact"/>
        <w:rPr>
          <w:sz w:val="20"/>
          <w:szCs w:val="20"/>
        </w:rPr>
      </w:pPr>
    </w:p>
    <w:p w:rsidR="00CC2C66" w:rsidRDefault="00F80B74">
      <w:pPr>
        <w:numPr>
          <w:ilvl w:val="0"/>
          <w:numId w:val="26"/>
        </w:numPr>
        <w:tabs>
          <w:tab w:val="left" w:pos="240"/>
        </w:tabs>
        <w:spacing w:line="265" w:lineRule="auto"/>
        <w:ind w:left="240" w:right="20" w:hanging="181"/>
        <w:rPr>
          <w:rFonts w:eastAsia="Times New Roman"/>
          <w:color w:val="CF0A2C"/>
          <w:sz w:val="19"/>
          <w:szCs w:val="19"/>
        </w:rPr>
      </w:pPr>
      <w:r>
        <w:rPr>
          <w:rFonts w:eastAsia="Times New Roman"/>
          <w:sz w:val="19"/>
          <w:szCs w:val="19"/>
        </w:rPr>
        <w:t xml:space="preserve">Attract and retain persons </w:t>
      </w:r>
      <w:r>
        <w:rPr>
          <w:rFonts w:eastAsia="Times New Roman"/>
          <w:sz w:val="19"/>
          <w:szCs w:val="19"/>
        </w:rPr>
        <w:t>eligible to participate in the 2022 LTIP;</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46" w:lineRule="exact"/>
        <w:rPr>
          <w:sz w:val="20"/>
          <w:szCs w:val="20"/>
        </w:rPr>
      </w:pPr>
    </w:p>
    <w:p w:rsidR="00CC2C66" w:rsidRDefault="00F80B74">
      <w:pPr>
        <w:numPr>
          <w:ilvl w:val="0"/>
          <w:numId w:val="27"/>
        </w:numPr>
        <w:tabs>
          <w:tab w:val="left" w:pos="940"/>
        </w:tabs>
        <w:ind w:left="940" w:hanging="385"/>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66080" behindDoc="1" locked="0" layoutInCell="0" allowOverlap="1">
            <wp:simplePos x="0" y="0"/>
            <wp:positionH relativeFrom="column">
              <wp:posOffset>496570</wp:posOffset>
            </wp:positionH>
            <wp:positionV relativeFrom="paragraph">
              <wp:posOffset>-81915</wp:posOffset>
            </wp:positionV>
            <wp:extent cx="8255" cy="9715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21" w:name="page21"/>
      <w:bookmarkEnd w:id="21"/>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numPr>
          <w:ilvl w:val="0"/>
          <w:numId w:val="28"/>
        </w:numPr>
        <w:tabs>
          <w:tab w:val="left" w:pos="640"/>
        </w:tabs>
        <w:spacing w:line="265" w:lineRule="auto"/>
        <w:ind w:left="640" w:right="20" w:hanging="178"/>
        <w:rPr>
          <w:rFonts w:eastAsia="Times New Roman"/>
          <w:color w:val="CF0A2C"/>
          <w:sz w:val="19"/>
          <w:szCs w:val="19"/>
        </w:rPr>
      </w:pPr>
      <w:r>
        <w:rPr>
          <w:rFonts w:eastAsia="Times New Roman"/>
          <w:sz w:val="19"/>
          <w:szCs w:val="19"/>
        </w:rPr>
        <w:t>Motivate participants, by means of appropriate incentives, to achieve long-range goals;</w:t>
      </w:r>
    </w:p>
    <w:p w:rsidR="00CC2C66" w:rsidRDefault="00CC2C66">
      <w:pPr>
        <w:spacing w:line="233" w:lineRule="exact"/>
        <w:rPr>
          <w:rFonts w:eastAsia="Times New Roman"/>
          <w:color w:val="CF0A2C"/>
          <w:sz w:val="19"/>
          <w:szCs w:val="19"/>
        </w:rPr>
      </w:pPr>
    </w:p>
    <w:p w:rsidR="00CC2C66" w:rsidRDefault="00F80B74">
      <w:pPr>
        <w:numPr>
          <w:ilvl w:val="0"/>
          <w:numId w:val="28"/>
        </w:numPr>
        <w:tabs>
          <w:tab w:val="left" w:pos="640"/>
        </w:tabs>
        <w:spacing w:line="265" w:lineRule="auto"/>
        <w:ind w:left="640" w:right="20" w:hanging="178"/>
        <w:rPr>
          <w:rFonts w:eastAsia="Times New Roman"/>
          <w:color w:val="CF0A2C"/>
          <w:sz w:val="19"/>
          <w:szCs w:val="19"/>
        </w:rPr>
      </w:pPr>
      <w:r>
        <w:rPr>
          <w:rFonts w:eastAsia="Times New Roman"/>
          <w:sz w:val="19"/>
          <w:szCs w:val="19"/>
        </w:rPr>
        <w:t xml:space="preserve">Provide incentive </w:t>
      </w:r>
      <w:r>
        <w:rPr>
          <w:rFonts w:eastAsia="Times New Roman"/>
          <w:sz w:val="19"/>
          <w:szCs w:val="19"/>
        </w:rPr>
        <w:t>compensation opportunities that are competitive with those of other similar companies; and</w:t>
      </w:r>
    </w:p>
    <w:p w:rsidR="00CC2C66" w:rsidRDefault="00CC2C66">
      <w:pPr>
        <w:spacing w:line="233" w:lineRule="exact"/>
        <w:rPr>
          <w:rFonts w:eastAsia="Times New Roman"/>
          <w:color w:val="CF0A2C"/>
          <w:sz w:val="19"/>
          <w:szCs w:val="19"/>
        </w:rPr>
      </w:pPr>
    </w:p>
    <w:p w:rsidR="00CC2C66" w:rsidRDefault="00F80B74">
      <w:pPr>
        <w:numPr>
          <w:ilvl w:val="0"/>
          <w:numId w:val="28"/>
        </w:numPr>
        <w:tabs>
          <w:tab w:val="left" w:pos="640"/>
        </w:tabs>
        <w:spacing w:line="265" w:lineRule="auto"/>
        <w:ind w:left="640" w:right="20" w:hanging="178"/>
        <w:rPr>
          <w:rFonts w:eastAsia="Times New Roman"/>
          <w:color w:val="CF0A2C"/>
          <w:sz w:val="19"/>
          <w:szCs w:val="19"/>
        </w:rPr>
      </w:pPr>
      <w:r>
        <w:rPr>
          <w:rFonts w:eastAsia="Times New Roman"/>
          <w:sz w:val="19"/>
          <w:szCs w:val="19"/>
        </w:rPr>
        <w:t>Align the interests of participants with those of the Company’s stockholders.</w:t>
      </w:r>
    </w:p>
    <w:p w:rsidR="00CC2C66" w:rsidRDefault="00CC2C66">
      <w:pPr>
        <w:spacing w:line="195" w:lineRule="exact"/>
        <w:rPr>
          <w:sz w:val="20"/>
          <w:szCs w:val="20"/>
        </w:rPr>
      </w:pPr>
    </w:p>
    <w:p w:rsidR="00CC2C66" w:rsidRDefault="00F80B74">
      <w:pPr>
        <w:ind w:left="420"/>
        <w:rPr>
          <w:sz w:val="20"/>
          <w:szCs w:val="20"/>
        </w:rPr>
      </w:pPr>
      <w:r>
        <w:rPr>
          <w:rFonts w:eastAsia="Times New Roman"/>
          <w:sz w:val="19"/>
          <w:szCs w:val="19"/>
        </w:rPr>
        <w:t>Under the 2022 LTIP, the Company may grant:</w:t>
      </w:r>
    </w:p>
    <w:p w:rsidR="00CC2C66" w:rsidRDefault="00CC2C66">
      <w:pPr>
        <w:spacing w:line="280" w:lineRule="exact"/>
        <w:rPr>
          <w:sz w:val="20"/>
          <w:szCs w:val="20"/>
        </w:rPr>
      </w:pPr>
    </w:p>
    <w:p w:rsidR="00CC2C66" w:rsidRDefault="00F80B74">
      <w:pPr>
        <w:numPr>
          <w:ilvl w:val="0"/>
          <w:numId w:val="29"/>
        </w:numPr>
        <w:tabs>
          <w:tab w:val="left" w:pos="640"/>
        </w:tabs>
        <w:ind w:left="640" w:hanging="178"/>
        <w:rPr>
          <w:rFonts w:eastAsia="Times New Roman"/>
          <w:color w:val="CF0A2C"/>
          <w:sz w:val="19"/>
          <w:szCs w:val="19"/>
        </w:rPr>
      </w:pPr>
      <w:r>
        <w:rPr>
          <w:rFonts w:eastAsia="Times New Roman"/>
          <w:sz w:val="19"/>
          <w:szCs w:val="19"/>
        </w:rPr>
        <w:t>Non-qualified stock options;</w:t>
      </w:r>
    </w:p>
    <w:p w:rsidR="00CC2C66" w:rsidRDefault="00CC2C66">
      <w:pPr>
        <w:spacing w:line="279" w:lineRule="exact"/>
        <w:rPr>
          <w:rFonts w:eastAsia="Times New Roman"/>
          <w:color w:val="CF0A2C"/>
          <w:sz w:val="19"/>
          <w:szCs w:val="19"/>
        </w:rPr>
      </w:pPr>
    </w:p>
    <w:p w:rsidR="00CC2C66" w:rsidRDefault="00F80B74">
      <w:pPr>
        <w:numPr>
          <w:ilvl w:val="0"/>
          <w:numId w:val="29"/>
        </w:numPr>
        <w:tabs>
          <w:tab w:val="left" w:pos="640"/>
        </w:tabs>
        <w:spacing w:line="265" w:lineRule="auto"/>
        <w:ind w:left="640" w:right="20" w:hanging="178"/>
        <w:rPr>
          <w:rFonts w:eastAsia="Times New Roman"/>
          <w:color w:val="CF0A2C"/>
          <w:sz w:val="19"/>
          <w:szCs w:val="19"/>
        </w:rPr>
      </w:pPr>
      <w:r>
        <w:rPr>
          <w:rFonts w:eastAsia="Times New Roman"/>
          <w:sz w:val="19"/>
          <w:szCs w:val="19"/>
        </w:rPr>
        <w:t xml:space="preserve">Incentive </w:t>
      </w:r>
      <w:r>
        <w:rPr>
          <w:rFonts w:eastAsia="Times New Roman"/>
          <w:sz w:val="19"/>
          <w:szCs w:val="19"/>
        </w:rPr>
        <w:t>stock options (within the meaning of Section 422 of the Internal Revenue Code);</w:t>
      </w:r>
    </w:p>
    <w:p w:rsidR="00CC2C66" w:rsidRDefault="00CC2C66">
      <w:pPr>
        <w:spacing w:line="233" w:lineRule="exact"/>
        <w:rPr>
          <w:rFonts w:eastAsia="Times New Roman"/>
          <w:color w:val="CF0A2C"/>
          <w:sz w:val="19"/>
          <w:szCs w:val="19"/>
        </w:rPr>
      </w:pPr>
    </w:p>
    <w:p w:rsidR="00CC2C66" w:rsidRDefault="00F80B74">
      <w:pPr>
        <w:numPr>
          <w:ilvl w:val="0"/>
          <w:numId w:val="29"/>
        </w:numPr>
        <w:tabs>
          <w:tab w:val="left" w:pos="640"/>
        </w:tabs>
        <w:ind w:left="640" w:hanging="178"/>
        <w:rPr>
          <w:rFonts w:eastAsia="Times New Roman"/>
          <w:color w:val="CF0A2C"/>
          <w:sz w:val="19"/>
          <w:szCs w:val="19"/>
        </w:rPr>
      </w:pPr>
      <w:r>
        <w:rPr>
          <w:rFonts w:eastAsia="Times New Roman"/>
          <w:sz w:val="19"/>
          <w:szCs w:val="19"/>
        </w:rPr>
        <w:t>SARs;</w:t>
      </w:r>
    </w:p>
    <w:p w:rsidR="00CC2C66" w:rsidRDefault="00CC2C66">
      <w:pPr>
        <w:spacing w:line="279" w:lineRule="exact"/>
        <w:rPr>
          <w:rFonts w:eastAsia="Times New Roman"/>
          <w:color w:val="CF0A2C"/>
          <w:sz w:val="19"/>
          <w:szCs w:val="19"/>
        </w:rPr>
      </w:pPr>
    </w:p>
    <w:p w:rsidR="00CC2C66" w:rsidRDefault="00F80B74">
      <w:pPr>
        <w:numPr>
          <w:ilvl w:val="0"/>
          <w:numId w:val="29"/>
        </w:numPr>
        <w:tabs>
          <w:tab w:val="left" w:pos="640"/>
        </w:tabs>
        <w:spacing w:line="265" w:lineRule="auto"/>
        <w:ind w:left="640" w:right="20" w:hanging="178"/>
        <w:rPr>
          <w:rFonts w:eastAsia="Times New Roman"/>
          <w:color w:val="CF0A2C"/>
          <w:sz w:val="19"/>
          <w:szCs w:val="19"/>
        </w:rPr>
      </w:pPr>
      <w:r>
        <w:rPr>
          <w:rFonts w:eastAsia="Times New Roman"/>
          <w:sz w:val="19"/>
          <w:szCs w:val="19"/>
        </w:rPr>
        <w:t>“Full Value Awards” (including restricted stock, RSUs, performance shares and performance units); and</w:t>
      </w:r>
    </w:p>
    <w:p w:rsidR="00CC2C66" w:rsidRDefault="00CC2C66">
      <w:pPr>
        <w:spacing w:line="233" w:lineRule="exact"/>
        <w:rPr>
          <w:rFonts w:eastAsia="Times New Roman"/>
          <w:color w:val="CF0A2C"/>
          <w:sz w:val="19"/>
          <w:szCs w:val="19"/>
        </w:rPr>
      </w:pPr>
    </w:p>
    <w:p w:rsidR="00CC2C66" w:rsidRDefault="00F80B74">
      <w:pPr>
        <w:numPr>
          <w:ilvl w:val="0"/>
          <w:numId w:val="29"/>
        </w:numPr>
        <w:tabs>
          <w:tab w:val="left" w:pos="640"/>
        </w:tabs>
        <w:ind w:left="640" w:hanging="178"/>
        <w:rPr>
          <w:rFonts w:eastAsia="Times New Roman"/>
          <w:color w:val="CF0A2C"/>
          <w:sz w:val="19"/>
          <w:szCs w:val="19"/>
        </w:rPr>
      </w:pPr>
      <w:r>
        <w:rPr>
          <w:rFonts w:eastAsia="Times New Roman"/>
          <w:sz w:val="19"/>
          <w:szCs w:val="19"/>
        </w:rPr>
        <w:t>Cash incentive awards.</w:t>
      </w:r>
    </w:p>
    <w:p w:rsidR="00CC2C66" w:rsidRDefault="00CC2C66">
      <w:pPr>
        <w:spacing w:line="237" w:lineRule="exact"/>
        <w:rPr>
          <w:sz w:val="20"/>
          <w:szCs w:val="20"/>
        </w:rPr>
      </w:pPr>
    </w:p>
    <w:p w:rsidR="00CC2C66" w:rsidRDefault="00F80B74">
      <w:pPr>
        <w:ind w:left="420"/>
        <w:rPr>
          <w:sz w:val="20"/>
          <w:szCs w:val="20"/>
        </w:rPr>
      </w:pPr>
      <w:r>
        <w:rPr>
          <w:rFonts w:eastAsia="Times New Roman"/>
          <w:b/>
          <w:bCs/>
          <w:color w:val="CF0A2C"/>
          <w:sz w:val="19"/>
          <w:szCs w:val="19"/>
        </w:rPr>
        <w:t>Description of the 2022 LTIP</w:t>
      </w:r>
    </w:p>
    <w:p w:rsidR="00CC2C66" w:rsidRDefault="00CC2C66">
      <w:pPr>
        <w:spacing w:line="233" w:lineRule="exact"/>
        <w:rPr>
          <w:sz w:val="20"/>
          <w:szCs w:val="20"/>
        </w:rPr>
      </w:pPr>
    </w:p>
    <w:p w:rsidR="00CC2C66" w:rsidRDefault="00F80B74">
      <w:pPr>
        <w:spacing w:line="252" w:lineRule="auto"/>
        <w:ind w:left="420" w:right="20"/>
        <w:jc w:val="both"/>
        <w:rPr>
          <w:sz w:val="20"/>
          <w:szCs w:val="20"/>
        </w:rPr>
      </w:pPr>
      <w:r>
        <w:rPr>
          <w:rFonts w:eastAsia="Times New Roman"/>
          <w:sz w:val="19"/>
          <w:szCs w:val="19"/>
        </w:rPr>
        <w:t xml:space="preserve">The </w:t>
      </w:r>
      <w:r>
        <w:rPr>
          <w:rFonts w:eastAsia="Times New Roman"/>
          <w:sz w:val="19"/>
          <w:szCs w:val="19"/>
        </w:rPr>
        <w:t>following description is qualified in its entirety by reference to the plan document, a copy of which is attached as Appendix A and incorporated into this proxy statement by reference.</w:t>
      </w:r>
    </w:p>
    <w:p w:rsidR="00CC2C66" w:rsidRDefault="00CC2C66">
      <w:pPr>
        <w:spacing w:line="202" w:lineRule="exact"/>
        <w:rPr>
          <w:sz w:val="20"/>
          <w:szCs w:val="20"/>
        </w:rPr>
      </w:pPr>
    </w:p>
    <w:p w:rsidR="00CC2C66" w:rsidRDefault="00F80B74">
      <w:pPr>
        <w:ind w:left="420"/>
        <w:rPr>
          <w:sz w:val="20"/>
          <w:szCs w:val="20"/>
        </w:rPr>
      </w:pPr>
      <w:r>
        <w:rPr>
          <w:rFonts w:eastAsia="Times New Roman"/>
          <w:b/>
          <w:bCs/>
          <w:color w:val="CF0A2C"/>
          <w:sz w:val="19"/>
          <w:szCs w:val="19"/>
        </w:rPr>
        <w:t>Administration</w:t>
      </w:r>
    </w:p>
    <w:p w:rsidR="00CC2C66" w:rsidRDefault="00CC2C66">
      <w:pPr>
        <w:spacing w:line="245" w:lineRule="exact"/>
        <w:rPr>
          <w:sz w:val="20"/>
          <w:szCs w:val="20"/>
        </w:rPr>
      </w:pPr>
    </w:p>
    <w:p w:rsidR="00CC2C66" w:rsidRDefault="00F80B74">
      <w:pPr>
        <w:spacing w:line="241" w:lineRule="auto"/>
        <w:ind w:left="420"/>
        <w:jc w:val="both"/>
        <w:rPr>
          <w:sz w:val="20"/>
          <w:szCs w:val="20"/>
        </w:rPr>
      </w:pPr>
      <w:r>
        <w:rPr>
          <w:rFonts w:eastAsia="Times New Roman"/>
          <w:sz w:val="19"/>
          <w:szCs w:val="19"/>
        </w:rPr>
        <w:t>The 2022 LTIP is administered by a “Committee” selecte</w:t>
      </w:r>
      <w:r>
        <w:rPr>
          <w:rFonts w:eastAsia="Times New Roman"/>
          <w:sz w:val="19"/>
          <w:szCs w:val="19"/>
        </w:rPr>
        <w:t xml:space="preserve">d by the Board consisting of two or more non-employee members of the Board or, if no Committee is selected or for any other reason determined by the Board, the Board may take any action under the 2022 LTIP that would otherwise be the responsibility of the </w:t>
      </w:r>
      <w:r>
        <w:rPr>
          <w:rFonts w:eastAsia="Times New Roman"/>
          <w:sz w:val="19"/>
          <w:szCs w:val="19"/>
        </w:rPr>
        <w:t>Committee. The Compensation Committee currently serves as the “Committee” under the 2016 LTIP and is expected to serve as the “Committee” under the 2022 LTIP. The members of the Compensation Committee meet the independence requirements of the NYSE.</w:t>
      </w:r>
    </w:p>
    <w:p w:rsidR="00CC2C66" w:rsidRDefault="00CC2C66">
      <w:pPr>
        <w:spacing w:line="208" w:lineRule="exact"/>
        <w:rPr>
          <w:sz w:val="20"/>
          <w:szCs w:val="20"/>
        </w:rPr>
      </w:pPr>
    </w:p>
    <w:p w:rsidR="00CC2C66" w:rsidRDefault="00F80B74">
      <w:pPr>
        <w:spacing w:line="252" w:lineRule="auto"/>
        <w:ind w:left="420" w:right="20"/>
        <w:jc w:val="both"/>
        <w:rPr>
          <w:sz w:val="20"/>
          <w:szCs w:val="20"/>
        </w:rPr>
      </w:pPr>
      <w:r>
        <w:rPr>
          <w:rFonts w:eastAsia="Times New Roman"/>
          <w:sz w:val="19"/>
          <w:szCs w:val="19"/>
        </w:rPr>
        <w:t>Subjec</w:t>
      </w:r>
      <w:r>
        <w:rPr>
          <w:rFonts w:eastAsia="Times New Roman"/>
          <w:sz w:val="19"/>
          <w:szCs w:val="19"/>
        </w:rPr>
        <w:t>t to the express provisions of the 2022 LTIP, the Committee has the authority and discretion to, among other items, (a) select from among the eligible individuals</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1460"/>
        <w:rPr>
          <w:sz w:val="20"/>
          <w:szCs w:val="20"/>
        </w:rPr>
      </w:pPr>
      <w:r>
        <w:rPr>
          <w:rFonts w:ascii="Arial" w:eastAsia="Arial" w:hAnsi="Arial" w:cs="Arial"/>
          <w:b/>
          <w:bCs/>
          <w:color w:val="FFFFFF"/>
          <w:sz w:val="15"/>
          <w:szCs w:val="15"/>
        </w:rPr>
        <w:t>MATTERS REQUIRING STOCKHOLDER ACTION</w:t>
      </w:r>
    </w:p>
    <w:p w:rsidR="00CC2C66" w:rsidRDefault="00F80B74">
      <w:pPr>
        <w:spacing w:line="20" w:lineRule="exact"/>
        <w:rPr>
          <w:sz w:val="20"/>
          <w:szCs w:val="20"/>
        </w:rPr>
      </w:pPr>
      <w:r>
        <w:rPr>
          <w:noProof/>
          <w:sz w:val="20"/>
          <w:szCs w:val="20"/>
        </w:rPr>
        <w:drawing>
          <wp:anchor distT="0" distB="0" distL="114300" distR="114300" simplePos="0" relativeHeight="251567104"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568128" behindDoc="1" locked="0" layoutInCell="0" allowOverlap="1">
            <wp:simplePos x="0" y="0"/>
            <wp:positionH relativeFrom="column">
              <wp:posOffset>791210</wp:posOffset>
            </wp:positionH>
            <wp:positionV relativeFrom="paragraph">
              <wp:posOffset>-148590</wp:posOffset>
            </wp:positionV>
            <wp:extent cx="2458085" cy="19494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blip>
                    <a:srcRect/>
                    <a:stretch>
                      <a:fillRect/>
                    </a:stretch>
                  </pic:blipFill>
                  <pic:spPr bwMode="auto">
                    <a:xfrm>
                      <a:off x="0" y="0"/>
                      <a:ext cx="245808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45" w:lineRule="auto"/>
        <w:jc w:val="both"/>
        <w:rPr>
          <w:sz w:val="20"/>
          <w:szCs w:val="20"/>
        </w:rPr>
      </w:pPr>
      <w:r>
        <w:rPr>
          <w:rFonts w:eastAsia="Times New Roman"/>
          <w:sz w:val="19"/>
          <w:szCs w:val="19"/>
        </w:rPr>
        <w:t xml:space="preserve">those persons who will receive awards under the </w:t>
      </w:r>
      <w:r>
        <w:rPr>
          <w:rFonts w:eastAsia="Times New Roman"/>
          <w:sz w:val="19"/>
          <w:szCs w:val="19"/>
        </w:rPr>
        <w:t>2022 LTIP, (b) determine the time or times of receipt, (c) determine the types of awards and the number of shares covered by the awards,</w:t>
      </w:r>
    </w:p>
    <w:p w:rsidR="00CC2C66" w:rsidRDefault="00CC2C66">
      <w:pPr>
        <w:spacing w:line="3" w:lineRule="exact"/>
        <w:rPr>
          <w:sz w:val="20"/>
          <w:szCs w:val="20"/>
        </w:rPr>
      </w:pPr>
    </w:p>
    <w:p w:rsidR="00CC2C66" w:rsidRDefault="00F80B74">
      <w:pPr>
        <w:numPr>
          <w:ilvl w:val="0"/>
          <w:numId w:val="30"/>
        </w:numPr>
        <w:tabs>
          <w:tab w:val="left" w:pos="274"/>
        </w:tabs>
        <w:spacing w:line="253" w:lineRule="auto"/>
        <w:ind w:firstLine="8"/>
        <w:jc w:val="both"/>
        <w:rPr>
          <w:rFonts w:eastAsia="Times New Roman"/>
          <w:sz w:val="18"/>
          <w:szCs w:val="18"/>
        </w:rPr>
      </w:pPr>
      <w:r>
        <w:rPr>
          <w:rFonts w:eastAsia="Times New Roman"/>
          <w:sz w:val="18"/>
          <w:szCs w:val="18"/>
        </w:rPr>
        <w:t xml:space="preserve">establish the terms, conditions, performance targets, restrictions and other provisions of such awards, and, subject </w:t>
      </w:r>
      <w:r>
        <w:rPr>
          <w:rFonts w:eastAsia="Times New Roman"/>
          <w:sz w:val="18"/>
          <w:szCs w:val="18"/>
        </w:rPr>
        <w:t xml:space="preserve">to the terms and conditions of the 2022 LTIP, cancel or suspend awards or accelerate the exercisability or vesting of any award, (e) to the extent that the Committee determines that the restrictions imposed by the 2022 LTIP preclude the achievement of the </w:t>
      </w:r>
      <w:r>
        <w:rPr>
          <w:rFonts w:eastAsia="Times New Roman"/>
          <w:sz w:val="18"/>
          <w:szCs w:val="18"/>
        </w:rPr>
        <w:t>material purposes of the awards in jurisdictions outside the United States, modify those restrictions as the Committee determines to be necessary or appropriate to conform to applicable requirements or practices of jurisdictions outside of the United State</w:t>
      </w:r>
      <w:r>
        <w:rPr>
          <w:rFonts w:eastAsia="Times New Roman"/>
          <w:sz w:val="18"/>
          <w:szCs w:val="18"/>
        </w:rPr>
        <w:t>s, (f) conclusively interpret the 2022 LTIP, (g) establish, amend and rescind any rules and regulations relating to the 2022 LTIP, (h) determine the terms and provisions of any award agreement made pursuant to the 2022 LTIP and (i) make all other determina</w:t>
      </w:r>
      <w:r>
        <w:rPr>
          <w:rFonts w:eastAsia="Times New Roman"/>
          <w:sz w:val="18"/>
          <w:szCs w:val="18"/>
        </w:rPr>
        <w:t>tions that may be necessary or advisable for the administration of the 2022 LTIP.</w:t>
      </w:r>
    </w:p>
    <w:p w:rsidR="00CC2C66" w:rsidRDefault="00CC2C66">
      <w:pPr>
        <w:spacing w:line="208" w:lineRule="exact"/>
        <w:rPr>
          <w:sz w:val="20"/>
          <w:szCs w:val="20"/>
        </w:rPr>
      </w:pPr>
    </w:p>
    <w:p w:rsidR="00CC2C66" w:rsidRDefault="00F80B74">
      <w:pPr>
        <w:spacing w:line="243" w:lineRule="auto"/>
        <w:jc w:val="both"/>
        <w:rPr>
          <w:sz w:val="20"/>
          <w:szCs w:val="20"/>
        </w:rPr>
      </w:pPr>
      <w:r>
        <w:rPr>
          <w:rFonts w:eastAsia="Times New Roman"/>
          <w:sz w:val="19"/>
          <w:szCs w:val="19"/>
        </w:rPr>
        <w:t>Except to the extent prohibited by applicable law or the applicable rules of a stock exchange on which shares of the Company’s common stock are listed, the Committee may all</w:t>
      </w:r>
      <w:r>
        <w:rPr>
          <w:rFonts w:eastAsia="Times New Roman"/>
          <w:sz w:val="19"/>
          <w:szCs w:val="19"/>
        </w:rPr>
        <w:t>ocate all or any portion of its responsibilities and powers to any one or more of its members and may delegate all or any part of its responsibilities and powers to any person or persons selected by it.</w:t>
      </w:r>
    </w:p>
    <w:p w:rsidR="00CC2C66" w:rsidRDefault="00CC2C66">
      <w:pPr>
        <w:spacing w:line="215" w:lineRule="exact"/>
        <w:rPr>
          <w:sz w:val="20"/>
          <w:szCs w:val="20"/>
        </w:rPr>
      </w:pPr>
    </w:p>
    <w:p w:rsidR="00CC2C66" w:rsidRDefault="00F80B74">
      <w:pPr>
        <w:rPr>
          <w:sz w:val="20"/>
          <w:szCs w:val="20"/>
        </w:rPr>
      </w:pPr>
      <w:r>
        <w:rPr>
          <w:rFonts w:eastAsia="Times New Roman"/>
          <w:b/>
          <w:bCs/>
          <w:color w:val="CF0A2C"/>
          <w:sz w:val="19"/>
          <w:szCs w:val="19"/>
        </w:rPr>
        <w:t>Available Shares</w:t>
      </w:r>
    </w:p>
    <w:p w:rsidR="00CC2C66" w:rsidRDefault="00CC2C66">
      <w:pPr>
        <w:spacing w:line="233" w:lineRule="exact"/>
        <w:rPr>
          <w:sz w:val="20"/>
          <w:szCs w:val="20"/>
        </w:rPr>
      </w:pPr>
    </w:p>
    <w:p w:rsidR="00CC2C66" w:rsidRDefault="00F80B74">
      <w:pPr>
        <w:jc w:val="both"/>
        <w:rPr>
          <w:sz w:val="20"/>
          <w:szCs w:val="20"/>
        </w:rPr>
      </w:pPr>
      <w:r>
        <w:rPr>
          <w:rFonts w:eastAsia="Times New Roman"/>
          <w:sz w:val="19"/>
          <w:szCs w:val="19"/>
        </w:rPr>
        <w:t>Subject to the capitalization adju</w:t>
      </w:r>
      <w:r>
        <w:rPr>
          <w:rFonts w:eastAsia="Times New Roman"/>
          <w:sz w:val="19"/>
          <w:szCs w:val="19"/>
        </w:rPr>
        <w:t>stment provisions included in the 2022 LTIP, the maximum number of shares of Company common stock that may be delivered to participants and their beneficiaries in respect of all awards to be granted under the 2022 LTIP will be the lower of (i) 31,000,000 s</w:t>
      </w:r>
      <w:r>
        <w:rPr>
          <w:rFonts w:eastAsia="Times New Roman"/>
          <w:sz w:val="19"/>
          <w:szCs w:val="19"/>
        </w:rPr>
        <w:t>hares and (ii) 10% of the total number of shares of Company common stock outstanding as of the date of the Special Meeting (the “</w:t>
      </w:r>
      <w:r>
        <w:rPr>
          <w:rFonts w:eastAsia="Times New Roman"/>
          <w:b/>
          <w:bCs/>
          <w:i/>
          <w:iCs/>
          <w:sz w:val="19"/>
          <w:szCs w:val="19"/>
        </w:rPr>
        <w:t>10% Limit</w:t>
      </w:r>
      <w:r>
        <w:rPr>
          <w:rFonts w:eastAsia="Times New Roman"/>
          <w:sz w:val="19"/>
          <w:szCs w:val="19"/>
        </w:rPr>
        <w:t>”), reduced by the number of shares (or, with respect to Full Value Awards, two times the number of shares) subject to</w:t>
      </w:r>
      <w:r>
        <w:rPr>
          <w:rFonts w:eastAsia="Times New Roman"/>
          <w:sz w:val="19"/>
          <w:szCs w:val="19"/>
        </w:rPr>
        <w:t xml:space="preserve"> any grants that occur under the 2016 LTIP between August 24, 2022 and the effectiveness of the 2022 LTIP. The number of shares that may be delivered to participants and their beneficiaries under the 2022 LTIP may be increased by our stockholders in a gene</w:t>
      </w:r>
      <w:r>
        <w:rPr>
          <w:rFonts w:eastAsia="Times New Roman"/>
          <w:sz w:val="19"/>
          <w:szCs w:val="19"/>
        </w:rPr>
        <w:t>ral meeting after</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56"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15</w:t>
      </w:r>
    </w:p>
    <w:p w:rsidR="00CC2C66" w:rsidRDefault="00F80B74">
      <w:pPr>
        <w:spacing w:line="20" w:lineRule="exact"/>
        <w:rPr>
          <w:sz w:val="20"/>
          <w:szCs w:val="20"/>
        </w:rPr>
      </w:pPr>
      <w:r>
        <w:rPr>
          <w:noProof/>
          <w:sz w:val="20"/>
          <w:szCs w:val="20"/>
        </w:rPr>
        <w:drawing>
          <wp:anchor distT="0" distB="0" distL="114300" distR="114300" simplePos="0" relativeHeight="251569152"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2" w:name="page22"/>
      <w:bookmarkEnd w:id="22"/>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570176" behindDoc="1" locked="0" layoutInCell="0" allowOverlap="1">
            <wp:simplePos x="0" y="0"/>
            <wp:positionH relativeFrom="column">
              <wp:posOffset>260985</wp:posOffset>
            </wp:positionH>
            <wp:positionV relativeFrom="paragraph">
              <wp:posOffset>196850</wp:posOffset>
            </wp:positionV>
            <wp:extent cx="2352675" cy="19494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extLst/>
                    </a:blip>
                    <a:srcRect/>
                    <a:stretch>
                      <a:fillRect/>
                    </a:stretch>
                  </pic:blipFill>
                  <pic:spPr bwMode="auto">
                    <a:xfrm>
                      <a:off x="0" y="0"/>
                      <a:ext cx="235267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MATTERS REQUIRING STOCKHOLDER ACTION</w:t>
      </w:r>
    </w:p>
    <w:p w:rsidR="00CC2C66" w:rsidRDefault="00CC2C66">
      <w:pPr>
        <w:spacing w:line="243" w:lineRule="exact"/>
        <w:rPr>
          <w:sz w:val="20"/>
          <w:szCs w:val="20"/>
        </w:rPr>
      </w:pPr>
    </w:p>
    <w:p w:rsidR="00CC2C66" w:rsidRDefault="00F80B74">
      <w:pPr>
        <w:spacing w:line="255" w:lineRule="auto"/>
        <w:ind w:left="420"/>
        <w:jc w:val="both"/>
        <w:rPr>
          <w:sz w:val="20"/>
          <w:szCs w:val="20"/>
        </w:rPr>
      </w:pPr>
      <w:r>
        <w:rPr>
          <w:rFonts w:eastAsia="Times New Roman"/>
          <w:sz w:val="18"/>
          <w:szCs w:val="18"/>
        </w:rPr>
        <w:t xml:space="preserve">three years from the date of their approval of the previous increase (or the date of the adoption of the 2022 </w:t>
      </w:r>
      <w:r>
        <w:rPr>
          <w:rFonts w:eastAsia="Times New Roman"/>
          <w:sz w:val="18"/>
          <w:szCs w:val="18"/>
        </w:rPr>
        <w:t>LTIP). Additional increases within any three-year period must be approved by our independent stockholders in a manner compliant with Chapter 17 of the Hong Kong Listing Rules in force from time to time. Any increase to the share limit under the 2022 LTIP m</w:t>
      </w:r>
      <w:r>
        <w:rPr>
          <w:rFonts w:eastAsia="Times New Roman"/>
          <w:sz w:val="18"/>
          <w:szCs w:val="18"/>
        </w:rPr>
        <w:t>ay not result in the number of shares of Company common stock that may be delivered to participants and their beneficiaries under the 2022 LTIP exceeding 10% of the total number of shares outstanding as of the date our stockholders approve such increase. O</w:t>
      </w:r>
      <w:r>
        <w:rPr>
          <w:rFonts w:eastAsia="Times New Roman"/>
          <w:sz w:val="18"/>
          <w:szCs w:val="18"/>
        </w:rPr>
        <w:t>n the record date, the closing sales price per share of Company common stock as reported on the NYSE was $48.09. Shares available under the 2022 LTIP will be authorized but unissued shares.</w:t>
      </w:r>
    </w:p>
    <w:p w:rsidR="00CC2C66" w:rsidRDefault="00CC2C66">
      <w:pPr>
        <w:spacing w:line="207" w:lineRule="exact"/>
        <w:rPr>
          <w:sz w:val="20"/>
          <w:szCs w:val="20"/>
        </w:rPr>
      </w:pPr>
    </w:p>
    <w:p w:rsidR="00CC2C66" w:rsidRDefault="00F80B74">
      <w:pPr>
        <w:spacing w:line="253" w:lineRule="auto"/>
        <w:ind w:left="420"/>
        <w:jc w:val="both"/>
        <w:rPr>
          <w:sz w:val="20"/>
          <w:szCs w:val="20"/>
        </w:rPr>
      </w:pPr>
      <w:r>
        <w:rPr>
          <w:rFonts w:eastAsia="Times New Roman"/>
          <w:sz w:val="18"/>
          <w:szCs w:val="18"/>
        </w:rPr>
        <w:t>To the extent shares subject to an award granted under the 2022 L</w:t>
      </w:r>
      <w:r>
        <w:rPr>
          <w:rFonts w:eastAsia="Times New Roman"/>
          <w:sz w:val="18"/>
          <w:szCs w:val="18"/>
        </w:rPr>
        <w:t>TIP were not issued or delivered by reason of (i) lapse of awards due to termination, expiration or forfeiture of such award, (ii) the settlement of such award in cash, or (iii) the withholding of such shares by the Company to satisfy the applicable tax wi</w:t>
      </w:r>
      <w:r>
        <w:rPr>
          <w:rFonts w:eastAsia="Times New Roman"/>
          <w:sz w:val="18"/>
          <w:szCs w:val="18"/>
        </w:rPr>
        <w:t>thholding obligation or exercise price (by way of net settlement or net exercise), in each case, then such shares will not reduce the number of shares remaining available for issuance under the 2022 LTIP. Only the shares subject to a stock-settled SAR that</w:t>
      </w:r>
      <w:r>
        <w:rPr>
          <w:rFonts w:eastAsia="Times New Roman"/>
          <w:sz w:val="18"/>
          <w:szCs w:val="18"/>
        </w:rPr>
        <w:t xml:space="preserve"> are issued to a participant upon exercise of such stock-settled SAR will reduce the number of shares remaining available for issuance under the 2022 LTIP. In addition, subject to the 10% Limit,</w:t>
      </w:r>
    </w:p>
    <w:p w:rsidR="00CC2C66" w:rsidRDefault="00CC2C66">
      <w:pPr>
        <w:spacing w:line="8" w:lineRule="exact"/>
        <w:rPr>
          <w:sz w:val="20"/>
          <w:szCs w:val="20"/>
        </w:rPr>
      </w:pPr>
    </w:p>
    <w:p w:rsidR="00CC2C66" w:rsidRDefault="00F80B74">
      <w:pPr>
        <w:numPr>
          <w:ilvl w:val="0"/>
          <w:numId w:val="31"/>
        </w:numPr>
        <w:tabs>
          <w:tab w:val="left" w:pos="693"/>
        </w:tabs>
        <w:spacing w:line="239" w:lineRule="auto"/>
        <w:ind w:left="420" w:hanging="9"/>
        <w:jc w:val="both"/>
        <w:rPr>
          <w:rFonts w:eastAsia="Times New Roman"/>
          <w:sz w:val="19"/>
          <w:szCs w:val="19"/>
        </w:rPr>
      </w:pPr>
      <w:r>
        <w:rPr>
          <w:rFonts w:eastAsia="Times New Roman"/>
          <w:sz w:val="19"/>
          <w:szCs w:val="19"/>
        </w:rPr>
        <w:t xml:space="preserve">shares withheld by the Company after August 24, 2022 to pay </w:t>
      </w:r>
      <w:r>
        <w:rPr>
          <w:rFonts w:eastAsia="Times New Roman"/>
          <w:sz w:val="19"/>
          <w:szCs w:val="19"/>
        </w:rPr>
        <w:t>the withholding taxes related to an outstanding award granted under the 2016 LTIP and (y) shares subject to awards granted under the 2016 LTIP between August 24, 2022 and the date of the Special Meeting which are not delivered to a participant or beneficia</w:t>
      </w:r>
      <w:r>
        <w:rPr>
          <w:rFonts w:eastAsia="Times New Roman"/>
          <w:sz w:val="19"/>
          <w:szCs w:val="19"/>
        </w:rPr>
        <w:t>ry because they have lapsed in accordance with the terms of the 2016 LTIP, including due to forfeiture, termination, or expiration of the award, in each case, will also become available for grant under the 2022 LTIP.</w:t>
      </w:r>
    </w:p>
    <w:p w:rsidR="00CC2C66" w:rsidRDefault="00CC2C66">
      <w:pPr>
        <w:spacing w:line="220" w:lineRule="exact"/>
        <w:rPr>
          <w:sz w:val="20"/>
          <w:szCs w:val="20"/>
        </w:rPr>
      </w:pPr>
    </w:p>
    <w:p w:rsidR="00CC2C66" w:rsidRDefault="00F80B74">
      <w:pPr>
        <w:spacing w:line="245" w:lineRule="auto"/>
        <w:ind w:left="420"/>
        <w:jc w:val="both"/>
        <w:rPr>
          <w:sz w:val="20"/>
          <w:szCs w:val="20"/>
        </w:rPr>
      </w:pPr>
      <w:r>
        <w:rPr>
          <w:rFonts w:eastAsia="Times New Roman"/>
          <w:sz w:val="19"/>
          <w:szCs w:val="19"/>
        </w:rPr>
        <w:t>The 2022 LTIP uses a fungible share co</w:t>
      </w:r>
      <w:r>
        <w:rPr>
          <w:rFonts w:eastAsia="Times New Roman"/>
          <w:sz w:val="19"/>
          <w:szCs w:val="19"/>
        </w:rPr>
        <w:t>unting method, such that Full Value Awards reduce the 2022 LTIP’s share reserve at a ratio of two shares for every share subject to the Full Value Award and stock options and SARs will reduce the share reserve on a one-for-one basis.</w:t>
      </w:r>
    </w:p>
    <w:p w:rsidR="00CC2C66" w:rsidRDefault="00CC2C66">
      <w:pPr>
        <w:spacing w:line="200" w:lineRule="exact"/>
        <w:rPr>
          <w:sz w:val="20"/>
          <w:szCs w:val="20"/>
        </w:rPr>
      </w:pPr>
    </w:p>
    <w:p w:rsidR="00CC2C66" w:rsidRDefault="00CC2C66">
      <w:pPr>
        <w:spacing w:line="334" w:lineRule="exact"/>
        <w:rPr>
          <w:sz w:val="20"/>
          <w:szCs w:val="20"/>
        </w:rPr>
      </w:pPr>
    </w:p>
    <w:p w:rsidR="00CC2C66" w:rsidRDefault="00F80B74">
      <w:pPr>
        <w:numPr>
          <w:ilvl w:val="0"/>
          <w:numId w:val="32"/>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Proxy </w:t>
      </w:r>
      <w:r>
        <w:rPr>
          <w:rFonts w:ascii="Arial" w:eastAsia="Arial" w:hAnsi="Arial" w:cs="Arial"/>
          <w:i/>
          <w:iCs/>
          <w:color w:val="4C4C4C"/>
          <w:sz w:val="14"/>
          <w:szCs w:val="14"/>
        </w:rPr>
        <w:t>Statement</w:t>
      </w:r>
    </w:p>
    <w:p w:rsidR="00CC2C66" w:rsidRDefault="00F80B74">
      <w:pPr>
        <w:spacing w:line="20" w:lineRule="exact"/>
        <w:rPr>
          <w:sz w:val="20"/>
          <w:szCs w:val="20"/>
        </w:rPr>
      </w:pPr>
      <w:r>
        <w:rPr>
          <w:noProof/>
          <w:sz w:val="20"/>
          <w:szCs w:val="20"/>
        </w:rPr>
        <w:drawing>
          <wp:anchor distT="0" distB="0" distL="114300" distR="114300" simplePos="0" relativeHeight="251571200"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59" w:lineRule="exact"/>
        <w:rPr>
          <w:sz w:val="20"/>
          <w:szCs w:val="20"/>
        </w:rPr>
      </w:pPr>
    </w:p>
    <w:p w:rsidR="00CC2C66" w:rsidRDefault="00F80B74">
      <w:pPr>
        <w:rPr>
          <w:sz w:val="20"/>
          <w:szCs w:val="20"/>
        </w:rPr>
      </w:pPr>
      <w:r>
        <w:rPr>
          <w:rFonts w:eastAsia="Times New Roman"/>
          <w:b/>
          <w:bCs/>
          <w:color w:val="CF0A2C"/>
          <w:sz w:val="19"/>
          <w:szCs w:val="19"/>
        </w:rPr>
        <w:t>Other Share Limits</w:t>
      </w:r>
    </w:p>
    <w:p w:rsidR="00CC2C66" w:rsidRDefault="00F80B74">
      <w:pPr>
        <w:spacing w:line="20" w:lineRule="exact"/>
        <w:rPr>
          <w:sz w:val="20"/>
          <w:szCs w:val="20"/>
        </w:rPr>
      </w:pPr>
      <w:r>
        <w:rPr>
          <w:noProof/>
          <w:sz w:val="20"/>
          <w:szCs w:val="20"/>
        </w:rPr>
        <w:drawing>
          <wp:anchor distT="0" distB="0" distL="114300" distR="114300" simplePos="0" relativeHeight="251572224" behindDoc="1" locked="0" layoutInCell="0" allowOverlap="1">
            <wp:simplePos x="0" y="0"/>
            <wp:positionH relativeFrom="column">
              <wp:posOffset>-3642995</wp:posOffset>
            </wp:positionH>
            <wp:positionV relativeFrom="paragraph">
              <wp:posOffset>-949960</wp:posOffset>
            </wp:positionV>
            <wp:extent cx="7181215" cy="3683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25" w:lineRule="exact"/>
        <w:rPr>
          <w:sz w:val="20"/>
          <w:szCs w:val="20"/>
        </w:rPr>
      </w:pPr>
    </w:p>
    <w:p w:rsidR="00CC2C66" w:rsidRDefault="00F80B74">
      <w:pPr>
        <w:spacing w:line="254" w:lineRule="auto"/>
        <w:jc w:val="both"/>
        <w:rPr>
          <w:sz w:val="20"/>
          <w:szCs w:val="20"/>
        </w:rPr>
      </w:pPr>
      <w:r>
        <w:rPr>
          <w:rFonts w:eastAsia="Times New Roman"/>
          <w:sz w:val="18"/>
          <w:szCs w:val="18"/>
        </w:rPr>
        <w:t xml:space="preserve">Under the terms of the 2022 LTIP, (i) the number of shares initially available for grants of incentive stock options under the 2022 LTIP equals 31,000,000, subject to any lower limits imposed under the Hong Kong </w:t>
      </w:r>
      <w:r>
        <w:rPr>
          <w:rFonts w:eastAsia="Times New Roman"/>
          <w:sz w:val="18"/>
          <w:szCs w:val="18"/>
        </w:rPr>
        <w:t>Listing Rules or the rules of the NYSE; (ii) the maximum number of shares that may be covered by stock options or SARs granted to any one individual during any five calendar-year period will be 9,000,000; (iii) for Full Value Awards, no more than 3,000,000</w:t>
      </w:r>
      <w:r>
        <w:rPr>
          <w:rFonts w:eastAsia="Times New Roman"/>
          <w:sz w:val="18"/>
          <w:szCs w:val="18"/>
        </w:rPr>
        <w:t xml:space="preserve"> shares may be subject to Full Value Awards granted to any one individual during any five-calendar-year period; and</w:t>
      </w:r>
    </w:p>
    <w:p w:rsidR="00CC2C66" w:rsidRDefault="00CC2C66">
      <w:pPr>
        <w:spacing w:line="3" w:lineRule="exact"/>
        <w:rPr>
          <w:sz w:val="20"/>
          <w:szCs w:val="20"/>
        </w:rPr>
      </w:pPr>
    </w:p>
    <w:p w:rsidR="00CC2C66" w:rsidRDefault="00F80B74">
      <w:pPr>
        <w:numPr>
          <w:ilvl w:val="0"/>
          <w:numId w:val="33"/>
        </w:numPr>
        <w:tabs>
          <w:tab w:val="left" w:pos="381"/>
        </w:tabs>
        <w:spacing w:line="241" w:lineRule="auto"/>
        <w:ind w:right="20" w:firstLine="8"/>
        <w:jc w:val="both"/>
        <w:rPr>
          <w:rFonts w:eastAsia="Times New Roman"/>
          <w:sz w:val="19"/>
          <w:szCs w:val="19"/>
        </w:rPr>
      </w:pPr>
      <w:r>
        <w:rPr>
          <w:rFonts w:eastAsia="Times New Roman"/>
          <w:sz w:val="19"/>
          <w:szCs w:val="19"/>
        </w:rPr>
        <w:t>a non-employee director may not be granted during any calendar year an award or awards having a value determined on the grant date in exces</w:t>
      </w:r>
      <w:r>
        <w:rPr>
          <w:rFonts w:eastAsia="Times New Roman"/>
          <w:sz w:val="19"/>
          <w:szCs w:val="19"/>
        </w:rPr>
        <w:t>s of $1,500,000.</w:t>
      </w:r>
    </w:p>
    <w:p w:rsidR="00CC2C66" w:rsidRDefault="00CC2C66">
      <w:pPr>
        <w:spacing w:line="216" w:lineRule="exact"/>
        <w:rPr>
          <w:sz w:val="20"/>
          <w:szCs w:val="20"/>
        </w:rPr>
      </w:pPr>
    </w:p>
    <w:p w:rsidR="00CC2C66" w:rsidRDefault="00F80B74">
      <w:pPr>
        <w:spacing w:line="239" w:lineRule="auto"/>
        <w:jc w:val="both"/>
        <w:rPr>
          <w:sz w:val="20"/>
          <w:szCs w:val="20"/>
        </w:rPr>
      </w:pPr>
      <w:r>
        <w:rPr>
          <w:rFonts w:eastAsia="Times New Roman"/>
          <w:sz w:val="19"/>
          <w:szCs w:val="19"/>
        </w:rPr>
        <w:t>In addition, to the extent any grant of an award to any one individual would result in the shares issued or to be issued in respect of all awards granted to such individual (excluding any awards that have been forfeited or lapsed in accor</w:t>
      </w:r>
      <w:r>
        <w:rPr>
          <w:rFonts w:eastAsia="Times New Roman"/>
          <w:sz w:val="19"/>
          <w:szCs w:val="19"/>
        </w:rPr>
        <w:t>dance with the terms of the 2022 LTIP) in the 12-month period up to and including the date of such grant representing in the aggregate more than the limit set out in the Hong Kong Listing Rules (currently 1% of the shares of the Company issued as of such d</w:t>
      </w:r>
      <w:r>
        <w:rPr>
          <w:rFonts w:eastAsia="Times New Roman"/>
          <w:sz w:val="19"/>
          <w:szCs w:val="19"/>
        </w:rPr>
        <w:t>ate), then such grant must be separately approved by our stockholders in accordance with the Hong Kong Listing Rules. Pursuant to the Hong Kong Listing Rules, if (i) a grant of an award (excluding options and SARs) (the “</w:t>
      </w:r>
      <w:r>
        <w:rPr>
          <w:rFonts w:eastAsia="Times New Roman"/>
          <w:b/>
          <w:bCs/>
          <w:i/>
          <w:iCs/>
          <w:sz w:val="19"/>
          <w:szCs w:val="19"/>
        </w:rPr>
        <w:t>Other Equity Awards</w:t>
      </w:r>
      <w:r>
        <w:rPr>
          <w:rFonts w:eastAsia="Times New Roman"/>
          <w:sz w:val="19"/>
          <w:szCs w:val="19"/>
        </w:rPr>
        <w:t>”) to any one of</w:t>
      </w:r>
      <w:r>
        <w:rPr>
          <w:rFonts w:eastAsia="Times New Roman"/>
          <w:sz w:val="19"/>
          <w:szCs w:val="19"/>
        </w:rPr>
        <w:t xml:space="preserve"> our directors whose role is executive in nature or our Chief Executive Officer or any of their associates would result in the shares issued and the shares to be issued in respect of all Other Equity Awards granted (excluding the awards lapsed in accordanc</w:t>
      </w:r>
      <w:r>
        <w:rPr>
          <w:rFonts w:eastAsia="Times New Roman"/>
          <w:sz w:val="19"/>
          <w:szCs w:val="19"/>
        </w:rPr>
        <w:t>e with the 2022 LTIP) in the 12-month period up to and including the date of such grant representing in aggregate over 0.1% of the total issued shares on the date of such grant, or (ii) a grant of an award (including options, SARs and any other types of sh</w:t>
      </w:r>
      <w:r>
        <w:rPr>
          <w:rFonts w:eastAsia="Times New Roman"/>
          <w:sz w:val="19"/>
          <w:szCs w:val="19"/>
        </w:rPr>
        <w:t xml:space="preserve">are awards) to any one of our independent directors or substantial shareholder of the Company or any of their associates would result in the shares issued and the shares to be issued in respect of all awards (excluding the awards lapsed in accordance with </w:t>
      </w:r>
      <w:r>
        <w:rPr>
          <w:rFonts w:eastAsia="Times New Roman"/>
          <w:sz w:val="19"/>
          <w:szCs w:val="19"/>
        </w:rPr>
        <w:t>the 2022 LTIP) in the 12-month period up to and including the date of such grant representing in aggregate over 0.1% of the total issued shares on</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3" w:name="page23"/>
      <w:bookmarkEnd w:id="23"/>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65" w:lineRule="auto"/>
        <w:ind w:left="420" w:right="20"/>
        <w:jc w:val="both"/>
        <w:rPr>
          <w:sz w:val="20"/>
          <w:szCs w:val="20"/>
        </w:rPr>
      </w:pPr>
      <w:r>
        <w:rPr>
          <w:rFonts w:eastAsia="Times New Roman"/>
          <w:sz w:val="19"/>
          <w:szCs w:val="19"/>
        </w:rPr>
        <w:t>the date of such grant, such further grant exceeding the 0.1%</w:t>
      </w:r>
      <w:r>
        <w:rPr>
          <w:rFonts w:eastAsia="Times New Roman"/>
          <w:sz w:val="19"/>
          <w:szCs w:val="19"/>
        </w:rPr>
        <w:t xml:space="preserve"> limit must be approved by our stockholders.</w:t>
      </w:r>
    </w:p>
    <w:p w:rsidR="00CC2C66" w:rsidRDefault="00CC2C66">
      <w:pPr>
        <w:spacing w:line="191" w:lineRule="exact"/>
        <w:rPr>
          <w:sz w:val="20"/>
          <w:szCs w:val="20"/>
        </w:rPr>
      </w:pPr>
    </w:p>
    <w:p w:rsidR="00CC2C66" w:rsidRDefault="00F80B74">
      <w:pPr>
        <w:ind w:left="420"/>
        <w:rPr>
          <w:sz w:val="20"/>
          <w:szCs w:val="20"/>
        </w:rPr>
      </w:pPr>
      <w:r>
        <w:rPr>
          <w:rFonts w:eastAsia="Times New Roman"/>
          <w:b/>
          <w:bCs/>
          <w:color w:val="CF0A2C"/>
          <w:sz w:val="19"/>
          <w:szCs w:val="19"/>
        </w:rPr>
        <w:t>Change in Control</w:t>
      </w:r>
    </w:p>
    <w:p w:rsidR="00CC2C66" w:rsidRDefault="00CC2C66">
      <w:pPr>
        <w:spacing w:line="245" w:lineRule="exact"/>
        <w:rPr>
          <w:sz w:val="20"/>
          <w:szCs w:val="20"/>
        </w:rPr>
      </w:pPr>
    </w:p>
    <w:p w:rsidR="00CC2C66" w:rsidRDefault="00F80B74">
      <w:pPr>
        <w:ind w:left="420"/>
        <w:jc w:val="both"/>
        <w:rPr>
          <w:sz w:val="20"/>
          <w:szCs w:val="20"/>
        </w:rPr>
      </w:pPr>
      <w:r>
        <w:rPr>
          <w:rFonts w:eastAsia="Times New Roman"/>
          <w:sz w:val="19"/>
          <w:szCs w:val="19"/>
        </w:rPr>
        <w:t xml:space="preserve">Unless otherwise provided in the 2022 LTIP or an award agreement, in the event a participant’s employment is involuntarily terminated by the Company other than for cause on or within two </w:t>
      </w:r>
      <w:r>
        <w:rPr>
          <w:rFonts w:eastAsia="Times New Roman"/>
          <w:sz w:val="19"/>
          <w:szCs w:val="19"/>
        </w:rPr>
        <w:t>years following a change in control of the Company, then (i) all outstanding options (regardless of whether in tandem with SARs) will become fully exercisable, (ii) all outstanding SARs (regardless of whether in tandem with options) will become fully exerc</w:t>
      </w:r>
      <w:r>
        <w:rPr>
          <w:rFonts w:eastAsia="Times New Roman"/>
          <w:sz w:val="19"/>
          <w:szCs w:val="19"/>
        </w:rPr>
        <w:t>isable, and (iii) all Full Value Awards will become fully vested and the Committee will determine the extent to which any applicable performance conditions have been met in accordance with the terms of the 2022 LTIP and the applicable award agreement. In n</w:t>
      </w:r>
      <w:r>
        <w:rPr>
          <w:rFonts w:eastAsia="Times New Roman"/>
          <w:sz w:val="19"/>
          <w:szCs w:val="19"/>
        </w:rPr>
        <w:t>o event will the application of this provision cause the vesting period of any award held by a participant who is not an Employee Participant (as defined below) to be less than 12 months.</w:t>
      </w:r>
    </w:p>
    <w:p w:rsidR="00CC2C66" w:rsidRDefault="00CC2C66">
      <w:pPr>
        <w:spacing w:line="211" w:lineRule="exact"/>
        <w:rPr>
          <w:sz w:val="20"/>
          <w:szCs w:val="20"/>
        </w:rPr>
      </w:pPr>
    </w:p>
    <w:p w:rsidR="00CC2C66" w:rsidRDefault="00F80B74">
      <w:pPr>
        <w:spacing w:line="259" w:lineRule="auto"/>
        <w:ind w:left="420"/>
        <w:jc w:val="both"/>
        <w:rPr>
          <w:sz w:val="20"/>
          <w:szCs w:val="20"/>
        </w:rPr>
      </w:pPr>
      <w:r>
        <w:rPr>
          <w:rFonts w:eastAsia="Times New Roman"/>
          <w:sz w:val="18"/>
          <w:szCs w:val="18"/>
        </w:rPr>
        <w:t xml:space="preserve">Under the terms of the 2022 LTIP, a change in control is generally </w:t>
      </w:r>
      <w:r>
        <w:rPr>
          <w:rFonts w:eastAsia="Times New Roman"/>
          <w:sz w:val="18"/>
          <w:szCs w:val="18"/>
        </w:rPr>
        <w:t>defined as (i) a change in our Board resulting in the incumbent directors ceasing to constitute at least a majority of our Board,</w:t>
      </w:r>
    </w:p>
    <w:p w:rsidR="00CC2C66" w:rsidRDefault="00CC2C66">
      <w:pPr>
        <w:spacing w:line="2" w:lineRule="exact"/>
        <w:rPr>
          <w:sz w:val="20"/>
          <w:szCs w:val="20"/>
        </w:rPr>
      </w:pPr>
    </w:p>
    <w:p w:rsidR="00CC2C66" w:rsidRDefault="00F80B74">
      <w:pPr>
        <w:numPr>
          <w:ilvl w:val="0"/>
          <w:numId w:val="34"/>
        </w:numPr>
        <w:tabs>
          <w:tab w:val="left" w:pos="725"/>
        </w:tabs>
        <w:ind w:left="420" w:hanging="9"/>
        <w:jc w:val="both"/>
        <w:rPr>
          <w:rFonts w:eastAsia="Times New Roman"/>
          <w:sz w:val="19"/>
          <w:szCs w:val="19"/>
        </w:rPr>
      </w:pPr>
      <w:r>
        <w:rPr>
          <w:rFonts w:eastAsia="Times New Roman"/>
          <w:sz w:val="19"/>
          <w:szCs w:val="19"/>
        </w:rPr>
        <w:t>certain acquisitions of 35% or more of the Company’s then outstanding securities eligible to vote for the election of our Boa</w:t>
      </w:r>
      <w:r>
        <w:rPr>
          <w:rFonts w:eastAsia="Times New Roman"/>
          <w:sz w:val="19"/>
          <w:szCs w:val="19"/>
        </w:rPr>
        <w:t>rd, or (iii) the consummation of certain mergers or consolidations involving the Company or any of its subsidiaries.</w:t>
      </w:r>
    </w:p>
    <w:p w:rsidR="00CC2C66" w:rsidRDefault="00CC2C66">
      <w:pPr>
        <w:spacing w:line="214" w:lineRule="exact"/>
        <w:rPr>
          <w:sz w:val="20"/>
          <w:szCs w:val="20"/>
        </w:rPr>
      </w:pPr>
    </w:p>
    <w:p w:rsidR="00CC2C66" w:rsidRDefault="00F80B74">
      <w:pPr>
        <w:ind w:left="420"/>
        <w:rPr>
          <w:sz w:val="20"/>
          <w:szCs w:val="20"/>
        </w:rPr>
      </w:pPr>
      <w:r>
        <w:rPr>
          <w:rFonts w:eastAsia="Times New Roman"/>
          <w:b/>
          <w:bCs/>
          <w:color w:val="CF0A2C"/>
          <w:sz w:val="19"/>
          <w:szCs w:val="19"/>
        </w:rPr>
        <w:t>No Repricing</w:t>
      </w:r>
    </w:p>
    <w:p w:rsidR="00CC2C66" w:rsidRDefault="00CC2C66">
      <w:pPr>
        <w:spacing w:line="245" w:lineRule="exact"/>
        <w:rPr>
          <w:sz w:val="20"/>
          <w:szCs w:val="20"/>
        </w:rPr>
      </w:pPr>
    </w:p>
    <w:p w:rsidR="00CC2C66" w:rsidRDefault="00F80B74">
      <w:pPr>
        <w:spacing w:line="241" w:lineRule="auto"/>
        <w:ind w:left="420"/>
        <w:jc w:val="both"/>
        <w:rPr>
          <w:sz w:val="20"/>
          <w:szCs w:val="20"/>
        </w:rPr>
      </w:pPr>
      <w:r>
        <w:rPr>
          <w:rFonts w:eastAsia="Times New Roman"/>
          <w:sz w:val="19"/>
          <w:szCs w:val="19"/>
        </w:rPr>
        <w:t xml:space="preserve">Other than pursuant to the adjustment provisions described below or as approved by the Company’s stockholders, the exercise </w:t>
      </w:r>
      <w:r>
        <w:rPr>
          <w:rFonts w:eastAsia="Times New Roman"/>
          <w:sz w:val="19"/>
          <w:szCs w:val="19"/>
        </w:rPr>
        <w:t>price for any outstanding option or SAR may not be decreased and no outstanding option or SAR may be surrendered to the Company in exchange for a replacement option or SAR with a lower exercise price or a Full Value Award. Except as approved by the Company</w:t>
      </w:r>
      <w:r>
        <w:rPr>
          <w:rFonts w:eastAsia="Times New Roman"/>
          <w:sz w:val="19"/>
          <w:szCs w:val="19"/>
        </w:rPr>
        <w:t>’s stockholders, no option or SAR may be surrendered to the Company in consideration for a cash payment if, at the time of such surrender, the exercise price of the option or SAR is greater than the then current fair market value of a share of Company comm</w:t>
      </w:r>
      <w:r>
        <w:rPr>
          <w:rFonts w:eastAsia="Times New Roman"/>
          <w:sz w:val="19"/>
          <w:szCs w:val="19"/>
        </w:rPr>
        <w:t>on stock.</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1460"/>
        <w:rPr>
          <w:sz w:val="20"/>
          <w:szCs w:val="20"/>
        </w:rPr>
      </w:pPr>
      <w:r>
        <w:rPr>
          <w:rFonts w:ascii="Arial" w:eastAsia="Arial" w:hAnsi="Arial" w:cs="Arial"/>
          <w:b/>
          <w:bCs/>
          <w:color w:val="FFFFFF"/>
          <w:sz w:val="15"/>
          <w:szCs w:val="15"/>
        </w:rPr>
        <w:t>MATTERS REQUIRING STOCKHOLDER ACTION</w:t>
      </w:r>
    </w:p>
    <w:p w:rsidR="00CC2C66" w:rsidRDefault="00F80B74">
      <w:pPr>
        <w:spacing w:line="20" w:lineRule="exact"/>
        <w:rPr>
          <w:sz w:val="20"/>
          <w:szCs w:val="20"/>
        </w:rPr>
      </w:pPr>
      <w:r>
        <w:rPr>
          <w:noProof/>
          <w:sz w:val="20"/>
          <w:szCs w:val="20"/>
        </w:rPr>
        <w:drawing>
          <wp:anchor distT="0" distB="0" distL="114300" distR="114300" simplePos="0" relativeHeight="251573248"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574272" behindDoc="1" locked="0" layoutInCell="0" allowOverlap="1">
            <wp:simplePos x="0" y="0"/>
            <wp:positionH relativeFrom="column">
              <wp:posOffset>791210</wp:posOffset>
            </wp:positionH>
            <wp:positionV relativeFrom="paragraph">
              <wp:posOffset>-148590</wp:posOffset>
            </wp:positionV>
            <wp:extent cx="2458085" cy="19494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blip>
                    <a:srcRect/>
                    <a:stretch>
                      <a:fillRect/>
                    </a:stretch>
                  </pic:blipFill>
                  <pic:spPr bwMode="auto">
                    <a:xfrm>
                      <a:off x="0" y="0"/>
                      <a:ext cx="2458085" cy="194945"/>
                    </a:xfrm>
                    <a:prstGeom prst="rect">
                      <a:avLst/>
                    </a:prstGeom>
                    <a:noFill/>
                  </pic:spPr>
                </pic:pic>
              </a:graphicData>
            </a:graphic>
          </wp:anchor>
        </w:drawing>
      </w:r>
    </w:p>
    <w:p w:rsidR="00CC2C66" w:rsidRDefault="00CC2C66">
      <w:pPr>
        <w:spacing w:line="219" w:lineRule="exact"/>
        <w:rPr>
          <w:sz w:val="20"/>
          <w:szCs w:val="20"/>
        </w:rPr>
      </w:pPr>
    </w:p>
    <w:p w:rsidR="00CC2C66" w:rsidRDefault="00F80B74">
      <w:pPr>
        <w:rPr>
          <w:sz w:val="20"/>
          <w:szCs w:val="20"/>
        </w:rPr>
      </w:pPr>
      <w:r>
        <w:rPr>
          <w:rFonts w:eastAsia="Times New Roman"/>
          <w:b/>
          <w:bCs/>
          <w:color w:val="CF0A2C"/>
          <w:sz w:val="19"/>
          <w:szCs w:val="19"/>
        </w:rPr>
        <w:t>Restrictions, Misconduct and Recoupment</w:t>
      </w:r>
    </w:p>
    <w:p w:rsidR="00CC2C66" w:rsidRDefault="00CC2C66">
      <w:pPr>
        <w:spacing w:line="245" w:lineRule="exact"/>
        <w:rPr>
          <w:sz w:val="20"/>
          <w:szCs w:val="20"/>
        </w:rPr>
      </w:pPr>
    </w:p>
    <w:p w:rsidR="00CC2C66" w:rsidRDefault="00F80B74">
      <w:pPr>
        <w:spacing w:line="241" w:lineRule="auto"/>
        <w:jc w:val="both"/>
        <w:rPr>
          <w:sz w:val="20"/>
          <w:szCs w:val="20"/>
        </w:rPr>
      </w:pPr>
      <w:r>
        <w:rPr>
          <w:rFonts w:eastAsia="Times New Roman"/>
          <w:sz w:val="19"/>
          <w:szCs w:val="19"/>
        </w:rPr>
        <w:t xml:space="preserve">The Committee, in its discretion, may impose such restrictions on shares of stock acquired pursuant to the 2022 LTIP, whether pursuant to the exercise of a </w:t>
      </w:r>
      <w:r>
        <w:rPr>
          <w:rFonts w:eastAsia="Times New Roman"/>
          <w:sz w:val="19"/>
          <w:szCs w:val="19"/>
        </w:rPr>
        <w:t>stock option or SAR, settlement of a Full Value Award or otherwise, as it determines to be desirable, including restrictions relating to disposition of the shares and forfeiture restrictions based on service, performance, stock ownership by the participant</w:t>
      </w:r>
      <w:r>
        <w:rPr>
          <w:rFonts w:eastAsia="Times New Roman"/>
          <w:sz w:val="19"/>
          <w:szCs w:val="19"/>
        </w:rPr>
        <w:t>, conformity with our recoupment, compensation recovery or clawback policies and such other factors as the Committee determines to be appropriate.</w:t>
      </w:r>
    </w:p>
    <w:p w:rsidR="00CC2C66" w:rsidRDefault="00CC2C66">
      <w:pPr>
        <w:spacing w:line="223" w:lineRule="exact"/>
        <w:rPr>
          <w:sz w:val="20"/>
          <w:szCs w:val="20"/>
        </w:rPr>
      </w:pPr>
    </w:p>
    <w:p w:rsidR="00CC2C66" w:rsidRDefault="00F80B74">
      <w:pPr>
        <w:rPr>
          <w:sz w:val="20"/>
          <w:szCs w:val="20"/>
        </w:rPr>
      </w:pPr>
      <w:r>
        <w:rPr>
          <w:rFonts w:eastAsia="Times New Roman"/>
          <w:sz w:val="19"/>
          <w:szCs w:val="19"/>
        </w:rPr>
        <w:t>If the Committee determines that a present or former employee has</w:t>
      </w:r>
    </w:p>
    <w:p w:rsidR="00CC2C66" w:rsidRDefault="00CC2C66">
      <w:pPr>
        <w:spacing w:line="19" w:lineRule="exact"/>
        <w:rPr>
          <w:sz w:val="20"/>
          <w:szCs w:val="20"/>
        </w:rPr>
      </w:pPr>
    </w:p>
    <w:p w:rsidR="00CC2C66" w:rsidRDefault="00F80B74">
      <w:pPr>
        <w:numPr>
          <w:ilvl w:val="0"/>
          <w:numId w:val="35"/>
        </w:numPr>
        <w:tabs>
          <w:tab w:val="left" w:pos="255"/>
        </w:tabs>
        <w:spacing w:line="239" w:lineRule="auto"/>
        <w:ind w:firstLine="8"/>
        <w:jc w:val="both"/>
        <w:rPr>
          <w:rFonts w:eastAsia="Times New Roman"/>
          <w:sz w:val="19"/>
          <w:szCs w:val="19"/>
        </w:rPr>
      </w:pPr>
      <w:r>
        <w:rPr>
          <w:rFonts w:eastAsia="Times New Roman"/>
          <w:sz w:val="19"/>
          <w:szCs w:val="19"/>
        </w:rPr>
        <w:t>used for profit or disclosed to unauthori</w:t>
      </w:r>
      <w:r>
        <w:rPr>
          <w:rFonts w:eastAsia="Times New Roman"/>
          <w:sz w:val="19"/>
          <w:szCs w:val="19"/>
        </w:rPr>
        <w:t>zed persons, confidential or trade secrets of the Company or our subsidiaries, (b) breached any contract with or violated any fiduciary obligation to the Company or our subsidiaries, or (c) engaged in any conduct which the Committee determines is injurious</w:t>
      </w:r>
      <w:r>
        <w:rPr>
          <w:rFonts w:eastAsia="Times New Roman"/>
          <w:sz w:val="19"/>
          <w:szCs w:val="19"/>
        </w:rPr>
        <w:t xml:space="preserve"> to us or our subsidiaries, the Committee may cause that employee to forfeit his or her outstanding awards under the 2022 LTIP. This provision does not apply during any period where there is a potential change in control in effect or following a change in </w:t>
      </w:r>
      <w:r>
        <w:rPr>
          <w:rFonts w:eastAsia="Times New Roman"/>
          <w:sz w:val="19"/>
          <w:szCs w:val="19"/>
        </w:rPr>
        <w:t>control.</w:t>
      </w:r>
    </w:p>
    <w:p w:rsidR="00CC2C66" w:rsidRDefault="00CC2C66">
      <w:pPr>
        <w:spacing w:line="203" w:lineRule="exact"/>
        <w:rPr>
          <w:sz w:val="20"/>
          <w:szCs w:val="20"/>
        </w:rPr>
      </w:pPr>
    </w:p>
    <w:p w:rsidR="00CC2C66" w:rsidRDefault="00F80B74">
      <w:pPr>
        <w:rPr>
          <w:sz w:val="20"/>
          <w:szCs w:val="20"/>
        </w:rPr>
      </w:pPr>
      <w:r>
        <w:rPr>
          <w:rFonts w:eastAsia="Times New Roman"/>
          <w:b/>
          <w:bCs/>
          <w:color w:val="CF0A2C"/>
          <w:sz w:val="19"/>
          <w:szCs w:val="19"/>
        </w:rPr>
        <w:t>Effective Date, Termination and Amendment</w:t>
      </w:r>
    </w:p>
    <w:p w:rsidR="00CC2C66" w:rsidRDefault="00CC2C66">
      <w:pPr>
        <w:spacing w:line="245" w:lineRule="exact"/>
        <w:rPr>
          <w:sz w:val="20"/>
          <w:szCs w:val="20"/>
        </w:rPr>
      </w:pPr>
    </w:p>
    <w:p w:rsidR="00CC2C66" w:rsidRDefault="00F80B74">
      <w:pPr>
        <w:jc w:val="both"/>
        <w:rPr>
          <w:sz w:val="20"/>
          <w:szCs w:val="20"/>
        </w:rPr>
      </w:pPr>
      <w:r>
        <w:rPr>
          <w:rFonts w:eastAsia="Times New Roman"/>
          <w:sz w:val="19"/>
          <w:szCs w:val="19"/>
        </w:rPr>
        <w:t>The 2022 LTIP will become effective upon consummation of the Primary Conversion and will terminate on the ten-year anniversary of its approval by our stockholders. Subject to applicable law and the listi</w:t>
      </w:r>
      <w:r>
        <w:rPr>
          <w:rFonts w:eastAsia="Times New Roman"/>
          <w:sz w:val="19"/>
          <w:szCs w:val="19"/>
        </w:rPr>
        <w:t>ng rules of the NYSE and the Hong Kong Stock Exchange, the Board may, at any time, amend or terminate the 2022 LTIP (and the Committee may amend any award agreement). However, no amendment or termination of the 2022 LTIP or amendment of any award agreement</w:t>
      </w:r>
      <w:r>
        <w:rPr>
          <w:rFonts w:eastAsia="Times New Roman"/>
          <w:sz w:val="19"/>
          <w:szCs w:val="19"/>
        </w:rPr>
        <w:t xml:space="preserve"> may, in the absence of written consent to the change by the affected participant or beneficiary, if applicable, adversely affect in any material way the rights of any participant or beneficiary under any award granted under the 2022 LTIP prior to the date</w:t>
      </w:r>
      <w:r>
        <w:rPr>
          <w:rFonts w:eastAsia="Times New Roman"/>
          <w:sz w:val="19"/>
          <w:szCs w:val="19"/>
        </w:rPr>
        <w:t xml:space="preserve"> of such amendment or termination, unless the Committee expressly reserved the right to do so at the time the award was granted. Adjustments pursuant to corporate transactions and restructurings are not subject to the foregoing limitations. In addition, al</w:t>
      </w:r>
      <w:r>
        <w:rPr>
          <w:rFonts w:eastAsia="Times New Roman"/>
          <w:sz w:val="19"/>
          <w:szCs w:val="19"/>
        </w:rPr>
        <w:t>l material amendments to the 2022 LTIP, including but not limited to amendments to</w:t>
      </w:r>
    </w:p>
    <w:p w:rsidR="00CC2C66" w:rsidRDefault="00CC2C66">
      <w:pPr>
        <w:spacing w:line="284"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17</w:t>
      </w:r>
    </w:p>
    <w:p w:rsidR="00CC2C66" w:rsidRDefault="00F80B74">
      <w:pPr>
        <w:spacing w:line="20" w:lineRule="exact"/>
        <w:rPr>
          <w:sz w:val="20"/>
          <w:szCs w:val="20"/>
        </w:rPr>
      </w:pPr>
      <w:r>
        <w:rPr>
          <w:noProof/>
          <w:sz w:val="20"/>
          <w:szCs w:val="20"/>
        </w:rPr>
        <w:drawing>
          <wp:anchor distT="0" distB="0" distL="114300" distR="114300" simplePos="0" relativeHeight="251575296"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4" w:name="page24"/>
      <w:bookmarkEnd w:id="24"/>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576320" behindDoc="1" locked="0" layoutInCell="0" allowOverlap="1">
            <wp:simplePos x="0" y="0"/>
            <wp:positionH relativeFrom="column">
              <wp:posOffset>260985</wp:posOffset>
            </wp:positionH>
            <wp:positionV relativeFrom="paragraph">
              <wp:posOffset>196850</wp:posOffset>
            </wp:positionV>
            <wp:extent cx="2352675" cy="19494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a:extLst/>
                    </a:blip>
                    <a:srcRect/>
                    <a:stretch>
                      <a:fillRect/>
                    </a:stretch>
                  </pic:blipFill>
                  <pic:spPr bwMode="auto">
                    <a:xfrm>
                      <a:off x="0" y="0"/>
                      <a:ext cx="235267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MATTERS REQUIRING STOCKHOLDER ACTION</w:t>
      </w:r>
    </w:p>
    <w:p w:rsidR="00CC2C66" w:rsidRDefault="00CC2C66">
      <w:pPr>
        <w:spacing w:line="243" w:lineRule="exact"/>
        <w:rPr>
          <w:sz w:val="20"/>
          <w:szCs w:val="20"/>
        </w:rPr>
      </w:pPr>
    </w:p>
    <w:p w:rsidR="00CC2C66" w:rsidRDefault="00F80B74">
      <w:pPr>
        <w:spacing w:line="253" w:lineRule="auto"/>
        <w:ind w:left="420"/>
        <w:jc w:val="both"/>
        <w:rPr>
          <w:sz w:val="20"/>
          <w:szCs w:val="20"/>
        </w:rPr>
      </w:pPr>
      <w:r>
        <w:rPr>
          <w:rFonts w:eastAsia="Times New Roman"/>
          <w:sz w:val="18"/>
          <w:szCs w:val="18"/>
        </w:rPr>
        <w:t xml:space="preserve">the provisions of the 2022 LTIP that prohibit the </w:t>
      </w:r>
      <w:r>
        <w:rPr>
          <w:rFonts w:eastAsia="Times New Roman"/>
          <w:sz w:val="18"/>
          <w:szCs w:val="18"/>
        </w:rPr>
        <w:t>repricing of stock options and SARs, amendments expanding the group of eligible individuals, or amendments increasing the aggregate number of shares reserved under the 2022 LTIP, the shares that may be issued in the form of incentive stock options, the ind</w:t>
      </w:r>
      <w:r>
        <w:rPr>
          <w:rFonts w:eastAsia="Times New Roman"/>
          <w:sz w:val="18"/>
          <w:szCs w:val="18"/>
        </w:rPr>
        <w:t xml:space="preserve">ividual limits on awards and the limitations on awards, will not be effective unless approved by our stockholders, in each case, to the extent required by applicable law. In addition, no amendment will be made to the 2022 LTIP, applicable award agreements </w:t>
      </w:r>
      <w:r>
        <w:rPr>
          <w:rFonts w:eastAsia="Times New Roman"/>
          <w:sz w:val="18"/>
          <w:szCs w:val="18"/>
        </w:rPr>
        <w:t>or the terms of award granted under the 2022 LTIP without the approval of our stockholders, the Board, the independent directors of the Board or the Committee, as applicable, if such approval is required by law or the rules of any stock exchange on which s</w:t>
      </w:r>
      <w:r>
        <w:rPr>
          <w:rFonts w:eastAsia="Times New Roman"/>
          <w:sz w:val="18"/>
          <w:szCs w:val="18"/>
        </w:rPr>
        <w:t>hares of the Company common stock are listed, including the rules of the NYSE and the Hong Kong Stock Exchange. Further, the amended Plan or the amended award agreement must still comply with the relevant applicable laws or applicable rules of any stock ex</w:t>
      </w:r>
      <w:r>
        <w:rPr>
          <w:rFonts w:eastAsia="Times New Roman"/>
          <w:sz w:val="18"/>
          <w:szCs w:val="18"/>
        </w:rPr>
        <w:t xml:space="preserve">change on which the Stock is listed. Upon termination of the 2022 LTIP, no further award will be offered but the provisions of the 2022 LTIP will remain in full force and effect with respect to awards granted prior to the termination of the 2022 LTIP, and </w:t>
      </w:r>
      <w:r>
        <w:rPr>
          <w:rFonts w:eastAsia="Times New Roman"/>
          <w:sz w:val="18"/>
          <w:szCs w:val="18"/>
        </w:rPr>
        <w:t>termination of the 2022 LTIP will not affect the terms or conditions of any award granted prior to termination. Awards granted prior to such termination will continue to be valid and exercisable in accordance with the 2022 LTIP.</w:t>
      </w:r>
    </w:p>
    <w:p w:rsidR="00CC2C66" w:rsidRDefault="00CC2C66">
      <w:pPr>
        <w:spacing w:line="200" w:lineRule="exact"/>
        <w:rPr>
          <w:sz w:val="20"/>
          <w:szCs w:val="20"/>
        </w:rPr>
      </w:pPr>
    </w:p>
    <w:p w:rsidR="00CC2C66" w:rsidRDefault="00CC2C66">
      <w:pPr>
        <w:spacing w:line="232" w:lineRule="exact"/>
        <w:rPr>
          <w:sz w:val="20"/>
          <w:szCs w:val="20"/>
        </w:rPr>
      </w:pPr>
    </w:p>
    <w:p w:rsidR="00CC2C66" w:rsidRDefault="00F80B74">
      <w:pPr>
        <w:ind w:left="420"/>
        <w:rPr>
          <w:sz w:val="20"/>
          <w:szCs w:val="20"/>
        </w:rPr>
      </w:pPr>
      <w:r>
        <w:rPr>
          <w:rFonts w:eastAsia="Times New Roman"/>
          <w:b/>
          <w:bCs/>
          <w:color w:val="CF0A2C"/>
          <w:sz w:val="19"/>
          <w:szCs w:val="19"/>
        </w:rPr>
        <w:t>Eligibility</w:t>
      </w:r>
    </w:p>
    <w:p w:rsidR="00CC2C66" w:rsidRDefault="00CC2C66">
      <w:pPr>
        <w:spacing w:line="245" w:lineRule="exact"/>
        <w:rPr>
          <w:sz w:val="20"/>
          <w:szCs w:val="20"/>
        </w:rPr>
      </w:pPr>
    </w:p>
    <w:p w:rsidR="00CC2C66" w:rsidRDefault="00F80B74">
      <w:pPr>
        <w:spacing w:line="241" w:lineRule="auto"/>
        <w:ind w:left="420"/>
        <w:jc w:val="both"/>
        <w:rPr>
          <w:sz w:val="20"/>
          <w:szCs w:val="20"/>
        </w:rPr>
      </w:pPr>
      <w:r>
        <w:rPr>
          <w:rFonts w:eastAsia="Times New Roman"/>
          <w:sz w:val="19"/>
          <w:szCs w:val="19"/>
        </w:rPr>
        <w:t>Participants</w:t>
      </w:r>
      <w:r>
        <w:rPr>
          <w:rFonts w:eastAsia="Times New Roman"/>
          <w:sz w:val="19"/>
          <w:szCs w:val="19"/>
        </w:rPr>
        <w:t xml:space="preserve"> in the 2022 LTIP will consist of such officers, directors or other employees of the Company, its subsidiaries or its associated companies in which the Company has an equity interest and persons who are expected to become officers, employees or directors o</w:t>
      </w:r>
      <w:r>
        <w:rPr>
          <w:rFonts w:eastAsia="Times New Roman"/>
          <w:sz w:val="19"/>
          <w:szCs w:val="19"/>
        </w:rPr>
        <w:t>f the Company or a subsidiary or an associated company in which the Company has an equity interest, as may be selected by the Committee. Grants of awards under the 2022 LTIP will be made based on the basis of the contributions of participants to the develo</w:t>
      </w:r>
      <w:r>
        <w:rPr>
          <w:rFonts w:eastAsia="Times New Roman"/>
          <w:sz w:val="19"/>
          <w:szCs w:val="19"/>
        </w:rPr>
        <w:t>pment and growth of the Company, as determined by the Company and, except as required by applicable law, the participant is not required to pay any amount in order to apply or accept an award.</w:t>
      </w:r>
    </w:p>
    <w:p w:rsidR="00CC2C66" w:rsidRDefault="00CC2C66">
      <w:pPr>
        <w:spacing w:line="204" w:lineRule="exact"/>
        <w:rPr>
          <w:sz w:val="20"/>
          <w:szCs w:val="20"/>
        </w:rPr>
      </w:pPr>
    </w:p>
    <w:p w:rsidR="00CC2C66" w:rsidRDefault="00F80B74">
      <w:pPr>
        <w:spacing w:line="265" w:lineRule="auto"/>
        <w:ind w:left="420"/>
        <w:jc w:val="both"/>
        <w:rPr>
          <w:sz w:val="20"/>
          <w:szCs w:val="20"/>
        </w:rPr>
      </w:pPr>
      <w:r>
        <w:rPr>
          <w:rFonts w:eastAsia="Times New Roman"/>
          <w:sz w:val="19"/>
          <w:szCs w:val="19"/>
        </w:rPr>
        <w:t>As of July 31, 2022, approximately 400,000 employees, includin</w:t>
      </w:r>
      <w:r>
        <w:rPr>
          <w:rFonts w:eastAsia="Times New Roman"/>
          <w:sz w:val="19"/>
          <w:szCs w:val="19"/>
        </w:rPr>
        <w:t>g ten executive officers, and nine non-employee</w:t>
      </w:r>
    </w:p>
    <w:p w:rsidR="00CC2C66" w:rsidRDefault="00CC2C66">
      <w:pPr>
        <w:spacing w:line="272" w:lineRule="exact"/>
        <w:rPr>
          <w:sz w:val="20"/>
          <w:szCs w:val="20"/>
        </w:rPr>
      </w:pPr>
    </w:p>
    <w:p w:rsidR="00CC2C66" w:rsidRDefault="00F80B74">
      <w:pPr>
        <w:numPr>
          <w:ilvl w:val="0"/>
          <w:numId w:val="36"/>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77344"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65" w:lineRule="auto"/>
        <w:jc w:val="both"/>
        <w:rPr>
          <w:sz w:val="20"/>
          <w:szCs w:val="20"/>
        </w:rPr>
      </w:pPr>
      <w:r>
        <w:rPr>
          <w:rFonts w:eastAsia="Times New Roman"/>
          <w:sz w:val="19"/>
          <w:szCs w:val="19"/>
        </w:rPr>
        <w:t>directors would be eligible to participate in the 2022 LTIP if selected by the Committee.</w:t>
      </w:r>
    </w:p>
    <w:p w:rsidR="00CC2C66" w:rsidRDefault="00F80B74">
      <w:pPr>
        <w:spacing w:line="20" w:lineRule="exact"/>
        <w:rPr>
          <w:sz w:val="20"/>
          <w:szCs w:val="20"/>
        </w:rPr>
      </w:pPr>
      <w:r>
        <w:rPr>
          <w:noProof/>
          <w:sz w:val="20"/>
          <w:szCs w:val="20"/>
        </w:rPr>
        <w:drawing>
          <wp:anchor distT="0" distB="0" distL="114300" distR="114300" simplePos="0" relativeHeight="251578368" behindDoc="1" locked="0" layoutInCell="0" allowOverlap="1">
            <wp:simplePos x="0" y="0"/>
            <wp:positionH relativeFrom="column">
              <wp:posOffset>-3642995</wp:posOffset>
            </wp:positionH>
            <wp:positionV relativeFrom="paragraph">
              <wp:posOffset>-1120140</wp:posOffset>
            </wp:positionV>
            <wp:extent cx="7181215" cy="3683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171" w:lineRule="exact"/>
        <w:rPr>
          <w:sz w:val="20"/>
          <w:szCs w:val="20"/>
        </w:rPr>
      </w:pPr>
    </w:p>
    <w:p w:rsidR="00CC2C66" w:rsidRDefault="00F80B74">
      <w:pPr>
        <w:rPr>
          <w:sz w:val="20"/>
          <w:szCs w:val="20"/>
        </w:rPr>
      </w:pPr>
      <w:r>
        <w:rPr>
          <w:rFonts w:eastAsia="Times New Roman"/>
          <w:b/>
          <w:bCs/>
          <w:color w:val="CF0A2C"/>
          <w:sz w:val="19"/>
          <w:szCs w:val="19"/>
        </w:rPr>
        <w:t>Performance Measures</w:t>
      </w:r>
    </w:p>
    <w:p w:rsidR="00CC2C66" w:rsidRDefault="00CC2C66">
      <w:pPr>
        <w:spacing w:line="245" w:lineRule="exact"/>
        <w:rPr>
          <w:sz w:val="20"/>
          <w:szCs w:val="20"/>
        </w:rPr>
      </w:pPr>
    </w:p>
    <w:p w:rsidR="00CC2C66" w:rsidRDefault="00F80B74">
      <w:pPr>
        <w:spacing w:line="241" w:lineRule="auto"/>
        <w:jc w:val="both"/>
        <w:rPr>
          <w:sz w:val="20"/>
          <w:szCs w:val="20"/>
        </w:rPr>
      </w:pPr>
      <w:r>
        <w:rPr>
          <w:rFonts w:eastAsia="Times New Roman"/>
          <w:sz w:val="19"/>
          <w:szCs w:val="19"/>
        </w:rPr>
        <w:t xml:space="preserve">Performance measures used with respect to </w:t>
      </w:r>
      <w:r>
        <w:rPr>
          <w:rFonts w:eastAsia="Times New Roman"/>
          <w:sz w:val="19"/>
          <w:szCs w:val="19"/>
        </w:rPr>
        <w:t>performance-based awards granted under the 2022 LTIP may include any one or more of the following corporate-wide or subsidiary, division, operating unit, line of business, project, geographic or individual measures: cash flow; earnings; earnings per share;</w:t>
      </w:r>
      <w:r>
        <w:rPr>
          <w:rFonts w:eastAsia="Times New Roman"/>
          <w:sz w:val="19"/>
          <w:szCs w:val="19"/>
        </w:rPr>
        <w:t xml:space="preserve"> market value added or economic value added; profits; return on assets; return on equity; return on investment; sales; revenues; stock price; total shareholder return; customer satisfaction metrics; restaurant unit development; and such other goals as the </w:t>
      </w:r>
      <w:r>
        <w:rPr>
          <w:rFonts w:eastAsia="Times New Roman"/>
          <w:sz w:val="19"/>
          <w:szCs w:val="19"/>
        </w:rPr>
        <w:t>Committee may determine whether or not listed in the 2022 LTIP, or any combination of the foregoing.</w:t>
      </w:r>
    </w:p>
    <w:p w:rsidR="00CC2C66" w:rsidRDefault="00CC2C66">
      <w:pPr>
        <w:spacing w:line="204" w:lineRule="exact"/>
        <w:rPr>
          <w:sz w:val="20"/>
          <w:szCs w:val="20"/>
        </w:rPr>
      </w:pPr>
    </w:p>
    <w:p w:rsidR="00CC2C66" w:rsidRDefault="00F80B74">
      <w:pPr>
        <w:rPr>
          <w:sz w:val="20"/>
          <w:szCs w:val="20"/>
        </w:rPr>
      </w:pPr>
      <w:r>
        <w:rPr>
          <w:rFonts w:eastAsia="Times New Roman"/>
          <w:b/>
          <w:bCs/>
          <w:color w:val="CF0A2C"/>
          <w:sz w:val="19"/>
          <w:szCs w:val="19"/>
        </w:rPr>
        <w:t>Minimum Vesting Conditions</w:t>
      </w:r>
    </w:p>
    <w:p w:rsidR="00CC2C66" w:rsidRDefault="00CC2C66">
      <w:pPr>
        <w:spacing w:line="245" w:lineRule="exact"/>
        <w:rPr>
          <w:sz w:val="20"/>
          <w:szCs w:val="20"/>
        </w:rPr>
      </w:pPr>
    </w:p>
    <w:p w:rsidR="00CC2C66" w:rsidRDefault="00F80B74">
      <w:pPr>
        <w:spacing w:line="241" w:lineRule="auto"/>
        <w:jc w:val="both"/>
        <w:rPr>
          <w:sz w:val="20"/>
          <w:szCs w:val="20"/>
        </w:rPr>
      </w:pPr>
      <w:r>
        <w:rPr>
          <w:rFonts w:eastAsia="Times New Roman"/>
          <w:sz w:val="19"/>
          <w:szCs w:val="19"/>
        </w:rPr>
        <w:t>Notwithstanding any other provision of the 2022 LTIP to the contrary, awards granted under the 2022 LTIP (other than cash-base</w:t>
      </w:r>
      <w:r>
        <w:rPr>
          <w:rFonts w:eastAsia="Times New Roman"/>
          <w:sz w:val="19"/>
          <w:szCs w:val="19"/>
        </w:rPr>
        <w:t>d awards) will vest no earlier than the first anniversary of the date on which the award is granted; provided, that the following awards granted to directors, officers or other employees of the Company or any of its subsidiaries and persons who are expecte</w:t>
      </w:r>
      <w:r>
        <w:rPr>
          <w:rFonts w:eastAsia="Times New Roman"/>
          <w:sz w:val="19"/>
          <w:szCs w:val="19"/>
        </w:rPr>
        <w:t xml:space="preserve">d to become directors, officers or other employees of the Company or any of its subsidiaries </w:t>
      </w:r>
      <w:r>
        <w:rPr>
          <w:rFonts w:eastAsia="Times New Roman"/>
          <w:b/>
          <w:bCs/>
          <w:i/>
          <w:iCs/>
          <w:sz w:val="19"/>
          <w:szCs w:val="19"/>
        </w:rPr>
        <w:t>(“Employee Participants”) will not be</w:t>
      </w:r>
      <w:r>
        <w:rPr>
          <w:rFonts w:eastAsia="Times New Roman"/>
          <w:sz w:val="19"/>
          <w:szCs w:val="19"/>
        </w:rPr>
        <w:t xml:space="preserve"> </w:t>
      </w:r>
      <w:r>
        <w:rPr>
          <w:rFonts w:eastAsia="Times New Roman"/>
          <w:b/>
          <w:bCs/>
          <w:i/>
          <w:iCs/>
          <w:sz w:val="19"/>
          <w:szCs w:val="19"/>
        </w:rPr>
        <w:t>subject to the foregoing minimum vesting requirement: any</w:t>
      </w:r>
    </w:p>
    <w:p w:rsidR="00CC2C66" w:rsidRDefault="00F80B74">
      <w:pPr>
        <w:numPr>
          <w:ilvl w:val="0"/>
          <w:numId w:val="37"/>
        </w:numPr>
        <w:tabs>
          <w:tab w:val="left" w:pos="243"/>
        </w:tabs>
        <w:spacing w:line="251" w:lineRule="auto"/>
        <w:ind w:firstLine="8"/>
        <w:jc w:val="both"/>
        <w:rPr>
          <w:rFonts w:eastAsia="Times New Roman"/>
          <w:b/>
          <w:bCs/>
          <w:i/>
          <w:iCs/>
          <w:sz w:val="18"/>
          <w:szCs w:val="18"/>
        </w:rPr>
      </w:pPr>
      <w:r>
        <w:rPr>
          <w:rFonts w:eastAsia="Times New Roman"/>
          <w:b/>
          <w:bCs/>
          <w:i/>
          <w:iCs/>
          <w:sz w:val="18"/>
          <w:szCs w:val="18"/>
        </w:rPr>
        <w:t>substitute awards granted in connection with awards that are assume</w:t>
      </w:r>
      <w:r>
        <w:rPr>
          <w:rFonts w:eastAsia="Times New Roman"/>
          <w:b/>
          <w:bCs/>
          <w:i/>
          <w:iCs/>
          <w:sz w:val="18"/>
          <w:szCs w:val="18"/>
        </w:rPr>
        <w:t>d, converted or substituted pursuant to a merger, acquisition or similar transaction entered into by the Company or any of its subsidiaries, (ii) awards to non-employee directors that vest on earlier of the one-year anniversary of the date of grant and the</w:t>
      </w:r>
      <w:r>
        <w:rPr>
          <w:rFonts w:eastAsia="Times New Roman"/>
          <w:b/>
          <w:bCs/>
          <w:i/>
          <w:iCs/>
          <w:sz w:val="18"/>
          <w:szCs w:val="18"/>
        </w:rPr>
        <w:t xml:space="preserve"> next annual meeting of stockholders which is at least 50 weeks after the immediately preceding year’s annual meeting, and</w:t>
      </w:r>
    </w:p>
    <w:p w:rsidR="00CC2C66" w:rsidRDefault="00CC2C66">
      <w:pPr>
        <w:spacing w:line="5" w:lineRule="exact"/>
        <w:rPr>
          <w:rFonts w:eastAsia="Times New Roman"/>
          <w:b/>
          <w:bCs/>
          <w:i/>
          <w:iCs/>
          <w:sz w:val="18"/>
          <w:szCs w:val="18"/>
        </w:rPr>
      </w:pPr>
    </w:p>
    <w:p w:rsidR="00CC2C66" w:rsidRDefault="00F80B74">
      <w:pPr>
        <w:numPr>
          <w:ilvl w:val="0"/>
          <w:numId w:val="38"/>
        </w:numPr>
        <w:tabs>
          <w:tab w:val="left" w:pos="414"/>
        </w:tabs>
        <w:spacing w:line="238" w:lineRule="auto"/>
        <w:ind w:firstLine="8"/>
        <w:jc w:val="both"/>
        <w:rPr>
          <w:rFonts w:eastAsia="Times New Roman"/>
          <w:b/>
          <w:bCs/>
          <w:i/>
          <w:iCs/>
          <w:sz w:val="19"/>
          <w:szCs w:val="19"/>
        </w:rPr>
      </w:pPr>
      <w:r>
        <w:rPr>
          <w:rFonts w:eastAsia="Times New Roman"/>
          <w:b/>
          <w:bCs/>
          <w:i/>
          <w:iCs/>
          <w:sz w:val="19"/>
          <w:szCs w:val="19"/>
        </w:rPr>
        <w:t>additional awards the Committee may grant, up to a maximum of five percent (5%) of the available share reserve authorized for issuan</w:t>
      </w:r>
      <w:r>
        <w:rPr>
          <w:rFonts w:eastAsia="Times New Roman"/>
          <w:b/>
          <w:bCs/>
          <w:i/>
          <w:iCs/>
          <w:sz w:val="19"/>
          <w:szCs w:val="19"/>
        </w:rPr>
        <w:t>ce under the 2022 LTIP (subject to adjustment under the corporate capitalization provisions under the 2022 LTIP) in respect of (A) sign-on or make-whole grants to new Employee Participants, (B) grants of awards with performance-based vesting conditions, (C</w:t>
      </w:r>
      <w:r>
        <w:rPr>
          <w:rFonts w:eastAsia="Times New Roman"/>
          <w:b/>
          <w:bCs/>
          <w:i/>
          <w:iCs/>
          <w:sz w:val="19"/>
          <w:szCs w:val="19"/>
        </w:rPr>
        <w:t>) grants of awards that are made in batches for administrative or compliance reasons,</w:t>
      </w:r>
    </w:p>
    <w:p w:rsidR="00CC2C66" w:rsidRDefault="00CC2C66">
      <w:pPr>
        <w:spacing w:line="4" w:lineRule="exact"/>
        <w:rPr>
          <w:rFonts w:eastAsia="Times New Roman"/>
          <w:b/>
          <w:bCs/>
          <w:i/>
          <w:iCs/>
          <w:sz w:val="19"/>
          <w:szCs w:val="19"/>
        </w:rPr>
      </w:pPr>
    </w:p>
    <w:p w:rsidR="00CC2C66" w:rsidRDefault="00F80B74">
      <w:pPr>
        <w:rPr>
          <w:rFonts w:eastAsia="Times New Roman"/>
          <w:b/>
          <w:bCs/>
          <w:i/>
          <w:iCs/>
          <w:sz w:val="19"/>
          <w:szCs w:val="19"/>
        </w:rPr>
      </w:pPr>
      <w:r>
        <w:rPr>
          <w:rFonts w:eastAsia="Times New Roman"/>
          <w:b/>
          <w:bCs/>
          <w:i/>
          <w:iCs/>
          <w:sz w:val="19"/>
          <w:szCs w:val="19"/>
        </w:rPr>
        <w:t>(D) grants of</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5" w:name="page25"/>
      <w:bookmarkEnd w:id="25"/>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ind w:left="420"/>
        <w:rPr>
          <w:sz w:val="20"/>
          <w:szCs w:val="20"/>
        </w:rPr>
      </w:pPr>
      <w:r>
        <w:rPr>
          <w:rFonts w:eastAsia="Times New Roman"/>
          <w:sz w:val="19"/>
          <w:szCs w:val="19"/>
        </w:rPr>
        <w:t>awards that vest evenly over a period of 12 months or more,</w:t>
      </w:r>
    </w:p>
    <w:p w:rsidR="00CC2C66" w:rsidRDefault="00CC2C66">
      <w:pPr>
        <w:spacing w:line="19" w:lineRule="exact"/>
        <w:rPr>
          <w:sz w:val="20"/>
          <w:szCs w:val="20"/>
        </w:rPr>
      </w:pPr>
    </w:p>
    <w:p w:rsidR="00CC2C66" w:rsidRDefault="00F80B74">
      <w:pPr>
        <w:numPr>
          <w:ilvl w:val="0"/>
          <w:numId w:val="39"/>
        </w:numPr>
        <w:tabs>
          <w:tab w:val="left" w:pos="736"/>
        </w:tabs>
        <w:spacing w:line="239" w:lineRule="auto"/>
        <w:ind w:left="420" w:hanging="9"/>
        <w:jc w:val="both"/>
        <w:rPr>
          <w:rFonts w:eastAsia="Times New Roman"/>
          <w:sz w:val="19"/>
          <w:szCs w:val="19"/>
        </w:rPr>
      </w:pPr>
      <w:r>
        <w:rPr>
          <w:rFonts w:eastAsia="Times New Roman"/>
          <w:sz w:val="19"/>
          <w:szCs w:val="19"/>
        </w:rPr>
        <w:t xml:space="preserve">grants of awards with a total vesting and </w:t>
      </w:r>
      <w:r>
        <w:rPr>
          <w:rFonts w:eastAsia="Times New Roman"/>
          <w:sz w:val="19"/>
          <w:szCs w:val="19"/>
        </w:rPr>
        <w:t>holding period of more than 12 months and (F) shares subject to a minimum holding period of 12 months which are delivered to an Employee Participant under his or her compensation arrangements with the Company (including shares of Company common stock deliv</w:t>
      </w:r>
      <w:r>
        <w:rPr>
          <w:rFonts w:eastAsia="Times New Roman"/>
          <w:sz w:val="19"/>
          <w:szCs w:val="19"/>
        </w:rPr>
        <w:t>ered to non-employee directors in respect of their annual retainers).</w:t>
      </w:r>
    </w:p>
    <w:p w:rsidR="00CC2C66" w:rsidRDefault="00CC2C66">
      <w:pPr>
        <w:spacing w:line="221" w:lineRule="exact"/>
        <w:rPr>
          <w:sz w:val="20"/>
          <w:szCs w:val="20"/>
        </w:rPr>
      </w:pPr>
    </w:p>
    <w:p w:rsidR="00CC2C66" w:rsidRDefault="00F80B74">
      <w:pPr>
        <w:spacing w:line="253" w:lineRule="auto"/>
        <w:ind w:left="420"/>
        <w:jc w:val="both"/>
        <w:rPr>
          <w:sz w:val="20"/>
          <w:szCs w:val="20"/>
        </w:rPr>
      </w:pPr>
      <w:r>
        <w:rPr>
          <w:rFonts w:eastAsia="Times New Roman"/>
          <w:sz w:val="18"/>
          <w:szCs w:val="18"/>
        </w:rPr>
        <w:t>The Board and the Committee believe that the types of awards described in clauses (i) to (iii) in the previous paragraph are appropriate and align with the purposes of the 2022 LTIP (i.</w:t>
      </w:r>
      <w:r>
        <w:rPr>
          <w:rFonts w:eastAsia="Times New Roman"/>
          <w:sz w:val="18"/>
          <w:szCs w:val="18"/>
        </w:rPr>
        <w:t>e., to attract and retain individuals to the Company, motivate performance, provide competitive incentive opportunities and align the interests of participants with those of our stockholders). In clause (i), in the context of an acquisition of a target, th</w:t>
      </w:r>
      <w:r>
        <w:rPr>
          <w:rFonts w:eastAsia="Times New Roman"/>
          <w:sz w:val="18"/>
          <w:szCs w:val="18"/>
        </w:rPr>
        <w:t>e transaction may involve the assumption of equity awards granted to the target’s employees. Because the equity awards with respect to the target would represent a contractual arrangement between the target and the participant, the Company would not be abl</w:t>
      </w:r>
      <w:r>
        <w:rPr>
          <w:rFonts w:eastAsia="Times New Roman"/>
          <w:sz w:val="18"/>
          <w:szCs w:val="18"/>
        </w:rPr>
        <w:t>e to unilaterally change the terms in a way that would be adverse to the interests of the participant. As such, the Company needs flexibility to grant equity awards with vesting schedules of less than one year to the extent the corresponding award of the t</w:t>
      </w:r>
      <w:r>
        <w:rPr>
          <w:rFonts w:eastAsia="Times New Roman"/>
          <w:sz w:val="18"/>
          <w:szCs w:val="18"/>
        </w:rPr>
        <w:t xml:space="preserve">arget had a vesting schedule of less than one year. In the case of awards described in clause (ii), the Committee believes that such awards are appropriate and align with the purposes of the 2022 LTIP as such grants would coincide with the directors’ term </w:t>
      </w:r>
      <w:r>
        <w:rPr>
          <w:rFonts w:eastAsia="Times New Roman"/>
          <w:sz w:val="18"/>
          <w:szCs w:val="18"/>
        </w:rPr>
        <w:t>in office generally. The exception in clause (ii) would allow the award to vest if the next annual meeting at which directors are elected falls short of the 12-month anniversary of the date of grant, which happens on occasion. In such instance, any directo</w:t>
      </w:r>
      <w:r>
        <w:rPr>
          <w:rFonts w:eastAsia="Times New Roman"/>
          <w:sz w:val="18"/>
          <w:szCs w:val="18"/>
        </w:rPr>
        <w:t>r that does not stand for re-election would still vest in his/her award since they served the full term, provided that the annual meeting occurs at least 50 weeks following the prior annual meeting. Clauses (iii)(A)-(iii)</w:t>
      </w:r>
    </w:p>
    <w:p w:rsidR="00CC2C66" w:rsidRDefault="00CC2C66">
      <w:pPr>
        <w:spacing w:line="212" w:lineRule="exact"/>
        <w:rPr>
          <w:sz w:val="20"/>
          <w:szCs w:val="20"/>
        </w:rPr>
      </w:pPr>
    </w:p>
    <w:p w:rsidR="00CC2C66" w:rsidRDefault="00F80B74">
      <w:pPr>
        <w:numPr>
          <w:ilvl w:val="0"/>
          <w:numId w:val="40"/>
        </w:numPr>
        <w:tabs>
          <w:tab w:val="left" w:pos="723"/>
        </w:tabs>
        <w:spacing w:line="239" w:lineRule="auto"/>
        <w:ind w:left="420" w:hanging="9"/>
        <w:jc w:val="both"/>
        <w:rPr>
          <w:rFonts w:eastAsia="Times New Roman"/>
          <w:sz w:val="19"/>
          <w:szCs w:val="19"/>
        </w:rPr>
      </w:pPr>
      <w:r>
        <w:rPr>
          <w:rFonts w:eastAsia="Times New Roman"/>
          <w:sz w:val="19"/>
          <w:szCs w:val="19"/>
        </w:rPr>
        <w:t>provide the Board and the Committ</w:t>
      </w:r>
      <w:r>
        <w:rPr>
          <w:rFonts w:eastAsia="Times New Roman"/>
          <w:sz w:val="19"/>
          <w:szCs w:val="19"/>
        </w:rPr>
        <w:t>ee with the flexibility to grant awards from a limited pool of shares. Sign-on and make-whole grants assist the Company in attracting key talent; awards with performance-based vesting conditions align the interests of participants with those of our stockho</w:t>
      </w:r>
      <w:r>
        <w:rPr>
          <w:rFonts w:eastAsia="Times New Roman"/>
          <w:sz w:val="19"/>
          <w:szCs w:val="19"/>
        </w:rPr>
        <w:t>lders and provide competitive incentive compensation opportunities; and in the event of equity granted to settle compensation that had already</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1460"/>
        <w:rPr>
          <w:sz w:val="20"/>
          <w:szCs w:val="20"/>
        </w:rPr>
      </w:pPr>
      <w:r>
        <w:rPr>
          <w:rFonts w:ascii="Arial" w:eastAsia="Arial" w:hAnsi="Arial" w:cs="Arial"/>
          <w:b/>
          <w:bCs/>
          <w:color w:val="FFFFFF"/>
          <w:sz w:val="15"/>
          <w:szCs w:val="15"/>
        </w:rPr>
        <w:t>MATTERS REQUIRING STOCKHOLDER ACTION</w:t>
      </w:r>
    </w:p>
    <w:p w:rsidR="00CC2C66" w:rsidRDefault="00F80B74">
      <w:pPr>
        <w:spacing w:line="20" w:lineRule="exact"/>
        <w:rPr>
          <w:sz w:val="20"/>
          <w:szCs w:val="20"/>
        </w:rPr>
      </w:pPr>
      <w:r>
        <w:rPr>
          <w:noProof/>
          <w:sz w:val="20"/>
          <w:szCs w:val="20"/>
        </w:rPr>
        <w:drawing>
          <wp:anchor distT="0" distB="0" distL="114300" distR="114300" simplePos="0" relativeHeight="251579392"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580416" behindDoc="1" locked="0" layoutInCell="0" allowOverlap="1">
            <wp:simplePos x="0" y="0"/>
            <wp:positionH relativeFrom="column">
              <wp:posOffset>791210</wp:posOffset>
            </wp:positionH>
            <wp:positionV relativeFrom="paragraph">
              <wp:posOffset>-148590</wp:posOffset>
            </wp:positionV>
            <wp:extent cx="2458085" cy="19494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blip>
                    <a:srcRect/>
                    <a:stretch>
                      <a:fillRect/>
                    </a:stretch>
                  </pic:blipFill>
                  <pic:spPr bwMode="auto">
                    <a:xfrm>
                      <a:off x="0" y="0"/>
                      <a:ext cx="245808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jc w:val="both"/>
        <w:rPr>
          <w:sz w:val="20"/>
          <w:szCs w:val="20"/>
        </w:rPr>
      </w:pPr>
      <w:r>
        <w:rPr>
          <w:rFonts w:eastAsia="Times New Roman"/>
          <w:sz w:val="19"/>
          <w:szCs w:val="19"/>
        </w:rPr>
        <w:t>been earned by the participant, to require the Company to include an</w:t>
      </w:r>
      <w:r>
        <w:rPr>
          <w:rFonts w:eastAsia="Times New Roman"/>
          <w:sz w:val="19"/>
          <w:szCs w:val="19"/>
        </w:rPr>
        <w:t xml:space="preserve"> additional vesting condition of at least 12 months would impair the Company’s ability to stock-settle fully earned awards when the circumstances warranted it and would be unfair to the participants who had already earned such retainer or payment. The 12-m</w:t>
      </w:r>
      <w:r>
        <w:rPr>
          <w:rFonts w:eastAsia="Times New Roman"/>
          <w:sz w:val="19"/>
          <w:szCs w:val="19"/>
        </w:rPr>
        <w:t>onth minimum vesting requirement does not apply to the Committee’s discretion to provide for accelerated exercisability or vesting of any award in cases of retirement, separation, retention arrangements, death, disability or a change in control, to the ext</w:t>
      </w:r>
      <w:r>
        <w:rPr>
          <w:rFonts w:eastAsia="Times New Roman"/>
          <w:sz w:val="19"/>
          <w:szCs w:val="19"/>
        </w:rPr>
        <w:t>ent set forth in the terms of the award agreement or otherwise. The Committee believes that its ability to provide for the accelerated exercisability or vesting of an award in such cases allows it to attract and retain individuals to provide services to th</w:t>
      </w:r>
      <w:r>
        <w:rPr>
          <w:rFonts w:eastAsia="Times New Roman"/>
          <w:sz w:val="19"/>
          <w:szCs w:val="19"/>
        </w:rPr>
        <w:t>e Company and its subsidiaries, and to provide for succession planning and the effective transition of employee responsibilities.</w:t>
      </w:r>
    </w:p>
    <w:p w:rsidR="00CC2C66" w:rsidRDefault="00CC2C66">
      <w:pPr>
        <w:spacing w:line="220" w:lineRule="exact"/>
        <w:rPr>
          <w:sz w:val="20"/>
          <w:szCs w:val="20"/>
        </w:rPr>
      </w:pPr>
    </w:p>
    <w:p w:rsidR="00CC2C66" w:rsidRDefault="00F80B74">
      <w:pPr>
        <w:rPr>
          <w:sz w:val="20"/>
          <w:szCs w:val="20"/>
        </w:rPr>
      </w:pPr>
      <w:r>
        <w:rPr>
          <w:rFonts w:eastAsia="Times New Roman"/>
          <w:b/>
          <w:bCs/>
          <w:color w:val="CF0A2C"/>
          <w:sz w:val="19"/>
          <w:szCs w:val="19"/>
        </w:rPr>
        <w:t>Stock Options and SARs</w:t>
      </w:r>
    </w:p>
    <w:p w:rsidR="00CC2C66" w:rsidRDefault="00CC2C66">
      <w:pPr>
        <w:spacing w:line="245" w:lineRule="exact"/>
        <w:rPr>
          <w:sz w:val="20"/>
          <w:szCs w:val="20"/>
        </w:rPr>
      </w:pPr>
    </w:p>
    <w:p w:rsidR="00CC2C66" w:rsidRDefault="00F80B74">
      <w:pPr>
        <w:spacing w:line="243" w:lineRule="auto"/>
        <w:ind w:right="20"/>
        <w:jc w:val="both"/>
        <w:rPr>
          <w:sz w:val="20"/>
          <w:szCs w:val="20"/>
        </w:rPr>
      </w:pPr>
      <w:r>
        <w:rPr>
          <w:rFonts w:eastAsia="Times New Roman"/>
          <w:sz w:val="19"/>
          <w:szCs w:val="19"/>
        </w:rPr>
        <w:t xml:space="preserve">The 2022 LTIP provides for the grant of stock options and SARs. A SAR entitles the holder to receive </w:t>
      </w:r>
      <w:r>
        <w:rPr>
          <w:rFonts w:eastAsia="Times New Roman"/>
          <w:sz w:val="19"/>
          <w:szCs w:val="19"/>
        </w:rPr>
        <w:t>upon exercise (subject to withholding taxes) cash or shares of Company common stock with an aggregate value equal to the difference between the fair market value of the shares of Company common stock on the exercise date and the exercise price of the SAR.</w:t>
      </w:r>
    </w:p>
    <w:p w:rsidR="00CC2C66" w:rsidRDefault="00CC2C66">
      <w:pPr>
        <w:spacing w:line="206" w:lineRule="exact"/>
        <w:rPr>
          <w:sz w:val="20"/>
          <w:szCs w:val="20"/>
        </w:rPr>
      </w:pPr>
    </w:p>
    <w:p w:rsidR="00CC2C66" w:rsidRDefault="00F80B74">
      <w:pPr>
        <w:jc w:val="both"/>
        <w:rPr>
          <w:sz w:val="20"/>
          <w:szCs w:val="20"/>
        </w:rPr>
      </w:pPr>
      <w:r>
        <w:rPr>
          <w:rFonts w:eastAsia="Times New Roman"/>
          <w:sz w:val="19"/>
          <w:szCs w:val="19"/>
        </w:rPr>
        <w:t>The Committee will determine the conditions to the exercisability of each option and SAR. Each option and SAR will be exercisable for no more than ten (10) years after its date of grant. Except in the case of substitute awards granted in connection with a</w:t>
      </w:r>
      <w:r>
        <w:rPr>
          <w:rFonts w:eastAsia="Times New Roman"/>
          <w:sz w:val="19"/>
          <w:szCs w:val="19"/>
        </w:rPr>
        <w:t xml:space="preserve"> corporate transaction (subject to approval, waiver, confirmation or otherwise as applicable from the Hong Kong Stock Exchange), the exercise price of an option or SAR will not be less than the higher of (i) the fair market value of a share of Company comm</w:t>
      </w:r>
      <w:r>
        <w:rPr>
          <w:rFonts w:eastAsia="Times New Roman"/>
          <w:sz w:val="19"/>
          <w:szCs w:val="19"/>
        </w:rPr>
        <w:t>on stock on the date of grant (which must be a NYSE trading day) and (ii) the average fair market value of a share of Company common stock for the five NYSE trading days immediately preceding the date of grant (or, if greater, the par value of a share of C</w:t>
      </w:r>
      <w:r>
        <w:rPr>
          <w:rFonts w:eastAsia="Times New Roman"/>
          <w:sz w:val="19"/>
          <w:szCs w:val="19"/>
        </w:rPr>
        <w:t>ompany common stock on such date(s)).</w:t>
      </w:r>
    </w:p>
    <w:p w:rsidR="00CC2C66" w:rsidRDefault="00CC2C66">
      <w:pPr>
        <w:spacing w:line="226" w:lineRule="exact"/>
        <w:rPr>
          <w:sz w:val="20"/>
          <w:szCs w:val="20"/>
        </w:rPr>
      </w:pPr>
    </w:p>
    <w:p w:rsidR="00CC2C66" w:rsidRDefault="00F80B74">
      <w:pPr>
        <w:spacing w:line="265" w:lineRule="auto"/>
        <w:jc w:val="both"/>
        <w:rPr>
          <w:sz w:val="20"/>
          <w:szCs w:val="20"/>
        </w:rPr>
      </w:pPr>
      <w:r>
        <w:rPr>
          <w:rFonts w:eastAsia="Times New Roman"/>
          <w:sz w:val="19"/>
          <w:szCs w:val="19"/>
        </w:rPr>
        <w:t>The exercise price of each option or SAR will be established or determined by a method established by the</w:t>
      </w:r>
    </w:p>
    <w:p w:rsidR="00CC2C66" w:rsidRDefault="00CC2C66">
      <w:pPr>
        <w:spacing w:line="244"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19</w:t>
      </w:r>
    </w:p>
    <w:p w:rsidR="00CC2C66" w:rsidRDefault="00F80B74">
      <w:pPr>
        <w:spacing w:line="20" w:lineRule="exact"/>
        <w:rPr>
          <w:sz w:val="20"/>
          <w:szCs w:val="20"/>
        </w:rPr>
      </w:pPr>
      <w:r>
        <w:rPr>
          <w:noProof/>
          <w:sz w:val="20"/>
          <w:szCs w:val="20"/>
        </w:rPr>
        <w:drawing>
          <wp:anchor distT="0" distB="0" distL="114300" distR="114300" simplePos="0" relativeHeight="251581440"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6" w:name="page26"/>
      <w:bookmarkEnd w:id="26"/>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582464" behindDoc="1" locked="0" layoutInCell="0" allowOverlap="1">
            <wp:simplePos x="0" y="0"/>
            <wp:positionH relativeFrom="column">
              <wp:posOffset>260985</wp:posOffset>
            </wp:positionH>
            <wp:positionV relativeFrom="paragraph">
              <wp:posOffset>196850</wp:posOffset>
            </wp:positionV>
            <wp:extent cx="2352675" cy="19494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blip>
                    <a:srcRect/>
                    <a:stretch>
                      <a:fillRect/>
                    </a:stretch>
                  </pic:blipFill>
                  <pic:spPr bwMode="auto">
                    <a:xfrm>
                      <a:off x="0" y="0"/>
                      <a:ext cx="235267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MATTERS REQUIRING STOCKHOLDER</w:t>
      </w:r>
      <w:r>
        <w:rPr>
          <w:rFonts w:ascii="Arial" w:eastAsia="Arial" w:hAnsi="Arial" w:cs="Arial"/>
          <w:b/>
          <w:bCs/>
          <w:color w:val="FFFFFF"/>
          <w:sz w:val="15"/>
          <w:szCs w:val="15"/>
        </w:rPr>
        <w:t xml:space="preserve"> ACTION</w:t>
      </w:r>
    </w:p>
    <w:p w:rsidR="00CC2C66" w:rsidRDefault="00CC2C66">
      <w:pPr>
        <w:spacing w:line="243" w:lineRule="exact"/>
        <w:rPr>
          <w:sz w:val="20"/>
          <w:szCs w:val="20"/>
        </w:rPr>
      </w:pPr>
    </w:p>
    <w:p w:rsidR="00CC2C66" w:rsidRDefault="00F80B74">
      <w:pPr>
        <w:spacing w:line="265" w:lineRule="auto"/>
        <w:ind w:left="420"/>
        <w:jc w:val="both"/>
        <w:rPr>
          <w:sz w:val="20"/>
          <w:szCs w:val="20"/>
        </w:rPr>
      </w:pPr>
      <w:r>
        <w:rPr>
          <w:rFonts w:eastAsia="Times New Roman"/>
          <w:sz w:val="19"/>
          <w:szCs w:val="19"/>
        </w:rPr>
        <w:t>Committee at the time of grant, subject to the restrictions described above.</w:t>
      </w:r>
    </w:p>
    <w:p w:rsidR="00CC2C66" w:rsidRDefault="00CC2C66">
      <w:pPr>
        <w:spacing w:line="195" w:lineRule="exact"/>
        <w:rPr>
          <w:sz w:val="20"/>
          <w:szCs w:val="20"/>
        </w:rPr>
      </w:pPr>
    </w:p>
    <w:p w:rsidR="00CC2C66" w:rsidRDefault="00F80B74">
      <w:pPr>
        <w:spacing w:line="247" w:lineRule="auto"/>
        <w:ind w:left="420"/>
        <w:jc w:val="both"/>
        <w:rPr>
          <w:sz w:val="20"/>
          <w:szCs w:val="20"/>
        </w:rPr>
      </w:pPr>
      <w:r>
        <w:rPr>
          <w:rFonts w:eastAsia="Times New Roman"/>
          <w:sz w:val="19"/>
          <w:szCs w:val="19"/>
        </w:rPr>
        <w:t xml:space="preserve">Notwithstanding anything in the award agreement to the contrary, the holder of an option or SAR will not be entitled to receive dividend equivalents with respect to the </w:t>
      </w:r>
      <w:r>
        <w:rPr>
          <w:rFonts w:eastAsia="Times New Roman"/>
          <w:sz w:val="19"/>
          <w:szCs w:val="19"/>
        </w:rPr>
        <w:t>shares of Company common stock subject to such option or SAR.</w:t>
      </w:r>
    </w:p>
    <w:p w:rsidR="00CC2C66" w:rsidRDefault="00CC2C66">
      <w:pPr>
        <w:spacing w:line="208" w:lineRule="exact"/>
        <w:rPr>
          <w:sz w:val="20"/>
          <w:szCs w:val="20"/>
        </w:rPr>
      </w:pPr>
    </w:p>
    <w:p w:rsidR="00CC2C66" w:rsidRDefault="00F80B74">
      <w:pPr>
        <w:ind w:left="420"/>
        <w:rPr>
          <w:sz w:val="20"/>
          <w:szCs w:val="20"/>
        </w:rPr>
      </w:pPr>
      <w:r>
        <w:rPr>
          <w:rFonts w:eastAsia="Times New Roman"/>
          <w:b/>
          <w:bCs/>
          <w:color w:val="CF0A2C"/>
          <w:sz w:val="19"/>
          <w:szCs w:val="19"/>
        </w:rPr>
        <w:t>Full Value Awards and Cash Incentive Awards</w:t>
      </w:r>
    </w:p>
    <w:p w:rsidR="00CC2C66" w:rsidRDefault="00CC2C66">
      <w:pPr>
        <w:spacing w:line="233" w:lineRule="exact"/>
        <w:rPr>
          <w:sz w:val="20"/>
          <w:szCs w:val="20"/>
        </w:rPr>
      </w:pPr>
    </w:p>
    <w:p w:rsidR="00CC2C66" w:rsidRDefault="00F80B74">
      <w:pPr>
        <w:ind w:left="420"/>
        <w:jc w:val="both"/>
        <w:rPr>
          <w:sz w:val="20"/>
          <w:szCs w:val="20"/>
        </w:rPr>
      </w:pPr>
      <w:r>
        <w:rPr>
          <w:rFonts w:eastAsia="Times New Roman"/>
          <w:sz w:val="19"/>
          <w:szCs w:val="19"/>
        </w:rPr>
        <w:t>A “Full Value Award” is a grant of one or more shares of Company common stock or a right to receive one or more shares of Company common stock in th</w:t>
      </w:r>
      <w:r>
        <w:rPr>
          <w:rFonts w:eastAsia="Times New Roman"/>
          <w:sz w:val="19"/>
          <w:szCs w:val="19"/>
        </w:rPr>
        <w:t>e future (including restricted stock, restricted stock units, performance shares and performance units) that is contingent on continuing service, the achievement of performance objectives during a specified performance period or other restrictions as deter</w:t>
      </w:r>
      <w:r>
        <w:rPr>
          <w:rFonts w:eastAsia="Times New Roman"/>
          <w:sz w:val="19"/>
          <w:szCs w:val="19"/>
        </w:rPr>
        <w:t>mined by the Committee. The grant of Full Value Awards may also be subject to such other conditions, restrictions and contingencies, as determined by the Committee. Except as otherwise provided in the 2022 LTIP, no award under the 2022 LTIP will confer upo</w:t>
      </w:r>
      <w:r>
        <w:rPr>
          <w:rFonts w:eastAsia="Times New Roman"/>
          <w:sz w:val="19"/>
          <w:szCs w:val="19"/>
        </w:rPr>
        <w:t>n its holder any rights as a stockholder of the Company prior to the date on which the individual fulfills all conditions for receipt of such rights and shares are registered in his or her name.</w:t>
      </w:r>
    </w:p>
    <w:p w:rsidR="00CC2C66" w:rsidRDefault="00CC2C66">
      <w:pPr>
        <w:spacing w:line="225"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A “Cash Incentive Award” is the grant of a right to receive </w:t>
      </w:r>
      <w:r>
        <w:rPr>
          <w:rFonts w:eastAsia="Times New Roman"/>
          <w:sz w:val="19"/>
          <w:szCs w:val="19"/>
        </w:rPr>
        <w:t xml:space="preserve">a payment of cash (or in the discretion of the Committee, shares of stock having value equivalent to the cash otherwise payable) that is contingent on achievement of performance objectives over a specified period established by the Committee. The grant of </w:t>
      </w:r>
      <w:r>
        <w:rPr>
          <w:rFonts w:eastAsia="Times New Roman"/>
          <w:sz w:val="19"/>
          <w:szCs w:val="19"/>
        </w:rPr>
        <w:t>Cash Incentive Awards may also be subject to such other conditions, restrictions and contingencies, as determined by the Committee.</w:t>
      </w:r>
    </w:p>
    <w:p w:rsidR="00CC2C66" w:rsidRDefault="00CC2C66">
      <w:pPr>
        <w:spacing w:line="215" w:lineRule="exact"/>
        <w:rPr>
          <w:sz w:val="20"/>
          <w:szCs w:val="20"/>
        </w:rPr>
      </w:pPr>
    </w:p>
    <w:p w:rsidR="00CC2C66" w:rsidRDefault="00F80B74">
      <w:pPr>
        <w:spacing w:line="243" w:lineRule="auto"/>
        <w:ind w:left="420"/>
        <w:jc w:val="both"/>
        <w:rPr>
          <w:sz w:val="20"/>
          <w:szCs w:val="20"/>
        </w:rPr>
      </w:pPr>
      <w:r>
        <w:rPr>
          <w:rFonts w:eastAsia="Times New Roman"/>
          <w:sz w:val="19"/>
          <w:szCs w:val="19"/>
        </w:rPr>
        <w:t>Grants of Full Value Awards will be made based on the basis of their contributions to the development and growth of the Com</w:t>
      </w:r>
      <w:r>
        <w:rPr>
          <w:rFonts w:eastAsia="Times New Roman"/>
          <w:sz w:val="19"/>
          <w:szCs w:val="19"/>
        </w:rPr>
        <w:t>pany and its subsidiaries, as determined by the Company, and the participant is not required to pay any purchase price of shares of Company common stock awarded under the Full Value Award and the Cash Incentive Award.</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09" w:lineRule="exact"/>
        <w:rPr>
          <w:sz w:val="20"/>
          <w:szCs w:val="20"/>
        </w:rPr>
      </w:pPr>
    </w:p>
    <w:p w:rsidR="00CC2C66" w:rsidRDefault="00F80B74">
      <w:pPr>
        <w:numPr>
          <w:ilvl w:val="0"/>
          <w:numId w:val="41"/>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8348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59" w:lineRule="exact"/>
        <w:rPr>
          <w:sz w:val="20"/>
          <w:szCs w:val="20"/>
        </w:rPr>
      </w:pPr>
    </w:p>
    <w:p w:rsidR="00CC2C66" w:rsidRDefault="00F80B74">
      <w:pPr>
        <w:rPr>
          <w:sz w:val="20"/>
          <w:szCs w:val="20"/>
        </w:rPr>
      </w:pPr>
      <w:r>
        <w:rPr>
          <w:rFonts w:eastAsia="Times New Roman"/>
          <w:b/>
          <w:bCs/>
          <w:color w:val="CF0A2C"/>
          <w:sz w:val="19"/>
          <w:szCs w:val="19"/>
        </w:rPr>
        <w:t>Lapse and Cancellation of Awards</w:t>
      </w:r>
    </w:p>
    <w:p w:rsidR="00CC2C66" w:rsidRDefault="00F80B74">
      <w:pPr>
        <w:spacing w:line="20" w:lineRule="exact"/>
        <w:rPr>
          <w:sz w:val="20"/>
          <w:szCs w:val="20"/>
        </w:rPr>
      </w:pPr>
      <w:r>
        <w:rPr>
          <w:noProof/>
          <w:sz w:val="20"/>
          <w:szCs w:val="20"/>
        </w:rPr>
        <w:drawing>
          <wp:anchor distT="0" distB="0" distL="114300" distR="114300" simplePos="0" relativeHeight="251584512" behindDoc="1" locked="0" layoutInCell="0" allowOverlap="1">
            <wp:simplePos x="0" y="0"/>
            <wp:positionH relativeFrom="column">
              <wp:posOffset>-3642995</wp:posOffset>
            </wp:positionH>
            <wp:positionV relativeFrom="paragraph">
              <wp:posOffset>-949960</wp:posOffset>
            </wp:positionV>
            <wp:extent cx="7181215" cy="3683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25" w:lineRule="exact"/>
        <w:rPr>
          <w:sz w:val="20"/>
          <w:szCs w:val="20"/>
        </w:rPr>
      </w:pPr>
    </w:p>
    <w:p w:rsidR="00CC2C66" w:rsidRDefault="00F80B74">
      <w:pPr>
        <w:spacing w:line="241" w:lineRule="auto"/>
        <w:jc w:val="both"/>
        <w:rPr>
          <w:sz w:val="20"/>
          <w:szCs w:val="20"/>
        </w:rPr>
      </w:pPr>
      <w:r>
        <w:rPr>
          <w:rFonts w:eastAsia="Times New Roman"/>
          <w:sz w:val="19"/>
          <w:szCs w:val="19"/>
        </w:rPr>
        <w:t>Unless otherwise set forth in the award agreement or determined by the Committee, awards will cease to vest upon a termination of the participant’s employment or service with the Company or the participant ceasing to b</w:t>
      </w:r>
      <w:r>
        <w:rPr>
          <w:rFonts w:eastAsia="Times New Roman"/>
          <w:sz w:val="19"/>
          <w:szCs w:val="19"/>
        </w:rPr>
        <w:t>e an eligible individual under the 2022 LTIP. In the event an option or SAR expires without being exercised during the exercise period or an award does not vest, such award will lapse automatically and be forfeited and cancelled by the Company without acti</w:t>
      </w:r>
      <w:r>
        <w:rPr>
          <w:rFonts w:eastAsia="Times New Roman"/>
          <w:sz w:val="19"/>
          <w:szCs w:val="19"/>
        </w:rPr>
        <w:t>on on the part of the participant and for no consideration and the Company will owe no liability to any participant for the lapse of any award under this paragraph.</w:t>
      </w:r>
    </w:p>
    <w:p w:rsidR="00CC2C66" w:rsidRDefault="00CC2C66">
      <w:pPr>
        <w:spacing w:line="217" w:lineRule="exact"/>
        <w:rPr>
          <w:sz w:val="20"/>
          <w:szCs w:val="20"/>
        </w:rPr>
      </w:pPr>
    </w:p>
    <w:p w:rsidR="00CC2C66" w:rsidRDefault="00F80B74">
      <w:pPr>
        <w:rPr>
          <w:sz w:val="20"/>
          <w:szCs w:val="20"/>
        </w:rPr>
      </w:pPr>
      <w:r>
        <w:rPr>
          <w:rFonts w:eastAsia="Times New Roman"/>
          <w:b/>
          <w:bCs/>
          <w:color w:val="CF0A2C"/>
          <w:sz w:val="19"/>
          <w:szCs w:val="19"/>
        </w:rPr>
        <w:t>Rights as Stockholders</w:t>
      </w:r>
    </w:p>
    <w:p w:rsidR="00CC2C66" w:rsidRDefault="00CC2C66">
      <w:pPr>
        <w:spacing w:line="233" w:lineRule="exact"/>
        <w:rPr>
          <w:sz w:val="20"/>
          <w:szCs w:val="20"/>
        </w:rPr>
      </w:pPr>
    </w:p>
    <w:p w:rsidR="00CC2C66" w:rsidRDefault="00F80B74">
      <w:pPr>
        <w:jc w:val="both"/>
        <w:rPr>
          <w:sz w:val="20"/>
          <w:szCs w:val="20"/>
        </w:rPr>
      </w:pPr>
      <w:r>
        <w:rPr>
          <w:rFonts w:eastAsia="Times New Roman"/>
          <w:sz w:val="19"/>
          <w:szCs w:val="19"/>
        </w:rPr>
        <w:t xml:space="preserve">The shares of Company common stock to be allotted and issued upon </w:t>
      </w:r>
      <w:r>
        <w:rPr>
          <w:rFonts w:eastAsia="Times New Roman"/>
          <w:sz w:val="19"/>
          <w:szCs w:val="19"/>
        </w:rPr>
        <w:t>settlement or exercise of an award will rank pari passu in all respects with other fully-paid shares of Company common stock in issue as of the date of allotment. No participant will have any right as a stockholder of the Company with respect to any shares</w:t>
      </w:r>
      <w:r>
        <w:rPr>
          <w:rFonts w:eastAsia="Times New Roman"/>
          <w:sz w:val="19"/>
          <w:szCs w:val="19"/>
        </w:rPr>
        <w:t xml:space="preserve"> of Company common stock unless and until such participant becomes a stockholder of record with respect to such share of Company common stock. Once a participant becomes a stockholder of record with respect to the share of Company common stock subject to t</w:t>
      </w:r>
      <w:r>
        <w:rPr>
          <w:rFonts w:eastAsia="Times New Roman"/>
          <w:sz w:val="19"/>
          <w:szCs w:val="19"/>
        </w:rPr>
        <w:t>he award, the participant will have all rights as a stockholder, including, but not limited to, voting rights, the right to receive dividends and the right to participate in any capital adjustment applicable to all stockholders.</w:t>
      </w:r>
    </w:p>
    <w:p w:rsidR="00CC2C66" w:rsidRDefault="00CC2C66">
      <w:pPr>
        <w:spacing w:line="222" w:lineRule="exact"/>
        <w:rPr>
          <w:sz w:val="20"/>
          <w:szCs w:val="20"/>
        </w:rPr>
      </w:pPr>
    </w:p>
    <w:p w:rsidR="00CC2C66" w:rsidRDefault="00F80B74">
      <w:pPr>
        <w:rPr>
          <w:sz w:val="20"/>
          <w:szCs w:val="20"/>
        </w:rPr>
      </w:pPr>
      <w:r>
        <w:rPr>
          <w:rFonts w:eastAsia="Times New Roman"/>
          <w:b/>
          <w:bCs/>
          <w:color w:val="CF0A2C"/>
          <w:sz w:val="19"/>
          <w:szCs w:val="19"/>
        </w:rPr>
        <w:t>Transferability of Awards</w:t>
      </w:r>
    </w:p>
    <w:p w:rsidR="00CC2C66" w:rsidRDefault="00CC2C66">
      <w:pPr>
        <w:spacing w:line="245" w:lineRule="exact"/>
        <w:rPr>
          <w:sz w:val="20"/>
          <w:szCs w:val="20"/>
        </w:rPr>
      </w:pPr>
    </w:p>
    <w:p w:rsidR="00CC2C66" w:rsidRDefault="00F80B74">
      <w:pPr>
        <w:spacing w:line="241" w:lineRule="auto"/>
        <w:jc w:val="both"/>
        <w:rPr>
          <w:sz w:val="20"/>
          <w:szCs w:val="20"/>
        </w:rPr>
      </w:pPr>
      <w:r>
        <w:rPr>
          <w:rFonts w:eastAsia="Times New Roman"/>
          <w:sz w:val="19"/>
          <w:szCs w:val="19"/>
        </w:rPr>
        <w:t>An award will not be transferable except as designated by the participant by will or by the laws of descent and distribution or, if provided by the Committee, pursuant to a qualified domestic relations order (within the meaning of the Internal Revenue Cod</w:t>
      </w:r>
      <w:r>
        <w:rPr>
          <w:rFonts w:eastAsia="Times New Roman"/>
          <w:sz w:val="19"/>
          <w:szCs w:val="19"/>
        </w:rPr>
        <w:t xml:space="preserve">e and applicable rules thereunder), in each case, to the extent permitted by applicable law. To the extent that a participant who receives an award under the 2022 LTIP has the right to exercise such award, the award may be exercised during the lifetime of </w:t>
      </w:r>
      <w:r>
        <w:rPr>
          <w:rFonts w:eastAsia="Times New Roman"/>
          <w:sz w:val="19"/>
          <w:szCs w:val="19"/>
        </w:rPr>
        <w:t>the participant only by the participant. Notwithstanding the foregoing, if provided by the Committee and subject to approval, waiver, confirmation or otherwise (as</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7" w:name="page27"/>
      <w:bookmarkEnd w:id="27"/>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42" w:lineRule="auto"/>
        <w:ind w:left="420"/>
        <w:jc w:val="both"/>
        <w:rPr>
          <w:sz w:val="20"/>
          <w:szCs w:val="20"/>
        </w:rPr>
      </w:pPr>
      <w:r>
        <w:rPr>
          <w:rFonts w:eastAsia="Times New Roman"/>
          <w:sz w:val="19"/>
          <w:szCs w:val="19"/>
        </w:rPr>
        <w:t xml:space="preserve">applicable) from the Hong Kong Stock </w:t>
      </w:r>
      <w:r>
        <w:rPr>
          <w:rFonts w:eastAsia="Times New Roman"/>
          <w:sz w:val="19"/>
          <w:szCs w:val="19"/>
        </w:rPr>
        <w:t>Exchange, awards may be transferred to or for the benefit of the participant’s family (including, without limitation, to a trust or partnership for the benefit of a participant’s family), subject to such procedures as the Committee may establish. In no eve</w:t>
      </w:r>
      <w:r>
        <w:rPr>
          <w:rFonts w:eastAsia="Times New Roman"/>
          <w:sz w:val="19"/>
          <w:szCs w:val="19"/>
        </w:rPr>
        <w:t>nt will an incentive stock option be transferable to the extent that such transferability would violate the requirements applicable to such option under Section 422 of the Internal Revenue Code.</w:t>
      </w:r>
    </w:p>
    <w:p w:rsidR="00CC2C66" w:rsidRDefault="00CC2C66">
      <w:pPr>
        <w:spacing w:line="214" w:lineRule="exact"/>
        <w:rPr>
          <w:sz w:val="20"/>
          <w:szCs w:val="20"/>
        </w:rPr>
      </w:pPr>
    </w:p>
    <w:p w:rsidR="00CC2C66" w:rsidRDefault="00F80B74">
      <w:pPr>
        <w:ind w:left="420"/>
        <w:rPr>
          <w:sz w:val="20"/>
          <w:szCs w:val="20"/>
        </w:rPr>
      </w:pPr>
      <w:r>
        <w:rPr>
          <w:rFonts w:eastAsia="Times New Roman"/>
          <w:b/>
          <w:bCs/>
          <w:color w:val="CF0A2C"/>
          <w:sz w:val="19"/>
          <w:szCs w:val="19"/>
        </w:rPr>
        <w:t>Effect of Capitalization Adjustments</w:t>
      </w:r>
    </w:p>
    <w:p w:rsidR="00CC2C66" w:rsidRDefault="00CC2C66">
      <w:pPr>
        <w:spacing w:line="245" w:lineRule="exact"/>
        <w:rPr>
          <w:sz w:val="20"/>
          <w:szCs w:val="20"/>
        </w:rPr>
      </w:pPr>
    </w:p>
    <w:p w:rsidR="00CC2C66" w:rsidRDefault="00F80B74">
      <w:pPr>
        <w:spacing w:line="239" w:lineRule="auto"/>
        <w:ind w:left="420"/>
        <w:jc w:val="both"/>
        <w:rPr>
          <w:sz w:val="20"/>
          <w:szCs w:val="20"/>
        </w:rPr>
      </w:pPr>
      <w:r>
        <w:rPr>
          <w:rFonts w:eastAsia="Times New Roman"/>
          <w:sz w:val="19"/>
          <w:szCs w:val="19"/>
        </w:rPr>
        <w:t>In the event of a capi</w:t>
      </w:r>
      <w:r>
        <w:rPr>
          <w:rFonts w:eastAsia="Times New Roman"/>
          <w:sz w:val="19"/>
          <w:szCs w:val="19"/>
        </w:rPr>
        <w:t>talization issue, rights issue, subdivision or consolidation of shares or reduction of capital, the Committee will make such equitable adjustments, in accordance with Section 409A of the Internal Revenue Code and the Hong Kong Listing Rules to the extent a</w:t>
      </w:r>
      <w:r>
        <w:rPr>
          <w:rFonts w:eastAsia="Times New Roman"/>
          <w:sz w:val="19"/>
          <w:szCs w:val="19"/>
        </w:rPr>
        <w:t>pplicable and as it determines are necessary and appropriate, in: (i) the number and class of securities available under the 2022 LTIP; (ii) the terms of each outstanding option and SAR (including the number and class of securities subject to each outstand</w:t>
      </w:r>
      <w:r>
        <w:rPr>
          <w:rFonts w:eastAsia="Times New Roman"/>
          <w:sz w:val="19"/>
          <w:szCs w:val="19"/>
        </w:rPr>
        <w:t>ing option or SAR and the exercise price or base price per share); and (iii) the terms of each outstanding Full Value Award (including the number and class of securities subject thereto). Only where approval, waiver, confirmation or otherwise as applicable</w:t>
      </w:r>
      <w:r>
        <w:rPr>
          <w:rFonts w:eastAsia="Times New Roman"/>
          <w:sz w:val="19"/>
          <w:szCs w:val="19"/>
        </w:rPr>
        <w:t xml:space="preserve"> from the Hong Kong Stock Exchange is obtained, in the event of any other equity restructuring event as defined under Financial Accounting Standards Board Accounting Standards Codification Topic 718, Compensation—Stock Compensation or any successor or repl</w:t>
      </w:r>
      <w:r>
        <w:rPr>
          <w:rFonts w:eastAsia="Times New Roman"/>
          <w:sz w:val="19"/>
          <w:szCs w:val="19"/>
        </w:rPr>
        <w:t>acement accounting standard, or any other change in corporate capitalization, including a merger, consolidation, reorganization, or partial or complete liquidation of the Company, such equitable adjustments described in the foregoing sentence may be made a</w:t>
      </w:r>
      <w:r>
        <w:rPr>
          <w:rFonts w:eastAsia="Times New Roman"/>
          <w:sz w:val="19"/>
          <w:szCs w:val="19"/>
        </w:rPr>
        <w:t>s determined to be appropriate and equitable by the Committee to prevent dilution or enlargement of rights of participants. In case of an adjustment pursuant to the adjustment provisions of the 2022 LTIP, the decision of the Committee regarding any such ad</w:t>
      </w:r>
      <w:r>
        <w:rPr>
          <w:rFonts w:eastAsia="Times New Roman"/>
          <w:sz w:val="19"/>
          <w:szCs w:val="19"/>
        </w:rPr>
        <w:t>justment will be final, binding and conclusive.</w:t>
      </w:r>
    </w:p>
    <w:p w:rsidR="00CC2C66" w:rsidRDefault="00CC2C66">
      <w:pPr>
        <w:spacing w:line="217" w:lineRule="exact"/>
        <w:rPr>
          <w:sz w:val="20"/>
          <w:szCs w:val="20"/>
        </w:rPr>
      </w:pPr>
    </w:p>
    <w:p w:rsidR="00CC2C66" w:rsidRDefault="00F80B74">
      <w:pPr>
        <w:ind w:left="420"/>
        <w:rPr>
          <w:sz w:val="20"/>
          <w:szCs w:val="20"/>
        </w:rPr>
      </w:pPr>
      <w:r>
        <w:rPr>
          <w:rFonts w:eastAsia="Times New Roman"/>
          <w:b/>
          <w:bCs/>
          <w:color w:val="CF0A2C"/>
          <w:sz w:val="19"/>
          <w:szCs w:val="19"/>
        </w:rPr>
        <w:t>New Plan Benefits</w:t>
      </w:r>
    </w:p>
    <w:p w:rsidR="00CC2C66" w:rsidRDefault="00CC2C66">
      <w:pPr>
        <w:spacing w:line="245" w:lineRule="exact"/>
        <w:rPr>
          <w:sz w:val="20"/>
          <w:szCs w:val="20"/>
        </w:rPr>
      </w:pPr>
    </w:p>
    <w:p w:rsidR="00CC2C66" w:rsidRDefault="00F80B74">
      <w:pPr>
        <w:spacing w:line="247" w:lineRule="auto"/>
        <w:ind w:left="420"/>
        <w:jc w:val="both"/>
        <w:rPr>
          <w:sz w:val="20"/>
          <w:szCs w:val="20"/>
        </w:rPr>
      </w:pPr>
      <w:r>
        <w:rPr>
          <w:rFonts w:eastAsia="Times New Roman"/>
          <w:sz w:val="19"/>
          <w:szCs w:val="19"/>
        </w:rPr>
        <w:t>The 2022 LTIP does not provide for set benefits or amounts of awards and the Committee has not approved any awards that are conditioned on shareholder approval. The Committee has the discr</w:t>
      </w:r>
      <w:r>
        <w:rPr>
          <w:rFonts w:eastAsia="Times New Roman"/>
          <w:sz w:val="19"/>
          <w:szCs w:val="19"/>
        </w:rPr>
        <w:t>etion to grant awards under the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1460"/>
        <w:rPr>
          <w:sz w:val="20"/>
          <w:szCs w:val="20"/>
        </w:rPr>
      </w:pPr>
      <w:r>
        <w:rPr>
          <w:rFonts w:ascii="Arial" w:eastAsia="Arial" w:hAnsi="Arial" w:cs="Arial"/>
          <w:b/>
          <w:bCs/>
          <w:color w:val="FFFFFF"/>
          <w:sz w:val="15"/>
          <w:szCs w:val="15"/>
        </w:rPr>
        <w:t>MATTERS REQUIRING STOCKHOLDER ACTION</w:t>
      </w:r>
    </w:p>
    <w:p w:rsidR="00CC2C66" w:rsidRDefault="00F80B74">
      <w:pPr>
        <w:spacing w:line="20" w:lineRule="exact"/>
        <w:rPr>
          <w:sz w:val="20"/>
          <w:szCs w:val="20"/>
        </w:rPr>
      </w:pPr>
      <w:r>
        <w:rPr>
          <w:noProof/>
          <w:sz w:val="20"/>
          <w:szCs w:val="20"/>
        </w:rPr>
        <w:drawing>
          <wp:anchor distT="0" distB="0" distL="114300" distR="114300" simplePos="0" relativeHeight="251585536"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586560" behindDoc="1" locked="0" layoutInCell="0" allowOverlap="1">
            <wp:simplePos x="0" y="0"/>
            <wp:positionH relativeFrom="column">
              <wp:posOffset>791210</wp:posOffset>
            </wp:positionH>
            <wp:positionV relativeFrom="paragraph">
              <wp:posOffset>-148590</wp:posOffset>
            </wp:positionV>
            <wp:extent cx="2458085" cy="19494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a:extLst/>
                    </a:blip>
                    <a:srcRect/>
                    <a:stretch>
                      <a:fillRect/>
                    </a:stretch>
                  </pic:blipFill>
                  <pic:spPr bwMode="auto">
                    <a:xfrm>
                      <a:off x="0" y="0"/>
                      <a:ext cx="245808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41" w:lineRule="auto"/>
        <w:jc w:val="both"/>
        <w:rPr>
          <w:sz w:val="20"/>
          <w:szCs w:val="20"/>
        </w:rPr>
      </w:pPr>
      <w:r>
        <w:rPr>
          <w:rFonts w:eastAsia="Times New Roman"/>
          <w:sz w:val="19"/>
          <w:szCs w:val="19"/>
        </w:rPr>
        <w:t xml:space="preserve">2022 LTIP and, therefore, it is not possible as of the date of this proxy statement to determine future awards that will be received by participants under the 2022 LTIP. </w:t>
      </w:r>
      <w:r>
        <w:rPr>
          <w:rFonts w:eastAsia="Times New Roman"/>
          <w:sz w:val="19"/>
          <w:szCs w:val="19"/>
        </w:rPr>
        <w:t>Information regarding awards granted in 2021 under the 2016 LTIP to the named executive officers is provided in the “2021 Summary Compensation Table” and the “2021 Grants of Plan-Based Awards” table. Information regarding awards granted in 2021 under the 2</w:t>
      </w:r>
      <w:r>
        <w:rPr>
          <w:rFonts w:eastAsia="Times New Roman"/>
          <w:sz w:val="19"/>
          <w:szCs w:val="19"/>
        </w:rPr>
        <w:t>016 LTIP to non-employee directors is provided in the “2021 Director Compensation” table.</w:t>
      </w:r>
    </w:p>
    <w:p w:rsidR="00CC2C66" w:rsidRDefault="00CC2C66">
      <w:pPr>
        <w:spacing w:line="219" w:lineRule="exact"/>
        <w:rPr>
          <w:sz w:val="20"/>
          <w:szCs w:val="20"/>
        </w:rPr>
      </w:pPr>
    </w:p>
    <w:p w:rsidR="00CC2C66" w:rsidRDefault="00F80B74">
      <w:pPr>
        <w:rPr>
          <w:sz w:val="20"/>
          <w:szCs w:val="20"/>
        </w:rPr>
      </w:pPr>
      <w:r>
        <w:rPr>
          <w:rFonts w:eastAsia="Times New Roman"/>
          <w:b/>
          <w:bCs/>
          <w:color w:val="CF0A2C"/>
          <w:sz w:val="19"/>
          <w:szCs w:val="19"/>
        </w:rPr>
        <w:t>U.S. Federal Income Tax Consequences</w:t>
      </w:r>
    </w:p>
    <w:p w:rsidR="00CC2C66" w:rsidRDefault="00CC2C66">
      <w:pPr>
        <w:spacing w:line="245" w:lineRule="exact"/>
        <w:rPr>
          <w:sz w:val="20"/>
          <w:szCs w:val="20"/>
        </w:rPr>
      </w:pPr>
    </w:p>
    <w:p w:rsidR="00CC2C66" w:rsidRDefault="00F80B74">
      <w:pPr>
        <w:jc w:val="both"/>
        <w:rPr>
          <w:sz w:val="20"/>
          <w:szCs w:val="20"/>
        </w:rPr>
      </w:pPr>
      <w:r>
        <w:rPr>
          <w:rFonts w:eastAsia="Times New Roman"/>
          <w:sz w:val="19"/>
          <w:szCs w:val="19"/>
        </w:rPr>
        <w:t xml:space="preserve">The following is a brief summary of certain United States federal income tax consequences generally arising with respect to </w:t>
      </w:r>
      <w:r>
        <w:rPr>
          <w:rFonts w:eastAsia="Times New Roman"/>
          <w:sz w:val="19"/>
          <w:szCs w:val="19"/>
        </w:rPr>
        <w:t xml:space="preserve">awards under the 2022 LTIP. This discussion does not address all aspects of the United States federal income tax consequences of participating in the 2022 LTIP that may be relevant to participants in light of their personal investment or tax circumstances </w:t>
      </w:r>
      <w:r>
        <w:rPr>
          <w:rFonts w:eastAsia="Times New Roman"/>
          <w:sz w:val="19"/>
          <w:szCs w:val="19"/>
        </w:rPr>
        <w:t xml:space="preserve">and does not discuss any state, local or non-United States tax consequences of participating in the 2022 LTIP. Each participant is advised to consult his or her particular tax advisor concerning the application of the United States federal income tax laws </w:t>
      </w:r>
      <w:r>
        <w:rPr>
          <w:rFonts w:eastAsia="Times New Roman"/>
          <w:sz w:val="19"/>
          <w:szCs w:val="19"/>
        </w:rPr>
        <w:t>to such participant’s particular situation, as well as the applicability and effect of any state, local or non-United States tax laws before taking any actions with respect to any awards.</w:t>
      </w:r>
    </w:p>
    <w:p w:rsidR="00CC2C66" w:rsidRDefault="00CC2C66">
      <w:pPr>
        <w:spacing w:line="209" w:lineRule="exact"/>
        <w:rPr>
          <w:sz w:val="20"/>
          <w:szCs w:val="20"/>
        </w:rPr>
      </w:pPr>
    </w:p>
    <w:p w:rsidR="00CC2C66" w:rsidRDefault="00F80B74">
      <w:pPr>
        <w:rPr>
          <w:sz w:val="20"/>
          <w:szCs w:val="20"/>
        </w:rPr>
      </w:pPr>
      <w:r>
        <w:rPr>
          <w:rFonts w:eastAsia="Times New Roman"/>
          <w:b/>
          <w:bCs/>
          <w:color w:val="CF0A2C"/>
          <w:sz w:val="19"/>
          <w:szCs w:val="19"/>
        </w:rPr>
        <w:t>Section 162(m) of the Internal Revenue Code</w:t>
      </w:r>
    </w:p>
    <w:p w:rsidR="00CC2C66" w:rsidRDefault="00CC2C66">
      <w:pPr>
        <w:spacing w:line="245" w:lineRule="exact"/>
        <w:rPr>
          <w:sz w:val="20"/>
          <w:szCs w:val="20"/>
        </w:rPr>
      </w:pPr>
    </w:p>
    <w:p w:rsidR="00CC2C66" w:rsidRDefault="00F80B74">
      <w:pPr>
        <w:spacing w:line="243" w:lineRule="auto"/>
        <w:jc w:val="both"/>
        <w:rPr>
          <w:sz w:val="20"/>
          <w:szCs w:val="20"/>
        </w:rPr>
      </w:pPr>
      <w:r>
        <w:rPr>
          <w:rFonts w:eastAsia="Times New Roman"/>
          <w:sz w:val="19"/>
          <w:szCs w:val="19"/>
        </w:rPr>
        <w:t xml:space="preserve">Section 162(m) of the </w:t>
      </w:r>
      <w:r>
        <w:rPr>
          <w:rFonts w:eastAsia="Times New Roman"/>
          <w:sz w:val="19"/>
          <w:szCs w:val="19"/>
        </w:rPr>
        <w:t>Internal Revenue Code generally limits to $1 million the amount that a publicly held corporation is allowed each year to deduct for the compensation paid to each of the corporation’s chief executive officer, the corporation’s chief financial officer and ce</w:t>
      </w:r>
      <w:r>
        <w:rPr>
          <w:rFonts w:eastAsia="Times New Roman"/>
          <w:sz w:val="19"/>
          <w:szCs w:val="19"/>
        </w:rPr>
        <w:t>rtain other current and former executive officers of the corporation.</w:t>
      </w:r>
    </w:p>
    <w:p w:rsidR="00CC2C66" w:rsidRDefault="00CC2C66">
      <w:pPr>
        <w:spacing w:line="215" w:lineRule="exact"/>
        <w:rPr>
          <w:sz w:val="20"/>
          <w:szCs w:val="20"/>
        </w:rPr>
      </w:pPr>
    </w:p>
    <w:p w:rsidR="00CC2C66" w:rsidRDefault="00F80B74">
      <w:pPr>
        <w:rPr>
          <w:sz w:val="20"/>
          <w:szCs w:val="20"/>
        </w:rPr>
      </w:pPr>
      <w:r>
        <w:rPr>
          <w:rFonts w:eastAsia="Times New Roman"/>
          <w:b/>
          <w:bCs/>
          <w:color w:val="CF0A2C"/>
          <w:sz w:val="19"/>
          <w:szCs w:val="19"/>
        </w:rPr>
        <w:t>Stock Options</w:t>
      </w:r>
    </w:p>
    <w:p w:rsidR="00CC2C66" w:rsidRDefault="00CC2C66">
      <w:pPr>
        <w:spacing w:line="233" w:lineRule="exact"/>
        <w:rPr>
          <w:sz w:val="20"/>
          <w:szCs w:val="20"/>
        </w:rPr>
      </w:pPr>
    </w:p>
    <w:p w:rsidR="00CC2C66" w:rsidRDefault="00F80B74">
      <w:pPr>
        <w:spacing w:line="243" w:lineRule="auto"/>
        <w:jc w:val="both"/>
        <w:rPr>
          <w:sz w:val="20"/>
          <w:szCs w:val="20"/>
        </w:rPr>
      </w:pPr>
      <w:r>
        <w:rPr>
          <w:rFonts w:eastAsia="Times New Roman"/>
          <w:sz w:val="19"/>
          <w:szCs w:val="19"/>
        </w:rPr>
        <w:t xml:space="preserve">A participant will not recognize taxable income at the time an option is granted and the Company will not be entitled to a tax deduction at that time. A participant will </w:t>
      </w:r>
      <w:r>
        <w:rPr>
          <w:rFonts w:eastAsia="Times New Roman"/>
          <w:sz w:val="19"/>
          <w:szCs w:val="19"/>
        </w:rPr>
        <w:t>recognize compensation taxable as ordinary income (and subject to income tax withholding in respect of an employee) upon exercise of a non-qualified stock option equal to the excess of the fair market value of the shares purchased over their exercise price</w:t>
      </w:r>
      <w:r>
        <w:rPr>
          <w:rFonts w:eastAsia="Times New Roman"/>
          <w:sz w:val="19"/>
          <w:szCs w:val="19"/>
        </w:rPr>
        <w:t>, and the Company will</w:t>
      </w:r>
    </w:p>
    <w:p w:rsidR="00CC2C66" w:rsidRDefault="00CC2C66">
      <w:pPr>
        <w:spacing w:line="264"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21</w:t>
      </w:r>
    </w:p>
    <w:p w:rsidR="00CC2C66" w:rsidRDefault="00F80B74">
      <w:pPr>
        <w:spacing w:line="20" w:lineRule="exact"/>
        <w:rPr>
          <w:sz w:val="20"/>
          <w:szCs w:val="20"/>
        </w:rPr>
      </w:pPr>
      <w:r>
        <w:rPr>
          <w:noProof/>
          <w:sz w:val="20"/>
          <w:szCs w:val="20"/>
        </w:rPr>
        <w:drawing>
          <wp:anchor distT="0" distB="0" distL="114300" distR="114300" simplePos="0" relativeHeight="251587584"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8" w:name="page28"/>
      <w:bookmarkEnd w:id="28"/>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588608" behindDoc="1" locked="0" layoutInCell="0" allowOverlap="1">
            <wp:simplePos x="0" y="0"/>
            <wp:positionH relativeFrom="column">
              <wp:posOffset>260985</wp:posOffset>
            </wp:positionH>
            <wp:positionV relativeFrom="paragraph">
              <wp:posOffset>196850</wp:posOffset>
            </wp:positionV>
            <wp:extent cx="2352675" cy="19494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blip>
                    <a:srcRect/>
                    <a:stretch>
                      <a:fillRect/>
                    </a:stretch>
                  </pic:blipFill>
                  <pic:spPr bwMode="auto">
                    <a:xfrm>
                      <a:off x="0" y="0"/>
                      <a:ext cx="235267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MATTERS REQUIRING STOCKHOLDER ACTION</w:t>
      </w:r>
    </w:p>
    <w:p w:rsidR="00CC2C66" w:rsidRDefault="00CC2C66">
      <w:pPr>
        <w:spacing w:line="243" w:lineRule="exact"/>
        <w:rPr>
          <w:sz w:val="20"/>
          <w:szCs w:val="20"/>
        </w:rPr>
      </w:pPr>
    </w:p>
    <w:p w:rsidR="00CC2C66" w:rsidRDefault="00F80B74">
      <w:pPr>
        <w:ind w:left="420"/>
        <w:jc w:val="both"/>
        <w:rPr>
          <w:sz w:val="20"/>
          <w:szCs w:val="20"/>
        </w:rPr>
      </w:pPr>
      <w:r>
        <w:rPr>
          <w:rFonts w:eastAsia="Times New Roman"/>
          <w:sz w:val="19"/>
          <w:szCs w:val="19"/>
        </w:rPr>
        <w:t xml:space="preserve">be entitled to a corresponding deduction, subject to the deduction limits under Section 162(m) of the Internal </w:t>
      </w:r>
      <w:r>
        <w:rPr>
          <w:rFonts w:eastAsia="Times New Roman"/>
          <w:sz w:val="19"/>
          <w:szCs w:val="19"/>
        </w:rPr>
        <w:t>Revenue Code. A participant will not recognize income (except for purposes of the alternative minimum tax) upon exercise of an incentive stock option. If the shares acquired by exercise of an incentive stock option are held for the longer of two years from</w:t>
      </w:r>
      <w:r>
        <w:rPr>
          <w:rFonts w:eastAsia="Times New Roman"/>
          <w:sz w:val="19"/>
          <w:szCs w:val="19"/>
        </w:rPr>
        <w:t xml:space="preserve"> the date the option was granted and one year from the date it was exercised, any gain or loss arising from a subsequent disposition of those shares will be taxed as long-term capital gain or loss, and the Company will not be entitled to any deduction. If,</w:t>
      </w:r>
      <w:r>
        <w:rPr>
          <w:rFonts w:eastAsia="Times New Roman"/>
          <w:sz w:val="19"/>
          <w:szCs w:val="19"/>
        </w:rPr>
        <w:t xml:space="preserve"> however, those shares are disposed of within the above-described period, then in the year of that disposition the participant will recognize compensation taxable as ordinary income equal to the excess of</w:t>
      </w:r>
    </w:p>
    <w:p w:rsidR="00CC2C66" w:rsidRDefault="00CC2C66">
      <w:pPr>
        <w:spacing w:line="3" w:lineRule="exact"/>
        <w:rPr>
          <w:sz w:val="20"/>
          <w:szCs w:val="20"/>
        </w:rPr>
      </w:pPr>
    </w:p>
    <w:p w:rsidR="00CC2C66" w:rsidRDefault="00F80B74">
      <w:pPr>
        <w:numPr>
          <w:ilvl w:val="0"/>
          <w:numId w:val="42"/>
        </w:numPr>
        <w:tabs>
          <w:tab w:val="left" w:pos="693"/>
        </w:tabs>
        <w:spacing w:line="238" w:lineRule="auto"/>
        <w:ind w:left="420" w:right="20" w:hanging="9"/>
        <w:jc w:val="both"/>
        <w:rPr>
          <w:rFonts w:eastAsia="Times New Roman"/>
          <w:sz w:val="19"/>
          <w:szCs w:val="19"/>
        </w:rPr>
      </w:pPr>
      <w:r>
        <w:rPr>
          <w:rFonts w:eastAsia="Times New Roman"/>
          <w:sz w:val="19"/>
          <w:szCs w:val="19"/>
        </w:rPr>
        <w:t xml:space="preserve">the lesser of the amount realized upon that </w:t>
      </w:r>
      <w:r>
        <w:rPr>
          <w:rFonts w:eastAsia="Times New Roman"/>
          <w:sz w:val="19"/>
          <w:szCs w:val="19"/>
        </w:rPr>
        <w:t>disposition and the fair market value of those shares on the date of exercise over</w:t>
      </w:r>
    </w:p>
    <w:p w:rsidR="00CC2C66" w:rsidRDefault="00CC2C66">
      <w:pPr>
        <w:spacing w:line="1" w:lineRule="exact"/>
        <w:rPr>
          <w:rFonts w:eastAsia="Times New Roman"/>
          <w:sz w:val="19"/>
          <w:szCs w:val="19"/>
        </w:rPr>
      </w:pPr>
    </w:p>
    <w:p w:rsidR="00CC2C66" w:rsidRDefault="00F80B74">
      <w:pPr>
        <w:numPr>
          <w:ilvl w:val="0"/>
          <w:numId w:val="42"/>
        </w:numPr>
        <w:tabs>
          <w:tab w:val="left" w:pos="732"/>
        </w:tabs>
        <w:spacing w:line="241" w:lineRule="auto"/>
        <w:ind w:left="420" w:hanging="9"/>
        <w:jc w:val="both"/>
        <w:rPr>
          <w:rFonts w:eastAsia="Times New Roman"/>
          <w:sz w:val="19"/>
          <w:szCs w:val="19"/>
        </w:rPr>
      </w:pPr>
      <w:r>
        <w:rPr>
          <w:rFonts w:eastAsia="Times New Roman"/>
          <w:sz w:val="19"/>
          <w:szCs w:val="19"/>
        </w:rPr>
        <w:t>the exercise price, and the Company will be entitled to a corresponding deduction, subject to the deduction limits under Section 162(m) of the Internal Revenue Code.</w:t>
      </w:r>
    </w:p>
    <w:p w:rsidR="00CC2C66" w:rsidRDefault="00CC2C66">
      <w:pPr>
        <w:spacing w:line="212" w:lineRule="exact"/>
        <w:rPr>
          <w:sz w:val="20"/>
          <w:szCs w:val="20"/>
        </w:rPr>
      </w:pPr>
    </w:p>
    <w:p w:rsidR="00CC2C66" w:rsidRDefault="00F80B74">
      <w:pPr>
        <w:ind w:left="420"/>
        <w:rPr>
          <w:sz w:val="20"/>
          <w:szCs w:val="20"/>
        </w:rPr>
      </w:pPr>
      <w:r>
        <w:rPr>
          <w:rFonts w:eastAsia="Times New Roman"/>
          <w:b/>
          <w:bCs/>
          <w:color w:val="CF0A2C"/>
          <w:sz w:val="19"/>
          <w:szCs w:val="19"/>
        </w:rPr>
        <w:t>SARs</w:t>
      </w:r>
    </w:p>
    <w:p w:rsidR="00CC2C66" w:rsidRDefault="00CC2C66">
      <w:pPr>
        <w:spacing w:line="245" w:lineRule="exact"/>
        <w:rPr>
          <w:sz w:val="20"/>
          <w:szCs w:val="20"/>
        </w:rPr>
      </w:pPr>
    </w:p>
    <w:p w:rsidR="00CC2C66" w:rsidRDefault="00F80B74">
      <w:pPr>
        <w:spacing w:line="241" w:lineRule="auto"/>
        <w:ind w:left="420"/>
        <w:jc w:val="both"/>
        <w:rPr>
          <w:sz w:val="20"/>
          <w:szCs w:val="20"/>
        </w:rPr>
      </w:pPr>
      <w:r>
        <w:rPr>
          <w:rFonts w:eastAsia="Times New Roman"/>
          <w:sz w:val="19"/>
          <w:szCs w:val="19"/>
        </w:rPr>
        <w:t>A participant will not recognize taxable income at the time SARs are granted and the Company will not be entitled to a tax deduction at that time. Upon exercise, the participant will recognize compensation taxable as ordinary income (and subject to income</w:t>
      </w:r>
      <w:r>
        <w:rPr>
          <w:rFonts w:eastAsia="Times New Roman"/>
          <w:sz w:val="19"/>
          <w:szCs w:val="19"/>
        </w:rPr>
        <w:t xml:space="preserve"> tax withholding in respect of an employee) in an amount equal to the fair market value of any shares delivered and the amount of cash paid by the Company, and the Company will be entitled to a corresponding deduction, subject to the deduction limits under</w:t>
      </w:r>
      <w:r>
        <w:rPr>
          <w:rFonts w:eastAsia="Times New Roman"/>
          <w:sz w:val="19"/>
          <w:szCs w:val="19"/>
        </w:rPr>
        <w:t xml:space="preserve"> Section 162(m) of the Internal Revenue Code.</w:t>
      </w:r>
    </w:p>
    <w:p w:rsidR="00CC2C66" w:rsidRDefault="00CC2C66">
      <w:pPr>
        <w:spacing w:line="206" w:lineRule="exact"/>
        <w:rPr>
          <w:sz w:val="20"/>
          <w:szCs w:val="20"/>
        </w:rPr>
      </w:pPr>
    </w:p>
    <w:p w:rsidR="00CC2C66" w:rsidRDefault="00F80B74">
      <w:pPr>
        <w:ind w:left="420"/>
        <w:rPr>
          <w:sz w:val="20"/>
          <w:szCs w:val="20"/>
        </w:rPr>
      </w:pPr>
      <w:r>
        <w:rPr>
          <w:rFonts w:eastAsia="Times New Roman"/>
          <w:b/>
          <w:bCs/>
          <w:color w:val="CF0A2C"/>
          <w:sz w:val="19"/>
          <w:szCs w:val="19"/>
        </w:rPr>
        <w:t>Full Value Awards</w:t>
      </w:r>
    </w:p>
    <w:p w:rsidR="00CC2C66" w:rsidRDefault="00CC2C66">
      <w:pPr>
        <w:spacing w:line="245" w:lineRule="exact"/>
        <w:rPr>
          <w:sz w:val="20"/>
          <w:szCs w:val="20"/>
        </w:rPr>
      </w:pPr>
    </w:p>
    <w:p w:rsidR="00CC2C66" w:rsidRDefault="00F80B74">
      <w:pPr>
        <w:spacing w:line="258" w:lineRule="auto"/>
        <w:ind w:left="420"/>
        <w:jc w:val="both"/>
        <w:rPr>
          <w:sz w:val="20"/>
          <w:szCs w:val="20"/>
        </w:rPr>
      </w:pPr>
      <w:r>
        <w:rPr>
          <w:rFonts w:eastAsia="Times New Roman"/>
          <w:sz w:val="18"/>
          <w:szCs w:val="18"/>
        </w:rPr>
        <w:t>The U.S. federal income tax consequences of a Full Value Award will depend on the type of award. The tax treatment of the grant of shares of Company common stock depends on whether the share</w:t>
      </w:r>
      <w:r>
        <w:rPr>
          <w:rFonts w:eastAsia="Times New Roman"/>
          <w:sz w:val="18"/>
          <w:szCs w:val="18"/>
        </w:rPr>
        <w:t xml:space="preserve">s are subject to a substantial risk of forfeiture (as determined under the Internal Revenue Code) at the time of the grant. If the shares are subject to a substantial risk of forfeiture, the participant will not recognize taxable income at the time of the </w:t>
      </w:r>
      <w:r>
        <w:rPr>
          <w:rFonts w:eastAsia="Times New Roman"/>
          <w:sz w:val="18"/>
          <w:szCs w:val="18"/>
        </w:rPr>
        <w:t>grant (and the</w:t>
      </w:r>
    </w:p>
    <w:p w:rsidR="00CC2C66" w:rsidRDefault="00CC2C66">
      <w:pPr>
        <w:spacing w:line="257" w:lineRule="exact"/>
        <w:rPr>
          <w:sz w:val="20"/>
          <w:szCs w:val="20"/>
        </w:rPr>
      </w:pPr>
    </w:p>
    <w:p w:rsidR="00CC2C66" w:rsidRDefault="00F80B74">
      <w:pPr>
        <w:numPr>
          <w:ilvl w:val="0"/>
          <w:numId w:val="43"/>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55" w:lineRule="auto"/>
        <w:jc w:val="both"/>
        <w:rPr>
          <w:sz w:val="20"/>
          <w:szCs w:val="20"/>
        </w:rPr>
      </w:pPr>
      <w:r>
        <w:rPr>
          <w:rFonts w:eastAsia="Times New Roman"/>
          <w:sz w:val="18"/>
          <w:szCs w:val="18"/>
        </w:rPr>
        <w:t xml:space="preserve">Company will not be entitled to a tax deduction) and when the restrictions on the shares lapse (that is, when the shares are no longer subject to a substantial risk of forfeiture), the participant will </w:t>
      </w:r>
      <w:r>
        <w:rPr>
          <w:rFonts w:eastAsia="Times New Roman"/>
          <w:sz w:val="18"/>
          <w:szCs w:val="18"/>
        </w:rPr>
        <w:t>recognize ordinary taxable income in an amount equal to the fair market value of the shares at that time less the price paid, if any, for such shares. If the shares are not subject to a substantial risk of forfeiture or if the participant elects to be taxe</w:t>
      </w:r>
      <w:r>
        <w:rPr>
          <w:rFonts w:eastAsia="Times New Roman"/>
          <w:sz w:val="18"/>
          <w:szCs w:val="18"/>
        </w:rPr>
        <w:t>d at the time of the grant of such shares under Section 83(b) of the Internal Revenue Code, the participant will recognize taxable income at the time of the grant of the shares in an amount equal to the fair market value of such shares at that time, determ</w:t>
      </w:r>
      <w:r>
        <w:rPr>
          <w:rFonts w:eastAsia="Times New Roman"/>
          <w:sz w:val="18"/>
          <w:szCs w:val="18"/>
        </w:rPr>
        <w:t>ined without regard to any of the restrictions, less the price paid, if any, for such shares.</w:t>
      </w:r>
    </w:p>
    <w:p w:rsidR="00CC2C66" w:rsidRDefault="00F80B74">
      <w:pPr>
        <w:spacing w:line="20" w:lineRule="exact"/>
        <w:rPr>
          <w:sz w:val="20"/>
          <w:szCs w:val="20"/>
        </w:rPr>
      </w:pPr>
      <w:r>
        <w:rPr>
          <w:noProof/>
          <w:sz w:val="20"/>
          <w:szCs w:val="20"/>
        </w:rPr>
        <w:drawing>
          <wp:anchor distT="0" distB="0" distL="114300" distR="114300" simplePos="0" relativeHeight="251590656" behindDoc="1" locked="0" layoutInCell="0" allowOverlap="1">
            <wp:simplePos x="0" y="0"/>
            <wp:positionH relativeFrom="column">
              <wp:posOffset>-3642995</wp:posOffset>
            </wp:positionH>
            <wp:positionV relativeFrom="paragraph">
              <wp:posOffset>-2489200</wp:posOffset>
            </wp:positionV>
            <wp:extent cx="7181215" cy="3683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190" w:lineRule="exact"/>
        <w:rPr>
          <w:sz w:val="20"/>
          <w:szCs w:val="20"/>
        </w:rPr>
      </w:pPr>
    </w:p>
    <w:p w:rsidR="00CC2C66" w:rsidRDefault="00F80B74">
      <w:pPr>
        <w:spacing w:line="245" w:lineRule="auto"/>
        <w:jc w:val="both"/>
        <w:rPr>
          <w:sz w:val="20"/>
          <w:szCs w:val="20"/>
        </w:rPr>
      </w:pPr>
      <w:r>
        <w:rPr>
          <w:rFonts w:eastAsia="Times New Roman"/>
          <w:sz w:val="19"/>
          <w:szCs w:val="19"/>
        </w:rPr>
        <w:t>If the shares are forfeited before the restrictions lapse, the participant will not be entitled to any deduction on account of such forfeiture. The participant</w:t>
      </w:r>
      <w:r>
        <w:rPr>
          <w:rFonts w:eastAsia="Times New Roman"/>
          <w:sz w:val="19"/>
          <w:szCs w:val="19"/>
        </w:rPr>
        <w:t>’s tax basis in the shares is the amount recognized by him or her as income attributable to such shares plus the amount, if any, that the participant paid for such shares.</w:t>
      </w:r>
    </w:p>
    <w:p w:rsidR="00CC2C66" w:rsidRDefault="00CC2C66">
      <w:pPr>
        <w:spacing w:line="214" w:lineRule="exact"/>
        <w:rPr>
          <w:sz w:val="20"/>
          <w:szCs w:val="20"/>
        </w:rPr>
      </w:pPr>
    </w:p>
    <w:p w:rsidR="00CC2C66" w:rsidRDefault="00F80B74">
      <w:pPr>
        <w:spacing w:line="243" w:lineRule="auto"/>
        <w:jc w:val="both"/>
        <w:rPr>
          <w:sz w:val="20"/>
          <w:szCs w:val="20"/>
        </w:rPr>
      </w:pPr>
      <w:r>
        <w:rPr>
          <w:rFonts w:eastAsia="Times New Roman"/>
          <w:sz w:val="19"/>
          <w:szCs w:val="19"/>
        </w:rPr>
        <w:t>In the case of RSUs or PSUs, the participant generally will not have taxable income</w:t>
      </w:r>
      <w:r>
        <w:rPr>
          <w:rFonts w:eastAsia="Times New Roman"/>
          <w:sz w:val="19"/>
          <w:szCs w:val="19"/>
        </w:rPr>
        <w:t xml:space="preserve"> upon the grant of the award. Participants will generally recognize ordinary income when the award is settled. At that time, the participant will recognize taxable income equal to the cash or the then fair market value of the shares issuable in settlement </w:t>
      </w:r>
      <w:r>
        <w:rPr>
          <w:rFonts w:eastAsia="Times New Roman"/>
          <w:sz w:val="19"/>
          <w:szCs w:val="19"/>
        </w:rPr>
        <w:t>of such award, and such amount will be the tax basis for any shares received.</w:t>
      </w:r>
    </w:p>
    <w:p w:rsidR="00CC2C66" w:rsidRDefault="00CC2C66">
      <w:pPr>
        <w:spacing w:line="198" w:lineRule="exact"/>
        <w:rPr>
          <w:sz w:val="20"/>
          <w:szCs w:val="20"/>
        </w:rPr>
      </w:pPr>
    </w:p>
    <w:p w:rsidR="00CC2C66" w:rsidRDefault="00F80B74">
      <w:pPr>
        <w:rPr>
          <w:sz w:val="20"/>
          <w:szCs w:val="20"/>
        </w:rPr>
      </w:pPr>
      <w:r>
        <w:rPr>
          <w:rFonts w:eastAsia="Times New Roman"/>
          <w:b/>
          <w:bCs/>
          <w:color w:val="CF0A2C"/>
          <w:sz w:val="19"/>
          <w:szCs w:val="19"/>
        </w:rPr>
        <w:t>Cash Incentive Awards</w:t>
      </w:r>
    </w:p>
    <w:p w:rsidR="00CC2C66" w:rsidRDefault="00CC2C66">
      <w:pPr>
        <w:spacing w:line="245" w:lineRule="exact"/>
        <w:rPr>
          <w:sz w:val="20"/>
          <w:szCs w:val="20"/>
        </w:rPr>
      </w:pPr>
    </w:p>
    <w:p w:rsidR="00CC2C66" w:rsidRDefault="00F80B74">
      <w:pPr>
        <w:spacing w:line="243" w:lineRule="auto"/>
        <w:jc w:val="both"/>
        <w:rPr>
          <w:sz w:val="20"/>
          <w:szCs w:val="20"/>
        </w:rPr>
      </w:pPr>
      <w:r>
        <w:rPr>
          <w:rFonts w:eastAsia="Times New Roman"/>
          <w:sz w:val="19"/>
          <w:szCs w:val="19"/>
        </w:rPr>
        <w:t>A participant generally will not recognize income at the time a Cash Incentive Award is granted. When a Cash Incentive Award vests and is paid, the partic</w:t>
      </w:r>
      <w:r>
        <w:rPr>
          <w:rFonts w:eastAsia="Times New Roman"/>
          <w:sz w:val="19"/>
          <w:szCs w:val="19"/>
        </w:rPr>
        <w:t>ipant will recognize ordinary income in an amount equal to the cash paid. The Company will generally be entitled to a deduction at the same time and in the same amount as the participant recognizes ordinary income.</w:t>
      </w:r>
    </w:p>
    <w:p w:rsidR="00CC2C66" w:rsidRDefault="00CC2C66">
      <w:pPr>
        <w:spacing w:line="213" w:lineRule="exact"/>
        <w:rPr>
          <w:sz w:val="20"/>
          <w:szCs w:val="20"/>
        </w:rPr>
      </w:pPr>
    </w:p>
    <w:p w:rsidR="00CC2C66" w:rsidRDefault="00F80B74">
      <w:pPr>
        <w:spacing w:line="255" w:lineRule="auto"/>
        <w:ind w:right="20"/>
        <w:jc w:val="both"/>
        <w:rPr>
          <w:sz w:val="20"/>
          <w:szCs w:val="20"/>
        </w:rPr>
      </w:pPr>
      <w:r>
        <w:rPr>
          <w:rFonts w:eastAsia="Times New Roman"/>
          <w:b/>
          <w:bCs/>
          <w:i/>
          <w:iCs/>
          <w:color w:val="CF0A2C"/>
          <w:sz w:val="19"/>
          <w:szCs w:val="19"/>
        </w:rPr>
        <w:t>The Board of Directors recommends that s</w:t>
      </w:r>
      <w:r>
        <w:rPr>
          <w:rFonts w:eastAsia="Times New Roman"/>
          <w:b/>
          <w:bCs/>
          <w:i/>
          <w:iCs/>
          <w:color w:val="CF0A2C"/>
          <w:sz w:val="19"/>
          <w:szCs w:val="19"/>
        </w:rPr>
        <w:t>tockholders vote FOR the approval of the Yum China Holdings, Inc. 2022 Long Term Incentive Plan.</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29" w:name="page29"/>
      <w:bookmarkEnd w:id="29"/>
      <w:r>
        <w:rPr>
          <w:rFonts w:eastAsia="Times New Roman"/>
          <w:b/>
          <w:bCs/>
          <w:noProof/>
          <w:color w:val="0000EE"/>
          <w:sz w:val="17"/>
          <w:szCs w:val="17"/>
          <w:u w:val="single"/>
        </w:rPr>
        <w:lastRenderedPageBreak/>
        <w:drawing>
          <wp:anchor distT="0" distB="0" distL="114300" distR="114300" simplePos="0" relativeHeight="25159168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92704" behindDoc="1" locked="0" layoutInCell="0" allowOverlap="1">
            <wp:simplePos x="0" y="0"/>
            <wp:positionH relativeFrom="column">
              <wp:posOffset>260985</wp:posOffset>
            </wp:positionH>
            <wp:positionV relativeFrom="paragraph">
              <wp:posOffset>196850</wp:posOffset>
            </wp:positionV>
            <wp:extent cx="6620510" cy="47879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blip>
                    <a:srcRect/>
                    <a:stretch>
                      <a:fillRect/>
                    </a:stretch>
                  </pic:blipFill>
                  <pic:spPr bwMode="auto">
                    <a:xfrm>
                      <a:off x="0" y="0"/>
                      <a:ext cx="6620510" cy="4787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ind w:left="500"/>
        <w:rPr>
          <w:sz w:val="20"/>
          <w:szCs w:val="20"/>
        </w:rPr>
      </w:pPr>
      <w:r>
        <w:rPr>
          <w:rFonts w:ascii="Arial" w:eastAsia="Arial" w:hAnsi="Arial" w:cs="Arial"/>
          <w:b/>
          <w:bCs/>
          <w:color w:val="FFFFFF"/>
          <w:sz w:val="30"/>
          <w:szCs w:val="30"/>
        </w:rPr>
        <w:t>STOCK OWNERSHIP INFORMATION</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90" w:lineRule="exact"/>
        <w:rPr>
          <w:sz w:val="20"/>
          <w:szCs w:val="20"/>
        </w:rPr>
      </w:pPr>
    </w:p>
    <w:p w:rsidR="00CC2C66" w:rsidRDefault="00F80B74">
      <w:pPr>
        <w:ind w:left="420"/>
        <w:rPr>
          <w:sz w:val="20"/>
          <w:szCs w:val="20"/>
        </w:rPr>
      </w:pPr>
      <w:r>
        <w:rPr>
          <w:rFonts w:ascii="Arial" w:eastAsia="Arial" w:hAnsi="Arial" w:cs="Arial"/>
          <w:b/>
          <w:bCs/>
          <w:color w:val="CF0A2C"/>
          <w:sz w:val="31"/>
          <w:szCs w:val="31"/>
        </w:rPr>
        <w:t>Who are our largest stockholders?</w:t>
      </w:r>
    </w:p>
    <w:p w:rsidR="00CC2C66" w:rsidRDefault="00F80B74">
      <w:pPr>
        <w:spacing w:line="20" w:lineRule="exact"/>
        <w:rPr>
          <w:sz w:val="20"/>
          <w:szCs w:val="20"/>
        </w:rPr>
      </w:pPr>
      <w:r>
        <w:rPr>
          <w:noProof/>
          <w:sz w:val="20"/>
          <w:szCs w:val="20"/>
        </w:rPr>
        <w:drawing>
          <wp:anchor distT="0" distB="0" distL="114300" distR="114300" simplePos="0" relativeHeight="251593728"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5" w:lineRule="exact"/>
        <w:rPr>
          <w:sz w:val="20"/>
          <w:szCs w:val="20"/>
        </w:rPr>
      </w:pPr>
    </w:p>
    <w:p w:rsidR="00CC2C66" w:rsidRDefault="00F80B74">
      <w:pPr>
        <w:spacing w:line="243" w:lineRule="auto"/>
        <w:ind w:left="420"/>
        <w:jc w:val="both"/>
        <w:rPr>
          <w:sz w:val="20"/>
          <w:szCs w:val="20"/>
        </w:rPr>
      </w:pPr>
      <w:r>
        <w:rPr>
          <w:rFonts w:eastAsia="Times New Roman"/>
          <w:sz w:val="19"/>
          <w:szCs w:val="19"/>
        </w:rPr>
        <w:t>The following table</w:t>
      </w:r>
      <w:r>
        <w:rPr>
          <w:rFonts w:eastAsia="Times New Roman"/>
          <w:sz w:val="19"/>
          <w:szCs w:val="19"/>
        </w:rPr>
        <w:t xml:space="preserve"> sets forth the number of shares of Company common stock beneficially owned as of August 24, 2022, except as otherwise noted, by (i) beneficial owners of more than 5% of the outstanding shares of Company common stock, (ii) each of the Company’s named execu</w:t>
      </w:r>
      <w:r>
        <w:rPr>
          <w:rFonts w:eastAsia="Times New Roman"/>
          <w:sz w:val="19"/>
          <w:szCs w:val="19"/>
        </w:rPr>
        <w:t>tive officers, (iii) each of the Company’s directors and (iv) all of the Company’s directors and executive officers as a group.</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5" w:lineRule="exact"/>
        <w:rPr>
          <w:sz w:val="20"/>
          <w:szCs w:val="20"/>
        </w:rPr>
      </w:pPr>
    </w:p>
    <w:p w:rsidR="00CC2C66" w:rsidRDefault="00F80B74">
      <w:pPr>
        <w:spacing w:line="242" w:lineRule="auto"/>
        <w:jc w:val="both"/>
        <w:rPr>
          <w:sz w:val="20"/>
          <w:szCs w:val="20"/>
        </w:rPr>
      </w:pPr>
      <w:r>
        <w:rPr>
          <w:rFonts w:eastAsia="Times New Roman"/>
          <w:sz w:val="19"/>
          <w:szCs w:val="19"/>
        </w:rPr>
        <w:t>In accordance with SEC rules, beneficial ownership includes all shares the stockholder actually owns beneficially or of rec</w:t>
      </w:r>
      <w:r>
        <w:rPr>
          <w:rFonts w:eastAsia="Times New Roman"/>
          <w:sz w:val="19"/>
          <w:szCs w:val="19"/>
        </w:rPr>
        <w:t>ord, all shares over which the stockholder has or shares voting or dispositive control and all shares the stockholder has the right to acquire within 60 days of August 24, 2022. Except as indicated in the footnotes to the table, the Company believes that t</w:t>
      </w:r>
      <w:r>
        <w:rPr>
          <w:rFonts w:eastAsia="Times New Roman"/>
          <w:sz w:val="19"/>
          <w:szCs w:val="19"/>
        </w:rPr>
        <w:t>he persons named in the table have sole voting and investment power with respect to all shares owned beneficially by them.</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147"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5800"/>
        <w:gridCol w:w="3160"/>
        <w:gridCol w:w="1460"/>
      </w:tblGrid>
      <w:tr w:rsidR="00CC2C66">
        <w:trPr>
          <w:trHeight w:val="153"/>
        </w:trPr>
        <w:tc>
          <w:tcPr>
            <w:tcW w:w="5800" w:type="dxa"/>
            <w:tcBorders>
              <w:top w:val="single" w:sz="8" w:space="0" w:color="CF0A2C"/>
            </w:tcBorders>
            <w:shd w:val="clear" w:color="auto" w:fill="FAE6E9"/>
            <w:vAlign w:val="bottom"/>
          </w:tcPr>
          <w:p w:rsidR="00CC2C66" w:rsidRDefault="00CC2C66">
            <w:pPr>
              <w:rPr>
                <w:sz w:val="13"/>
                <w:szCs w:val="13"/>
              </w:rPr>
            </w:pPr>
          </w:p>
        </w:tc>
        <w:tc>
          <w:tcPr>
            <w:tcW w:w="3160" w:type="dxa"/>
            <w:tcBorders>
              <w:top w:val="single" w:sz="8" w:space="0" w:color="CF0A2C"/>
            </w:tcBorders>
            <w:shd w:val="clear" w:color="auto" w:fill="FAE6E9"/>
            <w:vAlign w:val="bottom"/>
          </w:tcPr>
          <w:p w:rsidR="00CC2C66" w:rsidRDefault="00F80B74">
            <w:pPr>
              <w:spacing w:line="153" w:lineRule="exact"/>
              <w:ind w:right="518"/>
              <w:jc w:val="right"/>
              <w:rPr>
                <w:sz w:val="20"/>
                <w:szCs w:val="20"/>
              </w:rPr>
            </w:pPr>
            <w:r>
              <w:rPr>
                <w:rFonts w:ascii="Arial" w:eastAsia="Arial" w:hAnsi="Arial" w:cs="Arial"/>
                <w:b/>
                <w:bCs/>
                <w:color w:val="CF0A2C"/>
                <w:sz w:val="14"/>
                <w:szCs w:val="14"/>
              </w:rPr>
              <w:t>Number of Shares</w:t>
            </w:r>
          </w:p>
        </w:tc>
        <w:tc>
          <w:tcPr>
            <w:tcW w:w="1460" w:type="dxa"/>
            <w:tcBorders>
              <w:top w:val="single" w:sz="8" w:space="0" w:color="CF0A2C"/>
            </w:tcBorders>
            <w:shd w:val="clear" w:color="auto" w:fill="FAE6E9"/>
            <w:vAlign w:val="bottom"/>
          </w:tcPr>
          <w:p w:rsidR="00CC2C66" w:rsidRDefault="00F80B74">
            <w:pPr>
              <w:spacing w:line="153" w:lineRule="exact"/>
              <w:ind w:right="236"/>
              <w:jc w:val="right"/>
              <w:rPr>
                <w:sz w:val="20"/>
                <w:szCs w:val="20"/>
              </w:rPr>
            </w:pPr>
            <w:r>
              <w:rPr>
                <w:rFonts w:ascii="Arial" w:eastAsia="Arial" w:hAnsi="Arial" w:cs="Arial"/>
                <w:b/>
                <w:bCs/>
                <w:color w:val="CF0A2C"/>
                <w:sz w:val="14"/>
                <w:szCs w:val="14"/>
              </w:rPr>
              <w:t>Percent of</w:t>
            </w:r>
          </w:p>
        </w:tc>
      </w:tr>
      <w:tr w:rsidR="00CC2C66">
        <w:trPr>
          <w:trHeight w:val="179"/>
        </w:trPr>
        <w:tc>
          <w:tcPr>
            <w:tcW w:w="5800" w:type="dxa"/>
            <w:tcBorders>
              <w:bottom w:val="single" w:sz="8" w:space="0" w:color="CF0A2C"/>
            </w:tcBorders>
            <w:shd w:val="clear" w:color="auto" w:fill="FAE6E9"/>
            <w:vAlign w:val="bottom"/>
          </w:tcPr>
          <w:p w:rsidR="00CC2C66" w:rsidRDefault="00F80B74">
            <w:pPr>
              <w:rPr>
                <w:sz w:val="20"/>
                <w:szCs w:val="20"/>
              </w:rPr>
            </w:pPr>
            <w:r>
              <w:rPr>
                <w:rFonts w:ascii="Arial" w:eastAsia="Arial" w:hAnsi="Arial" w:cs="Arial"/>
                <w:b/>
                <w:bCs/>
                <w:color w:val="CF0A2C"/>
                <w:sz w:val="14"/>
                <w:szCs w:val="14"/>
              </w:rPr>
              <w:t>Name of Beneficial Owner</w:t>
            </w:r>
          </w:p>
        </w:tc>
        <w:tc>
          <w:tcPr>
            <w:tcW w:w="3160" w:type="dxa"/>
            <w:tcBorders>
              <w:bottom w:val="single" w:sz="8" w:space="0" w:color="CF0A2C"/>
            </w:tcBorders>
            <w:shd w:val="clear" w:color="auto" w:fill="FAE6E9"/>
            <w:vAlign w:val="bottom"/>
          </w:tcPr>
          <w:p w:rsidR="00CC2C66" w:rsidRDefault="00F80B74">
            <w:pPr>
              <w:ind w:right="518"/>
              <w:jc w:val="right"/>
              <w:rPr>
                <w:sz w:val="20"/>
                <w:szCs w:val="20"/>
              </w:rPr>
            </w:pPr>
            <w:r>
              <w:rPr>
                <w:rFonts w:ascii="Arial" w:eastAsia="Arial" w:hAnsi="Arial" w:cs="Arial"/>
                <w:b/>
                <w:bCs/>
                <w:color w:val="CF0A2C"/>
                <w:sz w:val="14"/>
                <w:szCs w:val="14"/>
              </w:rPr>
              <w:t>Beneficially Owned</w:t>
            </w:r>
          </w:p>
        </w:tc>
        <w:tc>
          <w:tcPr>
            <w:tcW w:w="1460" w:type="dxa"/>
            <w:tcBorders>
              <w:bottom w:val="single" w:sz="8" w:space="0" w:color="CF0A2C"/>
            </w:tcBorders>
            <w:shd w:val="clear" w:color="auto" w:fill="FAE6E9"/>
            <w:vAlign w:val="bottom"/>
          </w:tcPr>
          <w:p w:rsidR="00CC2C66" w:rsidRDefault="00F80B74">
            <w:pPr>
              <w:spacing w:line="179" w:lineRule="exact"/>
              <w:ind w:right="236"/>
              <w:jc w:val="right"/>
              <w:rPr>
                <w:sz w:val="20"/>
                <w:szCs w:val="20"/>
              </w:rPr>
            </w:pPr>
            <w:r>
              <w:rPr>
                <w:rFonts w:ascii="Arial" w:eastAsia="Arial" w:hAnsi="Arial" w:cs="Arial"/>
                <w:b/>
                <w:bCs/>
                <w:color w:val="CF0A2C"/>
                <w:sz w:val="14"/>
                <w:szCs w:val="14"/>
              </w:rPr>
              <w:t>Shares</w:t>
            </w:r>
            <w:r>
              <w:rPr>
                <w:rFonts w:ascii="Arial" w:eastAsia="Arial" w:hAnsi="Arial" w:cs="Arial"/>
                <w:b/>
                <w:bCs/>
                <w:color w:val="CF0A2C"/>
                <w:sz w:val="20"/>
                <w:szCs w:val="20"/>
                <w:vertAlign w:val="superscript"/>
              </w:rPr>
              <w:t>(1)</w:t>
            </w:r>
          </w:p>
        </w:tc>
      </w:tr>
      <w:tr w:rsidR="00CC2C66">
        <w:trPr>
          <w:trHeight w:val="175"/>
        </w:trPr>
        <w:tc>
          <w:tcPr>
            <w:tcW w:w="5800" w:type="dxa"/>
            <w:vAlign w:val="bottom"/>
          </w:tcPr>
          <w:p w:rsidR="00CC2C66" w:rsidRDefault="00F80B74">
            <w:pPr>
              <w:rPr>
                <w:sz w:val="20"/>
                <w:szCs w:val="20"/>
              </w:rPr>
            </w:pPr>
            <w:r>
              <w:rPr>
                <w:rFonts w:ascii="Arial" w:eastAsia="Arial" w:hAnsi="Arial" w:cs="Arial"/>
                <w:b/>
                <w:bCs/>
                <w:i/>
                <w:iCs/>
                <w:color w:val="CF0A2C"/>
                <w:sz w:val="14"/>
                <w:szCs w:val="14"/>
              </w:rPr>
              <w:t xml:space="preserve">More Than 5% </w:t>
            </w:r>
            <w:r>
              <w:rPr>
                <w:rFonts w:ascii="Arial" w:eastAsia="Arial" w:hAnsi="Arial" w:cs="Arial"/>
                <w:b/>
                <w:bCs/>
                <w:i/>
                <w:iCs/>
                <w:color w:val="CF0A2C"/>
                <w:sz w:val="14"/>
                <w:szCs w:val="14"/>
              </w:rPr>
              <w:t>Owners</w:t>
            </w:r>
          </w:p>
        </w:tc>
        <w:tc>
          <w:tcPr>
            <w:tcW w:w="3160" w:type="dxa"/>
            <w:vAlign w:val="bottom"/>
          </w:tcPr>
          <w:p w:rsidR="00CC2C66" w:rsidRDefault="00CC2C66">
            <w:pPr>
              <w:rPr>
                <w:sz w:val="15"/>
                <w:szCs w:val="15"/>
              </w:rPr>
            </w:pPr>
          </w:p>
        </w:tc>
        <w:tc>
          <w:tcPr>
            <w:tcW w:w="1460" w:type="dxa"/>
            <w:vAlign w:val="bottom"/>
          </w:tcPr>
          <w:p w:rsidR="00CC2C66" w:rsidRDefault="00CC2C66">
            <w:pPr>
              <w:rPr>
                <w:sz w:val="15"/>
                <w:szCs w:val="15"/>
              </w:rPr>
            </w:pPr>
          </w:p>
        </w:tc>
      </w:tr>
      <w:tr w:rsidR="00CC2C66">
        <w:trPr>
          <w:trHeight w:val="150"/>
        </w:trPr>
        <w:tc>
          <w:tcPr>
            <w:tcW w:w="5800" w:type="dxa"/>
            <w:vAlign w:val="bottom"/>
          </w:tcPr>
          <w:p w:rsidR="00CC2C66" w:rsidRDefault="00F80B74">
            <w:pPr>
              <w:spacing w:line="150" w:lineRule="exact"/>
              <w:rPr>
                <w:sz w:val="20"/>
                <w:szCs w:val="20"/>
              </w:rPr>
            </w:pPr>
            <w:r>
              <w:rPr>
                <w:rFonts w:ascii="Arial" w:eastAsia="Arial" w:hAnsi="Arial" w:cs="Arial"/>
                <w:b/>
                <w:bCs/>
                <w:color w:val="CF0A2C"/>
                <w:sz w:val="14"/>
                <w:szCs w:val="14"/>
              </w:rPr>
              <w:t>Invesco Ltd.</w:t>
            </w:r>
          </w:p>
        </w:tc>
        <w:tc>
          <w:tcPr>
            <w:tcW w:w="3160" w:type="dxa"/>
            <w:vAlign w:val="bottom"/>
          </w:tcPr>
          <w:p w:rsidR="00CC2C66" w:rsidRDefault="00F80B74">
            <w:pPr>
              <w:spacing w:line="150" w:lineRule="exact"/>
              <w:ind w:right="418"/>
              <w:jc w:val="right"/>
              <w:rPr>
                <w:sz w:val="20"/>
                <w:szCs w:val="20"/>
              </w:rPr>
            </w:pPr>
            <w:r>
              <w:rPr>
                <w:rFonts w:ascii="Arial" w:eastAsia="Arial" w:hAnsi="Arial" w:cs="Arial"/>
                <w:sz w:val="12"/>
                <w:szCs w:val="12"/>
              </w:rPr>
              <w:t>40,727,617</w:t>
            </w:r>
            <w:r>
              <w:rPr>
                <w:rFonts w:ascii="Arial" w:eastAsia="Arial" w:hAnsi="Arial" w:cs="Arial"/>
                <w:sz w:val="17"/>
                <w:szCs w:val="17"/>
                <w:vertAlign w:val="superscript"/>
              </w:rPr>
              <w:t>(2)</w:t>
            </w:r>
          </w:p>
        </w:tc>
        <w:tc>
          <w:tcPr>
            <w:tcW w:w="1460" w:type="dxa"/>
            <w:vAlign w:val="bottom"/>
          </w:tcPr>
          <w:p w:rsidR="00CC2C66" w:rsidRDefault="00F80B74">
            <w:pPr>
              <w:jc w:val="right"/>
              <w:rPr>
                <w:sz w:val="20"/>
                <w:szCs w:val="20"/>
              </w:rPr>
            </w:pPr>
            <w:r>
              <w:rPr>
                <w:rFonts w:ascii="Arial" w:eastAsia="Arial" w:hAnsi="Arial" w:cs="Arial"/>
                <w:sz w:val="13"/>
                <w:szCs w:val="13"/>
              </w:rPr>
              <w:t>9.7%</w:t>
            </w:r>
          </w:p>
        </w:tc>
      </w:tr>
      <w:tr w:rsidR="00CC2C66">
        <w:trPr>
          <w:trHeight w:val="141"/>
        </w:trPr>
        <w:tc>
          <w:tcPr>
            <w:tcW w:w="5800" w:type="dxa"/>
            <w:vAlign w:val="bottom"/>
          </w:tcPr>
          <w:p w:rsidR="00CC2C66" w:rsidRDefault="00F80B74">
            <w:pPr>
              <w:spacing w:line="141" w:lineRule="exact"/>
              <w:ind w:left="220"/>
              <w:rPr>
                <w:sz w:val="20"/>
                <w:szCs w:val="20"/>
              </w:rPr>
            </w:pPr>
            <w:r>
              <w:rPr>
                <w:rFonts w:ascii="Arial" w:eastAsia="Arial" w:hAnsi="Arial" w:cs="Arial"/>
                <w:sz w:val="13"/>
                <w:szCs w:val="13"/>
              </w:rPr>
              <w:t>1555 Peachtree Street NE, Suite 1800</w:t>
            </w:r>
          </w:p>
        </w:tc>
        <w:tc>
          <w:tcPr>
            <w:tcW w:w="3160" w:type="dxa"/>
            <w:vAlign w:val="bottom"/>
          </w:tcPr>
          <w:p w:rsidR="00CC2C66" w:rsidRDefault="00CC2C66">
            <w:pPr>
              <w:rPr>
                <w:sz w:val="12"/>
                <w:szCs w:val="12"/>
              </w:rPr>
            </w:pPr>
          </w:p>
        </w:tc>
        <w:tc>
          <w:tcPr>
            <w:tcW w:w="1460" w:type="dxa"/>
            <w:vAlign w:val="bottom"/>
          </w:tcPr>
          <w:p w:rsidR="00CC2C66" w:rsidRDefault="00CC2C66">
            <w:pPr>
              <w:rPr>
                <w:sz w:val="12"/>
                <w:szCs w:val="12"/>
              </w:rPr>
            </w:pPr>
          </w:p>
        </w:tc>
      </w:tr>
      <w:tr w:rsidR="00CC2C66">
        <w:trPr>
          <w:trHeight w:val="168"/>
        </w:trPr>
        <w:tc>
          <w:tcPr>
            <w:tcW w:w="5800" w:type="dxa"/>
            <w:vAlign w:val="bottom"/>
          </w:tcPr>
          <w:p w:rsidR="00CC2C66" w:rsidRDefault="00F80B74">
            <w:pPr>
              <w:ind w:left="220"/>
              <w:rPr>
                <w:sz w:val="20"/>
                <w:szCs w:val="20"/>
              </w:rPr>
            </w:pPr>
            <w:r>
              <w:rPr>
                <w:rFonts w:ascii="Arial" w:eastAsia="Arial" w:hAnsi="Arial" w:cs="Arial"/>
                <w:sz w:val="13"/>
                <w:szCs w:val="13"/>
              </w:rPr>
              <w:t>Atlanta, GA 30309</w:t>
            </w:r>
          </w:p>
        </w:tc>
        <w:tc>
          <w:tcPr>
            <w:tcW w:w="3160" w:type="dxa"/>
            <w:vAlign w:val="bottom"/>
          </w:tcPr>
          <w:p w:rsidR="00CC2C66" w:rsidRDefault="00CC2C66">
            <w:pPr>
              <w:rPr>
                <w:sz w:val="14"/>
                <w:szCs w:val="14"/>
              </w:rPr>
            </w:pPr>
          </w:p>
        </w:tc>
        <w:tc>
          <w:tcPr>
            <w:tcW w:w="1460" w:type="dxa"/>
            <w:vAlign w:val="bottom"/>
          </w:tcPr>
          <w:p w:rsidR="00CC2C66" w:rsidRDefault="00CC2C66">
            <w:pPr>
              <w:rPr>
                <w:sz w:val="14"/>
                <w:szCs w:val="14"/>
              </w:rPr>
            </w:pPr>
          </w:p>
        </w:tc>
      </w:tr>
      <w:tr w:rsidR="00CC2C66">
        <w:trPr>
          <w:trHeight w:val="152"/>
        </w:trPr>
        <w:tc>
          <w:tcPr>
            <w:tcW w:w="5800" w:type="dxa"/>
            <w:vAlign w:val="bottom"/>
          </w:tcPr>
          <w:p w:rsidR="00CC2C66" w:rsidRDefault="00F80B74">
            <w:pPr>
              <w:spacing w:line="152" w:lineRule="exact"/>
              <w:rPr>
                <w:sz w:val="20"/>
                <w:szCs w:val="20"/>
              </w:rPr>
            </w:pPr>
            <w:r>
              <w:rPr>
                <w:rFonts w:ascii="Arial" w:eastAsia="Arial" w:hAnsi="Arial" w:cs="Arial"/>
                <w:b/>
                <w:bCs/>
                <w:color w:val="CF0A2C"/>
                <w:sz w:val="14"/>
                <w:szCs w:val="14"/>
              </w:rPr>
              <w:t>BlackRock, Inc.</w:t>
            </w:r>
          </w:p>
        </w:tc>
        <w:tc>
          <w:tcPr>
            <w:tcW w:w="3160" w:type="dxa"/>
            <w:vAlign w:val="bottom"/>
          </w:tcPr>
          <w:p w:rsidR="00CC2C66" w:rsidRDefault="00F80B74">
            <w:pPr>
              <w:spacing w:line="152" w:lineRule="exact"/>
              <w:ind w:right="418"/>
              <w:jc w:val="right"/>
              <w:rPr>
                <w:sz w:val="20"/>
                <w:szCs w:val="20"/>
              </w:rPr>
            </w:pPr>
            <w:r>
              <w:rPr>
                <w:rFonts w:ascii="Arial" w:eastAsia="Arial" w:hAnsi="Arial" w:cs="Arial"/>
                <w:sz w:val="12"/>
                <w:szCs w:val="12"/>
              </w:rPr>
              <w:t>32,413,842</w:t>
            </w:r>
            <w:r>
              <w:rPr>
                <w:rFonts w:ascii="Arial" w:eastAsia="Arial" w:hAnsi="Arial" w:cs="Arial"/>
                <w:sz w:val="17"/>
                <w:szCs w:val="17"/>
                <w:vertAlign w:val="superscript"/>
              </w:rPr>
              <w:t>(3)</w:t>
            </w:r>
          </w:p>
        </w:tc>
        <w:tc>
          <w:tcPr>
            <w:tcW w:w="1460" w:type="dxa"/>
            <w:vAlign w:val="bottom"/>
          </w:tcPr>
          <w:p w:rsidR="00CC2C66" w:rsidRDefault="00F80B74">
            <w:pPr>
              <w:jc w:val="right"/>
              <w:rPr>
                <w:sz w:val="20"/>
                <w:szCs w:val="20"/>
              </w:rPr>
            </w:pPr>
            <w:r>
              <w:rPr>
                <w:rFonts w:ascii="Arial" w:eastAsia="Arial" w:hAnsi="Arial" w:cs="Arial"/>
                <w:sz w:val="13"/>
                <w:szCs w:val="13"/>
              </w:rPr>
              <w:t>7.7%</w:t>
            </w:r>
          </w:p>
        </w:tc>
      </w:tr>
      <w:tr w:rsidR="00CC2C66">
        <w:trPr>
          <w:trHeight w:val="141"/>
        </w:trPr>
        <w:tc>
          <w:tcPr>
            <w:tcW w:w="5800" w:type="dxa"/>
            <w:vAlign w:val="bottom"/>
          </w:tcPr>
          <w:p w:rsidR="00CC2C66" w:rsidRDefault="00F80B74">
            <w:pPr>
              <w:spacing w:line="141" w:lineRule="exact"/>
              <w:ind w:left="220"/>
              <w:rPr>
                <w:sz w:val="20"/>
                <w:szCs w:val="20"/>
              </w:rPr>
            </w:pPr>
            <w:r>
              <w:rPr>
                <w:rFonts w:ascii="Arial" w:eastAsia="Arial" w:hAnsi="Arial" w:cs="Arial"/>
                <w:sz w:val="11"/>
                <w:szCs w:val="11"/>
              </w:rPr>
              <w:t>55 East 52</w:t>
            </w:r>
            <w:r>
              <w:rPr>
                <w:rFonts w:ascii="Arial" w:eastAsia="Arial" w:hAnsi="Arial" w:cs="Arial"/>
                <w:sz w:val="16"/>
                <w:szCs w:val="16"/>
                <w:vertAlign w:val="superscript"/>
              </w:rPr>
              <w:t>nd</w:t>
            </w:r>
            <w:r>
              <w:rPr>
                <w:rFonts w:ascii="Arial" w:eastAsia="Arial" w:hAnsi="Arial" w:cs="Arial"/>
                <w:sz w:val="11"/>
                <w:szCs w:val="11"/>
              </w:rPr>
              <w:t xml:space="preserve"> Street</w:t>
            </w:r>
          </w:p>
        </w:tc>
        <w:tc>
          <w:tcPr>
            <w:tcW w:w="3160" w:type="dxa"/>
            <w:vAlign w:val="bottom"/>
          </w:tcPr>
          <w:p w:rsidR="00CC2C66" w:rsidRDefault="00CC2C66">
            <w:pPr>
              <w:rPr>
                <w:sz w:val="12"/>
                <w:szCs w:val="12"/>
              </w:rPr>
            </w:pPr>
          </w:p>
        </w:tc>
        <w:tc>
          <w:tcPr>
            <w:tcW w:w="1460" w:type="dxa"/>
            <w:vAlign w:val="bottom"/>
          </w:tcPr>
          <w:p w:rsidR="00CC2C66" w:rsidRDefault="00CC2C66">
            <w:pPr>
              <w:rPr>
                <w:sz w:val="12"/>
                <w:szCs w:val="12"/>
              </w:rPr>
            </w:pPr>
          </w:p>
        </w:tc>
      </w:tr>
      <w:tr w:rsidR="00CC2C66">
        <w:trPr>
          <w:trHeight w:val="153"/>
        </w:trPr>
        <w:tc>
          <w:tcPr>
            <w:tcW w:w="5800" w:type="dxa"/>
            <w:tcBorders>
              <w:bottom w:val="single" w:sz="8" w:space="0" w:color="CF0A2C"/>
            </w:tcBorders>
            <w:vAlign w:val="bottom"/>
          </w:tcPr>
          <w:p w:rsidR="00CC2C66" w:rsidRDefault="00F80B74">
            <w:pPr>
              <w:ind w:left="220"/>
              <w:rPr>
                <w:sz w:val="20"/>
                <w:szCs w:val="20"/>
              </w:rPr>
            </w:pPr>
            <w:r>
              <w:rPr>
                <w:rFonts w:ascii="Arial" w:eastAsia="Arial" w:hAnsi="Arial" w:cs="Arial"/>
                <w:sz w:val="13"/>
                <w:szCs w:val="13"/>
              </w:rPr>
              <w:t>New York, NY 10055</w:t>
            </w:r>
          </w:p>
        </w:tc>
        <w:tc>
          <w:tcPr>
            <w:tcW w:w="3160" w:type="dxa"/>
            <w:tcBorders>
              <w:bottom w:val="single" w:sz="8" w:space="0" w:color="CF0A2C"/>
            </w:tcBorders>
            <w:vAlign w:val="bottom"/>
          </w:tcPr>
          <w:p w:rsidR="00CC2C66" w:rsidRDefault="00CC2C66">
            <w:pPr>
              <w:rPr>
                <w:sz w:val="13"/>
                <w:szCs w:val="13"/>
              </w:rPr>
            </w:pPr>
          </w:p>
        </w:tc>
        <w:tc>
          <w:tcPr>
            <w:tcW w:w="1460" w:type="dxa"/>
            <w:tcBorders>
              <w:bottom w:val="single" w:sz="8" w:space="0" w:color="CF0A2C"/>
            </w:tcBorders>
            <w:vAlign w:val="bottom"/>
          </w:tcPr>
          <w:p w:rsidR="00CC2C66" w:rsidRDefault="00CC2C66">
            <w:pPr>
              <w:rPr>
                <w:sz w:val="13"/>
                <w:szCs w:val="13"/>
              </w:rPr>
            </w:pPr>
          </w:p>
        </w:tc>
      </w:tr>
      <w:tr w:rsidR="00CC2C66">
        <w:trPr>
          <w:trHeight w:val="312"/>
        </w:trPr>
        <w:tc>
          <w:tcPr>
            <w:tcW w:w="5800" w:type="dxa"/>
            <w:vAlign w:val="bottom"/>
          </w:tcPr>
          <w:p w:rsidR="00CC2C66" w:rsidRDefault="00F80B74">
            <w:pPr>
              <w:rPr>
                <w:sz w:val="20"/>
                <w:szCs w:val="20"/>
              </w:rPr>
            </w:pPr>
            <w:r>
              <w:rPr>
                <w:rFonts w:ascii="Arial" w:eastAsia="Arial" w:hAnsi="Arial" w:cs="Arial"/>
                <w:b/>
                <w:bCs/>
                <w:i/>
                <w:iCs/>
                <w:color w:val="CF0A2C"/>
                <w:sz w:val="14"/>
                <w:szCs w:val="14"/>
              </w:rPr>
              <w:t>Named Executive Officers</w:t>
            </w:r>
          </w:p>
        </w:tc>
        <w:tc>
          <w:tcPr>
            <w:tcW w:w="3160" w:type="dxa"/>
            <w:vAlign w:val="bottom"/>
          </w:tcPr>
          <w:p w:rsidR="00CC2C66" w:rsidRDefault="00CC2C66">
            <w:pPr>
              <w:rPr>
                <w:sz w:val="24"/>
                <w:szCs w:val="24"/>
              </w:rPr>
            </w:pPr>
          </w:p>
        </w:tc>
        <w:tc>
          <w:tcPr>
            <w:tcW w:w="1460" w:type="dxa"/>
            <w:vAlign w:val="bottom"/>
          </w:tcPr>
          <w:p w:rsidR="00CC2C66" w:rsidRDefault="00CC2C66">
            <w:pPr>
              <w:rPr>
                <w:sz w:val="24"/>
                <w:szCs w:val="24"/>
              </w:rPr>
            </w:pPr>
          </w:p>
        </w:tc>
      </w:tr>
      <w:tr w:rsidR="00CC2C66">
        <w:trPr>
          <w:trHeight w:val="141"/>
        </w:trPr>
        <w:tc>
          <w:tcPr>
            <w:tcW w:w="5800" w:type="dxa"/>
            <w:vAlign w:val="bottom"/>
          </w:tcPr>
          <w:p w:rsidR="00CC2C66" w:rsidRDefault="00F80B74">
            <w:pPr>
              <w:spacing w:line="141" w:lineRule="exact"/>
              <w:rPr>
                <w:sz w:val="20"/>
                <w:szCs w:val="20"/>
              </w:rPr>
            </w:pPr>
            <w:r>
              <w:rPr>
                <w:rFonts w:ascii="Arial" w:eastAsia="Arial" w:hAnsi="Arial" w:cs="Arial"/>
                <w:sz w:val="13"/>
                <w:szCs w:val="13"/>
              </w:rPr>
              <w:t>Joey Wat</w:t>
            </w:r>
          </w:p>
        </w:tc>
        <w:tc>
          <w:tcPr>
            <w:tcW w:w="3160" w:type="dxa"/>
            <w:vAlign w:val="bottom"/>
          </w:tcPr>
          <w:p w:rsidR="00CC2C66" w:rsidRDefault="00F80B74">
            <w:pPr>
              <w:spacing w:line="141" w:lineRule="exact"/>
              <w:ind w:right="418"/>
              <w:jc w:val="right"/>
              <w:rPr>
                <w:sz w:val="20"/>
                <w:szCs w:val="20"/>
              </w:rPr>
            </w:pPr>
            <w:r>
              <w:rPr>
                <w:rFonts w:ascii="Arial" w:eastAsia="Arial" w:hAnsi="Arial" w:cs="Arial"/>
                <w:sz w:val="11"/>
                <w:szCs w:val="11"/>
              </w:rPr>
              <w:t>406,860</w:t>
            </w:r>
            <w:r>
              <w:rPr>
                <w:rFonts w:ascii="Arial" w:eastAsia="Arial" w:hAnsi="Arial" w:cs="Arial"/>
                <w:sz w:val="16"/>
                <w:szCs w:val="16"/>
                <w:vertAlign w:val="superscript"/>
              </w:rPr>
              <w:t>(4)</w:t>
            </w:r>
          </w:p>
        </w:tc>
        <w:tc>
          <w:tcPr>
            <w:tcW w:w="1460" w:type="dxa"/>
            <w:vAlign w:val="bottom"/>
          </w:tcPr>
          <w:p w:rsidR="00CC2C66" w:rsidRDefault="00F80B74">
            <w:pPr>
              <w:spacing w:line="141" w:lineRule="exact"/>
              <w:ind w:right="96"/>
              <w:jc w:val="right"/>
              <w:rPr>
                <w:sz w:val="20"/>
                <w:szCs w:val="20"/>
              </w:rPr>
            </w:pPr>
            <w:r>
              <w:rPr>
                <w:rFonts w:ascii="Arial" w:eastAsia="Arial" w:hAnsi="Arial" w:cs="Arial"/>
                <w:sz w:val="13"/>
                <w:szCs w:val="13"/>
              </w:rPr>
              <w:t>*</w:t>
            </w:r>
          </w:p>
        </w:tc>
      </w:tr>
      <w:tr w:rsidR="00CC2C66">
        <w:trPr>
          <w:trHeight w:val="141"/>
        </w:trPr>
        <w:tc>
          <w:tcPr>
            <w:tcW w:w="5800" w:type="dxa"/>
            <w:vAlign w:val="bottom"/>
          </w:tcPr>
          <w:p w:rsidR="00CC2C66" w:rsidRDefault="00F80B74">
            <w:pPr>
              <w:spacing w:line="141" w:lineRule="exact"/>
              <w:rPr>
                <w:sz w:val="20"/>
                <w:szCs w:val="20"/>
              </w:rPr>
            </w:pPr>
            <w:r>
              <w:rPr>
                <w:rFonts w:ascii="Arial" w:eastAsia="Arial" w:hAnsi="Arial" w:cs="Arial"/>
                <w:sz w:val="13"/>
                <w:szCs w:val="13"/>
              </w:rPr>
              <w:t>Andy Yeung</w:t>
            </w:r>
          </w:p>
        </w:tc>
        <w:tc>
          <w:tcPr>
            <w:tcW w:w="3160" w:type="dxa"/>
            <w:vAlign w:val="bottom"/>
          </w:tcPr>
          <w:p w:rsidR="00CC2C66" w:rsidRDefault="00F80B74">
            <w:pPr>
              <w:spacing w:line="141" w:lineRule="exact"/>
              <w:ind w:right="418"/>
              <w:jc w:val="right"/>
              <w:rPr>
                <w:sz w:val="20"/>
                <w:szCs w:val="20"/>
              </w:rPr>
            </w:pPr>
            <w:r>
              <w:rPr>
                <w:rFonts w:ascii="Arial" w:eastAsia="Arial" w:hAnsi="Arial" w:cs="Arial"/>
                <w:sz w:val="11"/>
                <w:szCs w:val="11"/>
              </w:rPr>
              <w:t>12,345</w:t>
            </w:r>
            <w:r>
              <w:rPr>
                <w:rFonts w:ascii="Arial" w:eastAsia="Arial" w:hAnsi="Arial" w:cs="Arial"/>
                <w:sz w:val="16"/>
                <w:szCs w:val="16"/>
                <w:vertAlign w:val="superscript"/>
              </w:rPr>
              <w:t>(5)</w:t>
            </w:r>
          </w:p>
        </w:tc>
        <w:tc>
          <w:tcPr>
            <w:tcW w:w="1460" w:type="dxa"/>
            <w:vAlign w:val="bottom"/>
          </w:tcPr>
          <w:p w:rsidR="00CC2C66" w:rsidRDefault="00F80B74">
            <w:pPr>
              <w:spacing w:line="141" w:lineRule="exact"/>
              <w:ind w:right="96"/>
              <w:jc w:val="right"/>
              <w:rPr>
                <w:sz w:val="20"/>
                <w:szCs w:val="20"/>
              </w:rPr>
            </w:pPr>
            <w:r>
              <w:rPr>
                <w:rFonts w:ascii="Arial" w:eastAsia="Arial" w:hAnsi="Arial" w:cs="Arial"/>
                <w:sz w:val="13"/>
                <w:szCs w:val="13"/>
              </w:rPr>
              <w:t>*</w:t>
            </w:r>
          </w:p>
        </w:tc>
      </w:tr>
      <w:tr w:rsidR="00CC2C66">
        <w:trPr>
          <w:trHeight w:val="141"/>
        </w:trPr>
        <w:tc>
          <w:tcPr>
            <w:tcW w:w="5800" w:type="dxa"/>
            <w:vAlign w:val="bottom"/>
          </w:tcPr>
          <w:p w:rsidR="00CC2C66" w:rsidRDefault="00F80B74">
            <w:pPr>
              <w:spacing w:line="141" w:lineRule="exact"/>
              <w:rPr>
                <w:sz w:val="20"/>
                <w:szCs w:val="20"/>
              </w:rPr>
            </w:pPr>
            <w:r>
              <w:rPr>
                <w:rFonts w:ascii="Arial" w:eastAsia="Arial" w:hAnsi="Arial" w:cs="Arial"/>
                <w:sz w:val="13"/>
                <w:szCs w:val="13"/>
              </w:rPr>
              <w:t>Joseph Chan</w:t>
            </w:r>
          </w:p>
        </w:tc>
        <w:tc>
          <w:tcPr>
            <w:tcW w:w="3160" w:type="dxa"/>
            <w:vAlign w:val="bottom"/>
          </w:tcPr>
          <w:p w:rsidR="00CC2C66" w:rsidRDefault="00F80B74">
            <w:pPr>
              <w:spacing w:line="141" w:lineRule="exact"/>
              <w:ind w:right="418"/>
              <w:jc w:val="right"/>
              <w:rPr>
                <w:sz w:val="20"/>
                <w:szCs w:val="20"/>
              </w:rPr>
            </w:pPr>
            <w:r>
              <w:rPr>
                <w:rFonts w:ascii="Arial" w:eastAsia="Arial" w:hAnsi="Arial" w:cs="Arial"/>
                <w:sz w:val="11"/>
                <w:szCs w:val="11"/>
              </w:rPr>
              <w:t>9,962</w:t>
            </w:r>
            <w:r>
              <w:rPr>
                <w:rFonts w:ascii="Arial" w:eastAsia="Arial" w:hAnsi="Arial" w:cs="Arial"/>
                <w:sz w:val="16"/>
                <w:szCs w:val="16"/>
                <w:vertAlign w:val="superscript"/>
              </w:rPr>
              <w:t>(6)</w:t>
            </w:r>
          </w:p>
        </w:tc>
        <w:tc>
          <w:tcPr>
            <w:tcW w:w="1460" w:type="dxa"/>
            <w:vAlign w:val="bottom"/>
          </w:tcPr>
          <w:p w:rsidR="00CC2C66" w:rsidRDefault="00F80B74">
            <w:pPr>
              <w:spacing w:line="141" w:lineRule="exact"/>
              <w:ind w:right="96"/>
              <w:jc w:val="right"/>
              <w:rPr>
                <w:sz w:val="20"/>
                <w:szCs w:val="20"/>
              </w:rPr>
            </w:pPr>
            <w:r>
              <w:rPr>
                <w:rFonts w:ascii="Arial" w:eastAsia="Arial" w:hAnsi="Arial" w:cs="Arial"/>
                <w:sz w:val="13"/>
                <w:szCs w:val="13"/>
              </w:rPr>
              <w:t>*</w:t>
            </w:r>
          </w:p>
        </w:tc>
      </w:tr>
      <w:tr w:rsidR="00CC2C66">
        <w:trPr>
          <w:trHeight w:val="141"/>
        </w:trPr>
        <w:tc>
          <w:tcPr>
            <w:tcW w:w="5800" w:type="dxa"/>
            <w:vAlign w:val="bottom"/>
          </w:tcPr>
          <w:p w:rsidR="00CC2C66" w:rsidRDefault="00F80B74">
            <w:pPr>
              <w:spacing w:line="141" w:lineRule="exact"/>
              <w:rPr>
                <w:sz w:val="20"/>
                <w:szCs w:val="20"/>
              </w:rPr>
            </w:pPr>
            <w:r>
              <w:rPr>
                <w:rFonts w:ascii="Arial" w:eastAsia="Arial" w:hAnsi="Arial" w:cs="Arial"/>
                <w:sz w:val="13"/>
                <w:szCs w:val="13"/>
              </w:rPr>
              <w:t>Johnson Huang</w:t>
            </w:r>
          </w:p>
        </w:tc>
        <w:tc>
          <w:tcPr>
            <w:tcW w:w="3160" w:type="dxa"/>
            <w:vAlign w:val="bottom"/>
          </w:tcPr>
          <w:p w:rsidR="00CC2C66" w:rsidRDefault="00F80B74">
            <w:pPr>
              <w:spacing w:line="141" w:lineRule="exact"/>
              <w:ind w:right="418"/>
              <w:jc w:val="right"/>
              <w:rPr>
                <w:sz w:val="20"/>
                <w:szCs w:val="20"/>
              </w:rPr>
            </w:pPr>
            <w:r>
              <w:rPr>
                <w:rFonts w:ascii="Arial" w:eastAsia="Arial" w:hAnsi="Arial" w:cs="Arial"/>
                <w:sz w:val="11"/>
                <w:szCs w:val="11"/>
              </w:rPr>
              <w:t>108,939</w:t>
            </w:r>
            <w:r>
              <w:rPr>
                <w:rFonts w:ascii="Arial" w:eastAsia="Arial" w:hAnsi="Arial" w:cs="Arial"/>
                <w:sz w:val="16"/>
                <w:szCs w:val="16"/>
                <w:vertAlign w:val="superscript"/>
              </w:rPr>
              <w:t>(7)</w:t>
            </w:r>
          </w:p>
        </w:tc>
        <w:tc>
          <w:tcPr>
            <w:tcW w:w="1460" w:type="dxa"/>
            <w:vAlign w:val="bottom"/>
          </w:tcPr>
          <w:p w:rsidR="00CC2C66" w:rsidRDefault="00F80B74">
            <w:pPr>
              <w:spacing w:line="141" w:lineRule="exact"/>
              <w:ind w:right="96"/>
              <w:jc w:val="right"/>
              <w:rPr>
                <w:sz w:val="20"/>
                <w:szCs w:val="20"/>
              </w:rPr>
            </w:pPr>
            <w:r>
              <w:rPr>
                <w:rFonts w:ascii="Arial" w:eastAsia="Arial" w:hAnsi="Arial" w:cs="Arial"/>
                <w:sz w:val="13"/>
                <w:szCs w:val="13"/>
              </w:rPr>
              <w:t>*</w:t>
            </w:r>
          </w:p>
        </w:tc>
      </w:tr>
      <w:tr w:rsidR="00CC2C66">
        <w:trPr>
          <w:trHeight w:val="141"/>
        </w:trPr>
        <w:tc>
          <w:tcPr>
            <w:tcW w:w="5800" w:type="dxa"/>
            <w:vAlign w:val="bottom"/>
          </w:tcPr>
          <w:p w:rsidR="00CC2C66" w:rsidRDefault="00F80B74">
            <w:pPr>
              <w:spacing w:line="141" w:lineRule="exact"/>
              <w:rPr>
                <w:sz w:val="20"/>
                <w:szCs w:val="20"/>
              </w:rPr>
            </w:pPr>
            <w:r>
              <w:rPr>
                <w:rFonts w:ascii="Arial" w:eastAsia="Arial" w:hAnsi="Arial" w:cs="Arial"/>
                <w:sz w:val="13"/>
                <w:szCs w:val="13"/>
              </w:rPr>
              <w:t>Aiken Yuen</w:t>
            </w:r>
          </w:p>
        </w:tc>
        <w:tc>
          <w:tcPr>
            <w:tcW w:w="3160" w:type="dxa"/>
            <w:vAlign w:val="bottom"/>
          </w:tcPr>
          <w:p w:rsidR="00CC2C66" w:rsidRDefault="00F80B74">
            <w:pPr>
              <w:spacing w:line="141" w:lineRule="exact"/>
              <w:ind w:right="418"/>
              <w:jc w:val="right"/>
              <w:rPr>
                <w:sz w:val="20"/>
                <w:szCs w:val="20"/>
              </w:rPr>
            </w:pPr>
            <w:r>
              <w:rPr>
                <w:rFonts w:ascii="Arial" w:eastAsia="Arial" w:hAnsi="Arial" w:cs="Arial"/>
                <w:sz w:val="11"/>
                <w:szCs w:val="11"/>
              </w:rPr>
              <w:t>29,365</w:t>
            </w:r>
            <w:r>
              <w:rPr>
                <w:rFonts w:ascii="Arial" w:eastAsia="Arial" w:hAnsi="Arial" w:cs="Arial"/>
                <w:sz w:val="16"/>
                <w:szCs w:val="16"/>
                <w:vertAlign w:val="superscript"/>
              </w:rPr>
              <w:t>(8)</w:t>
            </w:r>
          </w:p>
        </w:tc>
        <w:tc>
          <w:tcPr>
            <w:tcW w:w="1460" w:type="dxa"/>
            <w:vAlign w:val="bottom"/>
          </w:tcPr>
          <w:p w:rsidR="00CC2C66" w:rsidRDefault="00F80B74">
            <w:pPr>
              <w:spacing w:line="141" w:lineRule="exact"/>
              <w:ind w:right="96"/>
              <w:jc w:val="right"/>
              <w:rPr>
                <w:sz w:val="20"/>
                <w:szCs w:val="20"/>
              </w:rPr>
            </w:pPr>
            <w:r>
              <w:rPr>
                <w:rFonts w:ascii="Arial" w:eastAsia="Arial" w:hAnsi="Arial" w:cs="Arial"/>
                <w:sz w:val="13"/>
                <w:szCs w:val="13"/>
              </w:rPr>
              <w:t>*</w:t>
            </w:r>
          </w:p>
        </w:tc>
      </w:tr>
      <w:tr w:rsidR="00CC2C66">
        <w:trPr>
          <w:trHeight w:val="153"/>
        </w:trPr>
        <w:tc>
          <w:tcPr>
            <w:tcW w:w="5800" w:type="dxa"/>
            <w:tcBorders>
              <w:bottom w:val="single" w:sz="8" w:space="0" w:color="CF0A2C"/>
            </w:tcBorders>
            <w:vAlign w:val="bottom"/>
          </w:tcPr>
          <w:p w:rsidR="00CC2C66" w:rsidRDefault="00F80B74">
            <w:pPr>
              <w:rPr>
                <w:sz w:val="20"/>
                <w:szCs w:val="20"/>
              </w:rPr>
            </w:pPr>
            <w:r>
              <w:rPr>
                <w:rFonts w:ascii="Arial" w:eastAsia="Arial" w:hAnsi="Arial" w:cs="Arial"/>
                <w:sz w:val="13"/>
                <w:szCs w:val="13"/>
              </w:rPr>
              <w:t>Danny Tan</w:t>
            </w:r>
          </w:p>
        </w:tc>
        <w:tc>
          <w:tcPr>
            <w:tcW w:w="3160" w:type="dxa"/>
            <w:tcBorders>
              <w:bottom w:val="single" w:sz="8" w:space="0" w:color="CF0A2C"/>
            </w:tcBorders>
            <w:vAlign w:val="bottom"/>
          </w:tcPr>
          <w:p w:rsidR="00CC2C66" w:rsidRDefault="00F80B74">
            <w:pPr>
              <w:ind w:right="518"/>
              <w:jc w:val="right"/>
              <w:rPr>
                <w:sz w:val="20"/>
                <w:szCs w:val="20"/>
              </w:rPr>
            </w:pPr>
            <w:r>
              <w:rPr>
                <w:rFonts w:ascii="Arial" w:eastAsia="Arial" w:hAnsi="Arial" w:cs="Arial"/>
                <w:sz w:val="13"/>
                <w:szCs w:val="13"/>
              </w:rPr>
              <w:t>41,593</w:t>
            </w:r>
          </w:p>
        </w:tc>
        <w:tc>
          <w:tcPr>
            <w:tcW w:w="1460" w:type="dxa"/>
            <w:tcBorders>
              <w:bottom w:val="single" w:sz="8" w:space="0" w:color="CF0A2C"/>
            </w:tcBorders>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338"/>
        </w:trPr>
        <w:tc>
          <w:tcPr>
            <w:tcW w:w="5800" w:type="dxa"/>
            <w:vAlign w:val="bottom"/>
          </w:tcPr>
          <w:p w:rsidR="00CC2C66" w:rsidRDefault="00F80B74">
            <w:pPr>
              <w:rPr>
                <w:sz w:val="20"/>
                <w:szCs w:val="20"/>
              </w:rPr>
            </w:pPr>
            <w:r>
              <w:rPr>
                <w:rFonts w:ascii="Arial" w:eastAsia="Arial" w:hAnsi="Arial" w:cs="Arial"/>
                <w:b/>
                <w:bCs/>
                <w:i/>
                <w:iCs/>
                <w:color w:val="CF0A2C"/>
                <w:sz w:val="14"/>
                <w:szCs w:val="14"/>
              </w:rPr>
              <w:t>Non-Employee Directors</w:t>
            </w:r>
          </w:p>
        </w:tc>
        <w:tc>
          <w:tcPr>
            <w:tcW w:w="3160" w:type="dxa"/>
            <w:vAlign w:val="bottom"/>
          </w:tcPr>
          <w:p w:rsidR="00CC2C66" w:rsidRDefault="00CC2C66">
            <w:pPr>
              <w:rPr>
                <w:sz w:val="24"/>
                <w:szCs w:val="24"/>
              </w:rPr>
            </w:pPr>
          </w:p>
        </w:tc>
        <w:tc>
          <w:tcPr>
            <w:tcW w:w="1460" w:type="dxa"/>
            <w:vAlign w:val="bottom"/>
          </w:tcPr>
          <w:p w:rsidR="00CC2C66" w:rsidRDefault="00CC2C66">
            <w:pPr>
              <w:rPr>
                <w:sz w:val="24"/>
                <w:szCs w:val="24"/>
              </w:rPr>
            </w:pP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Peter A. Bassi</w:t>
            </w:r>
          </w:p>
        </w:tc>
        <w:tc>
          <w:tcPr>
            <w:tcW w:w="3160" w:type="dxa"/>
            <w:vAlign w:val="bottom"/>
          </w:tcPr>
          <w:p w:rsidR="00CC2C66" w:rsidRDefault="00F80B74">
            <w:pPr>
              <w:ind w:right="518"/>
              <w:jc w:val="right"/>
              <w:rPr>
                <w:sz w:val="20"/>
                <w:szCs w:val="20"/>
              </w:rPr>
            </w:pPr>
            <w:r>
              <w:rPr>
                <w:rFonts w:ascii="Arial" w:eastAsia="Arial" w:hAnsi="Arial" w:cs="Arial"/>
                <w:sz w:val="13"/>
                <w:szCs w:val="13"/>
              </w:rPr>
              <w:t>63,764</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Edouard Ettedgui</w:t>
            </w:r>
          </w:p>
        </w:tc>
        <w:tc>
          <w:tcPr>
            <w:tcW w:w="3160" w:type="dxa"/>
            <w:vAlign w:val="bottom"/>
          </w:tcPr>
          <w:p w:rsidR="00CC2C66" w:rsidRDefault="00F80B74">
            <w:pPr>
              <w:ind w:right="518"/>
              <w:jc w:val="right"/>
              <w:rPr>
                <w:sz w:val="20"/>
                <w:szCs w:val="20"/>
              </w:rPr>
            </w:pPr>
            <w:r>
              <w:rPr>
                <w:rFonts w:ascii="Arial" w:eastAsia="Arial" w:hAnsi="Arial" w:cs="Arial"/>
                <w:sz w:val="13"/>
                <w:szCs w:val="13"/>
              </w:rPr>
              <w:t>38,223</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Cyril Han</w:t>
            </w:r>
          </w:p>
        </w:tc>
        <w:tc>
          <w:tcPr>
            <w:tcW w:w="3160" w:type="dxa"/>
            <w:vAlign w:val="bottom"/>
          </w:tcPr>
          <w:p w:rsidR="00CC2C66" w:rsidRDefault="00F80B74">
            <w:pPr>
              <w:ind w:right="518"/>
              <w:jc w:val="right"/>
              <w:rPr>
                <w:sz w:val="20"/>
                <w:szCs w:val="20"/>
              </w:rPr>
            </w:pPr>
            <w:r>
              <w:rPr>
                <w:rFonts w:ascii="Arial" w:eastAsia="Arial" w:hAnsi="Arial" w:cs="Arial"/>
                <w:sz w:val="13"/>
                <w:szCs w:val="13"/>
              </w:rPr>
              <w:t>22,526</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Louis T. Hsieh</w:t>
            </w:r>
          </w:p>
        </w:tc>
        <w:tc>
          <w:tcPr>
            <w:tcW w:w="3160" w:type="dxa"/>
            <w:vAlign w:val="bottom"/>
          </w:tcPr>
          <w:p w:rsidR="00CC2C66" w:rsidRDefault="00F80B74">
            <w:pPr>
              <w:ind w:right="518"/>
              <w:jc w:val="right"/>
              <w:rPr>
                <w:sz w:val="20"/>
                <w:szCs w:val="20"/>
              </w:rPr>
            </w:pPr>
            <w:r>
              <w:rPr>
                <w:rFonts w:ascii="Arial" w:eastAsia="Arial" w:hAnsi="Arial" w:cs="Arial"/>
                <w:sz w:val="13"/>
                <w:szCs w:val="13"/>
              </w:rPr>
              <w:t>64,739</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Fred Hu</w:t>
            </w:r>
          </w:p>
        </w:tc>
        <w:tc>
          <w:tcPr>
            <w:tcW w:w="3160" w:type="dxa"/>
            <w:vAlign w:val="bottom"/>
          </w:tcPr>
          <w:p w:rsidR="00CC2C66" w:rsidRDefault="00F80B74">
            <w:pPr>
              <w:ind w:right="518"/>
              <w:jc w:val="right"/>
              <w:rPr>
                <w:sz w:val="20"/>
                <w:szCs w:val="20"/>
              </w:rPr>
            </w:pPr>
            <w:r>
              <w:rPr>
                <w:rFonts w:ascii="Arial" w:eastAsia="Arial" w:hAnsi="Arial" w:cs="Arial"/>
                <w:sz w:val="13"/>
                <w:szCs w:val="13"/>
              </w:rPr>
              <w:t>43,737</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Ruby Lu</w:t>
            </w:r>
          </w:p>
        </w:tc>
        <w:tc>
          <w:tcPr>
            <w:tcW w:w="3160" w:type="dxa"/>
            <w:vAlign w:val="bottom"/>
          </w:tcPr>
          <w:p w:rsidR="00CC2C66" w:rsidRDefault="00F80B74">
            <w:pPr>
              <w:ind w:right="518"/>
              <w:jc w:val="right"/>
              <w:rPr>
                <w:sz w:val="20"/>
                <w:szCs w:val="20"/>
              </w:rPr>
            </w:pPr>
            <w:r>
              <w:rPr>
                <w:rFonts w:ascii="Arial" w:eastAsia="Arial" w:hAnsi="Arial" w:cs="Arial"/>
                <w:sz w:val="13"/>
                <w:szCs w:val="13"/>
              </w:rPr>
              <w:t>42,776</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Zili Shao</w:t>
            </w:r>
          </w:p>
        </w:tc>
        <w:tc>
          <w:tcPr>
            <w:tcW w:w="3160" w:type="dxa"/>
            <w:vAlign w:val="bottom"/>
          </w:tcPr>
          <w:p w:rsidR="00CC2C66" w:rsidRDefault="00F80B74">
            <w:pPr>
              <w:ind w:right="518"/>
              <w:jc w:val="right"/>
              <w:rPr>
                <w:sz w:val="20"/>
                <w:szCs w:val="20"/>
              </w:rPr>
            </w:pPr>
            <w:r>
              <w:rPr>
                <w:rFonts w:ascii="Arial" w:eastAsia="Arial" w:hAnsi="Arial" w:cs="Arial"/>
                <w:sz w:val="13"/>
                <w:szCs w:val="13"/>
              </w:rPr>
              <w:t>38,674</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66"/>
        </w:trPr>
        <w:tc>
          <w:tcPr>
            <w:tcW w:w="5800" w:type="dxa"/>
            <w:vAlign w:val="bottom"/>
          </w:tcPr>
          <w:p w:rsidR="00CC2C66" w:rsidRDefault="00F80B74">
            <w:pPr>
              <w:rPr>
                <w:sz w:val="20"/>
                <w:szCs w:val="20"/>
              </w:rPr>
            </w:pPr>
            <w:r>
              <w:rPr>
                <w:rFonts w:ascii="Arial" w:eastAsia="Arial" w:hAnsi="Arial" w:cs="Arial"/>
                <w:sz w:val="13"/>
                <w:szCs w:val="13"/>
              </w:rPr>
              <w:t>William Wang</w:t>
            </w:r>
          </w:p>
        </w:tc>
        <w:tc>
          <w:tcPr>
            <w:tcW w:w="3160" w:type="dxa"/>
            <w:vAlign w:val="bottom"/>
          </w:tcPr>
          <w:p w:rsidR="00CC2C66" w:rsidRDefault="00F80B74">
            <w:pPr>
              <w:ind w:right="518"/>
              <w:jc w:val="right"/>
              <w:rPr>
                <w:sz w:val="20"/>
                <w:szCs w:val="20"/>
              </w:rPr>
            </w:pPr>
            <w:r>
              <w:rPr>
                <w:rFonts w:ascii="Arial" w:eastAsia="Arial" w:hAnsi="Arial" w:cs="Arial"/>
                <w:sz w:val="13"/>
                <w:szCs w:val="13"/>
              </w:rPr>
              <w:t>34,828</w:t>
            </w:r>
          </w:p>
        </w:tc>
        <w:tc>
          <w:tcPr>
            <w:tcW w:w="1460" w:type="dxa"/>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153"/>
        </w:trPr>
        <w:tc>
          <w:tcPr>
            <w:tcW w:w="5800" w:type="dxa"/>
            <w:tcBorders>
              <w:bottom w:val="single" w:sz="8" w:space="0" w:color="CF0A2C"/>
            </w:tcBorders>
            <w:vAlign w:val="bottom"/>
          </w:tcPr>
          <w:p w:rsidR="00CC2C66" w:rsidRDefault="00F80B74">
            <w:pPr>
              <w:rPr>
                <w:sz w:val="20"/>
                <w:szCs w:val="20"/>
              </w:rPr>
            </w:pPr>
            <w:r>
              <w:rPr>
                <w:rFonts w:ascii="Arial" w:eastAsia="Arial" w:hAnsi="Arial" w:cs="Arial"/>
                <w:sz w:val="13"/>
                <w:szCs w:val="13"/>
              </w:rPr>
              <w:t>Min (Jenny) Zhang</w:t>
            </w:r>
          </w:p>
        </w:tc>
        <w:tc>
          <w:tcPr>
            <w:tcW w:w="3160" w:type="dxa"/>
            <w:tcBorders>
              <w:bottom w:val="single" w:sz="8" w:space="0" w:color="CF0A2C"/>
            </w:tcBorders>
            <w:vAlign w:val="bottom"/>
          </w:tcPr>
          <w:p w:rsidR="00CC2C66" w:rsidRDefault="00F80B74">
            <w:pPr>
              <w:ind w:right="518"/>
              <w:jc w:val="right"/>
              <w:rPr>
                <w:sz w:val="20"/>
                <w:szCs w:val="20"/>
              </w:rPr>
            </w:pPr>
            <w:r>
              <w:rPr>
                <w:rFonts w:ascii="Arial" w:eastAsia="Arial" w:hAnsi="Arial" w:cs="Arial"/>
                <w:sz w:val="13"/>
                <w:szCs w:val="13"/>
              </w:rPr>
              <w:t>5,070</w:t>
            </w:r>
          </w:p>
        </w:tc>
        <w:tc>
          <w:tcPr>
            <w:tcW w:w="1460" w:type="dxa"/>
            <w:tcBorders>
              <w:bottom w:val="single" w:sz="8" w:space="0" w:color="CF0A2C"/>
            </w:tcBorders>
            <w:vAlign w:val="bottom"/>
          </w:tcPr>
          <w:p w:rsidR="00CC2C66" w:rsidRDefault="00F80B74">
            <w:pPr>
              <w:ind w:right="96"/>
              <w:jc w:val="right"/>
              <w:rPr>
                <w:sz w:val="20"/>
                <w:szCs w:val="20"/>
              </w:rPr>
            </w:pPr>
            <w:r>
              <w:rPr>
                <w:rFonts w:ascii="Arial" w:eastAsia="Arial" w:hAnsi="Arial" w:cs="Arial"/>
                <w:sz w:val="13"/>
                <w:szCs w:val="13"/>
              </w:rPr>
              <w:t>*</w:t>
            </w:r>
          </w:p>
        </w:tc>
      </w:tr>
      <w:tr w:rsidR="00CC2C66">
        <w:trPr>
          <w:trHeight w:val="325"/>
        </w:trPr>
        <w:tc>
          <w:tcPr>
            <w:tcW w:w="5800" w:type="dxa"/>
            <w:tcBorders>
              <w:bottom w:val="single" w:sz="8" w:space="0" w:color="CF0A2C"/>
            </w:tcBorders>
            <w:vAlign w:val="bottom"/>
          </w:tcPr>
          <w:p w:rsidR="00CC2C66" w:rsidRDefault="00F80B74">
            <w:pPr>
              <w:rPr>
                <w:sz w:val="20"/>
                <w:szCs w:val="20"/>
              </w:rPr>
            </w:pPr>
            <w:r>
              <w:rPr>
                <w:rFonts w:ascii="Arial" w:eastAsia="Arial" w:hAnsi="Arial" w:cs="Arial"/>
                <w:b/>
                <w:bCs/>
                <w:i/>
                <w:iCs/>
                <w:color w:val="CF0A2C"/>
                <w:sz w:val="14"/>
                <w:szCs w:val="14"/>
              </w:rPr>
              <w:t>Ownership of all directors and executive officers as a group (19 total)</w:t>
            </w:r>
          </w:p>
        </w:tc>
        <w:tc>
          <w:tcPr>
            <w:tcW w:w="3160" w:type="dxa"/>
            <w:tcBorders>
              <w:bottom w:val="single" w:sz="8" w:space="0" w:color="CF0A2C"/>
            </w:tcBorders>
            <w:vAlign w:val="bottom"/>
          </w:tcPr>
          <w:p w:rsidR="00CC2C66" w:rsidRDefault="00F80B74">
            <w:pPr>
              <w:ind w:right="418"/>
              <w:jc w:val="right"/>
              <w:rPr>
                <w:sz w:val="20"/>
                <w:szCs w:val="20"/>
              </w:rPr>
            </w:pPr>
            <w:r>
              <w:rPr>
                <w:rFonts w:ascii="Arial" w:eastAsia="Arial" w:hAnsi="Arial" w:cs="Arial"/>
                <w:sz w:val="13"/>
                <w:szCs w:val="13"/>
              </w:rPr>
              <w:t>1,080,148</w:t>
            </w:r>
            <w:r>
              <w:rPr>
                <w:rFonts w:ascii="Arial" w:eastAsia="Arial" w:hAnsi="Arial" w:cs="Arial"/>
                <w:sz w:val="19"/>
                <w:szCs w:val="19"/>
                <w:vertAlign w:val="superscript"/>
              </w:rPr>
              <w:t>(9)</w:t>
            </w:r>
          </w:p>
        </w:tc>
        <w:tc>
          <w:tcPr>
            <w:tcW w:w="1460" w:type="dxa"/>
            <w:tcBorders>
              <w:bottom w:val="single" w:sz="8" w:space="0" w:color="CF0A2C"/>
            </w:tcBorders>
            <w:vAlign w:val="bottom"/>
          </w:tcPr>
          <w:p w:rsidR="00CC2C66" w:rsidRDefault="00F80B74">
            <w:pPr>
              <w:ind w:right="96"/>
              <w:jc w:val="right"/>
              <w:rPr>
                <w:sz w:val="20"/>
                <w:szCs w:val="20"/>
              </w:rPr>
            </w:pPr>
            <w:r>
              <w:rPr>
                <w:rFonts w:ascii="Arial" w:eastAsia="Arial" w:hAnsi="Arial" w:cs="Arial"/>
                <w:sz w:val="13"/>
                <w:szCs w:val="13"/>
              </w:rPr>
              <w:t>*</w:t>
            </w:r>
          </w:p>
        </w:tc>
      </w:tr>
    </w:tbl>
    <w:p w:rsidR="00CC2C66" w:rsidRDefault="00CC2C66">
      <w:pPr>
        <w:spacing w:line="273" w:lineRule="exact"/>
        <w:rPr>
          <w:sz w:val="20"/>
          <w:szCs w:val="20"/>
        </w:rPr>
      </w:pPr>
    </w:p>
    <w:p w:rsidR="00CC2C66" w:rsidRDefault="00F80B74">
      <w:pPr>
        <w:numPr>
          <w:ilvl w:val="0"/>
          <w:numId w:val="44"/>
        </w:numPr>
        <w:tabs>
          <w:tab w:val="left" w:pos="1020"/>
        </w:tabs>
        <w:ind w:left="1020" w:hanging="609"/>
        <w:rPr>
          <w:rFonts w:eastAsia="Times New Roman"/>
          <w:color w:val="CF0A2C"/>
          <w:sz w:val="19"/>
          <w:szCs w:val="19"/>
        </w:rPr>
      </w:pPr>
      <w:r>
        <w:rPr>
          <w:rFonts w:eastAsia="Times New Roman"/>
          <w:sz w:val="19"/>
          <w:szCs w:val="19"/>
        </w:rPr>
        <w:t>Represents less than one percent</w:t>
      </w:r>
    </w:p>
    <w:p w:rsidR="00CC2C66" w:rsidRDefault="00CC2C66">
      <w:pPr>
        <w:spacing w:line="280" w:lineRule="exact"/>
        <w:rPr>
          <w:sz w:val="20"/>
          <w:szCs w:val="20"/>
        </w:rPr>
      </w:pPr>
    </w:p>
    <w:p w:rsidR="00CC2C66" w:rsidRDefault="00F80B74">
      <w:pPr>
        <w:numPr>
          <w:ilvl w:val="0"/>
          <w:numId w:val="45"/>
        </w:numPr>
        <w:tabs>
          <w:tab w:val="left" w:pos="1020"/>
        </w:tabs>
        <w:spacing w:line="265" w:lineRule="auto"/>
        <w:ind w:left="1020" w:right="20" w:hanging="609"/>
        <w:rPr>
          <w:rFonts w:eastAsia="Times New Roman"/>
          <w:sz w:val="19"/>
          <w:szCs w:val="19"/>
        </w:rPr>
      </w:pPr>
      <w:r>
        <w:rPr>
          <w:rFonts w:eastAsia="Times New Roman"/>
          <w:sz w:val="19"/>
          <w:szCs w:val="19"/>
        </w:rPr>
        <w:t xml:space="preserve">Percentage ownership is determined based on a total of </w:t>
      </w:r>
      <w:r>
        <w:rPr>
          <w:rFonts w:eastAsia="Times New Roman"/>
          <w:sz w:val="19"/>
          <w:szCs w:val="19"/>
        </w:rPr>
        <w:t>419,620,866 shares of Company common stock outstanding as of August 24, 2022.</w:t>
      </w:r>
    </w:p>
    <w:p w:rsidR="00CC2C66" w:rsidRDefault="00CC2C66">
      <w:pPr>
        <w:spacing w:line="104"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23</w:t>
      </w:r>
    </w:p>
    <w:p w:rsidR="00CC2C66" w:rsidRDefault="00F80B74">
      <w:pPr>
        <w:spacing w:line="20" w:lineRule="exact"/>
        <w:rPr>
          <w:sz w:val="20"/>
          <w:szCs w:val="20"/>
        </w:rPr>
      </w:pPr>
      <w:r>
        <w:rPr>
          <w:noProof/>
          <w:sz w:val="20"/>
          <w:szCs w:val="20"/>
        </w:rPr>
        <w:drawing>
          <wp:anchor distT="0" distB="0" distL="114300" distR="114300" simplePos="0" relativeHeight="251594752"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30" w:name="page30"/>
      <w:bookmarkEnd w:id="30"/>
      <w:r>
        <w:rPr>
          <w:rFonts w:eastAsia="Times New Roman"/>
          <w:b/>
          <w:bCs/>
          <w:noProof/>
          <w:color w:val="0000EE"/>
          <w:sz w:val="17"/>
          <w:szCs w:val="17"/>
          <w:u w:val="single"/>
        </w:rPr>
        <w:lastRenderedPageBreak/>
        <w:drawing>
          <wp:anchor distT="0" distB="0" distL="114300" distR="114300" simplePos="0" relativeHeight="25159577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96800" behindDoc="1" locked="0" layoutInCell="0" allowOverlap="1">
            <wp:simplePos x="0" y="0"/>
            <wp:positionH relativeFrom="column">
              <wp:posOffset>260985</wp:posOffset>
            </wp:positionH>
            <wp:positionV relativeFrom="paragraph">
              <wp:posOffset>196850</wp:posOffset>
            </wp:positionV>
            <wp:extent cx="1809115" cy="19494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blip>
                    <a:srcRect/>
                    <a:stretch>
                      <a:fillRect/>
                    </a:stretch>
                  </pic:blipFill>
                  <pic:spPr bwMode="auto">
                    <a:xfrm>
                      <a:off x="0" y="0"/>
                      <a:ext cx="18091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STOCK OWNERSHIP INFORMATION</w:t>
      </w:r>
    </w:p>
    <w:p w:rsidR="00CC2C66" w:rsidRDefault="00CC2C66">
      <w:pPr>
        <w:spacing w:line="191" w:lineRule="exact"/>
        <w:rPr>
          <w:sz w:val="20"/>
          <w:szCs w:val="20"/>
        </w:rPr>
      </w:pPr>
    </w:p>
    <w:p w:rsidR="00CC2C66" w:rsidRDefault="00F80B74">
      <w:pPr>
        <w:numPr>
          <w:ilvl w:val="0"/>
          <w:numId w:val="46"/>
        </w:numPr>
        <w:tabs>
          <w:tab w:val="left" w:pos="1020"/>
        </w:tabs>
        <w:spacing w:line="252" w:lineRule="auto"/>
        <w:ind w:left="1020" w:hanging="609"/>
        <w:jc w:val="both"/>
        <w:rPr>
          <w:rFonts w:eastAsia="Times New Roman"/>
          <w:sz w:val="19"/>
          <w:szCs w:val="19"/>
        </w:rPr>
      </w:pPr>
      <w:r>
        <w:rPr>
          <w:rFonts w:eastAsia="Times New Roman"/>
          <w:sz w:val="19"/>
          <w:szCs w:val="19"/>
        </w:rPr>
        <w:t xml:space="preserve">Based on Amendment No. 3 to the Schedule 13G filed by Invesco Ltd. on </w:t>
      </w:r>
      <w:r>
        <w:rPr>
          <w:rFonts w:eastAsia="Times New Roman"/>
          <w:sz w:val="19"/>
          <w:szCs w:val="19"/>
        </w:rPr>
        <w:t>February 10, 2022, which indicated that, as of December 31, 2021, Invesco Ltd. had sole voting power over 40,684,815 shares of Company common stock and sole dispositive power over 40,727,617 shares of Company common stock.</w:t>
      </w:r>
    </w:p>
    <w:p w:rsidR="00CC2C66" w:rsidRDefault="00CC2C66">
      <w:pPr>
        <w:spacing w:line="244" w:lineRule="exact"/>
        <w:rPr>
          <w:rFonts w:eastAsia="Times New Roman"/>
          <w:sz w:val="19"/>
          <w:szCs w:val="19"/>
        </w:rPr>
      </w:pPr>
    </w:p>
    <w:p w:rsidR="00CC2C66" w:rsidRDefault="00F80B74">
      <w:pPr>
        <w:numPr>
          <w:ilvl w:val="0"/>
          <w:numId w:val="46"/>
        </w:numPr>
        <w:tabs>
          <w:tab w:val="left" w:pos="1020"/>
        </w:tabs>
        <w:spacing w:line="252" w:lineRule="auto"/>
        <w:ind w:left="1020" w:hanging="609"/>
        <w:jc w:val="both"/>
        <w:rPr>
          <w:rFonts w:eastAsia="Times New Roman"/>
          <w:sz w:val="19"/>
          <w:szCs w:val="19"/>
        </w:rPr>
      </w:pPr>
      <w:r>
        <w:rPr>
          <w:rFonts w:eastAsia="Times New Roman"/>
          <w:sz w:val="19"/>
          <w:szCs w:val="19"/>
        </w:rPr>
        <w:t xml:space="preserve">Based on Amendment No. 6 to the </w:t>
      </w:r>
      <w:r>
        <w:rPr>
          <w:rFonts w:eastAsia="Times New Roman"/>
          <w:sz w:val="19"/>
          <w:szCs w:val="19"/>
        </w:rPr>
        <w:t>Schedule 13G filed by BlackRock, Inc. on February 3, 2022, which indicated that, as of December 31, 2021, BlackRock, Inc. had sole voting power over 27,828,370 shares of Company common stock and sole dispositive power over 32,413,842 shares of Company comm</w:t>
      </w:r>
      <w:r>
        <w:rPr>
          <w:rFonts w:eastAsia="Times New Roman"/>
          <w:sz w:val="19"/>
          <w:szCs w:val="19"/>
        </w:rPr>
        <w:t>on stock.</w:t>
      </w:r>
    </w:p>
    <w:p w:rsidR="00CC2C66" w:rsidRDefault="00CC2C66">
      <w:pPr>
        <w:spacing w:line="244" w:lineRule="exact"/>
        <w:rPr>
          <w:rFonts w:eastAsia="Times New Roman"/>
          <w:sz w:val="19"/>
          <w:szCs w:val="19"/>
        </w:rPr>
      </w:pPr>
    </w:p>
    <w:p w:rsidR="00CC2C66" w:rsidRDefault="00F80B74">
      <w:pPr>
        <w:numPr>
          <w:ilvl w:val="0"/>
          <w:numId w:val="46"/>
        </w:numPr>
        <w:tabs>
          <w:tab w:val="left" w:pos="1020"/>
        </w:tabs>
        <w:ind w:left="1020" w:hanging="609"/>
        <w:rPr>
          <w:rFonts w:eastAsia="Times New Roman"/>
          <w:sz w:val="19"/>
          <w:szCs w:val="19"/>
        </w:rPr>
      </w:pPr>
      <w:r>
        <w:rPr>
          <w:rFonts w:eastAsia="Times New Roman"/>
          <w:sz w:val="19"/>
          <w:szCs w:val="19"/>
        </w:rPr>
        <w:t>Includes 184,774 shares issuable upon the exercise of vested SARs.</w:t>
      </w:r>
    </w:p>
    <w:p w:rsidR="00CC2C66" w:rsidRDefault="00CC2C66">
      <w:pPr>
        <w:spacing w:line="279" w:lineRule="exact"/>
        <w:rPr>
          <w:rFonts w:eastAsia="Times New Roman"/>
          <w:sz w:val="19"/>
          <w:szCs w:val="19"/>
        </w:rPr>
      </w:pPr>
    </w:p>
    <w:p w:rsidR="00CC2C66" w:rsidRDefault="00F80B74">
      <w:pPr>
        <w:numPr>
          <w:ilvl w:val="0"/>
          <w:numId w:val="46"/>
        </w:numPr>
        <w:tabs>
          <w:tab w:val="left" w:pos="1020"/>
        </w:tabs>
        <w:ind w:left="1020" w:hanging="609"/>
        <w:rPr>
          <w:rFonts w:eastAsia="Times New Roman"/>
          <w:sz w:val="19"/>
          <w:szCs w:val="19"/>
        </w:rPr>
      </w:pPr>
      <w:r>
        <w:rPr>
          <w:rFonts w:eastAsia="Times New Roman"/>
          <w:sz w:val="19"/>
          <w:szCs w:val="19"/>
        </w:rPr>
        <w:t>Includes 2,511 shares issuable upon the exercise of vested SARs.</w:t>
      </w:r>
    </w:p>
    <w:p w:rsidR="00CC2C66" w:rsidRDefault="00CC2C66">
      <w:pPr>
        <w:spacing w:line="279" w:lineRule="exact"/>
        <w:rPr>
          <w:rFonts w:eastAsia="Times New Roman"/>
          <w:sz w:val="19"/>
          <w:szCs w:val="19"/>
        </w:rPr>
      </w:pPr>
    </w:p>
    <w:p w:rsidR="00CC2C66" w:rsidRDefault="00F80B74">
      <w:pPr>
        <w:numPr>
          <w:ilvl w:val="0"/>
          <w:numId w:val="46"/>
        </w:numPr>
        <w:tabs>
          <w:tab w:val="left" w:pos="1020"/>
        </w:tabs>
        <w:ind w:left="1020" w:hanging="609"/>
        <w:rPr>
          <w:rFonts w:eastAsia="Times New Roman"/>
          <w:sz w:val="19"/>
          <w:szCs w:val="19"/>
        </w:rPr>
      </w:pPr>
      <w:r>
        <w:rPr>
          <w:rFonts w:eastAsia="Times New Roman"/>
          <w:sz w:val="19"/>
          <w:szCs w:val="19"/>
        </w:rPr>
        <w:t>Includes 1,674 shares issuable upon the exercise of vested SARs and 3,599 shares issuable upon the vesting of R</w:t>
      </w:r>
      <w:r>
        <w:rPr>
          <w:rFonts w:eastAsia="Times New Roman"/>
          <w:sz w:val="19"/>
          <w:szCs w:val="19"/>
        </w:rPr>
        <w:t>SUs.</w:t>
      </w:r>
    </w:p>
    <w:p w:rsidR="00CC2C66" w:rsidRDefault="00CC2C66">
      <w:pPr>
        <w:spacing w:line="279" w:lineRule="exact"/>
        <w:rPr>
          <w:rFonts w:eastAsia="Times New Roman"/>
          <w:sz w:val="19"/>
          <w:szCs w:val="19"/>
        </w:rPr>
      </w:pPr>
    </w:p>
    <w:p w:rsidR="00CC2C66" w:rsidRDefault="00F80B74">
      <w:pPr>
        <w:numPr>
          <w:ilvl w:val="0"/>
          <w:numId w:val="46"/>
        </w:numPr>
        <w:tabs>
          <w:tab w:val="left" w:pos="1020"/>
        </w:tabs>
        <w:ind w:left="1020" w:hanging="609"/>
        <w:rPr>
          <w:rFonts w:eastAsia="Times New Roman"/>
          <w:sz w:val="19"/>
          <w:szCs w:val="19"/>
        </w:rPr>
      </w:pPr>
      <w:r>
        <w:rPr>
          <w:rFonts w:eastAsia="Times New Roman"/>
          <w:sz w:val="19"/>
          <w:szCs w:val="19"/>
        </w:rPr>
        <w:t>Includes 66,576 shares issuable upon the exercise of vested SARs.</w:t>
      </w:r>
    </w:p>
    <w:p w:rsidR="00CC2C66" w:rsidRDefault="00CC2C66">
      <w:pPr>
        <w:spacing w:line="279" w:lineRule="exact"/>
        <w:rPr>
          <w:rFonts w:eastAsia="Times New Roman"/>
          <w:sz w:val="19"/>
          <w:szCs w:val="19"/>
        </w:rPr>
      </w:pPr>
    </w:p>
    <w:p w:rsidR="00CC2C66" w:rsidRDefault="00F80B74">
      <w:pPr>
        <w:numPr>
          <w:ilvl w:val="0"/>
          <w:numId w:val="46"/>
        </w:numPr>
        <w:tabs>
          <w:tab w:val="left" w:pos="1020"/>
        </w:tabs>
        <w:ind w:left="1020" w:hanging="609"/>
        <w:rPr>
          <w:rFonts w:eastAsia="Times New Roman"/>
          <w:sz w:val="19"/>
          <w:szCs w:val="19"/>
        </w:rPr>
      </w:pPr>
      <w:r>
        <w:rPr>
          <w:rFonts w:eastAsia="Times New Roman"/>
          <w:sz w:val="19"/>
          <w:szCs w:val="19"/>
        </w:rPr>
        <w:t>Includes 22,004 shares issuable upon the exercise of vested SARs.</w:t>
      </w:r>
    </w:p>
    <w:p w:rsidR="00CC2C66" w:rsidRDefault="00CC2C66">
      <w:pPr>
        <w:spacing w:line="279" w:lineRule="exact"/>
        <w:rPr>
          <w:rFonts w:eastAsia="Times New Roman"/>
          <w:sz w:val="19"/>
          <w:szCs w:val="19"/>
        </w:rPr>
      </w:pPr>
    </w:p>
    <w:p w:rsidR="00CC2C66" w:rsidRDefault="00F80B74">
      <w:pPr>
        <w:numPr>
          <w:ilvl w:val="0"/>
          <w:numId w:val="46"/>
        </w:numPr>
        <w:tabs>
          <w:tab w:val="left" w:pos="1020"/>
        </w:tabs>
        <w:ind w:left="1020" w:hanging="609"/>
        <w:rPr>
          <w:rFonts w:eastAsia="Times New Roman"/>
          <w:sz w:val="19"/>
          <w:szCs w:val="19"/>
        </w:rPr>
      </w:pPr>
      <w:r>
        <w:rPr>
          <w:rFonts w:eastAsia="Times New Roman"/>
          <w:sz w:val="19"/>
          <w:szCs w:val="19"/>
        </w:rPr>
        <w:t>Includes 391,367 shares issuable upon the exercise of vested SARs and 3,599 shares issuable upon the vesting of RSUs</w:t>
      </w:r>
      <w:r>
        <w:rPr>
          <w:rFonts w:eastAsia="Times New Roman"/>
          <w:sz w:val="19"/>
          <w:szCs w:val="19"/>
        </w:rPr>
        <w:t>.</w:t>
      </w:r>
    </w:p>
    <w:p w:rsidR="00CC2C66" w:rsidRDefault="00CC2C66">
      <w:pPr>
        <w:spacing w:line="153" w:lineRule="exact"/>
        <w:rPr>
          <w:sz w:val="20"/>
          <w:szCs w:val="20"/>
        </w:rPr>
      </w:pPr>
    </w:p>
    <w:p w:rsidR="00CC2C66" w:rsidRDefault="00F80B74">
      <w:pPr>
        <w:numPr>
          <w:ilvl w:val="0"/>
          <w:numId w:val="47"/>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597824"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31" w:name="page31"/>
      <w:bookmarkEnd w:id="31"/>
      <w:r>
        <w:rPr>
          <w:rFonts w:eastAsia="Times New Roman"/>
          <w:b/>
          <w:bCs/>
          <w:noProof/>
          <w:color w:val="0000EE"/>
          <w:sz w:val="17"/>
          <w:szCs w:val="17"/>
          <w:u w:val="single"/>
        </w:rPr>
        <w:lastRenderedPageBreak/>
        <w:drawing>
          <wp:anchor distT="0" distB="0" distL="114300" distR="114300" simplePos="0" relativeHeight="25159884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599872" behindDoc="1" locked="0" layoutInCell="0" allowOverlap="1">
            <wp:simplePos x="0" y="0"/>
            <wp:positionH relativeFrom="column">
              <wp:posOffset>260985</wp:posOffset>
            </wp:positionH>
            <wp:positionV relativeFrom="paragraph">
              <wp:posOffset>196850</wp:posOffset>
            </wp:positionV>
            <wp:extent cx="6620510" cy="47879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extLst/>
                    </a:blip>
                    <a:srcRect/>
                    <a:stretch>
                      <a:fillRect/>
                    </a:stretch>
                  </pic:blipFill>
                  <pic:spPr bwMode="auto">
                    <a:xfrm>
                      <a:off x="0" y="0"/>
                      <a:ext cx="6620510" cy="4787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ind w:left="500"/>
        <w:rPr>
          <w:sz w:val="20"/>
          <w:szCs w:val="20"/>
        </w:rPr>
      </w:pPr>
      <w:r>
        <w:rPr>
          <w:rFonts w:ascii="Arial" w:eastAsia="Arial" w:hAnsi="Arial" w:cs="Arial"/>
          <w:b/>
          <w:bCs/>
          <w:color w:val="FFFFFF"/>
          <w:sz w:val="31"/>
          <w:szCs w:val="31"/>
        </w:rPr>
        <w:t>EXECUTIVE COMPENSATION</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78" w:lineRule="exact"/>
        <w:rPr>
          <w:sz w:val="20"/>
          <w:szCs w:val="20"/>
        </w:rPr>
      </w:pPr>
    </w:p>
    <w:p w:rsidR="00CC2C66" w:rsidRDefault="00F80B74">
      <w:pPr>
        <w:ind w:left="420"/>
        <w:rPr>
          <w:sz w:val="20"/>
          <w:szCs w:val="20"/>
        </w:rPr>
      </w:pPr>
      <w:r>
        <w:rPr>
          <w:rFonts w:ascii="Arial" w:eastAsia="Arial" w:hAnsi="Arial" w:cs="Arial"/>
          <w:b/>
          <w:bCs/>
          <w:color w:val="CF0A2C"/>
          <w:sz w:val="30"/>
          <w:szCs w:val="30"/>
        </w:rPr>
        <w:t>COMPENSATION DISCUSSION AND ANALYSIS</w:t>
      </w:r>
    </w:p>
    <w:p w:rsidR="00CC2C66" w:rsidRDefault="00F80B74">
      <w:pPr>
        <w:spacing w:line="20" w:lineRule="exact"/>
        <w:rPr>
          <w:sz w:val="20"/>
          <w:szCs w:val="20"/>
        </w:rPr>
      </w:pPr>
      <w:r>
        <w:rPr>
          <w:noProof/>
          <w:sz w:val="20"/>
          <w:szCs w:val="20"/>
        </w:rPr>
        <w:drawing>
          <wp:anchor distT="0" distB="0" distL="114300" distR="114300" simplePos="0" relativeHeight="251600896"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40" w:lineRule="exact"/>
        <w:rPr>
          <w:sz w:val="20"/>
          <w:szCs w:val="20"/>
        </w:rPr>
      </w:pPr>
    </w:p>
    <w:p w:rsidR="00CC2C66" w:rsidRDefault="00F80B74">
      <w:pPr>
        <w:spacing w:line="246" w:lineRule="auto"/>
        <w:ind w:left="420"/>
        <w:jc w:val="both"/>
        <w:rPr>
          <w:sz w:val="20"/>
          <w:szCs w:val="20"/>
        </w:rPr>
      </w:pPr>
      <w:r>
        <w:rPr>
          <w:rFonts w:eastAsia="Times New Roman"/>
          <w:sz w:val="19"/>
          <w:szCs w:val="19"/>
        </w:rPr>
        <w:t>This Compensation Discussion and Analysis (our “</w:t>
      </w:r>
      <w:r>
        <w:rPr>
          <w:rFonts w:eastAsia="Times New Roman"/>
          <w:b/>
          <w:bCs/>
          <w:i/>
          <w:iCs/>
          <w:sz w:val="19"/>
          <w:szCs w:val="19"/>
        </w:rPr>
        <w:t>CD&amp;A</w:t>
      </w:r>
      <w:r>
        <w:rPr>
          <w:rFonts w:eastAsia="Times New Roman"/>
          <w:sz w:val="19"/>
          <w:szCs w:val="19"/>
        </w:rPr>
        <w:t>”) provides an overview of our executive</w:t>
      </w:r>
      <w:r>
        <w:rPr>
          <w:rFonts w:eastAsia="Times New Roman"/>
          <w:sz w:val="19"/>
          <w:szCs w:val="19"/>
        </w:rPr>
        <w:t xml:space="preserve"> compensation programs for 2021, the context under which our executive compensation decisions were determined, and how we performed within that environment.</w:t>
      </w:r>
    </w:p>
    <w:p w:rsidR="00CC2C66" w:rsidRDefault="00CC2C66">
      <w:pPr>
        <w:spacing w:line="209" w:lineRule="exact"/>
        <w:rPr>
          <w:sz w:val="20"/>
          <w:szCs w:val="20"/>
        </w:rPr>
      </w:pPr>
    </w:p>
    <w:p w:rsidR="00CC2C66" w:rsidRDefault="00F80B74">
      <w:pPr>
        <w:spacing w:line="272" w:lineRule="auto"/>
        <w:ind w:left="420" w:right="20"/>
        <w:jc w:val="both"/>
        <w:rPr>
          <w:sz w:val="20"/>
          <w:szCs w:val="20"/>
        </w:rPr>
      </w:pPr>
      <w:r>
        <w:rPr>
          <w:rFonts w:eastAsia="Times New Roman"/>
          <w:sz w:val="19"/>
          <w:szCs w:val="19"/>
        </w:rPr>
        <w:t>Our named executive officers (“</w:t>
      </w:r>
      <w:r>
        <w:rPr>
          <w:rFonts w:eastAsia="Times New Roman"/>
          <w:b/>
          <w:bCs/>
          <w:i/>
          <w:iCs/>
          <w:sz w:val="19"/>
          <w:szCs w:val="19"/>
        </w:rPr>
        <w:t>NEOs</w:t>
      </w:r>
      <w:r>
        <w:rPr>
          <w:rFonts w:eastAsia="Times New Roman"/>
          <w:sz w:val="19"/>
          <w:szCs w:val="19"/>
        </w:rPr>
        <w:t xml:space="preserve">”) consist of our Chief Executive Officer, our Chief Financial </w:t>
      </w:r>
      <w:r>
        <w:rPr>
          <w:rFonts w:eastAsia="Times New Roman"/>
          <w:sz w:val="19"/>
          <w:szCs w:val="19"/>
        </w:rPr>
        <w:t>Officer, our</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26" w:lineRule="exact"/>
        <w:rPr>
          <w:sz w:val="20"/>
          <w:szCs w:val="20"/>
        </w:rPr>
      </w:pPr>
    </w:p>
    <w:p w:rsidR="00CC2C66" w:rsidRDefault="00F80B74">
      <w:pPr>
        <w:spacing w:line="245" w:lineRule="auto"/>
        <w:jc w:val="both"/>
        <w:rPr>
          <w:sz w:val="20"/>
          <w:szCs w:val="20"/>
        </w:rPr>
      </w:pPr>
      <w:r>
        <w:rPr>
          <w:rFonts w:eastAsia="Times New Roman"/>
          <w:sz w:val="19"/>
          <w:szCs w:val="19"/>
        </w:rPr>
        <w:t>three other most highly compensated executive officers who were serving as executive officers at the end of 2021, and our former Chief Supply Chain Officer. References to “continuing NEOs” in this CD&amp;A refer to the NEOs other than our for</w:t>
      </w:r>
      <w:r>
        <w:rPr>
          <w:rFonts w:eastAsia="Times New Roman"/>
          <w:sz w:val="19"/>
          <w:szCs w:val="19"/>
        </w:rPr>
        <w:t>mer Chief Supply Chain Officer.</w:t>
      </w:r>
    </w:p>
    <w:p w:rsidR="00CC2C66" w:rsidRDefault="00CC2C66">
      <w:pPr>
        <w:spacing w:line="902"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154" w:lineRule="exact"/>
        <w:rPr>
          <w:sz w:val="20"/>
          <w:szCs w:val="20"/>
        </w:rPr>
      </w:pPr>
    </w:p>
    <w:p w:rsidR="00CC2C66" w:rsidRDefault="00F80B74">
      <w:pPr>
        <w:ind w:left="420"/>
        <w:rPr>
          <w:sz w:val="20"/>
          <w:szCs w:val="20"/>
        </w:rPr>
      </w:pPr>
      <w:r>
        <w:rPr>
          <w:rFonts w:eastAsia="Times New Roman"/>
          <w:sz w:val="19"/>
          <w:szCs w:val="19"/>
        </w:rPr>
        <w:t>For 2021, our NEOs were:</w:t>
      </w:r>
    </w:p>
    <w:p w:rsidR="00CC2C66" w:rsidRDefault="00CC2C66">
      <w:pPr>
        <w:spacing w:line="235"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620"/>
        <w:gridCol w:w="8800"/>
      </w:tblGrid>
      <w:tr w:rsidR="00CC2C66">
        <w:trPr>
          <w:trHeight w:val="193"/>
        </w:trPr>
        <w:tc>
          <w:tcPr>
            <w:tcW w:w="1620" w:type="dxa"/>
            <w:tcBorders>
              <w:bottom w:val="single" w:sz="8" w:space="0" w:color="CF0A2C"/>
            </w:tcBorders>
            <w:vAlign w:val="bottom"/>
          </w:tcPr>
          <w:p w:rsidR="00CC2C66" w:rsidRDefault="00F80B74">
            <w:pPr>
              <w:rPr>
                <w:sz w:val="20"/>
                <w:szCs w:val="20"/>
              </w:rPr>
            </w:pPr>
            <w:r>
              <w:rPr>
                <w:rFonts w:ascii="Arial" w:eastAsia="Arial" w:hAnsi="Arial" w:cs="Arial"/>
                <w:b/>
                <w:bCs/>
                <w:color w:val="CF0A2C"/>
                <w:sz w:val="15"/>
                <w:szCs w:val="15"/>
              </w:rPr>
              <w:t>Name</w:t>
            </w:r>
          </w:p>
        </w:tc>
        <w:tc>
          <w:tcPr>
            <w:tcW w:w="8800" w:type="dxa"/>
            <w:tcBorders>
              <w:bottom w:val="single" w:sz="8" w:space="0" w:color="CF0A2C"/>
            </w:tcBorders>
            <w:vAlign w:val="bottom"/>
          </w:tcPr>
          <w:p w:rsidR="00CC2C66" w:rsidRDefault="00F80B74">
            <w:pPr>
              <w:ind w:left="560"/>
              <w:rPr>
                <w:sz w:val="20"/>
                <w:szCs w:val="20"/>
              </w:rPr>
            </w:pPr>
            <w:r>
              <w:rPr>
                <w:rFonts w:ascii="Arial" w:eastAsia="Arial" w:hAnsi="Arial" w:cs="Arial"/>
                <w:b/>
                <w:bCs/>
                <w:color w:val="CF0A2C"/>
                <w:sz w:val="15"/>
                <w:szCs w:val="15"/>
              </w:rPr>
              <w:t>Title</w:t>
            </w:r>
          </w:p>
        </w:tc>
      </w:tr>
      <w:tr w:rsidR="00CC2C66">
        <w:trPr>
          <w:trHeight w:val="159"/>
        </w:trPr>
        <w:tc>
          <w:tcPr>
            <w:tcW w:w="1620" w:type="dxa"/>
            <w:vAlign w:val="bottom"/>
          </w:tcPr>
          <w:p w:rsidR="00CC2C66" w:rsidRDefault="00F80B74">
            <w:pPr>
              <w:spacing w:line="159" w:lineRule="exact"/>
              <w:rPr>
                <w:sz w:val="20"/>
                <w:szCs w:val="20"/>
              </w:rPr>
            </w:pPr>
            <w:r>
              <w:rPr>
                <w:rFonts w:ascii="Arial" w:eastAsia="Arial" w:hAnsi="Arial" w:cs="Arial"/>
                <w:color w:val="CF0A2C"/>
                <w:sz w:val="15"/>
                <w:szCs w:val="15"/>
              </w:rPr>
              <w:t>Joey Wat</w:t>
            </w:r>
          </w:p>
        </w:tc>
        <w:tc>
          <w:tcPr>
            <w:tcW w:w="8800" w:type="dxa"/>
            <w:vAlign w:val="bottom"/>
          </w:tcPr>
          <w:p w:rsidR="00CC2C66" w:rsidRDefault="00F80B74">
            <w:pPr>
              <w:spacing w:line="159" w:lineRule="exact"/>
              <w:ind w:left="560"/>
              <w:rPr>
                <w:sz w:val="20"/>
                <w:szCs w:val="20"/>
              </w:rPr>
            </w:pPr>
            <w:r>
              <w:rPr>
                <w:rFonts w:ascii="Arial" w:eastAsia="Arial" w:hAnsi="Arial" w:cs="Arial"/>
                <w:color w:val="CF0A2C"/>
                <w:sz w:val="15"/>
                <w:szCs w:val="15"/>
              </w:rPr>
              <w:t>Chief Executive Officer (“</w:t>
            </w:r>
            <w:r>
              <w:rPr>
                <w:rFonts w:ascii="Arial" w:eastAsia="Arial" w:hAnsi="Arial" w:cs="Arial"/>
                <w:b/>
                <w:bCs/>
                <w:i/>
                <w:iCs/>
                <w:color w:val="CF0A2C"/>
                <w:sz w:val="15"/>
                <w:szCs w:val="15"/>
              </w:rPr>
              <w:t>CEO</w:t>
            </w:r>
            <w:r>
              <w:rPr>
                <w:rFonts w:ascii="Arial" w:eastAsia="Arial" w:hAnsi="Arial" w:cs="Arial"/>
                <w:color w:val="CF0A2C"/>
                <w:sz w:val="15"/>
                <w:szCs w:val="15"/>
              </w:rPr>
              <w:t>”)</w:t>
            </w:r>
          </w:p>
        </w:tc>
      </w:tr>
      <w:tr w:rsidR="00CC2C66">
        <w:trPr>
          <w:trHeight w:val="179"/>
        </w:trPr>
        <w:tc>
          <w:tcPr>
            <w:tcW w:w="1620" w:type="dxa"/>
            <w:vAlign w:val="bottom"/>
          </w:tcPr>
          <w:p w:rsidR="00CC2C66" w:rsidRDefault="00F80B74">
            <w:pPr>
              <w:rPr>
                <w:sz w:val="20"/>
                <w:szCs w:val="20"/>
              </w:rPr>
            </w:pPr>
            <w:r>
              <w:rPr>
                <w:rFonts w:ascii="Arial" w:eastAsia="Arial" w:hAnsi="Arial" w:cs="Arial"/>
                <w:color w:val="CF0A2C"/>
                <w:sz w:val="15"/>
                <w:szCs w:val="15"/>
              </w:rPr>
              <w:t>Andy Yeung</w:t>
            </w:r>
          </w:p>
        </w:tc>
        <w:tc>
          <w:tcPr>
            <w:tcW w:w="8800" w:type="dxa"/>
            <w:vAlign w:val="bottom"/>
          </w:tcPr>
          <w:p w:rsidR="00CC2C66" w:rsidRDefault="00F80B74">
            <w:pPr>
              <w:ind w:left="560"/>
              <w:rPr>
                <w:sz w:val="20"/>
                <w:szCs w:val="20"/>
              </w:rPr>
            </w:pPr>
            <w:r>
              <w:rPr>
                <w:rFonts w:ascii="Arial" w:eastAsia="Arial" w:hAnsi="Arial" w:cs="Arial"/>
                <w:color w:val="CF0A2C"/>
                <w:sz w:val="15"/>
                <w:szCs w:val="15"/>
              </w:rPr>
              <w:t>Chief Financial Officer (“</w:t>
            </w:r>
            <w:r>
              <w:rPr>
                <w:rFonts w:ascii="Arial" w:eastAsia="Arial" w:hAnsi="Arial" w:cs="Arial"/>
                <w:b/>
                <w:bCs/>
                <w:i/>
                <w:iCs/>
                <w:color w:val="CF0A2C"/>
                <w:sz w:val="15"/>
                <w:szCs w:val="15"/>
              </w:rPr>
              <w:t>CFO</w:t>
            </w:r>
            <w:r>
              <w:rPr>
                <w:rFonts w:ascii="Arial" w:eastAsia="Arial" w:hAnsi="Arial" w:cs="Arial"/>
                <w:color w:val="CF0A2C"/>
                <w:sz w:val="15"/>
                <w:szCs w:val="15"/>
              </w:rPr>
              <w:t>”)</w:t>
            </w:r>
          </w:p>
        </w:tc>
      </w:tr>
      <w:tr w:rsidR="00CC2C66">
        <w:trPr>
          <w:trHeight w:val="179"/>
        </w:trPr>
        <w:tc>
          <w:tcPr>
            <w:tcW w:w="1620" w:type="dxa"/>
            <w:vAlign w:val="bottom"/>
          </w:tcPr>
          <w:p w:rsidR="00CC2C66" w:rsidRDefault="00F80B74">
            <w:pPr>
              <w:rPr>
                <w:sz w:val="20"/>
                <w:szCs w:val="20"/>
              </w:rPr>
            </w:pPr>
            <w:r>
              <w:rPr>
                <w:rFonts w:ascii="Arial" w:eastAsia="Arial" w:hAnsi="Arial" w:cs="Arial"/>
                <w:color w:val="CF0A2C"/>
                <w:sz w:val="15"/>
                <w:szCs w:val="15"/>
              </w:rPr>
              <w:t>Joseph Chan</w:t>
            </w:r>
          </w:p>
        </w:tc>
        <w:tc>
          <w:tcPr>
            <w:tcW w:w="8800" w:type="dxa"/>
            <w:vAlign w:val="bottom"/>
          </w:tcPr>
          <w:p w:rsidR="00CC2C66" w:rsidRDefault="00F80B74">
            <w:pPr>
              <w:ind w:left="560"/>
              <w:rPr>
                <w:sz w:val="20"/>
                <w:szCs w:val="20"/>
              </w:rPr>
            </w:pPr>
            <w:r>
              <w:rPr>
                <w:rFonts w:ascii="Arial" w:eastAsia="Arial" w:hAnsi="Arial" w:cs="Arial"/>
                <w:color w:val="CF0A2C"/>
                <w:sz w:val="15"/>
                <w:szCs w:val="15"/>
              </w:rPr>
              <w:t>Chief Legal Officer</w:t>
            </w:r>
          </w:p>
        </w:tc>
      </w:tr>
      <w:tr w:rsidR="00CC2C66">
        <w:trPr>
          <w:trHeight w:val="179"/>
        </w:trPr>
        <w:tc>
          <w:tcPr>
            <w:tcW w:w="1620" w:type="dxa"/>
            <w:vAlign w:val="bottom"/>
          </w:tcPr>
          <w:p w:rsidR="00CC2C66" w:rsidRDefault="00F80B74">
            <w:pPr>
              <w:rPr>
                <w:sz w:val="20"/>
                <w:szCs w:val="20"/>
              </w:rPr>
            </w:pPr>
            <w:r>
              <w:rPr>
                <w:rFonts w:ascii="Arial" w:eastAsia="Arial" w:hAnsi="Arial" w:cs="Arial"/>
                <w:color w:val="CF0A2C"/>
                <w:sz w:val="15"/>
                <w:szCs w:val="15"/>
              </w:rPr>
              <w:t>Johnson Huang</w:t>
            </w:r>
          </w:p>
        </w:tc>
        <w:tc>
          <w:tcPr>
            <w:tcW w:w="8800" w:type="dxa"/>
            <w:vAlign w:val="bottom"/>
          </w:tcPr>
          <w:p w:rsidR="00CC2C66" w:rsidRDefault="00F80B74">
            <w:pPr>
              <w:ind w:left="560"/>
              <w:rPr>
                <w:sz w:val="20"/>
                <w:szCs w:val="20"/>
              </w:rPr>
            </w:pPr>
            <w:r>
              <w:rPr>
                <w:rFonts w:ascii="Arial" w:eastAsia="Arial" w:hAnsi="Arial" w:cs="Arial"/>
                <w:color w:val="CF0A2C"/>
                <w:sz w:val="15"/>
                <w:szCs w:val="15"/>
              </w:rPr>
              <w:t>General Manager, KFC</w:t>
            </w:r>
          </w:p>
        </w:tc>
      </w:tr>
      <w:tr w:rsidR="00CC2C66">
        <w:trPr>
          <w:trHeight w:val="179"/>
        </w:trPr>
        <w:tc>
          <w:tcPr>
            <w:tcW w:w="1620" w:type="dxa"/>
            <w:vAlign w:val="bottom"/>
          </w:tcPr>
          <w:p w:rsidR="00CC2C66" w:rsidRDefault="00F80B74">
            <w:pPr>
              <w:rPr>
                <w:sz w:val="20"/>
                <w:szCs w:val="20"/>
              </w:rPr>
            </w:pPr>
            <w:r>
              <w:rPr>
                <w:rFonts w:ascii="Arial" w:eastAsia="Arial" w:hAnsi="Arial" w:cs="Arial"/>
                <w:color w:val="CF0A2C"/>
                <w:sz w:val="15"/>
                <w:szCs w:val="15"/>
              </w:rPr>
              <w:t>Aiken Yuen</w:t>
            </w:r>
          </w:p>
        </w:tc>
        <w:tc>
          <w:tcPr>
            <w:tcW w:w="8800" w:type="dxa"/>
            <w:vAlign w:val="bottom"/>
          </w:tcPr>
          <w:p w:rsidR="00CC2C66" w:rsidRDefault="00F80B74">
            <w:pPr>
              <w:ind w:left="560"/>
              <w:rPr>
                <w:sz w:val="20"/>
                <w:szCs w:val="20"/>
              </w:rPr>
            </w:pPr>
            <w:r>
              <w:rPr>
                <w:rFonts w:ascii="Arial" w:eastAsia="Arial" w:hAnsi="Arial" w:cs="Arial"/>
                <w:color w:val="CF0A2C"/>
                <w:sz w:val="15"/>
                <w:szCs w:val="15"/>
              </w:rPr>
              <w:t>Chief People Officer</w:t>
            </w:r>
          </w:p>
        </w:tc>
      </w:tr>
      <w:tr w:rsidR="00CC2C66">
        <w:trPr>
          <w:trHeight w:val="191"/>
        </w:trPr>
        <w:tc>
          <w:tcPr>
            <w:tcW w:w="1620" w:type="dxa"/>
            <w:tcBorders>
              <w:bottom w:val="single" w:sz="8" w:space="0" w:color="CF0A2C"/>
            </w:tcBorders>
            <w:vAlign w:val="bottom"/>
          </w:tcPr>
          <w:p w:rsidR="00CC2C66" w:rsidRDefault="00F80B74">
            <w:pPr>
              <w:rPr>
                <w:sz w:val="20"/>
                <w:szCs w:val="20"/>
              </w:rPr>
            </w:pPr>
            <w:r>
              <w:rPr>
                <w:rFonts w:ascii="Arial" w:eastAsia="Arial" w:hAnsi="Arial" w:cs="Arial"/>
                <w:color w:val="CF0A2C"/>
                <w:sz w:val="15"/>
                <w:szCs w:val="15"/>
              </w:rPr>
              <w:t>Danny Tan*</w:t>
            </w:r>
          </w:p>
        </w:tc>
        <w:tc>
          <w:tcPr>
            <w:tcW w:w="8800" w:type="dxa"/>
            <w:tcBorders>
              <w:bottom w:val="single" w:sz="8" w:space="0" w:color="CF0A2C"/>
            </w:tcBorders>
            <w:vAlign w:val="bottom"/>
          </w:tcPr>
          <w:p w:rsidR="00CC2C66" w:rsidRDefault="00F80B74">
            <w:pPr>
              <w:ind w:left="560"/>
              <w:rPr>
                <w:sz w:val="20"/>
                <w:szCs w:val="20"/>
              </w:rPr>
            </w:pPr>
            <w:r>
              <w:rPr>
                <w:rFonts w:ascii="Arial" w:eastAsia="Arial" w:hAnsi="Arial" w:cs="Arial"/>
                <w:color w:val="CF0A2C"/>
                <w:sz w:val="15"/>
                <w:szCs w:val="15"/>
              </w:rPr>
              <w:t>Former Chief Supply Chain Officer</w:t>
            </w:r>
          </w:p>
        </w:tc>
      </w:tr>
    </w:tbl>
    <w:p w:rsidR="00CC2C66" w:rsidRDefault="00CC2C66">
      <w:pPr>
        <w:spacing w:line="260" w:lineRule="exact"/>
        <w:rPr>
          <w:sz w:val="20"/>
          <w:szCs w:val="20"/>
        </w:rPr>
      </w:pPr>
    </w:p>
    <w:p w:rsidR="00CC2C66" w:rsidRDefault="00F80B74">
      <w:pPr>
        <w:numPr>
          <w:ilvl w:val="0"/>
          <w:numId w:val="48"/>
        </w:numPr>
        <w:tabs>
          <w:tab w:val="left" w:pos="1033"/>
        </w:tabs>
        <w:spacing w:line="509" w:lineRule="auto"/>
        <w:ind w:left="420" w:right="2740" w:hanging="9"/>
        <w:rPr>
          <w:rFonts w:eastAsia="Times New Roman"/>
          <w:color w:val="CF0A2C"/>
          <w:sz w:val="19"/>
          <w:szCs w:val="19"/>
        </w:rPr>
      </w:pPr>
      <w:r>
        <w:rPr>
          <w:rFonts w:eastAsia="Times New Roman"/>
          <w:sz w:val="19"/>
          <w:szCs w:val="19"/>
        </w:rPr>
        <w:t>Mr. Tan resigned as Chief Supply Chain Officer of the Company, effective November 8, 2021. This CD&amp;A is divided into four sections:</w:t>
      </w:r>
    </w:p>
    <w:tbl>
      <w:tblPr>
        <w:tblW w:w="0" w:type="auto"/>
        <w:tblInd w:w="420" w:type="dxa"/>
        <w:tblLayout w:type="fixed"/>
        <w:tblCellMar>
          <w:left w:w="0" w:type="dxa"/>
          <w:right w:w="0" w:type="dxa"/>
        </w:tblCellMar>
        <w:tblLook w:val="04A0" w:firstRow="1" w:lastRow="0" w:firstColumn="1" w:lastColumn="0" w:noHBand="0" w:noVBand="1"/>
      </w:tblPr>
      <w:tblGrid>
        <w:gridCol w:w="20"/>
        <w:gridCol w:w="2220"/>
        <w:gridCol w:w="7760"/>
        <w:gridCol w:w="20"/>
        <w:gridCol w:w="400"/>
        <w:gridCol w:w="20"/>
      </w:tblGrid>
      <w:tr w:rsidR="00CC2C66">
        <w:trPr>
          <w:trHeight w:val="237"/>
        </w:trPr>
        <w:tc>
          <w:tcPr>
            <w:tcW w:w="2240" w:type="dxa"/>
            <w:gridSpan w:val="2"/>
            <w:tcBorders>
              <w:top w:val="single" w:sz="8" w:space="0" w:color="CF0A2C"/>
            </w:tcBorders>
            <w:vAlign w:val="bottom"/>
          </w:tcPr>
          <w:p w:rsidR="00CC2C66" w:rsidRDefault="00F80B74">
            <w:pPr>
              <w:rPr>
                <w:sz w:val="20"/>
                <w:szCs w:val="20"/>
              </w:rPr>
            </w:pPr>
            <w:r>
              <w:rPr>
                <w:rFonts w:eastAsia="Times New Roman"/>
                <w:b/>
                <w:bCs/>
                <w:color w:val="CF0A2C"/>
                <w:sz w:val="17"/>
                <w:szCs w:val="17"/>
              </w:rPr>
              <w:t>Executive Summary</w:t>
            </w:r>
          </w:p>
        </w:tc>
        <w:tc>
          <w:tcPr>
            <w:tcW w:w="8180" w:type="dxa"/>
            <w:gridSpan w:val="3"/>
            <w:tcBorders>
              <w:top w:val="single" w:sz="8" w:space="0" w:color="CF0A2C"/>
            </w:tcBorders>
            <w:vAlign w:val="bottom"/>
          </w:tcPr>
          <w:p w:rsidR="00CC2C66" w:rsidRDefault="00F80B74">
            <w:pPr>
              <w:ind w:left="380"/>
              <w:rPr>
                <w:sz w:val="20"/>
                <w:szCs w:val="20"/>
              </w:rPr>
            </w:pPr>
            <w:r>
              <w:rPr>
                <w:rFonts w:eastAsia="Times New Roman"/>
                <w:color w:val="CF0A2C"/>
                <w:sz w:val="19"/>
                <w:szCs w:val="19"/>
              </w:rPr>
              <w:t>•  Context for Determining</w:t>
            </w:r>
            <w:r>
              <w:rPr>
                <w:rFonts w:eastAsia="Times New Roman"/>
                <w:color w:val="CF0A2C"/>
                <w:sz w:val="19"/>
                <w:szCs w:val="19"/>
              </w:rPr>
              <w:t xml:space="preserve"> Executive Compensation Decisions</w:t>
            </w:r>
          </w:p>
        </w:tc>
        <w:tc>
          <w:tcPr>
            <w:tcW w:w="0" w:type="dxa"/>
            <w:vAlign w:val="bottom"/>
          </w:tcPr>
          <w:p w:rsidR="00CC2C66" w:rsidRDefault="00CC2C66">
            <w:pPr>
              <w:rPr>
                <w:sz w:val="1"/>
                <w:szCs w:val="1"/>
              </w:rPr>
            </w:pPr>
          </w:p>
        </w:tc>
      </w:tr>
      <w:tr w:rsidR="00CC2C66">
        <w:trPr>
          <w:trHeight w:val="248"/>
        </w:trPr>
        <w:tc>
          <w:tcPr>
            <w:tcW w:w="20" w:type="dxa"/>
            <w:vAlign w:val="bottom"/>
          </w:tcPr>
          <w:p w:rsidR="00CC2C66" w:rsidRDefault="00CC2C66">
            <w:pPr>
              <w:rPr>
                <w:sz w:val="21"/>
                <w:szCs w:val="21"/>
              </w:rPr>
            </w:pPr>
          </w:p>
        </w:tc>
        <w:tc>
          <w:tcPr>
            <w:tcW w:w="2220" w:type="dxa"/>
            <w:vAlign w:val="bottom"/>
          </w:tcPr>
          <w:p w:rsidR="00CC2C66" w:rsidRDefault="00CC2C66">
            <w:pPr>
              <w:rPr>
                <w:sz w:val="21"/>
                <w:szCs w:val="21"/>
              </w:rPr>
            </w:pPr>
          </w:p>
        </w:tc>
        <w:tc>
          <w:tcPr>
            <w:tcW w:w="8180" w:type="dxa"/>
            <w:gridSpan w:val="3"/>
            <w:vAlign w:val="bottom"/>
          </w:tcPr>
          <w:p w:rsidR="00CC2C66" w:rsidRDefault="00F80B74">
            <w:pPr>
              <w:ind w:left="380"/>
              <w:rPr>
                <w:sz w:val="20"/>
                <w:szCs w:val="20"/>
              </w:rPr>
            </w:pPr>
            <w:r>
              <w:rPr>
                <w:rFonts w:eastAsia="Times New Roman"/>
                <w:color w:val="CF0A2C"/>
                <w:sz w:val="19"/>
                <w:szCs w:val="19"/>
              </w:rPr>
              <w:t>•  2021 Business Overview and Performance Highlights</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 Company Total Shareholder Return Performance</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 Recent Compensation Highlights</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xml:space="preserve">•  Alignment of Executive Compensation Program with Business </w:t>
            </w:r>
            <w:r>
              <w:rPr>
                <w:rFonts w:eastAsia="Times New Roman"/>
                <w:color w:val="CF0A2C"/>
                <w:sz w:val="19"/>
                <w:szCs w:val="19"/>
              </w:rPr>
              <w:t>Performance</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 Pay Components</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 Executive Compensation Practices</w:t>
            </w:r>
          </w:p>
        </w:tc>
        <w:tc>
          <w:tcPr>
            <w:tcW w:w="0" w:type="dxa"/>
            <w:vAlign w:val="bottom"/>
          </w:tcPr>
          <w:p w:rsidR="00CC2C66" w:rsidRDefault="00CC2C66">
            <w:pPr>
              <w:rPr>
                <w:sz w:val="1"/>
                <w:szCs w:val="1"/>
              </w:rPr>
            </w:pPr>
          </w:p>
        </w:tc>
      </w:tr>
      <w:tr w:rsidR="00CC2C66">
        <w:trPr>
          <w:trHeight w:val="263"/>
        </w:trPr>
        <w:tc>
          <w:tcPr>
            <w:tcW w:w="20" w:type="dxa"/>
            <w:vAlign w:val="bottom"/>
          </w:tcPr>
          <w:p w:rsidR="00CC2C66" w:rsidRDefault="00CC2C66"/>
        </w:tc>
        <w:tc>
          <w:tcPr>
            <w:tcW w:w="2220" w:type="dxa"/>
            <w:tcBorders>
              <w:bottom w:val="single" w:sz="8" w:space="0" w:color="CF0A2C"/>
            </w:tcBorders>
            <w:vAlign w:val="bottom"/>
          </w:tcPr>
          <w:p w:rsidR="00CC2C66" w:rsidRDefault="00CC2C66"/>
        </w:tc>
        <w:tc>
          <w:tcPr>
            <w:tcW w:w="8180" w:type="dxa"/>
            <w:gridSpan w:val="3"/>
            <w:tcBorders>
              <w:bottom w:val="single" w:sz="8" w:space="0" w:color="CF0A2C"/>
            </w:tcBorders>
            <w:vAlign w:val="bottom"/>
          </w:tcPr>
          <w:p w:rsidR="00CC2C66" w:rsidRDefault="00F80B74">
            <w:pPr>
              <w:ind w:left="380"/>
              <w:rPr>
                <w:sz w:val="20"/>
                <w:szCs w:val="20"/>
              </w:rPr>
            </w:pPr>
            <w:r>
              <w:rPr>
                <w:rFonts w:eastAsia="Times New Roman"/>
                <w:color w:val="CF0A2C"/>
                <w:sz w:val="19"/>
                <w:szCs w:val="19"/>
              </w:rPr>
              <w:t>•  Stockholder Engagement</w:t>
            </w:r>
          </w:p>
        </w:tc>
        <w:tc>
          <w:tcPr>
            <w:tcW w:w="0" w:type="dxa"/>
            <w:vAlign w:val="bottom"/>
          </w:tcPr>
          <w:p w:rsidR="00CC2C66" w:rsidRDefault="00CC2C66">
            <w:pPr>
              <w:rPr>
                <w:sz w:val="1"/>
                <w:szCs w:val="1"/>
              </w:rPr>
            </w:pPr>
          </w:p>
        </w:tc>
      </w:tr>
      <w:tr w:rsidR="00CC2C66">
        <w:trPr>
          <w:trHeight w:val="190"/>
        </w:trPr>
        <w:tc>
          <w:tcPr>
            <w:tcW w:w="20" w:type="dxa"/>
            <w:vAlign w:val="bottom"/>
          </w:tcPr>
          <w:p w:rsidR="00CC2C66" w:rsidRDefault="00CC2C66">
            <w:pPr>
              <w:rPr>
                <w:sz w:val="16"/>
                <w:szCs w:val="16"/>
              </w:rPr>
            </w:pPr>
          </w:p>
        </w:tc>
        <w:tc>
          <w:tcPr>
            <w:tcW w:w="2220" w:type="dxa"/>
            <w:vAlign w:val="bottom"/>
          </w:tcPr>
          <w:p w:rsidR="00CC2C66" w:rsidRDefault="00F80B74">
            <w:pPr>
              <w:spacing w:line="189" w:lineRule="exact"/>
              <w:rPr>
                <w:sz w:val="20"/>
                <w:szCs w:val="20"/>
              </w:rPr>
            </w:pPr>
            <w:r>
              <w:rPr>
                <w:rFonts w:eastAsia="Times New Roman"/>
                <w:b/>
                <w:bCs/>
                <w:color w:val="CF0A2C"/>
                <w:sz w:val="17"/>
                <w:szCs w:val="17"/>
              </w:rPr>
              <w:t>Elements of the Executive</w:t>
            </w:r>
          </w:p>
        </w:tc>
        <w:tc>
          <w:tcPr>
            <w:tcW w:w="8180" w:type="dxa"/>
            <w:gridSpan w:val="3"/>
            <w:vAlign w:val="bottom"/>
          </w:tcPr>
          <w:p w:rsidR="00CC2C66" w:rsidRDefault="00F80B74">
            <w:pPr>
              <w:spacing w:line="190" w:lineRule="exact"/>
              <w:ind w:left="380"/>
              <w:rPr>
                <w:sz w:val="20"/>
                <w:szCs w:val="20"/>
              </w:rPr>
            </w:pPr>
            <w:r>
              <w:rPr>
                <w:rFonts w:eastAsia="Times New Roman"/>
                <w:color w:val="CF0A2C"/>
                <w:sz w:val="19"/>
                <w:szCs w:val="19"/>
              </w:rPr>
              <w:t>•  Base Salary</w:t>
            </w:r>
          </w:p>
        </w:tc>
        <w:tc>
          <w:tcPr>
            <w:tcW w:w="0" w:type="dxa"/>
            <w:vAlign w:val="bottom"/>
          </w:tcPr>
          <w:p w:rsidR="00CC2C66" w:rsidRDefault="00CC2C66">
            <w:pPr>
              <w:rPr>
                <w:sz w:val="1"/>
                <w:szCs w:val="1"/>
              </w:rPr>
            </w:pPr>
          </w:p>
        </w:tc>
      </w:tr>
      <w:tr w:rsidR="00CC2C66">
        <w:trPr>
          <w:trHeight w:val="255"/>
        </w:trPr>
        <w:tc>
          <w:tcPr>
            <w:tcW w:w="2240" w:type="dxa"/>
            <w:gridSpan w:val="2"/>
            <w:vAlign w:val="bottom"/>
          </w:tcPr>
          <w:p w:rsidR="00CC2C66" w:rsidRDefault="00F80B74">
            <w:pPr>
              <w:rPr>
                <w:sz w:val="20"/>
                <w:szCs w:val="20"/>
              </w:rPr>
            </w:pPr>
            <w:r>
              <w:rPr>
                <w:rFonts w:eastAsia="Times New Roman"/>
                <w:b/>
                <w:bCs/>
                <w:color w:val="CF0A2C"/>
                <w:sz w:val="17"/>
                <w:szCs w:val="17"/>
              </w:rPr>
              <w:t>Compensation Program</w:t>
            </w:r>
          </w:p>
        </w:tc>
        <w:tc>
          <w:tcPr>
            <w:tcW w:w="8180" w:type="dxa"/>
            <w:gridSpan w:val="3"/>
            <w:vAlign w:val="bottom"/>
          </w:tcPr>
          <w:p w:rsidR="00CC2C66" w:rsidRDefault="00F80B74">
            <w:pPr>
              <w:ind w:left="380"/>
              <w:rPr>
                <w:sz w:val="20"/>
                <w:szCs w:val="20"/>
              </w:rPr>
            </w:pPr>
            <w:r>
              <w:rPr>
                <w:rFonts w:eastAsia="Times New Roman"/>
                <w:color w:val="CF0A2C"/>
                <w:sz w:val="19"/>
                <w:szCs w:val="19"/>
              </w:rPr>
              <w:t>•  Annual Performance-Based Cash Bonuses</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 Long-Term Equity Incentives</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 2021 Chairman Grants</w:t>
            </w:r>
          </w:p>
        </w:tc>
        <w:tc>
          <w:tcPr>
            <w:tcW w:w="0" w:type="dxa"/>
            <w:vAlign w:val="bottom"/>
          </w:tcPr>
          <w:p w:rsidR="00CC2C66" w:rsidRDefault="00CC2C66">
            <w:pPr>
              <w:rPr>
                <w:sz w:val="1"/>
                <w:szCs w:val="1"/>
              </w:rPr>
            </w:pPr>
          </w:p>
        </w:tc>
      </w:tr>
      <w:tr w:rsidR="00CC2C66">
        <w:trPr>
          <w:trHeight w:val="268"/>
        </w:trPr>
        <w:tc>
          <w:tcPr>
            <w:tcW w:w="20" w:type="dxa"/>
            <w:vAlign w:val="bottom"/>
          </w:tcPr>
          <w:p w:rsidR="00CC2C66" w:rsidRDefault="00CC2C66">
            <w:pPr>
              <w:rPr>
                <w:sz w:val="23"/>
                <w:szCs w:val="23"/>
              </w:rPr>
            </w:pPr>
          </w:p>
        </w:tc>
        <w:tc>
          <w:tcPr>
            <w:tcW w:w="2220" w:type="dxa"/>
            <w:vAlign w:val="bottom"/>
          </w:tcPr>
          <w:p w:rsidR="00CC2C66" w:rsidRDefault="00CC2C66">
            <w:pPr>
              <w:rPr>
                <w:sz w:val="23"/>
                <w:szCs w:val="23"/>
              </w:rPr>
            </w:pPr>
          </w:p>
        </w:tc>
        <w:tc>
          <w:tcPr>
            <w:tcW w:w="8180" w:type="dxa"/>
            <w:gridSpan w:val="3"/>
            <w:vAlign w:val="bottom"/>
          </w:tcPr>
          <w:p w:rsidR="00CC2C66" w:rsidRDefault="00F80B74">
            <w:pPr>
              <w:ind w:left="380"/>
              <w:rPr>
                <w:sz w:val="20"/>
                <w:szCs w:val="20"/>
              </w:rPr>
            </w:pPr>
            <w:r>
              <w:rPr>
                <w:rFonts w:eastAsia="Times New Roman"/>
                <w:color w:val="CF0A2C"/>
                <w:sz w:val="19"/>
                <w:szCs w:val="19"/>
              </w:rPr>
              <w:t>•  2022 Lavazza ESOP Grants</w:t>
            </w:r>
          </w:p>
        </w:tc>
        <w:tc>
          <w:tcPr>
            <w:tcW w:w="0" w:type="dxa"/>
            <w:vAlign w:val="bottom"/>
          </w:tcPr>
          <w:p w:rsidR="00CC2C66" w:rsidRDefault="00CC2C66">
            <w:pPr>
              <w:rPr>
                <w:sz w:val="1"/>
                <w:szCs w:val="1"/>
              </w:rPr>
            </w:pPr>
          </w:p>
        </w:tc>
      </w:tr>
      <w:tr w:rsidR="00CC2C66">
        <w:trPr>
          <w:trHeight w:val="136"/>
        </w:trPr>
        <w:tc>
          <w:tcPr>
            <w:tcW w:w="20" w:type="dxa"/>
            <w:vAlign w:val="bottom"/>
          </w:tcPr>
          <w:p w:rsidR="00CC2C66" w:rsidRDefault="00CC2C66">
            <w:pPr>
              <w:rPr>
                <w:sz w:val="11"/>
                <w:szCs w:val="11"/>
              </w:rPr>
            </w:pPr>
          </w:p>
        </w:tc>
        <w:tc>
          <w:tcPr>
            <w:tcW w:w="2220" w:type="dxa"/>
            <w:vAlign w:val="bottom"/>
          </w:tcPr>
          <w:p w:rsidR="00CC2C66" w:rsidRDefault="00CC2C66">
            <w:pPr>
              <w:rPr>
                <w:sz w:val="11"/>
                <w:szCs w:val="11"/>
              </w:rPr>
            </w:pPr>
          </w:p>
        </w:tc>
        <w:tc>
          <w:tcPr>
            <w:tcW w:w="7760" w:type="dxa"/>
            <w:vMerge w:val="restart"/>
            <w:vAlign w:val="bottom"/>
          </w:tcPr>
          <w:p w:rsidR="00CC2C66" w:rsidRDefault="00F80B74">
            <w:pPr>
              <w:ind w:left="5760"/>
              <w:rPr>
                <w:sz w:val="20"/>
                <w:szCs w:val="20"/>
              </w:rPr>
            </w:pPr>
            <w:r>
              <w:rPr>
                <w:rFonts w:ascii="Arial" w:eastAsia="Arial" w:hAnsi="Arial" w:cs="Arial"/>
                <w:b/>
                <w:bCs/>
                <w:color w:val="4C4C4C"/>
                <w:w w:val="99"/>
                <w:sz w:val="14"/>
                <w:szCs w:val="14"/>
              </w:rPr>
              <w:t xml:space="preserve">YUM CHINA </w:t>
            </w:r>
            <w:r>
              <w:rPr>
                <w:rFonts w:ascii="Arial" w:eastAsia="Arial" w:hAnsi="Arial" w:cs="Arial"/>
                <w:i/>
                <w:iCs/>
                <w:color w:val="4C4C4C"/>
                <w:w w:val="99"/>
                <w:sz w:val="14"/>
                <w:szCs w:val="14"/>
              </w:rPr>
              <w:t>– Proxy Statement</w:t>
            </w:r>
          </w:p>
        </w:tc>
        <w:tc>
          <w:tcPr>
            <w:tcW w:w="20" w:type="dxa"/>
            <w:vAlign w:val="bottom"/>
          </w:tcPr>
          <w:p w:rsidR="00CC2C66" w:rsidRDefault="00CC2C66">
            <w:pPr>
              <w:rPr>
                <w:sz w:val="11"/>
                <w:szCs w:val="11"/>
              </w:rPr>
            </w:pPr>
          </w:p>
        </w:tc>
        <w:tc>
          <w:tcPr>
            <w:tcW w:w="400" w:type="dxa"/>
            <w:vMerge w:val="restart"/>
            <w:vAlign w:val="bottom"/>
          </w:tcPr>
          <w:p w:rsidR="00CC2C66" w:rsidRDefault="00F80B74">
            <w:pPr>
              <w:ind w:right="12"/>
              <w:jc w:val="right"/>
              <w:rPr>
                <w:sz w:val="20"/>
                <w:szCs w:val="20"/>
              </w:rPr>
            </w:pPr>
            <w:r>
              <w:rPr>
                <w:rFonts w:ascii="Arial" w:eastAsia="Arial" w:hAnsi="Arial" w:cs="Arial"/>
                <w:color w:val="CF0A2C"/>
                <w:sz w:val="14"/>
                <w:szCs w:val="14"/>
              </w:rPr>
              <w:t>25</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2220" w:type="dxa"/>
            <w:vAlign w:val="bottom"/>
          </w:tcPr>
          <w:p w:rsidR="00CC2C66" w:rsidRDefault="00CC2C66">
            <w:pPr>
              <w:rPr>
                <w:sz w:val="13"/>
                <w:szCs w:val="13"/>
              </w:rPr>
            </w:pPr>
          </w:p>
        </w:tc>
        <w:tc>
          <w:tcPr>
            <w:tcW w:w="7760" w:type="dxa"/>
            <w:vMerge/>
            <w:vAlign w:val="bottom"/>
          </w:tcPr>
          <w:p w:rsidR="00CC2C66" w:rsidRDefault="00CC2C66">
            <w:pPr>
              <w:rPr>
                <w:sz w:val="13"/>
                <w:szCs w:val="13"/>
              </w:rPr>
            </w:pPr>
          </w:p>
        </w:tc>
        <w:tc>
          <w:tcPr>
            <w:tcW w:w="20" w:type="dxa"/>
            <w:shd w:val="clear" w:color="auto" w:fill="CF0A2C"/>
            <w:vAlign w:val="bottom"/>
          </w:tcPr>
          <w:p w:rsidR="00CC2C66" w:rsidRDefault="00CC2C66">
            <w:pPr>
              <w:rPr>
                <w:sz w:val="13"/>
                <w:szCs w:val="13"/>
              </w:rPr>
            </w:pPr>
          </w:p>
        </w:tc>
        <w:tc>
          <w:tcPr>
            <w:tcW w:w="400" w:type="dxa"/>
            <w:vMerge/>
            <w:vAlign w:val="bottom"/>
          </w:tcPr>
          <w:p w:rsidR="00CC2C66" w:rsidRDefault="00CC2C66">
            <w:pPr>
              <w:rPr>
                <w:sz w:val="13"/>
                <w:szCs w:val="13"/>
              </w:rPr>
            </w:pPr>
          </w:p>
        </w:tc>
        <w:tc>
          <w:tcPr>
            <w:tcW w:w="0" w:type="dxa"/>
            <w:vAlign w:val="bottom"/>
          </w:tcPr>
          <w:p w:rsidR="00CC2C66" w:rsidRDefault="00CC2C66">
            <w:pPr>
              <w:rPr>
                <w:sz w:val="1"/>
                <w:szCs w:val="1"/>
              </w:rPr>
            </w:pPr>
          </w:p>
        </w:tc>
      </w:tr>
    </w:tbl>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32" w:name="page32"/>
      <w:bookmarkEnd w:id="32"/>
      <w:r>
        <w:rPr>
          <w:rFonts w:eastAsia="Times New Roman"/>
          <w:b/>
          <w:bCs/>
          <w:noProof/>
          <w:color w:val="0000EE"/>
          <w:sz w:val="17"/>
          <w:szCs w:val="17"/>
          <w:u w:val="single"/>
        </w:rPr>
        <w:lastRenderedPageBreak/>
        <w:drawing>
          <wp:anchor distT="0" distB="0" distL="114300" distR="114300" simplePos="0" relativeHeight="25160192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02944"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0"/>
        <w:gridCol w:w="2100"/>
        <w:gridCol w:w="8300"/>
      </w:tblGrid>
      <w:tr w:rsidR="00CC2C66">
        <w:trPr>
          <w:trHeight w:val="243"/>
        </w:trPr>
        <w:tc>
          <w:tcPr>
            <w:tcW w:w="20" w:type="dxa"/>
            <w:vAlign w:val="bottom"/>
          </w:tcPr>
          <w:p w:rsidR="00CC2C66" w:rsidRDefault="00CC2C66">
            <w:pPr>
              <w:rPr>
                <w:sz w:val="21"/>
                <w:szCs w:val="21"/>
              </w:rPr>
            </w:pPr>
          </w:p>
        </w:tc>
        <w:tc>
          <w:tcPr>
            <w:tcW w:w="2100" w:type="dxa"/>
            <w:vAlign w:val="bottom"/>
          </w:tcPr>
          <w:p w:rsidR="00CC2C66" w:rsidRDefault="00CC2C66">
            <w:pPr>
              <w:rPr>
                <w:sz w:val="21"/>
                <w:szCs w:val="21"/>
              </w:rPr>
            </w:pPr>
          </w:p>
        </w:tc>
        <w:tc>
          <w:tcPr>
            <w:tcW w:w="8300" w:type="dxa"/>
            <w:vAlign w:val="bottom"/>
          </w:tcPr>
          <w:p w:rsidR="00CC2C66" w:rsidRDefault="00F80B74">
            <w:pPr>
              <w:ind w:left="500"/>
              <w:rPr>
                <w:sz w:val="20"/>
                <w:szCs w:val="20"/>
              </w:rPr>
            </w:pPr>
            <w:r>
              <w:rPr>
                <w:rFonts w:eastAsia="Times New Roman"/>
                <w:color w:val="CF0A2C"/>
                <w:sz w:val="19"/>
                <w:szCs w:val="19"/>
              </w:rPr>
              <w:t>•  Other Elements of Executive Compensation Program</w:t>
            </w:r>
          </w:p>
        </w:tc>
      </w:tr>
      <w:tr w:rsidR="00CC2C66">
        <w:trPr>
          <w:trHeight w:val="263"/>
        </w:trPr>
        <w:tc>
          <w:tcPr>
            <w:tcW w:w="20" w:type="dxa"/>
            <w:vAlign w:val="bottom"/>
          </w:tcPr>
          <w:p w:rsidR="00CC2C66" w:rsidRDefault="00CC2C66"/>
        </w:tc>
        <w:tc>
          <w:tcPr>
            <w:tcW w:w="2100" w:type="dxa"/>
            <w:tcBorders>
              <w:bottom w:val="single" w:sz="8" w:space="0" w:color="CF0A2C"/>
            </w:tcBorders>
            <w:vAlign w:val="bottom"/>
          </w:tcPr>
          <w:p w:rsidR="00CC2C66" w:rsidRDefault="00CC2C66"/>
        </w:tc>
        <w:tc>
          <w:tcPr>
            <w:tcW w:w="8300" w:type="dxa"/>
            <w:tcBorders>
              <w:bottom w:val="single" w:sz="8" w:space="0" w:color="CF0A2C"/>
            </w:tcBorders>
            <w:vAlign w:val="bottom"/>
          </w:tcPr>
          <w:p w:rsidR="00CC2C66" w:rsidRDefault="00F80B74">
            <w:pPr>
              <w:ind w:left="500"/>
              <w:rPr>
                <w:sz w:val="20"/>
                <w:szCs w:val="20"/>
              </w:rPr>
            </w:pPr>
            <w:r>
              <w:rPr>
                <w:rFonts w:eastAsia="Times New Roman"/>
                <w:color w:val="CF0A2C"/>
                <w:sz w:val="19"/>
                <w:szCs w:val="19"/>
              </w:rPr>
              <w:t xml:space="preserve">•  2021 NEO Compensation and </w:t>
            </w:r>
            <w:r>
              <w:rPr>
                <w:rFonts w:eastAsia="Times New Roman"/>
                <w:color w:val="CF0A2C"/>
                <w:sz w:val="19"/>
                <w:szCs w:val="19"/>
              </w:rPr>
              <w:t>Performance Summary</w:t>
            </w:r>
          </w:p>
        </w:tc>
      </w:tr>
      <w:tr w:rsidR="00CC2C66">
        <w:trPr>
          <w:trHeight w:val="190"/>
        </w:trPr>
        <w:tc>
          <w:tcPr>
            <w:tcW w:w="20" w:type="dxa"/>
            <w:vAlign w:val="bottom"/>
          </w:tcPr>
          <w:p w:rsidR="00CC2C66" w:rsidRDefault="00CC2C66">
            <w:pPr>
              <w:rPr>
                <w:sz w:val="16"/>
                <w:szCs w:val="16"/>
              </w:rPr>
            </w:pPr>
          </w:p>
        </w:tc>
        <w:tc>
          <w:tcPr>
            <w:tcW w:w="10400" w:type="dxa"/>
            <w:gridSpan w:val="2"/>
            <w:vAlign w:val="bottom"/>
          </w:tcPr>
          <w:p w:rsidR="00CC2C66" w:rsidRDefault="00F80B74">
            <w:pPr>
              <w:spacing w:line="189" w:lineRule="exact"/>
              <w:rPr>
                <w:sz w:val="20"/>
                <w:szCs w:val="20"/>
              </w:rPr>
            </w:pPr>
            <w:r>
              <w:rPr>
                <w:rFonts w:eastAsia="Times New Roman"/>
                <w:b/>
                <w:bCs/>
                <w:color w:val="CF0A2C"/>
                <w:sz w:val="17"/>
                <w:szCs w:val="17"/>
              </w:rPr>
              <w:t xml:space="preserve">How Compensation Decisions Are  </w:t>
            </w:r>
            <w:r>
              <w:rPr>
                <w:rFonts w:eastAsia="Times New Roman"/>
                <w:color w:val="CF0A2C"/>
                <w:sz w:val="18"/>
                <w:szCs w:val="18"/>
              </w:rPr>
              <w:t>•  Executive Compensation Philosophy</w:t>
            </w:r>
          </w:p>
        </w:tc>
      </w:tr>
      <w:tr w:rsidR="00CC2C66">
        <w:trPr>
          <w:trHeight w:val="255"/>
        </w:trPr>
        <w:tc>
          <w:tcPr>
            <w:tcW w:w="2120" w:type="dxa"/>
            <w:gridSpan w:val="2"/>
            <w:vAlign w:val="bottom"/>
          </w:tcPr>
          <w:p w:rsidR="00CC2C66" w:rsidRDefault="00F80B74">
            <w:pPr>
              <w:rPr>
                <w:sz w:val="20"/>
                <w:szCs w:val="20"/>
              </w:rPr>
            </w:pPr>
            <w:r>
              <w:rPr>
                <w:rFonts w:eastAsia="Times New Roman"/>
                <w:b/>
                <w:bCs/>
                <w:color w:val="CF0A2C"/>
                <w:sz w:val="17"/>
                <w:szCs w:val="17"/>
              </w:rPr>
              <w:t>Made</w:t>
            </w:r>
          </w:p>
        </w:tc>
        <w:tc>
          <w:tcPr>
            <w:tcW w:w="8300" w:type="dxa"/>
            <w:vAlign w:val="bottom"/>
          </w:tcPr>
          <w:p w:rsidR="00CC2C66" w:rsidRDefault="00F80B74">
            <w:pPr>
              <w:ind w:left="500"/>
              <w:rPr>
                <w:sz w:val="20"/>
                <w:szCs w:val="20"/>
              </w:rPr>
            </w:pPr>
            <w:r>
              <w:rPr>
                <w:rFonts w:eastAsia="Times New Roman"/>
                <w:color w:val="CF0A2C"/>
                <w:sz w:val="19"/>
                <w:szCs w:val="19"/>
              </w:rPr>
              <w:t>•  Role of the Compensation Committee</w:t>
            </w:r>
          </w:p>
        </w:tc>
      </w:tr>
      <w:tr w:rsidR="00CC2C66">
        <w:trPr>
          <w:trHeight w:val="268"/>
        </w:trPr>
        <w:tc>
          <w:tcPr>
            <w:tcW w:w="20" w:type="dxa"/>
            <w:vAlign w:val="bottom"/>
          </w:tcPr>
          <w:p w:rsidR="00CC2C66" w:rsidRDefault="00CC2C66">
            <w:pPr>
              <w:rPr>
                <w:sz w:val="23"/>
                <w:szCs w:val="23"/>
              </w:rPr>
            </w:pPr>
          </w:p>
        </w:tc>
        <w:tc>
          <w:tcPr>
            <w:tcW w:w="2100" w:type="dxa"/>
            <w:vAlign w:val="bottom"/>
          </w:tcPr>
          <w:p w:rsidR="00CC2C66" w:rsidRDefault="00CC2C66">
            <w:pPr>
              <w:rPr>
                <w:sz w:val="23"/>
                <w:szCs w:val="23"/>
              </w:rPr>
            </w:pPr>
          </w:p>
        </w:tc>
        <w:tc>
          <w:tcPr>
            <w:tcW w:w="8300" w:type="dxa"/>
            <w:vAlign w:val="bottom"/>
          </w:tcPr>
          <w:p w:rsidR="00CC2C66" w:rsidRDefault="00F80B74">
            <w:pPr>
              <w:ind w:left="500"/>
              <w:rPr>
                <w:sz w:val="20"/>
                <w:szCs w:val="20"/>
              </w:rPr>
            </w:pPr>
            <w:r>
              <w:rPr>
                <w:rFonts w:eastAsia="Times New Roman"/>
                <w:color w:val="CF0A2C"/>
                <w:sz w:val="19"/>
                <w:szCs w:val="19"/>
              </w:rPr>
              <w:t>•  Role of the Independent Consultant</w:t>
            </w:r>
          </w:p>
        </w:tc>
      </w:tr>
      <w:tr w:rsidR="00CC2C66">
        <w:trPr>
          <w:trHeight w:val="263"/>
        </w:trPr>
        <w:tc>
          <w:tcPr>
            <w:tcW w:w="20" w:type="dxa"/>
            <w:vAlign w:val="bottom"/>
          </w:tcPr>
          <w:p w:rsidR="00CC2C66" w:rsidRDefault="00CC2C66"/>
        </w:tc>
        <w:tc>
          <w:tcPr>
            <w:tcW w:w="2100" w:type="dxa"/>
            <w:tcBorders>
              <w:bottom w:val="single" w:sz="8" w:space="0" w:color="CF0A2C"/>
            </w:tcBorders>
            <w:vAlign w:val="bottom"/>
          </w:tcPr>
          <w:p w:rsidR="00CC2C66" w:rsidRDefault="00CC2C66"/>
        </w:tc>
        <w:tc>
          <w:tcPr>
            <w:tcW w:w="8300" w:type="dxa"/>
            <w:tcBorders>
              <w:bottom w:val="single" w:sz="8" w:space="0" w:color="CF0A2C"/>
            </w:tcBorders>
            <w:vAlign w:val="bottom"/>
          </w:tcPr>
          <w:p w:rsidR="00CC2C66" w:rsidRDefault="00F80B74">
            <w:pPr>
              <w:ind w:left="500"/>
              <w:rPr>
                <w:sz w:val="20"/>
                <w:szCs w:val="20"/>
              </w:rPr>
            </w:pPr>
            <w:r>
              <w:rPr>
                <w:rFonts w:eastAsia="Times New Roman"/>
                <w:color w:val="CF0A2C"/>
                <w:sz w:val="19"/>
                <w:szCs w:val="19"/>
              </w:rPr>
              <w:t>•  Competitive Market Review</w:t>
            </w:r>
          </w:p>
        </w:tc>
      </w:tr>
      <w:tr w:rsidR="00CC2C66">
        <w:trPr>
          <w:trHeight w:val="202"/>
        </w:trPr>
        <w:tc>
          <w:tcPr>
            <w:tcW w:w="20" w:type="dxa"/>
            <w:vAlign w:val="bottom"/>
          </w:tcPr>
          <w:p w:rsidR="00CC2C66" w:rsidRDefault="00CC2C66">
            <w:pPr>
              <w:rPr>
                <w:sz w:val="17"/>
                <w:szCs w:val="17"/>
              </w:rPr>
            </w:pPr>
          </w:p>
        </w:tc>
        <w:tc>
          <w:tcPr>
            <w:tcW w:w="2100" w:type="dxa"/>
            <w:vAlign w:val="bottom"/>
          </w:tcPr>
          <w:p w:rsidR="00CC2C66" w:rsidRDefault="00F80B74">
            <w:pPr>
              <w:rPr>
                <w:sz w:val="20"/>
                <w:szCs w:val="20"/>
              </w:rPr>
            </w:pPr>
            <w:r>
              <w:rPr>
                <w:rFonts w:eastAsia="Times New Roman"/>
                <w:b/>
                <w:bCs/>
                <w:color w:val="CF0A2C"/>
                <w:sz w:val="17"/>
                <w:szCs w:val="17"/>
              </w:rPr>
              <w:t>Compensation Policies</w:t>
            </w:r>
          </w:p>
        </w:tc>
        <w:tc>
          <w:tcPr>
            <w:tcW w:w="8300" w:type="dxa"/>
            <w:vAlign w:val="bottom"/>
          </w:tcPr>
          <w:p w:rsidR="00CC2C66" w:rsidRDefault="00F80B74">
            <w:pPr>
              <w:spacing w:line="202" w:lineRule="exact"/>
              <w:ind w:left="500"/>
              <w:rPr>
                <w:sz w:val="20"/>
                <w:szCs w:val="20"/>
              </w:rPr>
            </w:pPr>
            <w:r>
              <w:rPr>
                <w:rFonts w:eastAsia="Times New Roman"/>
                <w:color w:val="CF0A2C"/>
                <w:sz w:val="19"/>
                <w:szCs w:val="19"/>
              </w:rPr>
              <w:t>•  Compensation Recovery</w:t>
            </w:r>
            <w:r>
              <w:rPr>
                <w:rFonts w:eastAsia="Times New Roman"/>
                <w:color w:val="CF0A2C"/>
                <w:sz w:val="19"/>
                <w:szCs w:val="19"/>
              </w:rPr>
              <w:t xml:space="preserve"> Policy</w:t>
            </w:r>
          </w:p>
        </w:tc>
      </w:tr>
      <w:tr w:rsidR="00CC2C66">
        <w:trPr>
          <w:trHeight w:val="243"/>
        </w:trPr>
        <w:tc>
          <w:tcPr>
            <w:tcW w:w="20" w:type="dxa"/>
            <w:vAlign w:val="bottom"/>
          </w:tcPr>
          <w:p w:rsidR="00CC2C66" w:rsidRDefault="00CC2C66">
            <w:pPr>
              <w:rPr>
                <w:sz w:val="21"/>
                <w:szCs w:val="21"/>
              </w:rPr>
            </w:pPr>
          </w:p>
        </w:tc>
        <w:tc>
          <w:tcPr>
            <w:tcW w:w="2100" w:type="dxa"/>
            <w:vAlign w:val="bottom"/>
          </w:tcPr>
          <w:p w:rsidR="00CC2C66" w:rsidRDefault="00CC2C66">
            <w:pPr>
              <w:rPr>
                <w:sz w:val="21"/>
                <w:szCs w:val="21"/>
              </w:rPr>
            </w:pPr>
          </w:p>
        </w:tc>
        <w:tc>
          <w:tcPr>
            <w:tcW w:w="8300" w:type="dxa"/>
            <w:vAlign w:val="bottom"/>
          </w:tcPr>
          <w:p w:rsidR="00CC2C66" w:rsidRDefault="00F80B74">
            <w:pPr>
              <w:ind w:left="500"/>
              <w:rPr>
                <w:sz w:val="20"/>
                <w:szCs w:val="20"/>
              </w:rPr>
            </w:pPr>
            <w:r>
              <w:rPr>
                <w:rFonts w:eastAsia="Times New Roman"/>
                <w:color w:val="CF0A2C"/>
                <w:sz w:val="19"/>
                <w:szCs w:val="19"/>
              </w:rPr>
              <w:t>•  Equity-Based Awards Grant Policy</w:t>
            </w:r>
          </w:p>
        </w:tc>
      </w:tr>
    </w:tbl>
    <w:p w:rsidR="00CC2C66" w:rsidRDefault="00CC2C66">
      <w:pPr>
        <w:spacing w:line="25" w:lineRule="exact"/>
        <w:rPr>
          <w:sz w:val="20"/>
          <w:szCs w:val="20"/>
        </w:rPr>
      </w:pPr>
    </w:p>
    <w:p w:rsidR="00CC2C66" w:rsidRDefault="00F80B74">
      <w:pPr>
        <w:ind w:left="3040"/>
        <w:rPr>
          <w:sz w:val="20"/>
          <w:szCs w:val="20"/>
        </w:rPr>
      </w:pPr>
      <w:r>
        <w:rPr>
          <w:rFonts w:eastAsia="Times New Roman"/>
          <w:color w:val="CF0A2C"/>
          <w:sz w:val="19"/>
          <w:szCs w:val="19"/>
        </w:rPr>
        <w:t>•  Stock Ownership Guidelines and Retention Policy</w:t>
      </w:r>
    </w:p>
    <w:p w:rsidR="00CC2C66" w:rsidRDefault="00CC2C66">
      <w:pPr>
        <w:spacing w:line="50" w:lineRule="exact"/>
        <w:rPr>
          <w:sz w:val="20"/>
          <w:szCs w:val="20"/>
        </w:rPr>
      </w:pPr>
    </w:p>
    <w:p w:rsidR="00CC2C66" w:rsidRDefault="00F80B74">
      <w:pPr>
        <w:ind w:left="3040"/>
        <w:rPr>
          <w:sz w:val="20"/>
          <w:szCs w:val="20"/>
        </w:rPr>
      </w:pPr>
      <w:r>
        <w:rPr>
          <w:rFonts w:eastAsia="Times New Roman"/>
          <w:color w:val="CF0A2C"/>
          <w:sz w:val="19"/>
          <w:szCs w:val="19"/>
        </w:rPr>
        <w:t>•  Hedging and Pledging of Company Stock</w:t>
      </w:r>
    </w:p>
    <w:p w:rsidR="00CC2C66" w:rsidRDefault="00F80B74">
      <w:pPr>
        <w:spacing w:line="20" w:lineRule="exact"/>
        <w:rPr>
          <w:sz w:val="20"/>
          <w:szCs w:val="20"/>
        </w:rPr>
      </w:pPr>
      <w:r>
        <w:rPr>
          <w:noProof/>
          <w:sz w:val="20"/>
          <w:szCs w:val="20"/>
        </w:rPr>
        <w:drawing>
          <wp:anchor distT="0" distB="0" distL="114300" distR="114300" simplePos="0" relativeHeight="251603968" behindDoc="1" locked="0" layoutInCell="0" allowOverlap="1">
            <wp:simplePos x="0" y="0"/>
            <wp:positionH relativeFrom="column">
              <wp:posOffset>260985</wp:posOffset>
            </wp:positionH>
            <wp:positionV relativeFrom="paragraph">
              <wp:posOffset>12700</wp:posOffset>
            </wp:positionV>
            <wp:extent cx="6620510" cy="825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45" w:lineRule="exact"/>
        <w:rPr>
          <w:sz w:val="20"/>
          <w:szCs w:val="20"/>
        </w:rPr>
      </w:pPr>
    </w:p>
    <w:p w:rsidR="00CC2C66" w:rsidRDefault="00F80B74">
      <w:pPr>
        <w:ind w:left="420"/>
        <w:rPr>
          <w:sz w:val="20"/>
          <w:szCs w:val="20"/>
        </w:rPr>
      </w:pPr>
      <w:r>
        <w:rPr>
          <w:rFonts w:ascii="Arial" w:eastAsia="Arial" w:hAnsi="Arial" w:cs="Arial"/>
          <w:b/>
          <w:bCs/>
          <w:color w:val="CF0A2C"/>
          <w:sz w:val="24"/>
          <w:szCs w:val="24"/>
        </w:rPr>
        <w:t>Executive Summary</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333" w:lineRule="exact"/>
        <w:rPr>
          <w:sz w:val="20"/>
          <w:szCs w:val="20"/>
        </w:rPr>
      </w:pPr>
    </w:p>
    <w:p w:rsidR="00CC2C66" w:rsidRDefault="00F80B74">
      <w:pPr>
        <w:ind w:left="420"/>
        <w:rPr>
          <w:sz w:val="20"/>
          <w:szCs w:val="20"/>
        </w:rPr>
      </w:pPr>
      <w:r>
        <w:rPr>
          <w:rFonts w:eastAsia="Times New Roman"/>
          <w:b/>
          <w:bCs/>
          <w:i/>
          <w:iCs/>
          <w:color w:val="CF0A2C"/>
          <w:sz w:val="19"/>
          <w:szCs w:val="19"/>
        </w:rPr>
        <w:t>Context for Determining Executive Compensation Decisions</w:t>
      </w:r>
    </w:p>
    <w:p w:rsidR="00CC2C66" w:rsidRDefault="00CC2C66">
      <w:pPr>
        <w:spacing w:line="247" w:lineRule="exact"/>
        <w:rPr>
          <w:sz w:val="20"/>
          <w:szCs w:val="20"/>
        </w:rPr>
      </w:pPr>
    </w:p>
    <w:p w:rsidR="00CC2C66" w:rsidRDefault="00F80B74">
      <w:pPr>
        <w:spacing w:line="253" w:lineRule="auto"/>
        <w:ind w:left="420"/>
        <w:jc w:val="both"/>
        <w:rPr>
          <w:sz w:val="20"/>
          <w:szCs w:val="20"/>
        </w:rPr>
      </w:pPr>
      <w:r>
        <w:rPr>
          <w:rFonts w:eastAsia="Times New Roman"/>
          <w:sz w:val="18"/>
          <w:szCs w:val="18"/>
        </w:rPr>
        <w:t xml:space="preserve">A unique </w:t>
      </w:r>
      <w:r>
        <w:rPr>
          <w:rFonts w:eastAsia="Times New Roman"/>
          <w:sz w:val="18"/>
          <w:szCs w:val="18"/>
        </w:rPr>
        <w:t>feature of the Company is that while it is incorporated in Delaware and listed on the NYSE and Hong Kong Stock Exchange, substantially all of its operations are located in China, with 11,788 restaurants in over 1,600 cities across China at the end of 2021.</w:t>
      </w:r>
      <w:r>
        <w:rPr>
          <w:rFonts w:eastAsia="Times New Roman"/>
          <w:sz w:val="18"/>
          <w:szCs w:val="18"/>
        </w:rPr>
        <w:t xml:space="preserve"> Our operating environment and regulatory requirements are complex and our leadership must be capable of adapting our businesses, and supporting our growth goals, amid these complexities. As a result, the operating environment and competitive market in Chi</w:t>
      </w:r>
      <w:r>
        <w:rPr>
          <w:rFonts w:eastAsia="Times New Roman"/>
          <w:sz w:val="18"/>
          <w:szCs w:val="18"/>
        </w:rPr>
        <w:t>na are significant factors in the Compensation Committee’s decision-making process and the design of our compensation program. In making compensation decisions, the Compensation Committee considers our performance in the context of the Chinese operating en</w:t>
      </w:r>
      <w:r>
        <w:rPr>
          <w:rFonts w:eastAsia="Times New Roman"/>
          <w:sz w:val="18"/>
          <w:szCs w:val="18"/>
        </w:rPr>
        <w:t>vironment, the restaurant industry in China and our China-based peers, as well as our performance against our U.S. peers. Importantly, because our operating environment and the restaurant industry in China may be uniquely, or more significantly, impacted b</w:t>
      </w:r>
      <w:r>
        <w:rPr>
          <w:rFonts w:eastAsia="Times New Roman"/>
          <w:sz w:val="18"/>
          <w:szCs w:val="18"/>
        </w:rPr>
        <w:t>y certain factors than on our U.S. peers, the Compensation Committee seeks to maintain flexibility to design and refine the Company’s executive compensation program to be responsive to our operating environment even if that results in a compensation progra</w:t>
      </w:r>
      <w:r>
        <w:rPr>
          <w:rFonts w:eastAsia="Times New Roman"/>
          <w:sz w:val="18"/>
          <w:szCs w:val="18"/>
        </w:rPr>
        <w:t>m that differs from our U.S. peers.</w:t>
      </w:r>
    </w:p>
    <w:p w:rsidR="00CC2C66" w:rsidRDefault="00CC2C66">
      <w:pPr>
        <w:spacing w:line="200" w:lineRule="exact"/>
        <w:rPr>
          <w:sz w:val="20"/>
          <w:szCs w:val="20"/>
        </w:rPr>
      </w:pPr>
    </w:p>
    <w:p w:rsidR="00CC2C66" w:rsidRDefault="00CC2C66">
      <w:pPr>
        <w:spacing w:line="226" w:lineRule="exact"/>
        <w:rPr>
          <w:sz w:val="20"/>
          <w:szCs w:val="20"/>
        </w:rPr>
      </w:pPr>
    </w:p>
    <w:p w:rsidR="00CC2C66" w:rsidRDefault="00F80B74">
      <w:pPr>
        <w:spacing w:line="252" w:lineRule="auto"/>
        <w:ind w:left="420"/>
        <w:jc w:val="both"/>
        <w:rPr>
          <w:sz w:val="20"/>
          <w:szCs w:val="20"/>
        </w:rPr>
      </w:pPr>
      <w:r>
        <w:rPr>
          <w:rFonts w:eastAsia="Times New Roman"/>
          <w:sz w:val="19"/>
          <w:szCs w:val="19"/>
        </w:rPr>
        <w:t>In addition, as a Delaware-incorporated company listed on both the NYSE and Hong Kong Stock Exchange, our leadership team must also possess, in addition to deep</w:t>
      </w:r>
    </w:p>
    <w:p w:rsidR="00CC2C66" w:rsidRDefault="00F80B74">
      <w:pPr>
        <w:spacing w:line="20" w:lineRule="exact"/>
        <w:rPr>
          <w:sz w:val="20"/>
          <w:szCs w:val="20"/>
        </w:rPr>
      </w:pPr>
      <w:r>
        <w:rPr>
          <w:sz w:val="20"/>
          <w:szCs w:val="20"/>
        </w:rPr>
        <w:br w:type="column"/>
      </w:r>
    </w:p>
    <w:p w:rsidR="00CC2C66" w:rsidRDefault="00CC2C66">
      <w:pPr>
        <w:spacing w:line="319" w:lineRule="exact"/>
        <w:rPr>
          <w:sz w:val="20"/>
          <w:szCs w:val="20"/>
        </w:rPr>
      </w:pPr>
    </w:p>
    <w:p w:rsidR="00CC2C66" w:rsidRDefault="00F80B74">
      <w:pPr>
        <w:spacing w:line="254" w:lineRule="auto"/>
        <w:jc w:val="both"/>
        <w:rPr>
          <w:sz w:val="20"/>
          <w:szCs w:val="20"/>
        </w:rPr>
      </w:pPr>
      <w:r>
        <w:rPr>
          <w:rFonts w:eastAsia="Times New Roman"/>
          <w:sz w:val="18"/>
          <w:szCs w:val="18"/>
        </w:rPr>
        <w:t xml:space="preserve">knowledge of the U.S. and Hong Kong governance </w:t>
      </w:r>
      <w:r>
        <w:rPr>
          <w:rFonts w:eastAsia="Times New Roman"/>
          <w:sz w:val="18"/>
          <w:szCs w:val="18"/>
        </w:rPr>
        <w:t>requirements, the global perspectives and expertise required to resolve many novel and complex issues amid the evolving global regulatory landscape, including geo-political challenges. Because the Company is designing an executive compensation program that</w:t>
      </w:r>
      <w:r>
        <w:rPr>
          <w:rFonts w:eastAsia="Times New Roman"/>
          <w:sz w:val="18"/>
          <w:szCs w:val="18"/>
        </w:rPr>
        <w:t xml:space="preserve"> attracts, retains and incentivizes global talent but with specific knowledge of the evolving Chinese regulatory and operating environment, including the challenges and complexities of managing the extensive supply chain and store operations, the Company’s</w:t>
      </w:r>
      <w:r>
        <w:rPr>
          <w:rFonts w:eastAsia="Times New Roman"/>
          <w:sz w:val="18"/>
          <w:szCs w:val="18"/>
        </w:rPr>
        <w:t xml:space="preserve"> executive compensation program may differ from our U.S. peers to reflect the competitive market in China, the need to attract a global skillset with deep knowledge of both U.S. and Chinese regulatory regimes and the Company’s desire to incentivize an entr</w:t>
      </w:r>
      <w:r>
        <w:rPr>
          <w:rFonts w:eastAsia="Times New Roman"/>
          <w:sz w:val="18"/>
          <w:szCs w:val="18"/>
        </w:rPr>
        <w:t>epreneurial mindset to encourage actions that support our long-term growth and strategy. For these reasons, the Compensation Committee looked at the totality of factors the Company faces when it considers and determines executive compensation.</w:t>
      </w:r>
    </w:p>
    <w:p w:rsidR="00CC2C66" w:rsidRDefault="00CC2C66">
      <w:pPr>
        <w:spacing w:line="246" w:lineRule="exact"/>
        <w:rPr>
          <w:sz w:val="20"/>
          <w:szCs w:val="20"/>
        </w:rPr>
      </w:pPr>
    </w:p>
    <w:p w:rsidR="00CC2C66" w:rsidRDefault="00F80B74">
      <w:pPr>
        <w:numPr>
          <w:ilvl w:val="0"/>
          <w:numId w:val="49"/>
        </w:numPr>
        <w:tabs>
          <w:tab w:val="left" w:pos="240"/>
        </w:tabs>
        <w:spacing w:line="242" w:lineRule="auto"/>
        <w:ind w:left="240" w:right="20" w:hanging="181"/>
        <w:jc w:val="both"/>
        <w:rPr>
          <w:rFonts w:eastAsia="Times New Roman"/>
          <w:color w:val="CF0A2C"/>
          <w:sz w:val="19"/>
          <w:szCs w:val="19"/>
        </w:rPr>
      </w:pPr>
      <w:r>
        <w:rPr>
          <w:rFonts w:eastAsia="Times New Roman"/>
          <w:i/>
          <w:iCs/>
          <w:sz w:val="19"/>
          <w:szCs w:val="19"/>
        </w:rPr>
        <w:t>Operating E</w:t>
      </w:r>
      <w:r>
        <w:rPr>
          <w:rFonts w:eastAsia="Times New Roman"/>
          <w:i/>
          <w:iCs/>
          <w:sz w:val="19"/>
          <w:szCs w:val="19"/>
        </w:rPr>
        <w:t xml:space="preserve">nvironment: </w:t>
      </w:r>
      <w:r>
        <w:rPr>
          <w:rFonts w:eastAsia="Times New Roman"/>
          <w:sz w:val="19"/>
          <w:szCs w:val="19"/>
        </w:rPr>
        <w:t>The COVID-19 pandemic continued to</w:t>
      </w:r>
      <w:r>
        <w:rPr>
          <w:rFonts w:eastAsia="Times New Roman"/>
          <w:i/>
          <w:iCs/>
          <w:sz w:val="19"/>
          <w:szCs w:val="19"/>
        </w:rPr>
        <w:t xml:space="preserve"> </w:t>
      </w:r>
      <w:r>
        <w:rPr>
          <w:rFonts w:eastAsia="Times New Roman"/>
          <w:sz w:val="19"/>
          <w:szCs w:val="19"/>
        </w:rPr>
        <w:t>present significant volatility to the Company’s operations in 2021. In the first half of 2021, the COVID-19 situation was relatively stable. However, multiple waves of Delta-variant outbreaks started in late J</w:t>
      </w:r>
      <w:r>
        <w:rPr>
          <w:rFonts w:eastAsia="Times New Roman"/>
          <w:sz w:val="19"/>
          <w:szCs w:val="19"/>
        </w:rPr>
        <w:t>uly 2021 and spread to nearly all provinces in China. These widespread outbreaks resulted in stringent preventive public health measures across China, which included the lockdowns of several major cities, closures of many tourist locations resulting in sub</w:t>
      </w:r>
      <w:r>
        <w:rPr>
          <w:rFonts w:eastAsia="Times New Roman"/>
          <w:sz w:val="19"/>
          <w:szCs w:val="19"/>
        </w:rPr>
        <w:t>stantially</w:t>
      </w:r>
    </w:p>
    <w:p w:rsidR="00CC2C66" w:rsidRDefault="00CC2C66">
      <w:pPr>
        <w:spacing w:line="404"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58" w:lineRule="exact"/>
        <w:rPr>
          <w:sz w:val="20"/>
          <w:szCs w:val="20"/>
        </w:rPr>
      </w:pPr>
    </w:p>
    <w:p w:rsidR="00CC2C66" w:rsidRDefault="00F80B74">
      <w:pPr>
        <w:numPr>
          <w:ilvl w:val="0"/>
          <w:numId w:val="50"/>
        </w:numPr>
        <w:tabs>
          <w:tab w:val="left" w:pos="940"/>
        </w:tabs>
        <w:ind w:left="940" w:hanging="385"/>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04992" behindDoc="1" locked="0" layoutInCell="0" allowOverlap="1">
            <wp:simplePos x="0" y="0"/>
            <wp:positionH relativeFrom="column">
              <wp:posOffset>496570</wp:posOffset>
            </wp:positionH>
            <wp:positionV relativeFrom="paragraph">
              <wp:posOffset>-81915</wp:posOffset>
            </wp:positionV>
            <wp:extent cx="8255" cy="9715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33" w:name="page33"/>
      <w:bookmarkEnd w:id="33"/>
      <w:r>
        <w:rPr>
          <w:rFonts w:eastAsia="Times New Roman"/>
          <w:b/>
          <w:bCs/>
          <w:noProof/>
          <w:color w:val="0000EE"/>
          <w:sz w:val="17"/>
          <w:szCs w:val="17"/>
          <w:u w:val="single"/>
        </w:rPr>
        <w:lastRenderedPageBreak/>
        <w:drawing>
          <wp:anchor distT="0" distB="0" distL="114300" distR="114300" simplePos="0" relativeHeight="25160601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41" w:lineRule="auto"/>
        <w:ind w:left="600"/>
        <w:jc w:val="both"/>
        <w:rPr>
          <w:sz w:val="20"/>
          <w:szCs w:val="20"/>
        </w:rPr>
      </w:pPr>
      <w:r>
        <w:rPr>
          <w:rFonts w:eastAsia="Times New Roman"/>
          <w:sz w:val="19"/>
          <w:szCs w:val="19"/>
        </w:rPr>
        <w:t xml:space="preserve">lower travel volume, cancelled summer holiday trips and fewer social activities. Eastern China, the most vibrant economic region and the </w:t>
      </w:r>
      <w:r>
        <w:rPr>
          <w:rFonts w:eastAsia="Times New Roman"/>
          <w:sz w:val="19"/>
          <w:szCs w:val="19"/>
        </w:rPr>
        <w:t>most important market for us, was significantly impacted during the summer, our peak trading period. According to government statistics, the restaurant industry in China was considerably impacted in August 2021 with a revenue decline of approximately 10% c</w:t>
      </w:r>
      <w:r>
        <w:rPr>
          <w:rFonts w:eastAsia="Times New Roman"/>
          <w:sz w:val="19"/>
          <w:szCs w:val="19"/>
        </w:rPr>
        <w:t>ompared to August 2019. At the peak of the outbreak in August 2021, more than 500 of</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6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07040" behindDoc="1" locked="0" layoutInCell="0" allowOverlap="1">
            <wp:simplePos x="0" y="0"/>
            <wp:positionH relativeFrom="column">
              <wp:posOffset>1507490</wp:posOffset>
            </wp:positionH>
            <wp:positionV relativeFrom="paragraph">
              <wp:posOffset>-148590</wp:posOffset>
            </wp:positionV>
            <wp:extent cx="1614805" cy="19494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43" w:lineRule="auto"/>
        <w:jc w:val="both"/>
        <w:rPr>
          <w:sz w:val="20"/>
          <w:szCs w:val="20"/>
        </w:rPr>
      </w:pPr>
      <w:r>
        <w:rPr>
          <w:rFonts w:eastAsia="Times New Roman"/>
          <w:sz w:val="19"/>
          <w:szCs w:val="19"/>
        </w:rPr>
        <w:t>our stores in 17 provinces were closed or offered only takeaway and delivery services. In the fourth quarter 2021, total revenues of the rest</w:t>
      </w:r>
      <w:r>
        <w:rPr>
          <w:rFonts w:eastAsia="Times New Roman"/>
          <w:sz w:val="19"/>
          <w:szCs w:val="19"/>
        </w:rPr>
        <w:t>aurant industry in China declined year-over-year, a significant divergent trend comparing to the performance of the U.S. restaurant industry. The graph below shows China’s 2021 restaurant industry monthly revenue growth compared to that of 2020:</w:t>
      </w:r>
    </w:p>
    <w:p w:rsidR="00CC2C66" w:rsidRDefault="00CC2C66">
      <w:pPr>
        <w:spacing w:line="626" w:lineRule="exact"/>
        <w:rPr>
          <w:sz w:val="20"/>
          <w:szCs w:val="20"/>
        </w:rPr>
      </w:pPr>
    </w:p>
    <w:p w:rsidR="00CC2C66" w:rsidRDefault="00CC2C66">
      <w:pPr>
        <w:sectPr w:rsidR="00CC2C66">
          <w:pgSz w:w="11900" w:h="16838"/>
          <w:pgMar w:top="439" w:right="759" w:bottom="1440" w:left="320" w:header="0" w:footer="0" w:gutter="0"/>
          <w:cols w:num="2" w:space="720" w:equalWidth="0">
            <w:col w:w="5400" w:space="520"/>
            <w:col w:w="4900"/>
          </w:cols>
        </w:sectPr>
      </w:pPr>
    </w:p>
    <w:p w:rsidR="00CC2C66" w:rsidRDefault="00CC2C66">
      <w:pPr>
        <w:spacing w:line="198" w:lineRule="exact"/>
        <w:rPr>
          <w:sz w:val="20"/>
          <w:szCs w:val="20"/>
        </w:rPr>
      </w:pPr>
    </w:p>
    <w:p w:rsidR="00CC2C66" w:rsidRDefault="00F80B74">
      <w:pPr>
        <w:ind w:right="-419"/>
        <w:jc w:val="center"/>
        <w:rPr>
          <w:sz w:val="20"/>
          <w:szCs w:val="20"/>
        </w:rPr>
      </w:pPr>
      <w:r>
        <w:rPr>
          <w:rFonts w:eastAsia="Times New Roman"/>
          <w:b/>
          <w:bCs/>
          <w:sz w:val="18"/>
          <w:szCs w:val="18"/>
        </w:rPr>
        <w:t>China Restaurant Industry Monthly</w:t>
      </w:r>
    </w:p>
    <w:p w:rsidR="00CC2C66" w:rsidRDefault="00CC2C66">
      <w:pPr>
        <w:spacing w:line="34" w:lineRule="exact"/>
        <w:rPr>
          <w:sz w:val="20"/>
          <w:szCs w:val="20"/>
        </w:rPr>
      </w:pPr>
    </w:p>
    <w:p w:rsidR="00CC2C66" w:rsidRDefault="00F80B74">
      <w:pPr>
        <w:ind w:right="-419"/>
        <w:jc w:val="center"/>
        <w:rPr>
          <w:sz w:val="20"/>
          <w:szCs w:val="20"/>
        </w:rPr>
      </w:pPr>
      <w:r>
        <w:rPr>
          <w:rFonts w:eastAsia="Times New Roman"/>
          <w:b/>
          <w:bCs/>
          <w:sz w:val="19"/>
          <w:szCs w:val="19"/>
        </w:rPr>
        <w:t>Revenue Growth, 2021 vs. 2020</w:t>
      </w:r>
    </w:p>
    <w:p w:rsidR="00CC2C66" w:rsidRDefault="00F80B74">
      <w:pPr>
        <w:spacing w:line="20" w:lineRule="exact"/>
        <w:rPr>
          <w:sz w:val="20"/>
          <w:szCs w:val="20"/>
        </w:rPr>
      </w:pPr>
      <w:r>
        <w:rPr>
          <w:noProof/>
          <w:sz w:val="20"/>
          <w:szCs w:val="20"/>
        </w:rPr>
        <w:drawing>
          <wp:anchor distT="0" distB="0" distL="114300" distR="114300" simplePos="0" relativeHeight="251608064" behindDoc="1" locked="0" layoutInCell="0" allowOverlap="1">
            <wp:simplePos x="0" y="0"/>
            <wp:positionH relativeFrom="column">
              <wp:posOffset>1193800</wp:posOffset>
            </wp:positionH>
            <wp:positionV relativeFrom="paragraph">
              <wp:posOffset>178435</wp:posOffset>
            </wp:positionV>
            <wp:extent cx="4754245" cy="314769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
                      <a:extLst/>
                    </a:blip>
                    <a:srcRect/>
                    <a:stretch>
                      <a:fillRect/>
                    </a:stretch>
                  </pic:blipFill>
                  <pic:spPr bwMode="auto">
                    <a:xfrm>
                      <a:off x="0" y="0"/>
                      <a:ext cx="4754245" cy="314769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6" w:lineRule="exact"/>
        <w:rPr>
          <w:sz w:val="20"/>
          <w:szCs w:val="20"/>
        </w:rPr>
      </w:pPr>
    </w:p>
    <w:p w:rsidR="00CC2C66" w:rsidRDefault="00F80B74">
      <w:pPr>
        <w:ind w:left="420"/>
        <w:rPr>
          <w:sz w:val="20"/>
          <w:szCs w:val="20"/>
        </w:rPr>
      </w:pPr>
      <w:r>
        <w:rPr>
          <w:rFonts w:eastAsia="Times New Roman"/>
          <w:i/>
          <w:iCs/>
          <w:sz w:val="19"/>
          <w:szCs w:val="19"/>
        </w:rPr>
        <w:t>Source: National Bureau of Statistics of China</w:t>
      </w:r>
    </w:p>
    <w:p w:rsidR="00CC2C66" w:rsidRDefault="00CC2C66">
      <w:pPr>
        <w:sectPr w:rsidR="00CC2C66">
          <w:type w:val="continuous"/>
          <w:pgSz w:w="11900" w:h="16838"/>
          <w:pgMar w:top="439" w:right="759" w:bottom="1440" w:left="320" w:header="0" w:footer="0" w:gutter="0"/>
          <w:cols w:space="720" w:equalWidth="0">
            <w:col w:w="10820"/>
          </w:cols>
        </w:sectPr>
      </w:pPr>
    </w:p>
    <w:p w:rsidR="00CC2C66" w:rsidRDefault="00CC2C66">
      <w:pPr>
        <w:spacing w:line="331" w:lineRule="exact"/>
        <w:rPr>
          <w:sz w:val="20"/>
          <w:szCs w:val="20"/>
        </w:rPr>
      </w:pPr>
    </w:p>
    <w:p w:rsidR="00CC2C66" w:rsidRDefault="00F80B74">
      <w:pPr>
        <w:numPr>
          <w:ilvl w:val="0"/>
          <w:numId w:val="51"/>
        </w:numPr>
        <w:tabs>
          <w:tab w:val="left" w:pos="640"/>
        </w:tabs>
        <w:spacing w:line="242" w:lineRule="auto"/>
        <w:ind w:left="640" w:hanging="178"/>
        <w:jc w:val="both"/>
        <w:rPr>
          <w:rFonts w:eastAsia="Times New Roman"/>
          <w:color w:val="CF0A2C"/>
          <w:sz w:val="19"/>
          <w:szCs w:val="19"/>
        </w:rPr>
      </w:pPr>
      <w:r>
        <w:rPr>
          <w:rFonts w:eastAsia="Times New Roman"/>
          <w:i/>
          <w:iCs/>
          <w:sz w:val="19"/>
          <w:szCs w:val="19"/>
        </w:rPr>
        <w:t xml:space="preserve">Competitive Market: </w:t>
      </w:r>
      <w:r>
        <w:rPr>
          <w:rFonts w:eastAsia="Times New Roman"/>
          <w:sz w:val="19"/>
          <w:szCs w:val="19"/>
        </w:rPr>
        <w:t>Knowledge and expertise of U.S., China</w:t>
      </w:r>
      <w:r>
        <w:rPr>
          <w:rFonts w:eastAsia="Times New Roman"/>
          <w:i/>
          <w:iCs/>
          <w:sz w:val="19"/>
          <w:szCs w:val="19"/>
        </w:rPr>
        <w:t xml:space="preserve"> </w:t>
      </w:r>
      <w:r>
        <w:rPr>
          <w:rFonts w:eastAsia="Times New Roman"/>
          <w:sz w:val="19"/>
          <w:szCs w:val="19"/>
        </w:rPr>
        <w:t xml:space="preserve">and </w:t>
      </w:r>
      <w:r>
        <w:rPr>
          <w:rFonts w:eastAsia="Times New Roman"/>
          <w:sz w:val="19"/>
          <w:szCs w:val="19"/>
        </w:rPr>
        <w:t>Hong Kong regulatory regimes and business practices are required for many of the Company’s executive officers. In addition, because our executive team is located in China, we are required to compete in the Chinese market for executive talent with this uniq</w:t>
      </w:r>
      <w:r>
        <w:rPr>
          <w:rFonts w:eastAsia="Times New Roman"/>
          <w:sz w:val="19"/>
          <w:szCs w:val="19"/>
        </w:rPr>
        <w:t>ue skillset. Given the unique skillset of our executives, the Company is increasingly competing for executive talent against China-based companies with, or planning for, listing outside of China. These competitors often offer</w:t>
      </w:r>
    </w:p>
    <w:p w:rsidR="00CC2C66" w:rsidRDefault="00F80B74">
      <w:pPr>
        <w:spacing w:line="20" w:lineRule="exact"/>
        <w:rPr>
          <w:sz w:val="20"/>
          <w:szCs w:val="20"/>
        </w:rPr>
      </w:pPr>
      <w:r>
        <w:rPr>
          <w:sz w:val="20"/>
          <w:szCs w:val="20"/>
        </w:rPr>
        <w:br w:type="column"/>
      </w:r>
    </w:p>
    <w:p w:rsidR="00CC2C66" w:rsidRDefault="00CC2C66">
      <w:pPr>
        <w:spacing w:line="315" w:lineRule="exact"/>
        <w:rPr>
          <w:sz w:val="20"/>
          <w:szCs w:val="20"/>
        </w:rPr>
      </w:pPr>
    </w:p>
    <w:p w:rsidR="00CC2C66" w:rsidRDefault="00F80B74">
      <w:pPr>
        <w:spacing w:line="241" w:lineRule="auto"/>
        <w:jc w:val="both"/>
        <w:rPr>
          <w:sz w:val="20"/>
          <w:szCs w:val="20"/>
        </w:rPr>
      </w:pPr>
      <w:r>
        <w:rPr>
          <w:rFonts w:eastAsia="Times New Roman"/>
          <w:sz w:val="19"/>
          <w:szCs w:val="19"/>
        </w:rPr>
        <w:t xml:space="preserve">compensation packages with </w:t>
      </w:r>
      <w:r>
        <w:rPr>
          <w:rFonts w:eastAsia="Times New Roman"/>
          <w:sz w:val="19"/>
          <w:szCs w:val="19"/>
        </w:rPr>
        <w:t>significant one-time equity grants, which is a common practice in the Chinese executive compensation market. In determining executive compensation decisions, the Compensation Committee considers this increased competition and the related new-hire offers of</w:t>
      </w:r>
      <w:r>
        <w:rPr>
          <w:rFonts w:eastAsia="Times New Roman"/>
          <w:sz w:val="19"/>
          <w:szCs w:val="19"/>
        </w:rPr>
        <w:t xml:space="preserve"> significant one-time equity grants, coupled with an already challenging local market for international executive talent, and the Company’s need to retain and motivate the Company’s global and visionary leadership team.</w:t>
      </w:r>
    </w:p>
    <w:p w:rsidR="00CC2C66" w:rsidRDefault="00CC2C66">
      <w:pPr>
        <w:spacing w:line="200" w:lineRule="exact"/>
        <w:rPr>
          <w:sz w:val="20"/>
          <w:szCs w:val="20"/>
        </w:rPr>
      </w:pPr>
    </w:p>
    <w:p w:rsidR="00CC2C66" w:rsidRDefault="00CC2C66">
      <w:pPr>
        <w:spacing w:line="277" w:lineRule="exact"/>
        <w:rPr>
          <w:sz w:val="20"/>
          <w:szCs w:val="20"/>
        </w:rPr>
      </w:pPr>
    </w:p>
    <w:p w:rsidR="00CC2C66" w:rsidRDefault="00F80B74">
      <w:pPr>
        <w:tabs>
          <w:tab w:val="left" w:pos="4660"/>
        </w:tabs>
        <w:ind w:left="25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27</w:t>
      </w:r>
    </w:p>
    <w:p w:rsidR="00CC2C66" w:rsidRDefault="00F80B74">
      <w:pPr>
        <w:spacing w:line="20" w:lineRule="exact"/>
        <w:rPr>
          <w:sz w:val="20"/>
          <w:szCs w:val="20"/>
        </w:rPr>
      </w:pPr>
      <w:r>
        <w:rPr>
          <w:noProof/>
          <w:sz w:val="20"/>
          <w:szCs w:val="20"/>
        </w:rPr>
        <w:drawing>
          <wp:anchor distT="0" distB="0" distL="114300" distR="114300" simplePos="0" relativeHeight="251609088" behindDoc="1" locked="0" layoutInCell="0" allowOverlap="1">
            <wp:simplePos x="0" y="0"/>
            <wp:positionH relativeFrom="column">
              <wp:posOffset>2862580</wp:posOffset>
            </wp:positionH>
            <wp:positionV relativeFrom="paragraph">
              <wp:posOffset>-95885</wp:posOffset>
            </wp:positionV>
            <wp:extent cx="8255" cy="9715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59" w:bottom="1440" w:left="320" w:header="0" w:footer="0" w:gutter="0"/>
          <w:cols w:num="2" w:space="720" w:equalWidth="0">
            <w:col w:w="5400" w:space="520"/>
            <w:col w:w="4900"/>
          </w:cols>
        </w:sectPr>
      </w:pPr>
    </w:p>
    <w:p w:rsidR="00CC2C66" w:rsidRDefault="00F80B74">
      <w:pPr>
        <w:rPr>
          <w:sz w:val="20"/>
          <w:szCs w:val="20"/>
        </w:rPr>
      </w:pPr>
      <w:bookmarkStart w:id="34" w:name="page34"/>
      <w:bookmarkEnd w:id="34"/>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10112"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39" w:lineRule="exact"/>
        <w:rPr>
          <w:sz w:val="20"/>
          <w:szCs w:val="20"/>
        </w:rPr>
      </w:pPr>
    </w:p>
    <w:p w:rsidR="00CC2C66" w:rsidRDefault="00F80B74">
      <w:pPr>
        <w:numPr>
          <w:ilvl w:val="0"/>
          <w:numId w:val="52"/>
        </w:numPr>
        <w:tabs>
          <w:tab w:val="left" w:pos="640"/>
        </w:tabs>
        <w:ind w:left="640" w:hanging="178"/>
        <w:jc w:val="both"/>
        <w:rPr>
          <w:rFonts w:eastAsia="Times New Roman"/>
          <w:color w:val="CF0A2C"/>
          <w:sz w:val="19"/>
          <w:szCs w:val="19"/>
        </w:rPr>
      </w:pPr>
      <w:r>
        <w:rPr>
          <w:rFonts w:eastAsia="Times New Roman"/>
          <w:i/>
          <w:iCs/>
          <w:sz w:val="19"/>
          <w:szCs w:val="19"/>
        </w:rPr>
        <w:t xml:space="preserve">Peer Company Performance Comparisons: </w:t>
      </w:r>
      <w:r>
        <w:rPr>
          <w:rFonts w:eastAsia="Times New Roman"/>
          <w:sz w:val="19"/>
          <w:szCs w:val="19"/>
        </w:rPr>
        <w:t>In assessing the</w:t>
      </w:r>
      <w:r>
        <w:rPr>
          <w:rFonts w:eastAsia="Times New Roman"/>
          <w:i/>
          <w:iCs/>
          <w:sz w:val="19"/>
          <w:szCs w:val="19"/>
        </w:rPr>
        <w:t xml:space="preserve"> </w:t>
      </w:r>
      <w:r>
        <w:rPr>
          <w:rFonts w:eastAsia="Times New Roman"/>
          <w:sz w:val="19"/>
          <w:szCs w:val="19"/>
        </w:rPr>
        <w:t>performance of the Company and our executive team, the Compensation Committee considers performance against U.S. peers as well</w:t>
      </w:r>
      <w:r>
        <w:rPr>
          <w:rFonts w:eastAsia="Times New Roman"/>
          <w:sz w:val="19"/>
          <w:szCs w:val="19"/>
        </w:rPr>
        <w:t xml:space="preserve"> as peers in China, which allows the Compensation Committee to assess performance in the context of the operating market in China which can vary significantly as compared to the U.S. operating market as was the case in 2021. Accordingly, in approving incen</w:t>
      </w:r>
      <w:r>
        <w:rPr>
          <w:rFonts w:eastAsia="Times New Roman"/>
          <w:sz w:val="19"/>
          <w:szCs w:val="19"/>
        </w:rPr>
        <w:t>tive compensation, the Compensation Committee considers the performance of restaurant companies in China and seeks to reward performance that reflects the Company’s operating performance, as opposed to just a comparison to the Company’s U.S. peers, which o</w:t>
      </w:r>
      <w:r>
        <w:rPr>
          <w:rFonts w:eastAsia="Times New Roman"/>
          <w:sz w:val="19"/>
          <w:szCs w:val="19"/>
        </w:rPr>
        <w:t>ften are subject to a different operating environment than the Company. In terms of the total shareholder return (“</w:t>
      </w:r>
      <w:r>
        <w:rPr>
          <w:rFonts w:eastAsia="Times New Roman"/>
          <w:b/>
          <w:bCs/>
          <w:i/>
          <w:iCs/>
          <w:sz w:val="19"/>
          <w:szCs w:val="19"/>
        </w:rPr>
        <w:t>TSR</w:t>
      </w:r>
      <w:r>
        <w:rPr>
          <w:rFonts w:eastAsia="Times New Roman"/>
          <w:sz w:val="19"/>
          <w:szCs w:val="19"/>
        </w:rPr>
        <w:t xml:space="preserve">”) performance, the MSCI China Index was down approximately 22% in 2021, while the S&amp;P 500 Index was up approximately 27%. In particular, </w:t>
      </w:r>
      <w:r>
        <w:rPr>
          <w:rFonts w:eastAsia="Times New Roman"/>
          <w:sz w:val="19"/>
          <w:szCs w:val="19"/>
        </w:rPr>
        <w:t>the MSCI China Consumer Discretionary Index was down approximately 36% in 2021, while the Company’s TSR declined by approximately 12%.</w:t>
      </w:r>
    </w:p>
    <w:p w:rsidR="00CC2C66" w:rsidRDefault="00CC2C66">
      <w:pPr>
        <w:spacing w:line="255" w:lineRule="exact"/>
        <w:rPr>
          <w:rFonts w:eastAsia="Times New Roman"/>
          <w:color w:val="CF0A2C"/>
          <w:sz w:val="19"/>
          <w:szCs w:val="19"/>
        </w:rPr>
      </w:pPr>
    </w:p>
    <w:p w:rsidR="00CC2C66" w:rsidRDefault="00F80B74">
      <w:pPr>
        <w:numPr>
          <w:ilvl w:val="0"/>
          <w:numId w:val="52"/>
        </w:numPr>
        <w:tabs>
          <w:tab w:val="left" w:pos="640"/>
        </w:tabs>
        <w:ind w:left="640" w:hanging="178"/>
        <w:jc w:val="both"/>
        <w:rPr>
          <w:rFonts w:eastAsia="Times New Roman"/>
          <w:color w:val="CF0A2C"/>
          <w:sz w:val="19"/>
          <w:szCs w:val="19"/>
        </w:rPr>
      </w:pPr>
      <w:r>
        <w:rPr>
          <w:rFonts w:eastAsia="Times New Roman"/>
          <w:i/>
          <w:iCs/>
          <w:sz w:val="19"/>
          <w:szCs w:val="19"/>
        </w:rPr>
        <w:t xml:space="preserve">Support Long-Term Strategy: </w:t>
      </w:r>
      <w:r>
        <w:rPr>
          <w:rFonts w:eastAsia="Times New Roman"/>
          <w:sz w:val="19"/>
          <w:szCs w:val="19"/>
        </w:rPr>
        <w:t>Despite the enormous challenges</w:t>
      </w:r>
      <w:r>
        <w:rPr>
          <w:rFonts w:eastAsia="Times New Roman"/>
          <w:i/>
          <w:iCs/>
          <w:sz w:val="19"/>
          <w:szCs w:val="19"/>
        </w:rPr>
        <w:t xml:space="preserve"> </w:t>
      </w:r>
      <w:r>
        <w:rPr>
          <w:rFonts w:eastAsia="Times New Roman"/>
          <w:sz w:val="19"/>
          <w:szCs w:val="19"/>
        </w:rPr>
        <w:t>to drive sales and protect profits in the short-term, the Co</w:t>
      </w:r>
      <w:r>
        <w:rPr>
          <w:rFonts w:eastAsia="Times New Roman"/>
          <w:sz w:val="19"/>
          <w:szCs w:val="19"/>
        </w:rPr>
        <w:t xml:space="preserve">mpany is also committed to building core capabilities to achieve long-term sustainable growth. To support the Company’s long-term growth, the Compensation Committee has sought to design a compensation program aligned with our long-term strategy, including </w:t>
      </w:r>
      <w:r>
        <w:rPr>
          <w:rFonts w:eastAsia="Times New Roman"/>
          <w:sz w:val="19"/>
          <w:szCs w:val="19"/>
        </w:rPr>
        <w:t>accelerating store network development, expanding to new categories, growing emerging brands and reinforcing strategic capabilities. This desire to incentivize performance to achieve the Company’s growth initiatives resulted in the inclusion of performance</w:t>
      </w:r>
      <w:r>
        <w:rPr>
          <w:rFonts w:eastAsia="Times New Roman"/>
          <w:sz w:val="19"/>
          <w:szCs w:val="19"/>
        </w:rPr>
        <w:t xml:space="preserve"> goals relating to delivery sales and member sales in the 2021 annual incentive program, as well as the granting of equity awards with respect to the joint venture (the “</w:t>
      </w:r>
      <w:r>
        <w:rPr>
          <w:rFonts w:eastAsia="Times New Roman"/>
          <w:b/>
          <w:bCs/>
          <w:i/>
          <w:iCs/>
          <w:sz w:val="19"/>
          <w:szCs w:val="19"/>
        </w:rPr>
        <w:t>Lavazza Joint Venture</w:t>
      </w:r>
      <w:r>
        <w:rPr>
          <w:rFonts w:eastAsia="Times New Roman"/>
          <w:sz w:val="19"/>
          <w:szCs w:val="19"/>
        </w:rPr>
        <w:t>”) established by the Company and Lavazza Luigi S.p.A. (“</w:t>
      </w:r>
      <w:r>
        <w:rPr>
          <w:rFonts w:eastAsia="Times New Roman"/>
          <w:b/>
          <w:bCs/>
          <w:i/>
          <w:iCs/>
          <w:sz w:val="19"/>
          <w:szCs w:val="19"/>
        </w:rPr>
        <w:t xml:space="preserve">Lavazza </w:t>
      </w:r>
      <w:r>
        <w:rPr>
          <w:rFonts w:eastAsia="Times New Roman"/>
          <w:b/>
          <w:bCs/>
          <w:i/>
          <w:iCs/>
          <w:sz w:val="19"/>
          <w:szCs w:val="19"/>
        </w:rPr>
        <w:t>Group</w:t>
      </w:r>
      <w:r>
        <w:rPr>
          <w:rFonts w:eastAsia="Times New Roman"/>
          <w:sz w:val="19"/>
          <w:szCs w:val="19"/>
        </w:rPr>
        <w:t>”). This Lavazza Joint Venture was established to explore and develop the Lavazza coffee shop concept in China, as part of the Company’s strategy of making coffee a meaningful part of its business. The Compensation Committee believes that it is import</w:t>
      </w:r>
      <w:r>
        <w:rPr>
          <w:rFonts w:eastAsia="Times New Roman"/>
          <w:sz w:val="19"/>
          <w:szCs w:val="19"/>
        </w:rPr>
        <w:t>ant to approach compensation in a way that supports a</w:t>
      </w:r>
    </w:p>
    <w:p w:rsidR="00CC2C66" w:rsidRDefault="00CC2C66">
      <w:pPr>
        <w:spacing w:line="272" w:lineRule="exact"/>
        <w:rPr>
          <w:sz w:val="20"/>
          <w:szCs w:val="20"/>
        </w:rPr>
      </w:pPr>
    </w:p>
    <w:p w:rsidR="00CC2C66" w:rsidRDefault="00F80B74">
      <w:pPr>
        <w:numPr>
          <w:ilvl w:val="0"/>
          <w:numId w:val="53"/>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11136"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52" w:lineRule="auto"/>
        <w:ind w:left="200"/>
        <w:jc w:val="both"/>
        <w:rPr>
          <w:sz w:val="20"/>
          <w:szCs w:val="20"/>
        </w:rPr>
      </w:pPr>
      <w:r>
        <w:rPr>
          <w:rFonts w:eastAsia="Times New Roman"/>
          <w:sz w:val="19"/>
          <w:szCs w:val="19"/>
        </w:rPr>
        <w:t>founder’s mentality and the execution of goals linked to our long-term strategy, which will allow the Company to emerge from the pandemic even stronger than before.</w:t>
      </w:r>
    </w:p>
    <w:p w:rsidR="00CC2C66" w:rsidRDefault="00F80B74">
      <w:pPr>
        <w:spacing w:line="20" w:lineRule="exact"/>
        <w:rPr>
          <w:sz w:val="20"/>
          <w:szCs w:val="20"/>
        </w:rPr>
      </w:pPr>
      <w:r>
        <w:rPr>
          <w:noProof/>
          <w:sz w:val="20"/>
          <w:szCs w:val="20"/>
        </w:rPr>
        <w:drawing>
          <wp:anchor distT="0" distB="0" distL="114300" distR="114300" simplePos="0" relativeHeight="251612160" behindDoc="1" locked="0" layoutInCell="0" allowOverlap="1">
            <wp:simplePos x="0" y="0"/>
            <wp:positionH relativeFrom="column">
              <wp:posOffset>-3642995</wp:posOffset>
            </wp:positionH>
            <wp:positionV relativeFrom="paragraph">
              <wp:posOffset>-1250950</wp:posOffset>
            </wp:positionV>
            <wp:extent cx="7181215" cy="3683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21" w:lineRule="exact"/>
        <w:rPr>
          <w:sz w:val="20"/>
          <w:szCs w:val="20"/>
        </w:rPr>
      </w:pPr>
    </w:p>
    <w:p w:rsidR="00CC2C66" w:rsidRDefault="00F80B74">
      <w:pPr>
        <w:numPr>
          <w:ilvl w:val="0"/>
          <w:numId w:val="54"/>
        </w:numPr>
        <w:tabs>
          <w:tab w:val="left" w:pos="240"/>
        </w:tabs>
        <w:spacing w:line="253" w:lineRule="auto"/>
        <w:ind w:left="240" w:hanging="181"/>
        <w:jc w:val="both"/>
        <w:rPr>
          <w:rFonts w:eastAsia="Times New Roman"/>
          <w:color w:val="CF0A2C"/>
          <w:sz w:val="18"/>
          <w:szCs w:val="18"/>
        </w:rPr>
      </w:pPr>
      <w:r>
        <w:rPr>
          <w:rFonts w:eastAsia="Times New Roman"/>
          <w:i/>
          <w:iCs/>
          <w:sz w:val="18"/>
          <w:szCs w:val="18"/>
        </w:rPr>
        <w:t xml:space="preserve">Annual Incentive Program Adjustments. </w:t>
      </w:r>
      <w:r>
        <w:rPr>
          <w:rFonts w:eastAsia="Times New Roman"/>
          <w:sz w:val="18"/>
          <w:szCs w:val="18"/>
        </w:rPr>
        <w:t>In September 2021, in</w:t>
      </w:r>
      <w:r>
        <w:rPr>
          <w:rFonts w:eastAsia="Times New Roman"/>
          <w:i/>
          <w:iCs/>
          <w:sz w:val="18"/>
          <w:szCs w:val="18"/>
        </w:rPr>
        <w:t xml:space="preserve"> </w:t>
      </w:r>
      <w:r>
        <w:rPr>
          <w:rFonts w:eastAsia="Times New Roman"/>
          <w:sz w:val="18"/>
          <w:szCs w:val="18"/>
        </w:rPr>
        <w:t xml:space="preserve">light of the changes in operating environment and the significant impact of the Delta-variant outbreaks on the Company’s operating and financial performance since July 2021, the Compensation </w:t>
      </w:r>
      <w:r>
        <w:rPr>
          <w:rFonts w:eastAsia="Times New Roman"/>
          <w:sz w:val="18"/>
          <w:szCs w:val="18"/>
        </w:rPr>
        <w:t>Committee considered potential real-time actions to help manage the immediate challenges, retain talent and motivate performance. While the Compensation Committee’s practice has generally been to establish and communicate goals at the beginning of each yea</w:t>
      </w:r>
      <w:r>
        <w:rPr>
          <w:rFonts w:eastAsia="Times New Roman"/>
          <w:sz w:val="18"/>
          <w:szCs w:val="18"/>
        </w:rPr>
        <w:t>r, the Compensation Committee also retains flexibility to modify the Company’s executive compensation program when circumstances warrant, in order to continue to incentivize actions to drive operational performance and long-term strategies. Considering the</w:t>
      </w:r>
      <w:r>
        <w:rPr>
          <w:rFonts w:eastAsia="Times New Roman"/>
          <w:sz w:val="18"/>
          <w:szCs w:val="18"/>
        </w:rPr>
        <w:t xml:space="preserve"> significant impact of the COVID-19, and that the Company’s incentive program targets were set in early 2021 based on the then operating environment with sequential improvement in operating results, the Compensation Committee determined to keep the origina</w:t>
      </w:r>
      <w:r>
        <w:rPr>
          <w:rFonts w:eastAsia="Times New Roman"/>
          <w:sz w:val="18"/>
          <w:szCs w:val="18"/>
        </w:rPr>
        <w:t>l goals but that, instead of measuring performance with respect to the Adjusted Operating Profit Growth and Same Store Sales Growth over one performance period covering the entire fiscal year, it would instead measure performance with respect to these team</w:t>
      </w:r>
      <w:r>
        <w:rPr>
          <w:rFonts w:eastAsia="Times New Roman"/>
          <w:sz w:val="18"/>
          <w:szCs w:val="18"/>
        </w:rPr>
        <w:t xml:space="preserve"> performance measures over three separate performance periods: the first half of 2021 (weighted 50%); the third quarter of 2021 (weighted 25%); and the fourth quarter of 2021 (weighted 25%). The performance targets for each of these three distinct performa</w:t>
      </w:r>
      <w:r>
        <w:rPr>
          <w:rFonts w:eastAsia="Times New Roman"/>
          <w:sz w:val="18"/>
          <w:szCs w:val="18"/>
        </w:rPr>
        <w:t>nce periods were derived from the performance goals established in early 2021, with the only difference being the segregation of performance into the three distinct performance periods. This change retained the same performance targets and performance-base</w:t>
      </w:r>
      <w:r>
        <w:rPr>
          <w:rFonts w:eastAsia="Times New Roman"/>
          <w:sz w:val="18"/>
          <w:szCs w:val="18"/>
        </w:rPr>
        <w:t>d program design, but helped in executive motivation, retention and business focus.</w:t>
      </w:r>
    </w:p>
    <w:p w:rsidR="00CC2C66" w:rsidRDefault="00CC2C66">
      <w:pPr>
        <w:spacing w:line="200" w:lineRule="exact"/>
        <w:rPr>
          <w:sz w:val="20"/>
          <w:szCs w:val="20"/>
        </w:rPr>
      </w:pPr>
    </w:p>
    <w:p w:rsidR="00CC2C66" w:rsidRDefault="00CC2C66">
      <w:pPr>
        <w:spacing w:line="228" w:lineRule="exact"/>
        <w:rPr>
          <w:sz w:val="20"/>
          <w:szCs w:val="20"/>
        </w:rPr>
      </w:pPr>
    </w:p>
    <w:p w:rsidR="00CC2C66" w:rsidRDefault="00F80B74">
      <w:pPr>
        <w:rPr>
          <w:sz w:val="20"/>
          <w:szCs w:val="20"/>
        </w:rPr>
      </w:pPr>
      <w:r>
        <w:rPr>
          <w:rFonts w:eastAsia="Times New Roman"/>
          <w:b/>
          <w:bCs/>
          <w:i/>
          <w:iCs/>
          <w:color w:val="CF0A2C"/>
          <w:sz w:val="19"/>
          <w:szCs w:val="19"/>
        </w:rPr>
        <w:t>2021 Business Overview and Performance Highlights</w:t>
      </w:r>
    </w:p>
    <w:p w:rsidR="00CC2C66" w:rsidRDefault="00CC2C66">
      <w:pPr>
        <w:spacing w:line="247" w:lineRule="exact"/>
        <w:rPr>
          <w:sz w:val="20"/>
          <w:szCs w:val="20"/>
        </w:rPr>
      </w:pPr>
    </w:p>
    <w:p w:rsidR="00CC2C66" w:rsidRDefault="00F80B74">
      <w:pPr>
        <w:spacing w:line="265" w:lineRule="auto"/>
        <w:rPr>
          <w:sz w:val="20"/>
          <w:szCs w:val="20"/>
        </w:rPr>
      </w:pPr>
      <w:r>
        <w:rPr>
          <w:rFonts w:eastAsia="Times New Roman"/>
          <w:sz w:val="19"/>
          <w:szCs w:val="19"/>
        </w:rPr>
        <w:t>As noted above, the COVID-19 pandemic continued to significantly impact the Company’s operations in 2021.</w:t>
      </w:r>
    </w:p>
    <w:p w:rsidR="00CC2C66" w:rsidRDefault="00CC2C66">
      <w:pPr>
        <w:sectPr w:rsidR="00CC2C66">
          <w:pgSz w:w="11900" w:h="16838"/>
          <w:pgMar w:top="439" w:right="759" w:bottom="1440" w:left="320" w:header="0" w:footer="0" w:gutter="0"/>
          <w:cols w:num="2" w:space="720" w:equalWidth="0">
            <w:col w:w="5400" w:space="320"/>
            <w:col w:w="5100"/>
          </w:cols>
        </w:sectPr>
      </w:pPr>
    </w:p>
    <w:p w:rsidR="00CC2C66" w:rsidRDefault="00F80B74">
      <w:pPr>
        <w:rPr>
          <w:sz w:val="20"/>
          <w:szCs w:val="20"/>
        </w:rPr>
      </w:pPr>
      <w:bookmarkStart w:id="35" w:name="page35"/>
      <w:bookmarkEnd w:id="35"/>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65" w:lineRule="auto"/>
        <w:ind w:left="420"/>
        <w:rPr>
          <w:sz w:val="20"/>
          <w:szCs w:val="20"/>
        </w:rPr>
      </w:pPr>
      <w:r>
        <w:rPr>
          <w:rFonts w:eastAsia="Times New Roman"/>
          <w:sz w:val="19"/>
          <w:szCs w:val="19"/>
        </w:rPr>
        <w:t>Our management team undertook immediate and strategic actions to drive sales and protect profits. These actions included:</w:t>
      </w:r>
    </w:p>
    <w:p w:rsidR="00CC2C66" w:rsidRDefault="00CC2C66">
      <w:pPr>
        <w:spacing w:line="233" w:lineRule="exact"/>
        <w:rPr>
          <w:sz w:val="20"/>
          <w:szCs w:val="20"/>
        </w:rPr>
      </w:pPr>
    </w:p>
    <w:p w:rsidR="00CC2C66" w:rsidRDefault="00F80B74">
      <w:pPr>
        <w:numPr>
          <w:ilvl w:val="0"/>
          <w:numId w:val="55"/>
        </w:numPr>
        <w:tabs>
          <w:tab w:val="left" w:pos="640"/>
        </w:tabs>
        <w:spacing w:line="243" w:lineRule="auto"/>
        <w:ind w:left="640" w:right="20" w:hanging="178"/>
        <w:jc w:val="both"/>
        <w:rPr>
          <w:rFonts w:eastAsia="Times New Roman"/>
          <w:color w:val="CF0A2C"/>
          <w:sz w:val="19"/>
          <w:szCs w:val="19"/>
        </w:rPr>
      </w:pPr>
      <w:r>
        <w:rPr>
          <w:rFonts w:eastAsia="Times New Roman"/>
          <w:sz w:val="19"/>
          <w:szCs w:val="19"/>
        </w:rPr>
        <w:t xml:space="preserve">We continue to prioritize the safety and health of our employees and customers. In </w:t>
      </w:r>
      <w:r>
        <w:rPr>
          <w:rFonts w:eastAsia="Times New Roman"/>
          <w:sz w:val="19"/>
          <w:szCs w:val="19"/>
        </w:rPr>
        <w:t>2021, we enhanced the medical insurance coverage for our restaurant general managers, restaurant management team and service team leaders. The enhanced benefits are expected to cover around 100,000 front-line employees and their family members.</w:t>
      </w:r>
    </w:p>
    <w:p w:rsidR="00CC2C66" w:rsidRDefault="00CC2C66">
      <w:pPr>
        <w:spacing w:line="257" w:lineRule="exact"/>
        <w:rPr>
          <w:rFonts w:eastAsia="Times New Roman"/>
          <w:color w:val="CF0A2C"/>
          <w:sz w:val="19"/>
          <w:szCs w:val="19"/>
        </w:rPr>
      </w:pPr>
    </w:p>
    <w:p w:rsidR="00CC2C66" w:rsidRDefault="00F80B74">
      <w:pPr>
        <w:numPr>
          <w:ilvl w:val="0"/>
          <w:numId w:val="55"/>
        </w:numPr>
        <w:tabs>
          <w:tab w:val="left" w:pos="640"/>
        </w:tabs>
        <w:spacing w:line="243" w:lineRule="auto"/>
        <w:ind w:left="640" w:right="20" w:hanging="178"/>
        <w:jc w:val="both"/>
        <w:rPr>
          <w:rFonts w:eastAsia="Times New Roman"/>
          <w:color w:val="CF0A2C"/>
          <w:sz w:val="19"/>
          <w:szCs w:val="19"/>
        </w:rPr>
      </w:pPr>
      <w:r>
        <w:rPr>
          <w:rFonts w:eastAsia="Times New Roman"/>
          <w:sz w:val="19"/>
          <w:szCs w:val="19"/>
        </w:rPr>
        <w:t>We drove t</w:t>
      </w:r>
      <w:r>
        <w:rPr>
          <w:rFonts w:eastAsia="Times New Roman"/>
          <w:sz w:val="19"/>
          <w:szCs w:val="19"/>
        </w:rPr>
        <w:t>raffic and sales by delivering good food and great value. Leveraging our innovation capabilities, we launched over 500 new or upgraded products and expanded product categories, such as beef burgers and whole chicken, in 2021. We built on a well-established</w:t>
      </w:r>
      <w:r>
        <w:rPr>
          <w:rFonts w:eastAsia="Times New Roman"/>
          <w:sz w:val="19"/>
          <w:szCs w:val="19"/>
        </w:rPr>
        <w:t xml:space="preserve"> promotion mechanism to offer effective value promotions while minimizing margin impact.</w:t>
      </w:r>
    </w:p>
    <w:p w:rsidR="00CC2C66" w:rsidRDefault="00CC2C66">
      <w:pPr>
        <w:spacing w:line="257" w:lineRule="exact"/>
        <w:rPr>
          <w:rFonts w:eastAsia="Times New Roman"/>
          <w:color w:val="CF0A2C"/>
          <w:sz w:val="19"/>
          <w:szCs w:val="19"/>
        </w:rPr>
      </w:pPr>
    </w:p>
    <w:p w:rsidR="00CC2C66" w:rsidRDefault="00F80B74">
      <w:pPr>
        <w:numPr>
          <w:ilvl w:val="0"/>
          <w:numId w:val="55"/>
        </w:numPr>
        <w:tabs>
          <w:tab w:val="left" w:pos="640"/>
        </w:tabs>
        <w:spacing w:line="243" w:lineRule="auto"/>
        <w:ind w:left="640" w:right="20" w:hanging="178"/>
        <w:jc w:val="both"/>
        <w:rPr>
          <w:rFonts w:eastAsia="Times New Roman"/>
          <w:color w:val="CF0A2C"/>
          <w:sz w:val="19"/>
          <w:szCs w:val="19"/>
        </w:rPr>
      </w:pPr>
      <w:r>
        <w:rPr>
          <w:rFonts w:eastAsia="Times New Roman"/>
          <w:sz w:val="19"/>
          <w:szCs w:val="19"/>
        </w:rPr>
        <w:t>To capture the shift to off-premise demand, we quickly adjusted operations and marketing offers. We also increased store density to improve our coverage and better se</w:t>
      </w:r>
      <w:r>
        <w:rPr>
          <w:rFonts w:eastAsia="Times New Roman"/>
          <w:sz w:val="19"/>
          <w:szCs w:val="19"/>
        </w:rPr>
        <w:t>rve the customers. Delivery sales grew 60% in 2021 compared to 2019 and contributed to approximately 32% of Company sales for 2021. Combined with takeaway, off-premise services presented more than half of Company sales in 2021.</w:t>
      </w:r>
    </w:p>
    <w:p w:rsidR="00CC2C66" w:rsidRDefault="00CC2C66">
      <w:pPr>
        <w:spacing w:line="253" w:lineRule="exact"/>
        <w:rPr>
          <w:rFonts w:eastAsia="Times New Roman"/>
          <w:color w:val="CF0A2C"/>
          <w:sz w:val="19"/>
          <w:szCs w:val="19"/>
        </w:rPr>
      </w:pPr>
    </w:p>
    <w:p w:rsidR="00CC2C66" w:rsidRDefault="00F80B74">
      <w:pPr>
        <w:numPr>
          <w:ilvl w:val="0"/>
          <w:numId w:val="55"/>
        </w:numPr>
        <w:tabs>
          <w:tab w:val="left" w:pos="640"/>
        </w:tabs>
        <w:spacing w:line="241" w:lineRule="auto"/>
        <w:ind w:left="640" w:right="20" w:hanging="178"/>
        <w:jc w:val="both"/>
        <w:rPr>
          <w:rFonts w:eastAsia="Times New Roman"/>
          <w:color w:val="CF0A2C"/>
          <w:sz w:val="19"/>
          <w:szCs w:val="19"/>
        </w:rPr>
      </w:pPr>
      <w:r>
        <w:rPr>
          <w:rFonts w:eastAsia="Times New Roman"/>
          <w:sz w:val="19"/>
          <w:szCs w:val="19"/>
        </w:rPr>
        <w:t xml:space="preserve">Leveraging our vast member </w:t>
      </w:r>
      <w:r>
        <w:rPr>
          <w:rFonts w:eastAsia="Times New Roman"/>
          <w:sz w:val="19"/>
          <w:szCs w:val="19"/>
        </w:rPr>
        <w:t>platform, we engaged with members to drive repeat purchases. We continued to improve the digital experience for our customers, including refining our apps for more convenient ordering and allowing for more personalization, while broadening our member base.</w:t>
      </w:r>
      <w:r>
        <w:rPr>
          <w:rFonts w:eastAsia="Times New Roman"/>
          <w:sz w:val="19"/>
          <w:szCs w:val="19"/>
        </w:rPr>
        <w:t xml:space="preserve"> Our loyalty program grew 20% in the past year to over 360 million members at the end of 2021, with member sales accounting for approximately 60% of our system sales in 2021. In addition, digital sales exceeded $7 billion, or over 85% of Company sales, in </w:t>
      </w:r>
      <w:r>
        <w:rPr>
          <w:rFonts w:eastAsia="Times New Roman"/>
          <w:sz w:val="19"/>
          <w:szCs w:val="19"/>
        </w:rPr>
        <w:t>2021.</w:t>
      </w:r>
    </w:p>
    <w:p w:rsidR="00CC2C66" w:rsidRDefault="00CC2C66">
      <w:pPr>
        <w:spacing w:line="259" w:lineRule="exact"/>
        <w:rPr>
          <w:rFonts w:eastAsia="Times New Roman"/>
          <w:color w:val="CF0A2C"/>
          <w:sz w:val="19"/>
          <w:szCs w:val="19"/>
        </w:rPr>
      </w:pPr>
    </w:p>
    <w:p w:rsidR="00CC2C66" w:rsidRDefault="00F80B74">
      <w:pPr>
        <w:numPr>
          <w:ilvl w:val="0"/>
          <w:numId w:val="55"/>
        </w:numPr>
        <w:tabs>
          <w:tab w:val="left" w:pos="640"/>
        </w:tabs>
        <w:spacing w:line="243" w:lineRule="auto"/>
        <w:ind w:left="640" w:right="20" w:hanging="178"/>
        <w:jc w:val="both"/>
        <w:rPr>
          <w:rFonts w:eastAsia="Times New Roman"/>
          <w:color w:val="CF0A2C"/>
          <w:sz w:val="19"/>
          <w:szCs w:val="19"/>
        </w:rPr>
      </w:pPr>
      <w:r>
        <w:rPr>
          <w:rFonts w:eastAsia="Times New Roman"/>
          <w:sz w:val="19"/>
          <w:szCs w:val="19"/>
        </w:rPr>
        <w:t>We proactively managed costs to alleviate cost pressures and continued to improve labor productivity and operating efficiency using technology and automation. For example, we have adopted AI-enabled technology to analyze and forecast transaction vol</w:t>
      </w:r>
      <w:r>
        <w:rPr>
          <w:rFonts w:eastAsia="Times New Roman"/>
          <w:sz w:val="19"/>
          <w:szCs w:val="19"/>
        </w:rPr>
        <w:t>ume so that we can improve labor scheduling and inventory</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13184"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52" w:lineRule="auto"/>
        <w:ind w:left="200" w:right="20"/>
        <w:jc w:val="both"/>
        <w:rPr>
          <w:sz w:val="20"/>
          <w:szCs w:val="20"/>
        </w:rPr>
      </w:pPr>
      <w:r>
        <w:rPr>
          <w:rFonts w:eastAsia="Times New Roman"/>
          <w:sz w:val="19"/>
          <w:szCs w:val="19"/>
        </w:rPr>
        <w:t>management. We have also upgraded our rider management platform to help optimize delivery order queuing, trade zone and rider routing.</w:t>
      </w:r>
    </w:p>
    <w:p w:rsidR="00CC2C66" w:rsidRDefault="00CC2C66">
      <w:pPr>
        <w:spacing w:line="245" w:lineRule="exact"/>
        <w:rPr>
          <w:sz w:val="20"/>
          <w:szCs w:val="20"/>
        </w:rPr>
      </w:pPr>
    </w:p>
    <w:p w:rsidR="00CC2C66" w:rsidRDefault="00F80B74">
      <w:pPr>
        <w:numPr>
          <w:ilvl w:val="0"/>
          <w:numId w:val="56"/>
        </w:numPr>
        <w:tabs>
          <w:tab w:val="left" w:pos="240"/>
        </w:tabs>
        <w:spacing w:line="252" w:lineRule="auto"/>
        <w:ind w:left="240" w:right="20" w:hanging="181"/>
        <w:jc w:val="both"/>
        <w:rPr>
          <w:rFonts w:eastAsia="Times New Roman"/>
          <w:color w:val="CF0A2C"/>
          <w:sz w:val="19"/>
          <w:szCs w:val="19"/>
        </w:rPr>
      </w:pPr>
      <w:r>
        <w:rPr>
          <w:rFonts w:eastAsia="Times New Roman"/>
          <w:sz w:val="19"/>
          <w:szCs w:val="19"/>
        </w:rPr>
        <w:t xml:space="preserve">We strengthened our market </w:t>
      </w:r>
      <w:r>
        <w:rPr>
          <w:rFonts w:eastAsia="Times New Roman"/>
          <w:sz w:val="19"/>
          <w:szCs w:val="19"/>
        </w:rPr>
        <w:t>leadership with record openings of 1,806 gross new stores, or 1,282 net new stores during the year and remodeled 842 stores.</w:t>
      </w:r>
    </w:p>
    <w:p w:rsidR="00CC2C66" w:rsidRDefault="00CC2C66">
      <w:pPr>
        <w:spacing w:line="206" w:lineRule="exact"/>
        <w:rPr>
          <w:sz w:val="20"/>
          <w:szCs w:val="20"/>
        </w:rPr>
      </w:pPr>
    </w:p>
    <w:p w:rsidR="00CC2C66" w:rsidRDefault="00F80B74">
      <w:pPr>
        <w:spacing w:line="245" w:lineRule="auto"/>
        <w:jc w:val="both"/>
        <w:rPr>
          <w:sz w:val="20"/>
          <w:szCs w:val="20"/>
        </w:rPr>
      </w:pPr>
      <w:r>
        <w:rPr>
          <w:rFonts w:eastAsia="Times New Roman"/>
          <w:sz w:val="19"/>
          <w:szCs w:val="19"/>
        </w:rPr>
        <w:t>With the tremendous effort from all of the employees led by the management team and despite the continued negative impact on our b</w:t>
      </w:r>
      <w:r>
        <w:rPr>
          <w:rFonts w:eastAsia="Times New Roman"/>
          <w:sz w:val="19"/>
          <w:szCs w:val="19"/>
        </w:rPr>
        <w:t>usiness as a result of the COVID-19 pandemic, the Company delivered substantial profits in 2021. Our 2021 performance highlights include the following:</w:t>
      </w:r>
    </w:p>
    <w:p w:rsidR="00CC2C66" w:rsidRDefault="00CC2C66">
      <w:pPr>
        <w:spacing w:line="252" w:lineRule="exact"/>
        <w:rPr>
          <w:sz w:val="20"/>
          <w:szCs w:val="20"/>
        </w:rPr>
      </w:pPr>
    </w:p>
    <w:p w:rsidR="00CC2C66" w:rsidRDefault="00F80B74">
      <w:pPr>
        <w:numPr>
          <w:ilvl w:val="0"/>
          <w:numId w:val="57"/>
        </w:numPr>
        <w:tabs>
          <w:tab w:val="left" w:pos="240"/>
        </w:tabs>
        <w:spacing w:line="252" w:lineRule="auto"/>
        <w:ind w:left="240" w:right="20" w:hanging="181"/>
        <w:jc w:val="both"/>
        <w:rPr>
          <w:rFonts w:eastAsia="Times New Roman"/>
          <w:color w:val="CF0A2C"/>
          <w:sz w:val="19"/>
          <w:szCs w:val="19"/>
        </w:rPr>
      </w:pPr>
      <w:r>
        <w:rPr>
          <w:rFonts w:eastAsia="Times New Roman"/>
          <w:sz w:val="19"/>
          <w:szCs w:val="19"/>
        </w:rPr>
        <w:t>Total revenues increased 19% year-over-year to $9.85 billion from $8.26 billion (a 12% increase excludi</w:t>
      </w:r>
      <w:r>
        <w:rPr>
          <w:rFonts w:eastAsia="Times New Roman"/>
          <w:sz w:val="19"/>
          <w:szCs w:val="19"/>
        </w:rPr>
        <w:t>ng foreign currency translation (“</w:t>
      </w:r>
      <w:r>
        <w:rPr>
          <w:rFonts w:eastAsia="Times New Roman"/>
          <w:b/>
          <w:bCs/>
          <w:i/>
          <w:iCs/>
          <w:sz w:val="19"/>
          <w:szCs w:val="19"/>
        </w:rPr>
        <w:t>F/X</w:t>
      </w:r>
      <w:r>
        <w:rPr>
          <w:rFonts w:eastAsia="Times New Roman"/>
          <w:sz w:val="19"/>
          <w:szCs w:val="19"/>
        </w:rPr>
        <w:t>”)).</w:t>
      </w:r>
    </w:p>
    <w:p w:rsidR="00CC2C66" w:rsidRDefault="00CC2C66">
      <w:pPr>
        <w:spacing w:line="244" w:lineRule="exact"/>
        <w:rPr>
          <w:rFonts w:eastAsia="Times New Roman"/>
          <w:color w:val="CF0A2C"/>
          <w:sz w:val="19"/>
          <w:szCs w:val="19"/>
        </w:rPr>
      </w:pPr>
    </w:p>
    <w:p w:rsidR="00CC2C66" w:rsidRDefault="00F80B74">
      <w:pPr>
        <w:numPr>
          <w:ilvl w:val="0"/>
          <w:numId w:val="57"/>
        </w:numPr>
        <w:tabs>
          <w:tab w:val="left" w:pos="240"/>
        </w:tabs>
        <w:ind w:left="240" w:hanging="181"/>
        <w:rPr>
          <w:rFonts w:eastAsia="Times New Roman"/>
          <w:color w:val="CF0A2C"/>
          <w:sz w:val="18"/>
          <w:szCs w:val="18"/>
        </w:rPr>
      </w:pPr>
      <w:r>
        <w:rPr>
          <w:rFonts w:eastAsia="Times New Roman"/>
          <w:sz w:val="18"/>
          <w:szCs w:val="18"/>
        </w:rPr>
        <w:t>Total system sales increased 10% year-over-year, excluding F/X.</w:t>
      </w:r>
    </w:p>
    <w:p w:rsidR="00CC2C66" w:rsidRDefault="00CC2C66">
      <w:pPr>
        <w:spacing w:line="291" w:lineRule="exact"/>
        <w:rPr>
          <w:rFonts w:eastAsia="Times New Roman"/>
          <w:color w:val="CF0A2C"/>
          <w:sz w:val="18"/>
          <w:szCs w:val="18"/>
        </w:rPr>
      </w:pPr>
    </w:p>
    <w:p w:rsidR="00CC2C66" w:rsidRDefault="00F80B74">
      <w:pPr>
        <w:numPr>
          <w:ilvl w:val="0"/>
          <w:numId w:val="57"/>
        </w:numPr>
        <w:tabs>
          <w:tab w:val="left" w:pos="240"/>
        </w:tabs>
        <w:spacing w:line="243" w:lineRule="auto"/>
        <w:ind w:left="240" w:right="20" w:hanging="181"/>
        <w:jc w:val="both"/>
        <w:rPr>
          <w:rFonts w:eastAsia="Times New Roman"/>
          <w:color w:val="CF0A2C"/>
          <w:sz w:val="19"/>
          <w:szCs w:val="19"/>
        </w:rPr>
      </w:pPr>
      <w:r>
        <w:rPr>
          <w:rFonts w:eastAsia="Times New Roman"/>
          <w:sz w:val="19"/>
          <w:szCs w:val="19"/>
        </w:rPr>
        <w:t xml:space="preserve">Operating Profit increased 44% to $1.39 billion from $961 million, with the year-over-year increase primarily due to the re-measurement gain of the </w:t>
      </w:r>
      <w:r>
        <w:rPr>
          <w:rFonts w:eastAsia="Times New Roman"/>
          <w:sz w:val="19"/>
          <w:szCs w:val="19"/>
        </w:rPr>
        <w:t>Hangzhou KFC joint venture acquisition and a year-over-year increase of 5% in Adjusted Operating Profit from $732 million to $766 million, despite that we received approximately $90 million less in one-time relief from the government and landlords comparin</w:t>
      </w:r>
      <w:r>
        <w:rPr>
          <w:rFonts w:eastAsia="Times New Roman"/>
          <w:sz w:val="19"/>
          <w:szCs w:val="19"/>
        </w:rPr>
        <w:t>g to 2020.</w:t>
      </w:r>
    </w:p>
    <w:p w:rsidR="00CC2C66" w:rsidRDefault="00CC2C66">
      <w:pPr>
        <w:spacing w:line="253" w:lineRule="exact"/>
        <w:rPr>
          <w:rFonts w:eastAsia="Times New Roman"/>
          <w:color w:val="CF0A2C"/>
          <w:sz w:val="19"/>
          <w:szCs w:val="19"/>
        </w:rPr>
      </w:pPr>
    </w:p>
    <w:p w:rsidR="00CC2C66" w:rsidRDefault="00F80B74">
      <w:pPr>
        <w:numPr>
          <w:ilvl w:val="0"/>
          <w:numId w:val="57"/>
        </w:numPr>
        <w:tabs>
          <w:tab w:val="left" w:pos="240"/>
        </w:tabs>
        <w:spacing w:line="243" w:lineRule="auto"/>
        <w:ind w:left="240" w:right="20" w:hanging="181"/>
        <w:jc w:val="both"/>
        <w:rPr>
          <w:rFonts w:eastAsia="Times New Roman"/>
          <w:color w:val="CF0A2C"/>
          <w:sz w:val="19"/>
          <w:szCs w:val="19"/>
        </w:rPr>
      </w:pPr>
      <w:r>
        <w:rPr>
          <w:rFonts w:eastAsia="Times New Roman"/>
          <w:sz w:val="19"/>
          <w:szCs w:val="19"/>
        </w:rPr>
        <w:t>Net Income increased 26% to $990 million from $784 million in the prior year, primarily due to the increase in Operating Profit. Adjusted Net Income declined 15% to $525 million from $615 million in the prior year (a 7% increase excluding the n</w:t>
      </w:r>
      <w:r>
        <w:rPr>
          <w:rFonts w:eastAsia="Times New Roman"/>
          <w:sz w:val="19"/>
          <w:szCs w:val="19"/>
        </w:rPr>
        <w:t>et loss of $52 million in 2021 and the $75 million net gain in 2020 from mark-to-market investments).</w:t>
      </w:r>
    </w:p>
    <w:p w:rsidR="00CC2C66" w:rsidRDefault="00CC2C66">
      <w:pPr>
        <w:spacing w:line="257" w:lineRule="exact"/>
        <w:rPr>
          <w:rFonts w:eastAsia="Times New Roman"/>
          <w:color w:val="CF0A2C"/>
          <w:sz w:val="19"/>
          <w:szCs w:val="19"/>
        </w:rPr>
      </w:pPr>
    </w:p>
    <w:p w:rsidR="00CC2C66" w:rsidRDefault="00F80B74">
      <w:pPr>
        <w:numPr>
          <w:ilvl w:val="0"/>
          <w:numId w:val="57"/>
        </w:numPr>
        <w:tabs>
          <w:tab w:val="left" w:pos="240"/>
        </w:tabs>
        <w:spacing w:line="243" w:lineRule="auto"/>
        <w:ind w:left="240" w:right="20" w:hanging="181"/>
        <w:jc w:val="both"/>
        <w:rPr>
          <w:rFonts w:eastAsia="Times New Roman"/>
          <w:color w:val="CF0A2C"/>
          <w:sz w:val="19"/>
          <w:szCs w:val="19"/>
        </w:rPr>
      </w:pPr>
      <w:r>
        <w:rPr>
          <w:rFonts w:eastAsia="Times New Roman"/>
          <w:sz w:val="19"/>
          <w:szCs w:val="19"/>
        </w:rPr>
        <w:t>Diluted Earnings Per Common Share increased 17% to $2.28 from $1.95 in the prior year, and Adjusted Diluted Earnings Per Common Share decreased 21% to $1</w:t>
      </w:r>
      <w:r>
        <w:rPr>
          <w:rFonts w:eastAsia="Times New Roman"/>
          <w:sz w:val="19"/>
          <w:szCs w:val="19"/>
        </w:rPr>
        <w:t>.21 from $1.53 in the prior year (a 1% decrease excluding the net loss in 2021 and the net gain in 2020, respectively, from mark-to-market investments). Approximately 41.9 million shares of common stock were issued as a result of the secondary listing in</w:t>
      </w:r>
    </w:p>
    <w:p w:rsidR="00CC2C66" w:rsidRDefault="00CC2C66">
      <w:pPr>
        <w:spacing w:line="264"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29</w:t>
      </w:r>
    </w:p>
    <w:p w:rsidR="00CC2C66" w:rsidRDefault="00F80B74">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2989580</wp:posOffset>
            </wp:positionH>
            <wp:positionV relativeFrom="paragraph">
              <wp:posOffset>-95885</wp:posOffset>
            </wp:positionV>
            <wp:extent cx="8255" cy="9715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36" w:name="page36"/>
      <w:bookmarkEnd w:id="36"/>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16256"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52" w:lineRule="auto"/>
        <w:ind w:left="600" w:right="20"/>
        <w:jc w:val="both"/>
        <w:rPr>
          <w:sz w:val="20"/>
          <w:szCs w:val="20"/>
        </w:rPr>
      </w:pPr>
      <w:r>
        <w:rPr>
          <w:rFonts w:eastAsia="Times New Roman"/>
          <w:sz w:val="19"/>
          <w:szCs w:val="19"/>
        </w:rPr>
        <w:t>Hong Kong in September 2020. On a year-over-year basis, the dilution impact from the weighted average share count was 7% in 2021.</w:t>
      </w:r>
    </w:p>
    <w:p w:rsidR="00CC2C66" w:rsidRDefault="00CC2C66">
      <w:pPr>
        <w:spacing w:line="206" w:lineRule="exact"/>
        <w:rPr>
          <w:sz w:val="20"/>
          <w:szCs w:val="20"/>
        </w:rPr>
      </w:pPr>
    </w:p>
    <w:p w:rsidR="00CC2C66" w:rsidRDefault="00F80B74">
      <w:pPr>
        <w:spacing w:line="247" w:lineRule="auto"/>
        <w:ind w:left="420"/>
        <w:jc w:val="both"/>
        <w:rPr>
          <w:sz w:val="20"/>
          <w:szCs w:val="20"/>
        </w:rPr>
      </w:pPr>
      <w:r>
        <w:rPr>
          <w:rFonts w:eastAsia="Times New Roman"/>
          <w:sz w:val="19"/>
          <w:szCs w:val="19"/>
        </w:rPr>
        <w:t xml:space="preserve">See the Company’s </w:t>
      </w:r>
      <w:r>
        <w:rPr>
          <w:rFonts w:eastAsia="Times New Roman"/>
          <w:sz w:val="19"/>
          <w:szCs w:val="19"/>
        </w:rPr>
        <w:t>Annual Report on Form 10-K for the year ended December 31, 2021 for a reconciliation of the most directly comparable GAAP financial measures to the non-GAAP adjusted financial measures.</w:t>
      </w:r>
    </w:p>
    <w:p w:rsidR="00CC2C66" w:rsidRDefault="00CC2C66">
      <w:pPr>
        <w:spacing w:line="206" w:lineRule="exact"/>
        <w:rPr>
          <w:sz w:val="20"/>
          <w:szCs w:val="20"/>
        </w:rPr>
      </w:pPr>
    </w:p>
    <w:p w:rsidR="00CC2C66" w:rsidRDefault="00F80B74">
      <w:pPr>
        <w:ind w:left="420"/>
        <w:rPr>
          <w:sz w:val="20"/>
          <w:szCs w:val="20"/>
        </w:rPr>
      </w:pPr>
      <w:r>
        <w:rPr>
          <w:rFonts w:eastAsia="Times New Roman"/>
          <w:b/>
          <w:bCs/>
          <w:i/>
          <w:iCs/>
          <w:color w:val="CF0A2C"/>
          <w:sz w:val="19"/>
          <w:szCs w:val="19"/>
        </w:rPr>
        <w:t>Company Total Shareholder Return Performance</w:t>
      </w:r>
    </w:p>
    <w:p w:rsidR="00CC2C66" w:rsidRDefault="00CC2C66">
      <w:pPr>
        <w:spacing w:line="235" w:lineRule="exact"/>
        <w:rPr>
          <w:sz w:val="20"/>
          <w:szCs w:val="20"/>
        </w:rPr>
      </w:pPr>
    </w:p>
    <w:p w:rsidR="00CC2C66" w:rsidRDefault="00F80B74">
      <w:pPr>
        <w:spacing w:line="265" w:lineRule="auto"/>
        <w:ind w:left="420" w:right="20"/>
        <w:jc w:val="both"/>
        <w:rPr>
          <w:sz w:val="20"/>
          <w:szCs w:val="20"/>
        </w:rPr>
      </w:pPr>
      <w:r>
        <w:rPr>
          <w:rFonts w:eastAsia="Times New Roman"/>
          <w:sz w:val="19"/>
          <w:szCs w:val="19"/>
        </w:rPr>
        <w:t>The Board and the Compe</w:t>
      </w:r>
      <w:r>
        <w:rPr>
          <w:rFonts w:eastAsia="Times New Roman"/>
          <w:sz w:val="19"/>
          <w:szCs w:val="19"/>
        </w:rPr>
        <w:t>nsation Committee believe that the leadership provided by the Company’s management</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96" w:lineRule="exact"/>
        <w:rPr>
          <w:sz w:val="20"/>
          <w:szCs w:val="20"/>
        </w:rPr>
      </w:pPr>
    </w:p>
    <w:p w:rsidR="00CC2C66" w:rsidRDefault="00F80B74">
      <w:pPr>
        <w:ind w:left="420"/>
        <w:rPr>
          <w:sz w:val="20"/>
          <w:szCs w:val="20"/>
        </w:rPr>
      </w:pPr>
      <w:r>
        <w:rPr>
          <w:rFonts w:eastAsia="Times New Roman"/>
          <w:b/>
          <w:bCs/>
          <w:i/>
          <w:iCs/>
          <w:color w:val="CF0A2C"/>
          <w:sz w:val="19"/>
          <w:szCs w:val="19"/>
        </w:rPr>
        <w:t>Recent Compensation Highlights</w:t>
      </w:r>
    </w:p>
    <w:p w:rsidR="00CC2C66" w:rsidRDefault="00CC2C66">
      <w:pPr>
        <w:spacing w:line="337" w:lineRule="exact"/>
        <w:rPr>
          <w:sz w:val="20"/>
          <w:szCs w:val="20"/>
        </w:rPr>
      </w:pPr>
    </w:p>
    <w:p w:rsidR="00CC2C66" w:rsidRDefault="00F80B74">
      <w:pPr>
        <w:spacing w:line="241" w:lineRule="auto"/>
        <w:ind w:left="420"/>
        <w:jc w:val="both"/>
        <w:rPr>
          <w:sz w:val="20"/>
          <w:szCs w:val="20"/>
        </w:rPr>
      </w:pPr>
      <w:r>
        <w:rPr>
          <w:rFonts w:eastAsia="Times New Roman"/>
          <w:sz w:val="19"/>
          <w:szCs w:val="19"/>
        </w:rPr>
        <w:t xml:space="preserve">Although the key features of our executive compensation program are substantially unchanged, the Compensation Committee </w:t>
      </w:r>
      <w:r>
        <w:rPr>
          <w:rFonts w:eastAsia="Times New Roman"/>
          <w:sz w:val="19"/>
          <w:szCs w:val="19"/>
        </w:rPr>
        <w:t xml:space="preserve">implemented several enhancements and changes to our executive compensation program, as set forth below. In approving these changes, the Compensation Committee considered our strategic priorities, stockholder feedback, market practices in both the U.S. and </w:t>
      </w:r>
      <w:r>
        <w:rPr>
          <w:rFonts w:eastAsia="Times New Roman"/>
          <w:sz w:val="19"/>
          <w:szCs w:val="19"/>
        </w:rPr>
        <w:t>China, input from the Compensation Committee’s compensation consultant, and the operating environment in China, as described further above.</w:t>
      </w:r>
    </w:p>
    <w:p w:rsidR="00CC2C66" w:rsidRDefault="00CC2C66">
      <w:pPr>
        <w:spacing w:line="255" w:lineRule="exact"/>
        <w:rPr>
          <w:sz w:val="20"/>
          <w:szCs w:val="20"/>
        </w:rPr>
      </w:pPr>
    </w:p>
    <w:p w:rsidR="00CC2C66" w:rsidRDefault="00F80B74">
      <w:pPr>
        <w:numPr>
          <w:ilvl w:val="0"/>
          <w:numId w:val="58"/>
        </w:numPr>
        <w:tabs>
          <w:tab w:val="left" w:pos="640"/>
        </w:tabs>
        <w:spacing w:line="244" w:lineRule="auto"/>
        <w:ind w:left="640" w:right="20" w:hanging="178"/>
        <w:jc w:val="both"/>
        <w:rPr>
          <w:rFonts w:eastAsia="Times New Roman"/>
          <w:color w:val="CF0A2C"/>
          <w:sz w:val="19"/>
          <w:szCs w:val="19"/>
        </w:rPr>
      </w:pPr>
      <w:r>
        <w:rPr>
          <w:rFonts w:eastAsia="Times New Roman"/>
          <w:b/>
          <w:bCs/>
          <w:i/>
          <w:iCs/>
          <w:sz w:val="19"/>
          <w:szCs w:val="19"/>
        </w:rPr>
        <w:t>LTI (Annual PSU) Grants</w:t>
      </w:r>
      <w:r>
        <w:rPr>
          <w:rFonts w:eastAsia="Times New Roman"/>
          <w:sz w:val="19"/>
          <w:szCs w:val="19"/>
        </w:rPr>
        <w:t>—In early 2021, in response to the</w:t>
      </w:r>
      <w:r>
        <w:rPr>
          <w:rFonts w:eastAsia="Times New Roman"/>
          <w:b/>
          <w:bCs/>
          <w:i/>
          <w:iCs/>
          <w:sz w:val="19"/>
          <w:szCs w:val="19"/>
        </w:rPr>
        <w:t xml:space="preserve"> </w:t>
      </w:r>
      <w:r>
        <w:rPr>
          <w:rFonts w:eastAsia="Times New Roman"/>
          <w:sz w:val="19"/>
          <w:szCs w:val="19"/>
        </w:rPr>
        <w:t>uncertainty and challenges presented by the COVID-19 pand</w:t>
      </w:r>
      <w:r>
        <w:rPr>
          <w:rFonts w:eastAsia="Times New Roman"/>
          <w:sz w:val="19"/>
          <w:szCs w:val="19"/>
        </w:rPr>
        <w:t>emic with respect to setting targets for the annual PSU grants (the “</w:t>
      </w:r>
      <w:r>
        <w:rPr>
          <w:rFonts w:eastAsia="Times New Roman"/>
          <w:b/>
          <w:bCs/>
          <w:i/>
          <w:iCs/>
          <w:sz w:val="19"/>
          <w:szCs w:val="19"/>
        </w:rPr>
        <w:t>Annual PSU Awards</w:t>
      </w:r>
      <w:r>
        <w:rPr>
          <w:rFonts w:eastAsia="Times New Roman"/>
          <w:sz w:val="19"/>
          <w:szCs w:val="19"/>
        </w:rPr>
        <w:t>”), the Compensation Committee determined to grant the Annual PSU Awards in two equally weighted grants, with the first grant occurring in February 2021 and</w:t>
      </w:r>
    </w:p>
    <w:p w:rsidR="00CC2C66" w:rsidRDefault="00CC2C66">
      <w:pPr>
        <w:spacing w:line="253" w:lineRule="exact"/>
        <w:rPr>
          <w:sz w:val="20"/>
          <w:szCs w:val="20"/>
        </w:rPr>
      </w:pPr>
    </w:p>
    <w:p w:rsidR="00CC2C66" w:rsidRDefault="00F80B74">
      <w:pPr>
        <w:numPr>
          <w:ilvl w:val="0"/>
          <w:numId w:val="59"/>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w:t>
      </w:r>
      <w:r>
        <w:rPr>
          <w:rFonts w:ascii="Arial" w:eastAsia="Arial" w:hAnsi="Arial" w:cs="Arial"/>
          <w:i/>
          <w:iCs/>
          <w:color w:val="4C4C4C"/>
          <w:sz w:val="14"/>
          <w:szCs w:val="14"/>
        </w:rPr>
        <w:t>Proxy Statement</w:t>
      </w:r>
    </w:p>
    <w:p w:rsidR="00CC2C66" w:rsidRDefault="00F80B74">
      <w:pPr>
        <w:spacing w:line="20" w:lineRule="exact"/>
        <w:rPr>
          <w:sz w:val="20"/>
          <w:szCs w:val="20"/>
        </w:rPr>
      </w:pPr>
      <w:r>
        <w:rPr>
          <w:noProof/>
          <w:sz w:val="20"/>
          <w:szCs w:val="20"/>
        </w:rPr>
        <w:drawing>
          <wp:anchor distT="0" distB="0" distL="114300" distR="114300" simplePos="0" relativeHeight="251617280"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41" w:lineRule="auto"/>
        <w:jc w:val="both"/>
        <w:rPr>
          <w:sz w:val="20"/>
          <w:szCs w:val="20"/>
        </w:rPr>
      </w:pPr>
      <w:r>
        <w:rPr>
          <w:rFonts w:eastAsia="Times New Roman"/>
          <w:sz w:val="19"/>
          <w:szCs w:val="19"/>
        </w:rPr>
        <w:t>team was key to the Company’s strong performance in delivering multi-year shareholder returns. The graph below shows our TSR as the cumulative return to stockholders over the past five years. As illustrated, a $100 investment in our</w:t>
      </w:r>
      <w:r>
        <w:rPr>
          <w:rFonts w:eastAsia="Times New Roman"/>
          <w:sz w:val="19"/>
          <w:szCs w:val="19"/>
        </w:rPr>
        <w:t xml:space="preserve"> common stock on December 31, 2016 would have grown to $198 on December 31, 2021, with dividends reinvested. The Company’s shareholder return significantly outperformed that of the China market as measured by the MSCI China Index, which covers approximatel</w:t>
      </w:r>
      <w:r>
        <w:rPr>
          <w:rFonts w:eastAsia="Times New Roman"/>
          <w:sz w:val="19"/>
          <w:szCs w:val="19"/>
        </w:rPr>
        <w:t>y 85% of the China equity market, and approximately 28% of its constituent companies are in the China Consumer Discretionary sector.</w:t>
      </w:r>
    </w:p>
    <w:p w:rsidR="00CC2C66" w:rsidRDefault="00F80B74">
      <w:pPr>
        <w:spacing w:line="20" w:lineRule="exact"/>
        <w:rPr>
          <w:sz w:val="20"/>
          <w:szCs w:val="20"/>
        </w:rPr>
      </w:pPr>
      <w:r>
        <w:rPr>
          <w:noProof/>
          <w:sz w:val="20"/>
          <w:szCs w:val="20"/>
        </w:rPr>
        <w:drawing>
          <wp:anchor distT="0" distB="0" distL="114300" distR="114300" simplePos="0" relativeHeight="251618304" behindDoc="1" locked="0" layoutInCell="0" allowOverlap="1">
            <wp:simplePos x="0" y="0"/>
            <wp:positionH relativeFrom="column">
              <wp:posOffset>-3642995</wp:posOffset>
            </wp:positionH>
            <wp:positionV relativeFrom="paragraph">
              <wp:posOffset>-2206625</wp:posOffset>
            </wp:positionV>
            <wp:extent cx="7181215" cy="3683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19328" behindDoc="1" locked="0" layoutInCell="0" allowOverlap="1">
            <wp:simplePos x="0" y="0"/>
            <wp:positionH relativeFrom="column">
              <wp:posOffset>-1918335</wp:posOffset>
            </wp:positionH>
            <wp:positionV relativeFrom="paragraph">
              <wp:posOffset>721360</wp:posOffset>
            </wp:positionV>
            <wp:extent cx="3724275" cy="176847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6">
                      <a:extLst/>
                    </a:blip>
                    <a:srcRect/>
                    <a:stretch>
                      <a:fillRect/>
                    </a:stretch>
                  </pic:blipFill>
                  <pic:spPr bwMode="auto">
                    <a:xfrm>
                      <a:off x="0" y="0"/>
                      <a:ext cx="3724275" cy="176847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73" w:lineRule="exact"/>
        <w:rPr>
          <w:sz w:val="20"/>
          <w:szCs w:val="20"/>
        </w:rPr>
      </w:pPr>
    </w:p>
    <w:p w:rsidR="00CC2C66" w:rsidRDefault="00F80B74">
      <w:pPr>
        <w:spacing w:line="254" w:lineRule="auto"/>
        <w:ind w:left="200" w:right="20"/>
        <w:jc w:val="both"/>
        <w:rPr>
          <w:sz w:val="20"/>
          <w:szCs w:val="20"/>
        </w:rPr>
      </w:pPr>
      <w:r>
        <w:rPr>
          <w:rFonts w:eastAsia="Times New Roman"/>
          <w:sz w:val="18"/>
          <w:szCs w:val="18"/>
        </w:rPr>
        <w:t xml:space="preserve">vesting based on the Company’s achievement of performance goals relating to relative total </w:t>
      </w:r>
      <w:r>
        <w:rPr>
          <w:rFonts w:eastAsia="Times New Roman"/>
          <w:sz w:val="18"/>
          <w:szCs w:val="18"/>
        </w:rPr>
        <w:t>shareholder return (“</w:t>
      </w:r>
      <w:r>
        <w:rPr>
          <w:rFonts w:eastAsia="Times New Roman"/>
          <w:b/>
          <w:bCs/>
          <w:i/>
          <w:iCs/>
          <w:sz w:val="18"/>
          <w:szCs w:val="18"/>
        </w:rPr>
        <w:t>rTSR</w:t>
      </w:r>
      <w:r>
        <w:rPr>
          <w:rFonts w:eastAsia="Times New Roman"/>
          <w:sz w:val="18"/>
          <w:szCs w:val="18"/>
        </w:rPr>
        <w:t>”) and the second grant occurring in May 2021 and vesting based on the Company’s achievement of performance goals relating to growth in adjusted total revenue (“</w:t>
      </w:r>
      <w:r>
        <w:rPr>
          <w:rFonts w:eastAsia="Times New Roman"/>
          <w:b/>
          <w:bCs/>
          <w:i/>
          <w:iCs/>
          <w:sz w:val="18"/>
          <w:szCs w:val="18"/>
        </w:rPr>
        <w:t>Adjusted Total Revenue Growth</w:t>
      </w:r>
      <w:r>
        <w:rPr>
          <w:rFonts w:eastAsia="Times New Roman"/>
          <w:sz w:val="18"/>
          <w:szCs w:val="18"/>
        </w:rPr>
        <w:t>”) and growth in adjusted diluted earning</w:t>
      </w:r>
      <w:r>
        <w:rPr>
          <w:rFonts w:eastAsia="Times New Roman"/>
          <w:sz w:val="18"/>
          <w:szCs w:val="18"/>
        </w:rPr>
        <w:t>s per common share (“Adjusted Diluted Earnings Per Common Share Growth”). In particular, the Compensation Committee elected to include rTSR as an absolute goal, weighted 50% of the Annual PSU Awards, as compared to its prior practice of including rTSR as a</w:t>
      </w:r>
      <w:r>
        <w:rPr>
          <w:rFonts w:eastAsia="Times New Roman"/>
          <w:sz w:val="18"/>
          <w:szCs w:val="18"/>
        </w:rPr>
        <w:t xml:space="preserve"> payout modifier in recognition of the difficult and volatile operating environment due to the continuing COVID-19 pandemic. Given the uncertainty presented by the continuing COVID-19 pandemic, the Compensation Committee considered a number of options to d</w:t>
      </w:r>
      <w:r>
        <w:rPr>
          <w:rFonts w:eastAsia="Times New Roman"/>
          <w:sz w:val="18"/>
          <w:szCs w:val="18"/>
        </w:rPr>
        <w:t>esign the Annual PSU Awards in a manner that served as an appropriate</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37" w:name="page37"/>
      <w:bookmarkEnd w:id="37"/>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ind w:left="600"/>
        <w:jc w:val="both"/>
        <w:rPr>
          <w:sz w:val="20"/>
          <w:szCs w:val="20"/>
        </w:rPr>
      </w:pPr>
      <w:r>
        <w:rPr>
          <w:rFonts w:eastAsia="Times New Roman"/>
          <w:sz w:val="19"/>
          <w:szCs w:val="19"/>
        </w:rPr>
        <w:t xml:space="preserve">incentive vehicle while also aligning the long-term interests of recipients with our stockholders, including the possibility of setting </w:t>
      </w:r>
      <w:r>
        <w:rPr>
          <w:rFonts w:eastAsia="Times New Roman"/>
          <w:sz w:val="19"/>
          <w:szCs w:val="19"/>
        </w:rPr>
        <w:t>annual performance goals for each year in the three-year performance period with respect to the Adjusted Total Revenue Growth and Adjusted Diluted Earnings Per Common Share Growth performance goals. In order to align the Annual PSU Awards with the long-ter</w:t>
      </w:r>
      <w:r>
        <w:rPr>
          <w:rFonts w:eastAsia="Times New Roman"/>
          <w:sz w:val="19"/>
          <w:szCs w:val="19"/>
        </w:rPr>
        <w:t xml:space="preserve">m interest of the stockholders, the Compensation Committee ultimately decided to approve a three-year performance period, as compared to three annual performance periods. To obtain greater clarity on the operating environment and assess the rigor of these </w:t>
      </w:r>
      <w:r>
        <w:rPr>
          <w:rFonts w:eastAsia="Times New Roman"/>
          <w:sz w:val="19"/>
          <w:szCs w:val="19"/>
        </w:rPr>
        <w:t>three-year performance goals, the Compensation Committee delayed the grant date by three months until May 2021 for the Annual PSU Awards with vesting tied to these two performance goals. Consistent with the Company’s usual practice of granting annual LTI a</w:t>
      </w:r>
      <w:r>
        <w:rPr>
          <w:rFonts w:eastAsia="Times New Roman"/>
          <w:sz w:val="19"/>
          <w:szCs w:val="19"/>
        </w:rPr>
        <w:t>wards in February, the number of shares subject to the May 2021 portion of the PSU grant was determined based on the February 2021 stock price rather than the stock price on the grant date in May 2021.</w:t>
      </w:r>
    </w:p>
    <w:p w:rsidR="00CC2C66" w:rsidRDefault="00CC2C66">
      <w:pPr>
        <w:spacing w:line="251" w:lineRule="exact"/>
        <w:rPr>
          <w:sz w:val="20"/>
          <w:szCs w:val="20"/>
        </w:rPr>
      </w:pPr>
    </w:p>
    <w:p w:rsidR="00CC2C66" w:rsidRDefault="00F80B74">
      <w:pPr>
        <w:numPr>
          <w:ilvl w:val="0"/>
          <w:numId w:val="60"/>
        </w:numPr>
        <w:tabs>
          <w:tab w:val="left" w:pos="640"/>
        </w:tabs>
        <w:ind w:left="640" w:hanging="178"/>
        <w:jc w:val="both"/>
        <w:rPr>
          <w:rFonts w:eastAsia="Times New Roman"/>
          <w:color w:val="CF0A2C"/>
          <w:sz w:val="19"/>
          <w:szCs w:val="19"/>
        </w:rPr>
      </w:pPr>
      <w:r>
        <w:rPr>
          <w:rFonts w:eastAsia="Times New Roman"/>
          <w:b/>
          <w:bCs/>
          <w:i/>
          <w:iCs/>
          <w:sz w:val="19"/>
          <w:szCs w:val="19"/>
        </w:rPr>
        <w:t>Annual Incentive Program Metrics</w:t>
      </w:r>
      <w:r>
        <w:rPr>
          <w:rFonts w:eastAsia="Times New Roman"/>
          <w:sz w:val="19"/>
          <w:szCs w:val="19"/>
        </w:rPr>
        <w:t>—To support key</w:t>
      </w:r>
      <w:r>
        <w:rPr>
          <w:rFonts w:eastAsia="Times New Roman"/>
          <w:b/>
          <w:bCs/>
          <w:i/>
          <w:iCs/>
          <w:sz w:val="19"/>
          <w:szCs w:val="19"/>
        </w:rPr>
        <w:t xml:space="preserve"> </w:t>
      </w:r>
      <w:r>
        <w:rPr>
          <w:rFonts w:eastAsia="Times New Roman"/>
          <w:sz w:val="19"/>
          <w:szCs w:val="19"/>
        </w:rPr>
        <w:t>objec</w:t>
      </w:r>
      <w:r>
        <w:rPr>
          <w:rFonts w:eastAsia="Times New Roman"/>
          <w:sz w:val="19"/>
          <w:szCs w:val="19"/>
        </w:rPr>
        <w:t xml:space="preserve">tives linked to the Company’s long-term strategy, the Compensation Committee added delivery sales growth and member sales as performance goals to be used to determine payouts under the 2021 annual incentive program. To incentivize the achievement of these </w:t>
      </w:r>
      <w:r>
        <w:rPr>
          <w:rFonts w:eastAsia="Times New Roman"/>
          <w:sz w:val="19"/>
          <w:szCs w:val="19"/>
        </w:rPr>
        <w:t>goals relating to the Company’s long-term strategy, the Compensation Committee reduced its historical weightings assigned to the adjusted operating profit growth and same store sales growth goals and eliminated the customer satisfaction goal. As a result o</w:t>
      </w:r>
      <w:r>
        <w:rPr>
          <w:rFonts w:eastAsia="Times New Roman"/>
          <w:sz w:val="19"/>
          <w:szCs w:val="19"/>
        </w:rPr>
        <w:t>f this change, for 2021, annual incentive program payouts were determined based on adjusted operating profit growth, same store sales growth, delivery sales growth, system gross new builds, and member sales. These goals were designed to measure our success</w:t>
      </w:r>
      <w:r>
        <w:rPr>
          <w:rFonts w:eastAsia="Times New Roman"/>
          <w:sz w:val="19"/>
          <w:szCs w:val="19"/>
        </w:rPr>
        <w:t xml:space="preserve"> in the execution of both our annual and long-term operating plan.</w:t>
      </w:r>
    </w:p>
    <w:p w:rsidR="00CC2C66" w:rsidRDefault="00CC2C66">
      <w:pPr>
        <w:spacing w:line="260" w:lineRule="exact"/>
        <w:rPr>
          <w:rFonts w:eastAsia="Times New Roman"/>
          <w:color w:val="CF0A2C"/>
          <w:sz w:val="19"/>
          <w:szCs w:val="19"/>
        </w:rPr>
      </w:pPr>
    </w:p>
    <w:p w:rsidR="00CC2C66" w:rsidRDefault="00F80B74">
      <w:pPr>
        <w:numPr>
          <w:ilvl w:val="0"/>
          <w:numId w:val="60"/>
        </w:numPr>
        <w:tabs>
          <w:tab w:val="left" w:pos="640"/>
        </w:tabs>
        <w:spacing w:line="245" w:lineRule="auto"/>
        <w:ind w:left="640" w:hanging="178"/>
        <w:jc w:val="both"/>
        <w:rPr>
          <w:rFonts w:eastAsia="Times New Roman"/>
          <w:color w:val="CF0A2C"/>
          <w:sz w:val="19"/>
          <w:szCs w:val="19"/>
        </w:rPr>
      </w:pPr>
      <w:r>
        <w:rPr>
          <w:rFonts w:eastAsia="Times New Roman"/>
          <w:b/>
          <w:bCs/>
          <w:i/>
          <w:iCs/>
          <w:sz w:val="19"/>
          <w:szCs w:val="19"/>
        </w:rPr>
        <w:t>Annual Incentive Program Adjustments</w:t>
      </w:r>
      <w:r>
        <w:rPr>
          <w:rFonts w:eastAsia="Times New Roman"/>
          <w:sz w:val="19"/>
          <w:szCs w:val="19"/>
        </w:rPr>
        <w:t>—The team factor</w:t>
      </w:r>
      <w:r>
        <w:rPr>
          <w:rFonts w:eastAsia="Times New Roman"/>
          <w:b/>
          <w:bCs/>
          <w:i/>
          <w:iCs/>
          <w:sz w:val="19"/>
          <w:szCs w:val="19"/>
        </w:rPr>
        <w:t xml:space="preserve"> </w:t>
      </w:r>
      <w:r>
        <w:rPr>
          <w:rFonts w:eastAsia="Times New Roman"/>
          <w:sz w:val="19"/>
          <w:szCs w:val="19"/>
        </w:rPr>
        <w:t>targets were set at the beginning of 2021 when the COVID-19 situation was relatively stable. However, multiple waves of Delta-variant o</w:t>
      </w:r>
      <w:r>
        <w:rPr>
          <w:rFonts w:eastAsia="Times New Roman"/>
          <w:sz w:val="19"/>
          <w:szCs w:val="19"/>
        </w:rPr>
        <w:t>utbreaks persisted throughout the second half of 2021. In September 2021, in light of the changes in operating environment</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741"/>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20352" behindDoc="1" locked="0" layoutInCell="0" allowOverlap="1">
            <wp:simplePos x="0" y="0"/>
            <wp:positionH relativeFrom="column">
              <wp:posOffset>-3680460</wp:posOffset>
            </wp:positionH>
            <wp:positionV relativeFrom="paragraph">
              <wp:posOffset>-659765</wp:posOffset>
            </wp:positionV>
            <wp:extent cx="7181215" cy="3683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21376" behindDoc="1" locked="0" layoutInCell="0" allowOverlap="1">
            <wp:simplePos x="0" y="0"/>
            <wp:positionH relativeFrom="column">
              <wp:posOffset>1597025</wp:posOffset>
            </wp:positionH>
            <wp:positionV relativeFrom="paragraph">
              <wp:posOffset>-148590</wp:posOffset>
            </wp:positionV>
            <wp:extent cx="1614805" cy="19494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53" w:lineRule="auto"/>
        <w:ind w:left="141"/>
        <w:jc w:val="both"/>
        <w:rPr>
          <w:sz w:val="20"/>
          <w:szCs w:val="20"/>
        </w:rPr>
      </w:pPr>
      <w:r>
        <w:rPr>
          <w:rFonts w:eastAsia="Times New Roman"/>
          <w:sz w:val="18"/>
          <w:szCs w:val="18"/>
        </w:rPr>
        <w:t xml:space="preserve">and the significant impact of the Delta-variant outbreaks on the Company’s operating and financial </w:t>
      </w:r>
      <w:r>
        <w:rPr>
          <w:rFonts w:eastAsia="Times New Roman"/>
          <w:sz w:val="18"/>
          <w:szCs w:val="18"/>
        </w:rPr>
        <w:t>performance since July 2021, the Compensation Committee adjusted the performance periods for measuring performance with respect to the Adjusted Operating Profit Growth and Same Store Sales Growth over one performance period covering the entire fiscal year,</w:t>
      </w:r>
      <w:r>
        <w:rPr>
          <w:rFonts w:eastAsia="Times New Roman"/>
          <w:sz w:val="18"/>
          <w:szCs w:val="18"/>
        </w:rPr>
        <w:t xml:space="preserve"> it would instead measure performance with respect to these team performance measures over three separate performance periods: the first half of 2021 (weighted 50%); the third quarter of 2021 (weighted 25%); and the fourth quarter of 2021 (weighted 25%). T</w:t>
      </w:r>
      <w:r>
        <w:rPr>
          <w:rFonts w:eastAsia="Times New Roman"/>
          <w:sz w:val="18"/>
          <w:szCs w:val="18"/>
        </w:rPr>
        <w:t>he performance targets for each of these three distinct performance periods were derived from the performance goals established in early 2021, with the only difference being the segregation of performance into the three distinct performance periods. This c</w:t>
      </w:r>
      <w:r>
        <w:rPr>
          <w:rFonts w:eastAsia="Times New Roman"/>
          <w:sz w:val="18"/>
          <w:szCs w:val="18"/>
        </w:rPr>
        <w:t>hange retained the same performance targets and performance-based program design, but helped to achieve executive motivation, retention and drive business focus. For details, see “Executive Summary—Context for Determining Executive Compensation Decisions—A</w:t>
      </w:r>
      <w:r>
        <w:rPr>
          <w:rFonts w:eastAsia="Times New Roman"/>
          <w:sz w:val="18"/>
          <w:szCs w:val="18"/>
        </w:rPr>
        <w:t>nnual Incentive Program Adjustments” and “Elements of the Executive Compensation Program—Annual Performance-Based Cash Bonuses—Team Performance Factors.” When approving the final team factor for Company performance, the Compensation Committee applied discr</w:t>
      </w:r>
      <w:r>
        <w:rPr>
          <w:rFonts w:eastAsia="Times New Roman"/>
          <w:sz w:val="18"/>
          <w:szCs w:val="18"/>
        </w:rPr>
        <w:t>etion to reduce the result from 112% to 105%.</w:t>
      </w:r>
    </w:p>
    <w:p w:rsidR="00CC2C66" w:rsidRDefault="00CC2C66">
      <w:pPr>
        <w:spacing w:line="251" w:lineRule="exact"/>
        <w:rPr>
          <w:sz w:val="20"/>
          <w:szCs w:val="20"/>
        </w:rPr>
      </w:pPr>
    </w:p>
    <w:p w:rsidR="00CC2C66" w:rsidRDefault="00F80B74">
      <w:pPr>
        <w:numPr>
          <w:ilvl w:val="0"/>
          <w:numId w:val="61"/>
        </w:numPr>
        <w:tabs>
          <w:tab w:val="left" w:pos="181"/>
        </w:tabs>
        <w:ind w:left="181" w:hanging="181"/>
        <w:jc w:val="both"/>
        <w:rPr>
          <w:rFonts w:eastAsia="Times New Roman"/>
          <w:color w:val="CF0A2C"/>
          <w:sz w:val="19"/>
          <w:szCs w:val="19"/>
        </w:rPr>
      </w:pPr>
      <w:r>
        <w:rPr>
          <w:rFonts w:eastAsia="Times New Roman"/>
          <w:b/>
          <w:bCs/>
          <w:i/>
          <w:iCs/>
          <w:sz w:val="19"/>
          <w:szCs w:val="19"/>
        </w:rPr>
        <w:t>2021 Chairman Grants</w:t>
      </w:r>
      <w:r>
        <w:rPr>
          <w:rFonts w:eastAsia="Times New Roman"/>
          <w:sz w:val="19"/>
          <w:szCs w:val="19"/>
        </w:rPr>
        <w:t>—As disclosed in last year’s CD&amp;A, in</w:t>
      </w:r>
      <w:r>
        <w:rPr>
          <w:rFonts w:eastAsia="Times New Roman"/>
          <w:b/>
          <w:bCs/>
          <w:i/>
          <w:iCs/>
          <w:sz w:val="19"/>
          <w:szCs w:val="19"/>
        </w:rPr>
        <w:t xml:space="preserve"> </w:t>
      </w:r>
      <w:r>
        <w:rPr>
          <w:rFonts w:eastAsia="Times New Roman"/>
          <w:sz w:val="19"/>
          <w:szCs w:val="19"/>
        </w:rPr>
        <w:t>February 2021, the Compensation Committee awarded three-year cliff-vesting RSU awards to select Company executive officers and employees (the “</w:t>
      </w:r>
      <w:r>
        <w:rPr>
          <w:rFonts w:eastAsia="Times New Roman"/>
          <w:b/>
          <w:bCs/>
          <w:i/>
          <w:iCs/>
          <w:sz w:val="19"/>
          <w:szCs w:val="19"/>
        </w:rPr>
        <w:t>2021 Cha</w:t>
      </w:r>
      <w:r>
        <w:rPr>
          <w:rFonts w:eastAsia="Times New Roman"/>
          <w:b/>
          <w:bCs/>
          <w:i/>
          <w:iCs/>
          <w:sz w:val="19"/>
          <w:szCs w:val="19"/>
        </w:rPr>
        <w:t>irman Grants</w:t>
      </w:r>
      <w:r>
        <w:rPr>
          <w:rFonts w:eastAsia="Times New Roman"/>
          <w:sz w:val="19"/>
          <w:szCs w:val="19"/>
        </w:rPr>
        <w:t>”). These awards are intended to provide recognition for exemplary individual leadership demonstrated by select executives and employees during 2020, in particular in resolving many novel and complex regulatory issues to execute the Company’s s</w:t>
      </w:r>
      <w:r>
        <w:rPr>
          <w:rFonts w:eastAsia="Times New Roman"/>
          <w:sz w:val="19"/>
          <w:szCs w:val="19"/>
        </w:rPr>
        <w:t xml:space="preserve">econdary listing on the Hong Kong Stock Exchange, which was viewed as a transformative step for the Company, and navigating the Company through the COVID-19 crisis. While in the midst of the constraints of a global pandemic, we completed the listing on an </w:t>
      </w:r>
      <w:r>
        <w:rPr>
          <w:rFonts w:eastAsia="Times New Roman"/>
          <w:sz w:val="19"/>
          <w:szCs w:val="19"/>
        </w:rPr>
        <w:t>accelerated timeframe, resulting in the Company being the first Delaware and non-TMT company to qualify as an innovative company and successfully list on the Hong Kong Stock Exchange. The secondary listing on</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76" w:lineRule="exact"/>
        <w:rPr>
          <w:sz w:val="20"/>
          <w:szCs w:val="20"/>
        </w:rPr>
      </w:pPr>
    </w:p>
    <w:p w:rsidR="00CC2C66" w:rsidRDefault="00F80B74">
      <w:pPr>
        <w:tabs>
          <w:tab w:val="left" w:pos="4800"/>
        </w:tabs>
        <w:ind w:left="2641"/>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31</w:t>
      </w:r>
    </w:p>
    <w:p w:rsidR="00CC2C66" w:rsidRDefault="00F80B74">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2952115</wp:posOffset>
            </wp:positionH>
            <wp:positionV relativeFrom="paragraph">
              <wp:posOffset>-95250</wp:posOffset>
            </wp:positionV>
            <wp:extent cx="8255" cy="9715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59" w:bottom="1440" w:left="320" w:header="0" w:footer="0" w:gutter="0"/>
          <w:cols w:num="2" w:space="720" w:equalWidth="0">
            <w:col w:w="5400" w:space="379"/>
            <w:col w:w="5041"/>
          </w:cols>
        </w:sectPr>
      </w:pPr>
    </w:p>
    <w:p w:rsidR="00CC2C66" w:rsidRDefault="00F80B74">
      <w:pPr>
        <w:rPr>
          <w:sz w:val="20"/>
          <w:szCs w:val="20"/>
        </w:rPr>
      </w:pPr>
      <w:bookmarkStart w:id="38" w:name="page38"/>
      <w:bookmarkEnd w:id="38"/>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23424"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53" w:lineRule="auto"/>
        <w:ind w:left="600"/>
        <w:jc w:val="both"/>
        <w:rPr>
          <w:sz w:val="20"/>
          <w:szCs w:val="20"/>
        </w:rPr>
      </w:pPr>
      <w:r>
        <w:rPr>
          <w:rFonts w:eastAsia="Times New Roman"/>
          <w:sz w:val="18"/>
          <w:szCs w:val="18"/>
        </w:rPr>
        <w:t xml:space="preserve">the Hong Kong Stock Exchange raised net proceeds of $2.2 billion and expanded the Company’s stockholder base in China and Asia. Among the NEOs, our CEO, CFO and Chief Legal Officer </w:t>
      </w:r>
      <w:r>
        <w:rPr>
          <w:rFonts w:eastAsia="Times New Roman"/>
          <w:sz w:val="18"/>
          <w:szCs w:val="18"/>
        </w:rPr>
        <w:t xml:space="preserve">were selected as recipients of the Chairman long-term equity grant. While these awards were granted in recognition of the significant individual achievements and leadership displayed by recipients during 2020, the Compensation Committee elected to deliver </w:t>
      </w:r>
      <w:r>
        <w:rPr>
          <w:rFonts w:eastAsia="Times New Roman"/>
          <w:sz w:val="18"/>
          <w:szCs w:val="18"/>
        </w:rPr>
        <w:t>the 2021 Chairman Grants as stock-settled RSUs that cliff-vest on the third anniversary of the grant date to align their long-term interests with those of stockholders. While these awards are not a component of the Company’s annual executive compensation p</w:t>
      </w:r>
      <w:r>
        <w:rPr>
          <w:rFonts w:eastAsia="Times New Roman"/>
          <w:sz w:val="18"/>
          <w:szCs w:val="18"/>
        </w:rPr>
        <w:t>rogram, the Compensation Committee determined that the 2021 Chairman Grants were appropriate to recognize the listing on the Hong Kong Stock Exchange and to incentivize similar actions that required significant efforts and innovativeness by select executiv</w:t>
      </w:r>
      <w:r>
        <w:rPr>
          <w:rFonts w:eastAsia="Times New Roman"/>
          <w:sz w:val="18"/>
          <w:szCs w:val="18"/>
        </w:rPr>
        <w:t>es. The Compensation Committee believes that an equitable administration of the Company’s compensation programs entails the periodic use of grants similar to the 2021 Chairman Grants, when warranted by facts and circumstances, so as to accomplish the Compa</w:t>
      </w:r>
      <w:r>
        <w:rPr>
          <w:rFonts w:eastAsia="Times New Roman"/>
          <w:sz w:val="18"/>
          <w:szCs w:val="18"/>
        </w:rPr>
        <w:t>ny’s compensation objectives and support the execution of key business initiatives.</w:t>
      </w:r>
    </w:p>
    <w:p w:rsidR="00CC2C66" w:rsidRDefault="00CC2C66">
      <w:pPr>
        <w:spacing w:line="200" w:lineRule="exact"/>
        <w:rPr>
          <w:sz w:val="20"/>
          <w:szCs w:val="20"/>
        </w:rPr>
      </w:pPr>
    </w:p>
    <w:p w:rsidR="00CC2C66" w:rsidRDefault="00CC2C66">
      <w:pPr>
        <w:spacing w:line="271" w:lineRule="exact"/>
        <w:rPr>
          <w:sz w:val="20"/>
          <w:szCs w:val="20"/>
        </w:rPr>
      </w:pPr>
    </w:p>
    <w:p w:rsidR="00CC2C66" w:rsidRDefault="00F80B74">
      <w:pPr>
        <w:numPr>
          <w:ilvl w:val="0"/>
          <w:numId w:val="62"/>
        </w:numPr>
        <w:tabs>
          <w:tab w:val="left" w:pos="640"/>
        </w:tabs>
        <w:ind w:left="640" w:hanging="178"/>
        <w:jc w:val="both"/>
        <w:rPr>
          <w:rFonts w:eastAsia="Times New Roman"/>
          <w:color w:val="CF0A2C"/>
          <w:sz w:val="19"/>
          <w:szCs w:val="19"/>
        </w:rPr>
      </w:pPr>
      <w:r>
        <w:rPr>
          <w:rFonts w:eastAsia="Times New Roman"/>
          <w:b/>
          <w:bCs/>
          <w:i/>
          <w:iCs/>
          <w:sz w:val="19"/>
          <w:szCs w:val="19"/>
        </w:rPr>
        <w:t>Incorporated ESG Metrics into 2021 Annual Incentive Program</w:t>
      </w:r>
      <w:r>
        <w:rPr>
          <w:rFonts w:eastAsia="Times New Roman"/>
          <w:sz w:val="19"/>
          <w:szCs w:val="19"/>
        </w:rPr>
        <w:t>—Management and the Board have engaged in</w:t>
      </w:r>
      <w:r>
        <w:rPr>
          <w:rFonts w:eastAsia="Times New Roman"/>
          <w:b/>
          <w:bCs/>
          <w:i/>
          <w:iCs/>
          <w:sz w:val="19"/>
          <w:szCs w:val="19"/>
        </w:rPr>
        <w:t xml:space="preserve"> </w:t>
      </w:r>
      <w:r>
        <w:rPr>
          <w:rFonts w:eastAsia="Times New Roman"/>
          <w:sz w:val="19"/>
          <w:szCs w:val="19"/>
        </w:rPr>
        <w:t>extensive discussions regarding how to further incentivize and assess</w:t>
      </w:r>
      <w:r>
        <w:rPr>
          <w:rFonts w:eastAsia="Times New Roman"/>
          <w:sz w:val="19"/>
          <w:szCs w:val="19"/>
        </w:rPr>
        <w:t xml:space="preserve"> performance with respect to specific ESG, Sustainability and Human Capital Management initiatives. Beginning with the 2021 annual incentive program, ESG measures have been incorporated into the key performance indicators that are used to determine the ind</w:t>
      </w:r>
      <w:r>
        <w:rPr>
          <w:rFonts w:eastAsia="Times New Roman"/>
          <w:sz w:val="19"/>
          <w:szCs w:val="19"/>
        </w:rPr>
        <w:t>ividual performance factor for each leadership team member. ESG performance goals are tailored for each member of the leadership team based on their roles and responsibilities and the Compensation Committee will assess their performance in these areas. ESG</w:t>
      </w:r>
      <w:r>
        <w:rPr>
          <w:rFonts w:eastAsia="Times New Roman"/>
          <w:sz w:val="19"/>
          <w:szCs w:val="19"/>
        </w:rPr>
        <w:t>, Sustainability and Human Capital Management goals included goals relating to the publication of the Company’s sustainability report, goals relating to climate, the Company’s supply chain and environmental impact, initiatives relating to customer awarenes</w:t>
      </w:r>
      <w:r>
        <w:rPr>
          <w:rFonts w:eastAsia="Times New Roman"/>
          <w:sz w:val="19"/>
          <w:szCs w:val="19"/>
        </w:rPr>
        <w:t>s of environmental goals, plastic reduction initiatives, goals relating to the KFC Food Banks, employee satisfaction and</w:t>
      </w:r>
    </w:p>
    <w:p w:rsidR="00CC2C66" w:rsidRDefault="00CC2C66">
      <w:pPr>
        <w:spacing w:line="327" w:lineRule="exact"/>
        <w:rPr>
          <w:sz w:val="20"/>
          <w:szCs w:val="20"/>
        </w:rPr>
      </w:pPr>
    </w:p>
    <w:p w:rsidR="00CC2C66" w:rsidRDefault="00F80B74">
      <w:pPr>
        <w:numPr>
          <w:ilvl w:val="0"/>
          <w:numId w:val="63"/>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2444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52" w:lineRule="auto"/>
        <w:ind w:left="141" w:right="20"/>
        <w:jc w:val="both"/>
        <w:rPr>
          <w:sz w:val="20"/>
          <w:szCs w:val="20"/>
        </w:rPr>
      </w:pPr>
      <w:r>
        <w:rPr>
          <w:rFonts w:eastAsia="Times New Roman"/>
          <w:sz w:val="19"/>
          <w:szCs w:val="19"/>
        </w:rPr>
        <w:t xml:space="preserve">gender equality. As such, the NEOs’ performance on ESG-related areas could significantly impact </w:t>
      </w:r>
      <w:r>
        <w:rPr>
          <w:rFonts w:eastAsia="Times New Roman"/>
          <w:sz w:val="19"/>
          <w:szCs w:val="19"/>
        </w:rPr>
        <w:t>payouts under the Company’s 2021 annual incentive program.</w:t>
      </w:r>
    </w:p>
    <w:p w:rsidR="00CC2C66" w:rsidRDefault="00F80B74">
      <w:pPr>
        <w:spacing w:line="20" w:lineRule="exact"/>
        <w:rPr>
          <w:sz w:val="20"/>
          <w:szCs w:val="20"/>
        </w:rPr>
      </w:pPr>
      <w:r>
        <w:rPr>
          <w:noProof/>
          <w:sz w:val="20"/>
          <w:szCs w:val="20"/>
        </w:rPr>
        <w:drawing>
          <wp:anchor distT="0" distB="0" distL="114300" distR="114300" simplePos="0" relativeHeight="251625472" behindDoc="1" locked="0" layoutInCell="0" allowOverlap="1">
            <wp:simplePos x="0" y="0"/>
            <wp:positionH relativeFrom="column">
              <wp:posOffset>-3680460</wp:posOffset>
            </wp:positionH>
            <wp:positionV relativeFrom="paragraph">
              <wp:posOffset>-1250950</wp:posOffset>
            </wp:positionV>
            <wp:extent cx="7181215" cy="3683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19" w:lineRule="exact"/>
        <w:rPr>
          <w:sz w:val="20"/>
          <w:szCs w:val="20"/>
        </w:rPr>
      </w:pPr>
    </w:p>
    <w:p w:rsidR="00CC2C66" w:rsidRDefault="00F80B74">
      <w:pPr>
        <w:numPr>
          <w:ilvl w:val="0"/>
          <w:numId w:val="64"/>
        </w:numPr>
        <w:tabs>
          <w:tab w:val="left" w:pos="181"/>
        </w:tabs>
        <w:spacing w:line="243" w:lineRule="auto"/>
        <w:ind w:left="181" w:right="20" w:hanging="181"/>
        <w:jc w:val="both"/>
        <w:rPr>
          <w:rFonts w:eastAsia="Times New Roman"/>
          <w:color w:val="CF0A2C"/>
          <w:sz w:val="19"/>
          <w:szCs w:val="19"/>
        </w:rPr>
      </w:pPr>
      <w:r>
        <w:rPr>
          <w:rFonts w:eastAsia="Times New Roman"/>
          <w:b/>
          <w:bCs/>
          <w:i/>
          <w:iCs/>
          <w:sz w:val="19"/>
          <w:szCs w:val="19"/>
        </w:rPr>
        <w:t>Adopted Severance Plan for Termination without Cause</w:t>
      </w:r>
      <w:r>
        <w:rPr>
          <w:rFonts w:eastAsia="Times New Roman"/>
          <w:sz w:val="19"/>
          <w:szCs w:val="19"/>
        </w:rPr>
        <w:t>—In</w:t>
      </w:r>
      <w:r>
        <w:rPr>
          <w:rFonts w:eastAsia="Times New Roman"/>
          <w:b/>
          <w:bCs/>
          <w:i/>
          <w:iCs/>
          <w:sz w:val="19"/>
          <w:szCs w:val="19"/>
        </w:rPr>
        <w:t xml:space="preserve"> </w:t>
      </w:r>
      <w:r>
        <w:rPr>
          <w:rFonts w:eastAsia="Times New Roman"/>
          <w:sz w:val="19"/>
          <w:szCs w:val="19"/>
        </w:rPr>
        <w:t>September 2021, the Compensation Committee adopted a severance plan (“</w:t>
      </w:r>
      <w:r>
        <w:rPr>
          <w:rFonts w:eastAsia="Times New Roman"/>
          <w:b/>
          <w:bCs/>
          <w:i/>
          <w:iCs/>
          <w:sz w:val="19"/>
          <w:szCs w:val="19"/>
        </w:rPr>
        <w:t>Executive Severance Plan”</w:t>
      </w:r>
      <w:r>
        <w:rPr>
          <w:rFonts w:eastAsia="Times New Roman"/>
          <w:sz w:val="19"/>
          <w:szCs w:val="19"/>
        </w:rPr>
        <w:t xml:space="preserve">) to provide severance benefits to certain </w:t>
      </w:r>
      <w:r>
        <w:rPr>
          <w:rFonts w:eastAsia="Times New Roman"/>
          <w:sz w:val="19"/>
          <w:szCs w:val="19"/>
        </w:rPr>
        <w:t>key management employees, including each of the NEOs, upon an involuntary termination by the Company without cause or, for participants subject to the PRC law, termination for statutory reasons and subject to severance pay under PRC law, absent a change in</w:t>
      </w:r>
      <w:r>
        <w:rPr>
          <w:rFonts w:eastAsia="Times New Roman"/>
          <w:sz w:val="19"/>
          <w:szCs w:val="19"/>
        </w:rPr>
        <w:t xml:space="preserve"> control.</w:t>
      </w:r>
    </w:p>
    <w:p w:rsidR="00CC2C66" w:rsidRDefault="00CC2C66">
      <w:pPr>
        <w:spacing w:line="178" w:lineRule="exact"/>
        <w:rPr>
          <w:sz w:val="20"/>
          <w:szCs w:val="20"/>
        </w:rPr>
      </w:pPr>
    </w:p>
    <w:p w:rsidR="00CC2C66" w:rsidRDefault="00F80B74">
      <w:pPr>
        <w:ind w:left="101"/>
        <w:jc w:val="both"/>
        <w:rPr>
          <w:sz w:val="20"/>
          <w:szCs w:val="20"/>
        </w:rPr>
      </w:pPr>
      <w:r>
        <w:rPr>
          <w:rFonts w:eastAsia="Times New Roman"/>
          <w:sz w:val="19"/>
          <w:szCs w:val="19"/>
        </w:rPr>
        <w:t>The Executive Severance Plan aids in recruitment and retention and promotes smooth succession planning, while providing transitional pay for a limited period of time to executives whose employment is involuntarily terminated. Payments are condit</w:t>
      </w:r>
      <w:r>
        <w:rPr>
          <w:rFonts w:eastAsia="Times New Roman"/>
          <w:sz w:val="19"/>
          <w:szCs w:val="19"/>
        </w:rPr>
        <w:t>ioned upon the executive’s execution of a release of claims in favor of the Company and compliance with restrictive covenants. Severance benefits payable under the Executive Severance Plan are equal to two times the sum of annual base salary plus annual ta</w:t>
      </w:r>
      <w:r>
        <w:rPr>
          <w:rFonts w:eastAsia="Times New Roman"/>
          <w:sz w:val="19"/>
          <w:szCs w:val="19"/>
        </w:rPr>
        <w:t>rget bonus for the CEO and one time the sum of annual base salary plus target annual bonus for the other NEOs, will be in lieu of any cash severance benefits under any other arrangement with the participant and are subject to recoupment in the event the ex</w:t>
      </w:r>
      <w:r>
        <w:rPr>
          <w:rFonts w:eastAsia="Times New Roman"/>
          <w:sz w:val="19"/>
          <w:szCs w:val="19"/>
        </w:rPr>
        <w:t>ecutive violates his or her restrictive covenants with the Company.</w:t>
      </w:r>
    </w:p>
    <w:p w:rsidR="00CC2C66" w:rsidRDefault="00CC2C66">
      <w:pPr>
        <w:spacing w:line="257" w:lineRule="exact"/>
        <w:rPr>
          <w:sz w:val="20"/>
          <w:szCs w:val="20"/>
        </w:rPr>
      </w:pPr>
    </w:p>
    <w:p w:rsidR="00CC2C66" w:rsidRDefault="00F80B74">
      <w:pPr>
        <w:numPr>
          <w:ilvl w:val="0"/>
          <w:numId w:val="65"/>
        </w:numPr>
        <w:tabs>
          <w:tab w:val="left" w:pos="181"/>
        </w:tabs>
        <w:spacing w:line="255" w:lineRule="auto"/>
        <w:ind w:left="181" w:right="20" w:hanging="181"/>
        <w:jc w:val="both"/>
        <w:rPr>
          <w:rFonts w:eastAsia="Times New Roman"/>
          <w:color w:val="CF0A2C"/>
          <w:sz w:val="18"/>
          <w:szCs w:val="18"/>
        </w:rPr>
      </w:pPr>
      <w:r>
        <w:rPr>
          <w:rFonts w:eastAsia="Times New Roman"/>
          <w:b/>
          <w:bCs/>
          <w:i/>
          <w:iCs/>
          <w:sz w:val="18"/>
          <w:szCs w:val="18"/>
        </w:rPr>
        <w:t>2022 Lavazza ESOP Grants</w:t>
      </w:r>
      <w:r>
        <w:rPr>
          <w:rFonts w:eastAsia="Times New Roman"/>
          <w:sz w:val="18"/>
          <w:szCs w:val="18"/>
        </w:rPr>
        <w:t>—As previously disclosed, the</w:t>
      </w:r>
      <w:r>
        <w:rPr>
          <w:rFonts w:eastAsia="Times New Roman"/>
          <w:b/>
          <w:bCs/>
          <w:i/>
          <w:iCs/>
          <w:sz w:val="18"/>
          <w:szCs w:val="18"/>
        </w:rPr>
        <w:t xml:space="preserve"> </w:t>
      </w:r>
      <w:r>
        <w:rPr>
          <w:rFonts w:eastAsia="Times New Roman"/>
          <w:sz w:val="18"/>
          <w:szCs w:val="18"/>
        </w:rPr>
        <w:t>Company and Lavazza Group established the Lavazza Joint Venture to explore and develop the Lavazza coffee shop concept in China. In o</w:t>
      </w:r>
      <w:r>
        <w:rPr>
          <w:rFonts w:eastAsia="Times New Roman"/>
          <w:sz w:val="18"/>
          <w:szCs w:val="18"/>
        </w:rPr>
        <w:t>rder to support a founder’s mentality and to incentivize the efforts of employees of the Company, Lavazza Group and the Lavazza Joint Venture to execute on the Lavazza Joint Venture’s business plan, including the target to open 1,000 Lavazza stores in Chin</w:t>
      </w:r>
      <w:r>
        <w:rPr>
          <w:rFonts w:eastAsia="Times New Roman"/>
          <w:sz w:val="18"/>
          <w:szCs w:val="18"/>
        </w:rPr>
        <w:t>a by 2025, the Lavazza Joint Venture established equity plans (the “</w:t>
      </w:r>
      <w:r>
        <w:rPr>
          <w:rFonts w:eastAsia="Times New Roman"/>
          <w:b/>
          <w:bCs/>
          <w:i/>
          <w:iCs/>
          <w:sz w:val="18"/>
          <w:szCs w:val="18"/>
        </w:rPr>
        <w:t>JV Equity Plans</w:t>
      </w:r>
      <w:r>
        <w:rPr>
          <w:rFonts w:eastAsia="Times New Roman"/>
          <w:sz w:val="18"/>
          <w:szCs w:val="18"/>
        </w:rPr>
        <w:t>”) allowing for the grant of equity awards with respect to the Lavazza Joint Venture to key employees of the Lavazza Joint Venture, Lavazza Group and the Company. In Februar</w:t>
      </w:r>
      <w:r>
        <w:rPr>
          <w:rFonts w:eastAsia="Times New Roman"/>
          <w:sz w:val="18"/>
          <w:szCs w:val="18"/>
        </w:rPr>
        <w:t>y 2022, the Lavazza Joint Venture and the Compensation Committee approved equity awards under the applicable JV Equity Plan to certain</w:t>
      </w:r>
    </w:p>
    <w:p w:rsidR="00CC2C66" w:rsidRDefault="00CC2C66">
      <w:pPr>
        <w:sectPr w:rsidR="00CC2C66">
          <w:pgSz w:w="11900" w:h="16838"/>
          <w:pgMar w:top="439" w:right="739" w:bottom="1440" w:left="320" w:header="0" w:footer="0" w:gutter="0"/>
          <w:cols w:num="2" w:space="720" w:equalWidth="0">
            <w:col w:w="5400" w:space="379"/>
            <w:col w:w="5061"/>
          </w:cols>
        </w:sectPr>
      </w:pPr>
    </w:p>
    <w:p w:rsidR="00CC2C66" w:rsidRDefault="00F80B74">
      <w:pPr>
        <w:rPr>
          <w:sz w:val="20"/>
          <w:szCs w:val="20"/>
        </w:rPr>
      </w:pPr>
      <w:bookmarkStart w:id="39" w:name="page39"/>
      <w:bookmarkEnd w:id="39"/>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39" w:lineRule="auto"/>
        <w:ind w:left="600" w:right="20"/>
        <w:jc w:val="both"/>
        <w:rPr>
          <w:sz w:val="20"/>
          <w:szCs w:val="20"/>
        </w:rPr>
      </w:pPr>
      <w:r>
        <w:rPr>
          <w:rFonts w:eastAsia="Times New Roman"/>
          <w:sz w:val="19"/>
          <w:szCs w:val="19"/>
        </w:rPr>
        <w:t xml:space="preserve">employees of the Company, including the continuing NEOs, in the form of </w:t>
      </w:r>
      <w:r>
        <w:rPr>
          <w:rFonts w:eastAsia="Times New Roman"/>
          <w:sz w:val="19"/>
          <w:szCs w:val="19"/>
        </w:rPr>
        <w:t>performance stock units. Under the JV Equity Plans, up to 15% of the equity in the Lavazza Joint Venture may be granted as equity awards under the JV Equity Plans, with employees and other eligible participants of the Lavazza Joint Venture eligible to rece</w:t>
      </w:r>
      <w:r>
        <w:rPr>
          <w:rFonts w:eastAsia="Times New Roman"/>
          <w:sz w:val="19"/>
          <w:szCs w:val="19"/>
        </w:rPr>
        <w:t>ive up to 80% of the JV Equity Plan shares, or 12% of the equity in the Lavazza Joint Venture. The remaining JV Equity Plan shares will be allocated to the employees of the Company and Lavazza Group in accordance with their respective equity interest in th</w:t>
      </w:r>
      <w:r>
        <w:rPr>
          <w:rFonts w:eastAsia="Times New Roman"/>
          <w:sz w:val="19"/>
          <w:szCs w:val="19"/>
        </w:rPr>
        <w:t>e Lavazza Joint Venture, or up to 2% and 1%, respectively, of the equity in the Lavazza Joint Venture. The performance stock unit awards granted to the continuing NEOs are subject to both performance-based vesting conditions and the occurrence of a liquidi</w:t>
      </w:r>
      <w:r>
        <w:rPr>
          <w:rFonts w:eastAsia="Times New Roman"/>
          <w:sz w:val="19"/>
          <w:szCs w:val="19"/>
        </w:rPr>
        <w:t>ty event, including an initial public offering of the Lavazza Joint Venture which must occur within seven years of the grant date. As discussed above, the JV Equity Plans and related grants to key contributors were adopted in order to help execute the Comp</w:t>
      </w:r>
      <w:r>
        <w:rPr>
          <w:rFonts w:eastAsia="Times New Roman"/>
          <w:sz w:val="19"/>
          <w:szCs w:val="19"/>
        </w:rPr>
        <w:t>any’s strategy for the Lavazza Joint Venture by aligning their interests to the success of the Lavazza Joint Venture.</w:t>
      </w:r>
    </w:p>
    <w:p w:rsidR="00CC2C66" w:rsidRDefault="00CC2C66">
      <w:pPr>
        <w:spacing w:line="268" w:lineRule="exact"/>
        <w:rPr>
          <w:sz w:val="20"/>
          <w:szCs w:val="20"/>
        </w:rPr>
      </w:pPr>
    </w:p>
    <w:p w:rsidR="00CC2C66" w:rsidRDefault="00F80B74">
      <w:pPr>
        <w:numPr>
          <w:ilvl w:val="0"/>
          <w:numId w:val="66"/>
        </w:numPr>
        <w:tabs>
          <w:tab w:val="left" w:pos="640"/>
        </w:tabs>
        <w:spacing w:line="244" w:lineRule="auto"/>
        <w:ind w:left="640" w:right="20" w:hanging="178"/>
        <w:jc w:val="both"/>
        <w:rPr>
          <w:rFonts w:eastAsia="Times New Roman"/>
          <w:color w:val="CF0A2C"/>
          <w:sz w:val="19"/>
          <w:szCs w:val="19"/>
        </w:rPr>
      </w:pPr>
      <w:r>
        <w:rPr>
          <w:rFonts w:eastAsia="Times New Roman"/>
          <w:b/>
          <w:bCs/>
          <w:i/>
          <w:iCs/>
          <w:sz w:val="19"/>
          <w:szCs w:val="19"/>
        </w:rPr>
        <w:t xml:space="preserve">Stock Ownership Guidelines and Retention Policy. </w:t>
      </w:r>
      <w:r>
        <w:rPr>
          <w:rFonts w:eastAsia="Times New Roman"/>
          <w:sz w:val="19"/>
          <w:szCs w:val="19"/>
        </w:rPr>
        <w:t>In January</w:t>
      </w:r>
      <w:r>
        <w:rPr>
          <w:rFonts w:eastAsia="Times New Roman"/>
          <w:b/>
          <w:bCs/>
          <w:i/>
          <w:iCs/>
          <w:sz w:val="19"/>
          <w:szCs w:val="19"/>
        </w:rPr>
        <w:t xml:space="preserve"> </w:t>
      </w:r>
      <w:r>
        <w:rPr>
          <w:rFonts w:eastAsia="Times New Roman"/>
          <w:sz w:val="19"/>
          <w:szCs w:val="19"/>
        </w:rPr>
        <w:t>2021, the Compensation Committee modified the Company’s stock ownership guide</w:t>
      </w:r>
      <w:r>
        <w:rPr>
          <w:rFonts w:eastAsia="Times New Roman"/>
          <w:sz w:val="19"/>
          <w:szCs w:val="19"/>
        </w:rPr>
        <w:t>lines to require stock retention of 50% of the after-tax value of shares until the guideline is met during the five-year compliance period to comply with the guidelines and 100% retention after the five-year compliance period has elapsed.</w:t>
      </w:r>
    </w:p>
    <w:p w:rsidR="00CC2C66" w:rsidRDefault="00CC2C66">
      <w:pPr>
        <w:spacing w:line="208" w:lineRule="exact"/>
        <w:rPr>
          <w:sz w:val="20"/>
          <w:szCs w:val="20"/>
        </w:rPr>
      </w:pPr>
    </w:p>
    <w:p w:rsidR="00CC2C66" w:rsidRDefault="00F80B74">
      <w:pPr>
        <w:spacing w:line="272" w:lineRule="auto"/>
        <w:ind w:left="420" w:right="20"/>
        <w:jc w:val="both"/>
        <w:rPr>
          <w:sz w:val="20"/>
          <w:szCs w:val="20"/>
        </w:rPr>
      </w:pPr>
      <w:r>
        <w:rPr>
          <w:rFonts w:eastAsia="Times New Roman"/>
          <w:b/>
          <w:bCs/>
          <w:i/>
          <w:iCs/>
          <w:color w:val="CF0A2C"/>
          <w:sz w:val="19"/>
          <w:szCs w:val="19"/>
        </w:rPr>
        <w:t xml:space="preserve">Alignment of </w:t>
      </w:r>
      <w:r>
        <w:rPr>
          <w:rFonts w:eastAsia="Times New Roman"/>
          <w:b/>
          <w:bCs/>
          <w:i/>
          <w:iCs/>
          <w:color w:val="CF0A2C"/>
          <w:sz w:val="19"/>
          <w:szCs w:val="19"/>
        </w:rPr>
        <w:t>Executive Compensation Program with Business Performance</w:t>
      </w:r>
    </w:p>
    <w:p w:rsidR="00CC2C66" w:rsidRDefault="00CC2C66">
      <w:pPr>
        <w:spacing w:line="188" w:lineRule="exact"/>
        <w:rPr>
          <w:sz w:val="20"/>
          <w:szCs w:val="20"/>
        </w:rPr>
      </w:pPr>
    </w:p>
    <w:p w:rsidR="00CC2C66" w:rsidRDefault="00F80B74">
      <w:pPr>
        <w:spacing w:line="241" w:lineRule="auto"/>
        <w:ind w:left="420"/>
        <w:jc w:val="both"/>
        <w:rPr>
          <w:sz w:val="20"/>
          <w:szCs w:val="20"/>
        </w:rPr>
      </w:pPr>
      <w:r>
        <w:rPr>
          <w:rFonts w:eastAsia="Times New Roman"/>
          <w:sz w:val="19"/>
          <w:szCs w:val="19"/>
        </w:rPr>
        <w:t>Our pay-for-performance incentive compensation programs are designed to align the long-term interests of our executives with those of our stockholders and to attract and retain top talent in a compe</w:t>
      </w:r>
      <w:r>
        <w:rPr>
          <w:rFonts w:eastAsia="Times New Roman"/>
          <w:sz w:val="19"/>
          <w:szCs w:val="19"/>
        </w:rPr>
        <w:t>titive market. The Company’s executive compensation program is structured to support the long-term sustainable growth of the Company and create value for stockholders by aligning our executives with business performance goals and motivating entrepreneurial</w:t>
      </w:r>
      <w:r>
        <w:rPr>
          <w:rFonts w:eastAsia="Times New Roman"/>
          <w:sz w:val="19"/>
          <w:szCs w:val="19"/>
        </w:rPr>
        <w:t xml:space="preserve"> and innovative thinking. As such, the Compensation Committee reviews and endorses performance goals that are deemed central to the Company’s</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26496"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27520"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jc w:val="both"/>
        <w:rPr>
          <w:sz w:val="20"/>
          <w:szCs w:val="20"/>
        </w:rPr>
      </w:pPr>
      <w:r>
        <w:rPr>
          <w:rFonts w:eastAsia="Times New Roman"/>
          <w:sz w:val="19"/>
          <w:szCs w:val="19"/>
        </w:rPr>
        <w:t xml:space="preserve">business performance, long-term strategy and stockholder value-creation. </w:t>
      </w:r>
      <w:r>
        <w:rPr>
          <w:rFonts w:eastAsia="Times New Roman"/>
          <w:sz w:val="19"/>
          <w:szCs w:val="19"/>
        </w:rPr>
        <w:t>Specifically, the Compensation Committee has selected performance goals under the Company’s 2021 incentive programs that are based on metrics such as operating profit, same store sales, delivery sales, new builds, member sales, rTSR, adjusted total revenue</w:t>
      </w:r>
      <w:r>
        <w:rPr>
          <w:rFonts w:eastAsia="Times New Roman"/>
          <w:sz w:val="19"/>
          <w:szCs w:val="19"/>
        </w:rPr>
        <w:t xml:space="preserve"> growth, adjusted diluted earnings per share growth, and other key performance indicators described in greater detail below. These performance goals comprise an overall executive compensation program that the Compensation Committee believes appropriately r</w:t>
      </w:r>
      <w:r>
        <w:rPr>
          <w:rFonts w:eastAsia="Times New Roman"/>
          <w:sz w:val="19"/>
          <w:szCs w:val="19"/>
        </w:rPr>
        <w:t>eflects the Company’s emphasis on increasing profitability and revenue, enhancing customer experience, supporting an entrepreneurial mindset, creating stockholder value, while at the same time supporting key ESG initiatives.</w:t>
      </w:r>
    </w:p>
    <w:p w:rsidR="00CC2C66" w:rsidRDefault="00CC2C66">
      <w:pPr>
        <w:spacing w:line="226" w:lineRule="exact"/>
        <w:rPr>
          <w:sz w:val="20"/>
          <w:szCs w:val="20"/>
        </w:rPr>
      </w:pPr>
    </w:p>
    <w:p w:rsidR="00CC2C66" w:rsidRDefault="00F80B74">
      <w:pPr>
        <w:jc w:val="both"/>
        <w:rPr>
          <w:sz w:val="20"/>
          <w:szCs w:val="20"/>
        </w:rPr>
      </w:pPr>
      <w:r>
        <w:rPr>
          <w:rFonts w:eastAsia="Times New Roman"/>
          <w:sz w:val="19"/>
          <w:szCs w:val="19"/>
        </w:rPr>
        <w:t>While the Compensation Committ</w:t>
      </w:r>
      <w:r>
        <w:rPr>
          <w:rFonts w:eastAsia="Times New Roman"/>
          <w:sz w:val="19"/>
          <w:szCs w:val="19"/>
        </w:rPr>
        <w:t>ee’s practice has generally been to establish and communicate goals at the beginning of each year, the Compensation Committee also retains flexibility to modify the Company’s executive compensation program when circumstances warrant, in order to continue t</w:t>
      </w:r>
      <w:r>
        <w:rPr>
          <w:rFonts w:eastAsia="Times New Roman"/>
          <w:sz w:val="19"/>
          <w:szCs w:val="19"/>
        </w:rPr>
        <w:t>o incentivize actions to drive operational performance and long-term strategies. For 2021, in light of the changes in operating environment and the significant impact of the Delta-variant outbreaks on the Company’s operating and financial performance since</w:t>
      </w:r>
      <w:r>
        <w:rPr>
          <w:rFonts w:eastAsia="Times New Roman"/>
          <w:sz w:val="19"/>
          <w:szCs w:val="19"/>
        </w:rPr>
        <w:t xml:space="preserve"> July 2021, the Compensation Committee adjusted the 2021 annual incentive program to measure performance with respect to the Adjusted Operating Profit Growth and Same Store Sales Growth, using the same performance goals as established at the beginning of t</w:t>
      </w:r>
      <w:r>
        <w:rPr>
          <w:rFonts w:eastAsia="Times New Roman"/>
          <w:sz w:val="19"/>
          <w:szCs w:val="19"/>
        </w:rPr>
        <w:t>he year, over three separate performance periods covering the first half of 2021, the third quarter of 2021 and the fourth quarter of 2021. The Compensation Committee believes that maintaining this flexibility allows the Company to appropriately reward per</w:t>
      </w:r>
      <w:r>
        <w:rPr>
          <w:rFonts w:eastAsia="Times New Roman"/>
          <w:sz w:val="19"/>
          <w:szCs w:val="19"/>
        </w:rPr>
        <w:t>formance in areas deemed critical to the Company’s long-term strategy.</w:t>
      </w:r>
    </w:p>
    <w:p w:rsidR="00CC2C66" w:rsidRDefault="00CC2C66">
      <w:pPr>
        <w:spacing w:line="220" w:lineRule="exact"/>
        <w:rPr>
          <w:sz w:val="20"/>
          <w:szCs w:val="20"/>
        </w:rPr>
      </w:pPr>
    </w:p>
    <w:p w:rsidR="00CC2C66" w:rsidRDefault="00F80B74">
      <w:pPr>
        <w:spacing w:line="242" w:lineRule="auto"/>
        <w:jc w:val="both"/>
        <w:rPr>
          <w:sz w:val="20"/>
          <w:szCs w:val="20"/>
        </w:rPr>
      </w:pPr>
      <w:r>
        <w:rPr>
          <w:rFonts w:eastAsia="Times New Roman"/>
          <w:sz w:val="19"/>
          <w:szCs w:val="19"/>
        </w:rPr>
        <w:t>The following chart provides an overview of the 2021 target total direct compensation program applicable to our CEO, consisting of base salary, annual performance-based cash incentives</w:t>
      </w:r>
      <w:r>
        <w:rPr>
          <w:rFonts w:eastAsia="Times New Roman"/>
          <w:sz w:val="19"/>
          <w:szCs w:val="19"/>
        </w:rPr>
        <w:t xml:space="preserve"> (i.e., short-term incentives, or “</w:t>
      </w:r>
      <w:r>
        <w:rPr>
          <w:rFonts w:eastAsia="Times New Roman"/>
          <w:b/>
          <w:bCs/>
          <w:i/>
          <w:iCs/>
          <w:sz w:val="19"/>
          <w:szCs w:val="19"/>
        </w:rPr>
        <w:t>STI</w:t>
      </w:r>
      <w:r>
        <w:rPr>
          <w:rFonts w:eastAsia="Times New Roman"/>
          <w:sz w:val="19"/>
          <w:szCs w:val="19"/>
        </w:rPr>
        <w:t>”), and long-term equity incentives (“</w:t>
      </w:r>
      <w:r>
        <w:rPr>
          <w:rFonts w:eastAsia="Times New Roman"/>
          <w:b/>
          <w:bCs/>
          <w:i/>
          <w:iCs/>
          <w:sz w:val="19"/>
          <w:szCs w:val="19"/>
        </w:rPr>
        <w:t>LTI</w:t>
      </w:r>
      <w:r>
        <w:rPr>
          <w:rFonts w:eastAsia="Times New Roman"/>
          <w:sz w:val="19"/>
          <w:szCs w:val="19"/>
        </w:rPr>
        <w:t>”). As demonstrated by the following chart, 2021 compensation for our CEO was heavily weighted toward variable pay elements, and such elements represented approximately 87% of t</w:t>
      </w:r>
      <w:r>
        <w:rPr>
          <w:rFonts w:eastAsia="Times New Roman"/>
          <w:sz w:val="19"/>
          <w:szCs w:val="19"/>
        </w:rPr>
        <w:t>he 2021 annual target compensation for Ms. Wat</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53"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33</w:t>
      </w:r>
    </w:p>
    <w:p w:rsidR="00CC2C66" w:rsidRDefault="00F80B74">
      <w:pPr>
        <w:spacing w:line="20" w:lineRule="exact"/>
        <w:rPr>
          <w:sz w:val="20"/>
          <w:szCs w:val="20"/>
        </w:rPr>
      </w:pPr>
      <w:r>
        <w:rPr>
          <w:noProof/>
          <w:sz w:val="20"/>
          <w:szCs w:val="20"/>
        </w:rPr>
        <w:drawing>
          <wp:anchor distT="0" distB="0" distL="114300" distR="114300" simplePos="0" relativeHeight="251628544"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40" w:name="page40"/>
      <w:bookmarkEnd w:id="40"/>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29568"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52" w:lineRule="auto"/>
        <w:ind w:left="420"/>
        <w:jc w:val="both"/>
        <w:rPr>
          <w:sz w:val="20"/>
          <w:szCs w:val="20"/>
        </w:rPr>
      </w:pPr>
      <w:r>
        <w:rPr>
          <w:rFonts w:eastAsia="Times New Roman"/>
          <w:sz w:val="19"/>
          <w:szCs w:val="19"/>
        </w:rPr>
        <w:t>(consisting of the target payout opportunity under the cash bonus plan, target annual PSUs and SARs).</w:t>
      </w:r>
      <w:r>
        <w:rPr>
          <w:rFonts w:eastAsia="Times New Roman"/>
          <w:sz w:val="19"/>
          <w:szCs w:val="19"/>
        </w:rPr>
        <w:t xml:space="preserve"> For purposes of this calculation, we have excluded the 2021 Chairman</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52" w:lineRule="auto"/>
        <w:jc w:val="both"/>
        <w:rPr>
          <w:sz w:val="20"/>
          <w:szCs w:val="20"/>
        </w:rPr>
      </w:pPr>
      <w:r>
        <w:rPr>
          <w:rFonts w:eastAsia="Times New Roman"/>
          <w:sz w:val="19"/>
          <w:szCs w:val="19"/>
        </w:rPr>
        <w:t>Grants described below, as such grants do not represent a component of the Company’s annual executive compensation program.</w:t>
      </w:r>
    </w:p>
    <w:p w:rsidR="00CC2C66" w:rsidRDefault="00F80B74">
      <w:pPr>
        <w:spacing w:line="20" w:lineRule="exact"/>
        <w:rPr>
          <w:sz w:val="20"/>
          <w:szCs w:val="20"/>
        </w:rPr>
      </w:pPr>
      <w:r>
        <w:rPr>
          <w:noProof/>
          <w:sz w:val="20"/>
          <w:szCs w:val="20"/>
        </w:rPr>
        <w:drawing>
          <wp:anchor distT="0" distB="0" distL="114300" distR="114300" simplePos="0" relativeHeight="251630592" behindDoc="1" locked="0" layoutInCell="0" allowOverlap="1">
            <wp:simplePos x="0" y="0"/>
            <wp:positionH relativeFrom="column">
              <wp:posOffset>-3642995</wp:posOffset>
            </wp:positionH>
            <wp:positionV relativeFrom="paragraph">
              <wp:posOffset>-1250950</wp:posOffset>
            </wp:positionV>
            <wp:extent cx="7181215" cy="3683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CC2C66">
      <w:pPr>
        <w:spacing w:line="181" w:lineRule="exact"/>
        <w:rPr>
          <w:sz w:val="20"/>
          <w:szCs w:val="20"/>
        </w:rPr>
      </w:pPr>
    </w:p>
    <w:p w:rsidR="00CC2C66" w:rsidRDefault="00F80B74">
      <w:pPr>
        <w:ind w:right="-399"/>
        <w:jc w:val="center"/>
        <w:rPr>
          <w:sz w:val="20"/>
          <w:szCs w:val="20"/>
        </w:rPr>
      </w:pPr>
      <w:r>
        <w:rPr>
          <w:rFonts w:eastAsia="Times New Roman"/>
          <w:b/>
          <w:bCs/>
          <w:color w:val="CF0A2C"/>
          <w:sz w:val="18"/>
          <w:szCs w:val="18"/>
        </w:rPr>
        <w:t xml:space="preserve">2021 CEO Target </w:t>
      </w:r>
      <w:r>
        <w:rPr>
          <w:rFonts w:eastAsia="Times New Roman"/>
          <w:b/>
          <w:bCs/>
          <w:color w:val="CF0A2C"/>
          <w:sz w:val="18"/>
          <w:szCs w:val="18"/>
        </w:rPr>
        <w:t>Compensation Mix</w:t>
      </w:r>
    </w:p>
    <w:p w:rsidR="00CC2C66" w:rsidRDefault="00F80B74">
      <w:pPr>
        <w:spacing w:line="20" w:lineRule="exact"/>
        <w:rPr>
          <w:sz w:val="20"/>
          <w:szCs w:val="20"/>
        </w:rPr>
      </w:pPr>
      <w:r>
        <w:rPr>
          <w:noProof/>
          <w:sz w:val="20"/>
          <w:szCs w:val="20"/>
        </w:rPr>
        <w:drawing>
          <wp:anchor distT="0" distB="0" distL="114300" distR="114300" simplePos="0" relativeHeight="251631616" behindDoc="1" locked="0" layoutInCell="0" allowOverlap="1">
            <wp:simplePos x="0" y="0"/>
            <wp:positionH relativeFrom="column">
              <wp:posOffset>2800350</wp:posOffset>
            </wp:positionH>
            <wp:positionV relativeFrom="paragraph">
              <wp:posOffset>200660</wp:posOffset>
            </wp:positionV>
            <wp:extent cx="1541780" cy="183388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7">
                      <a:extLst/>
                    </a:blip>
                    <a:srcRect/>
                    <a:stretch>
                      <a:fillRect/>
                    </a:stretch>
                  </pic:blipFill>
                  <pic:spPr bwMode="auto">
                    <a:xfrm>
                      <a:off x="0" y="0"/>
                      <a:ext cx="1541780" cy="183388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400" w:lineRule="exact"/>
        <w:rPr>
          <w:sz w:val="20"/>
          <w:szCs w:val="20"/>
        </w:rPr>
      </w:pPr>
    </w:p>
    <w:p w:rsidR="00CC2C66" w:rsidRDefault="00F80B74">
      <w:pPr>
        <w:ind w:left="420"/>
        <w:rPr>
          <w:sz w:val="20"/>
          <w:szCs w:val="20"/>
        </w:rPr>
      </w:pPr>
      <w:r>
        <w:rPr>
          <w:rFonts w:eastAsia="Times New Roman"/>
          <w:b/>
          <w:bCs/>
          <w:i/>
          <w:iCs/>
          <w:color w:val="CF0A2C"/>
          <w:sz w:val="19"/>
          <w:szCs w:val="19"/>
        </w:rPr>
        <w:t>Pay Components</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337" w:lineRule="exact"/>
        <w:rPr>
          <w:sz w:val="20"/>
          <w:szCs w:val="20"/>
        </w:rPr>
      </w:pPr>
    </w:p>
    <w:p w:rsidR="00CC2C66" w:rsidRDefault="00F80B74">
      <w:pPr>
        <w:spacing w:line="252" w:lineRule="auto"/>
        <w:ind w:left="420"/>
        <w:jc w:val="both"/>
        <w:rPr>
          <w:sz w:val="20"/>
          <w:szCs w:val="20"/>
        </w:rPr>
      </w:pPr>
      <w:r>
        <w:rPr>
          <w:rFonts w:eastAsia="Times New Roman"/>
          <w:sz w:val="19"/>
          <w:szCs w:val="19"/>
        </w:rPr>
        <w:t>The Company’s executive compensation program has three primary pay components: (i) base salary; (ii) annual performance-based cash bonuses (i.e., short-term incentives);</w:t>
      </w:r>
    </w:p>
    <w:p w:rsidR="00CC2C66" w:rsidRDefault="00F80B74">
      <w:pPr>
        <w:spacing w:line="20" w:lineRule="exact"/>
        <w:rPr>
          <w:sz w:val="20"/>
          <w:szCs w:val="20"/>
        </w:rPr>
      </w:pPr>
      <w:r>
        <w:rPr>
          <w:sz w:val="20"/>
          <w:szCs w:val="20"/>
        </w:rPr>
        <w:br w:type="column"/>
      </w:r>
    </w:p>
    <w:p w:rsidR="00CC2C66" w:rsidRDefault="00CC2C66">
      <w:pPr>
        <w:spacing w:line="317" w:lineRule="exact"/>
        <w:rPr>
          <w:sz w:val="20"/>
          <w:szCs w:val="20"/>
        </w:rPr>
      </w:pPr>
    </w:p>
    <w:p w:rsidR="00CC2C66" w:rsidRDefault="00F80B74">
      <w:pPr>
        <w:spacing w:line="252" w:lineRule="auto"/>
        <w:jc w:val="both"/>
        <w:rPr>
          <w:sz w:val="20"/>
          <w:szCs w:val="20"/>
        </w:rPr>
      </w:pPr>
      <w:r>
        <w:rPr>
          <w:rFonts w:eastAsia="Times New Roman"/>
          <w:sz w:val="19"/>
          <w:szCs w:val="19"/>
        </w:rPr>
        <w:t xml:space="preserve">and (iii) </w:t>
      </w:r>
      <w:r>
        <w:rPr>
          <w:rFonts w:eastAsia="Times New Roman"/>
          <w:sz w:val="19"/>
          <w:szCs w:val="19"/>
        </w:rPr>
        <w:t>long-term equity awards. We believe that these key elements are aligned with the Company’s compensation philosophy and objectives, as illustrated in the following table.</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179"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360"/>
        <w:gridCol w:w="20"/>
        <w:gridCol w:w="5200"/>
        <w:gridCol w:w="1400"/>
        <w:gridCol w:w="1980"/>
        <w:gridCol w:w="1460"/>
        <w:gridCol w:w="20"/>
      </w:tblGrid>
      <w:tr w:rsidR="00CC2C66">
        <w:trPr>
          <w:trHeight w:val="179"/>
        </w:trPr>
        <w:tc>
          <w:tcPr>
            <w:tcW w:w="360" w:type="dxa"/>
            <w:vAlign w:val="bottom"/>
          </w:tcPr>
          <w:p w:rsidR="00CC2C66" w:rsidRDefault="00CC2C66">
            <w:pPr>
              <w:rPr>
                <w:sz w:val="15"/>
                <w:szCs w:val="15"/>
              </w:rPr>
            </w:pPr>
          </w:p>
        </w:tc>
        <w:tc>
          <w:tcPr>
            <w:tcW w:w="20" w:type="dxa"/>
            <w:vAlign w:val="bottom"/>
          </w:tcPr>
          <w:p w:rsidR="00CC2C66" w:rsidRDefault="00CC2C66">
            <w:pPr>
              <w:rPr>
                <w:sz w:val="15"/>
                <w:szCs w:val="15"/>
              </w:rPr>
            </w:pPr>
          </w:p>
        </w:tc>
        <w:tc>
          <w:tcPr>
            <w:tcW w:w="5200" w:type="dxa"/>
            <w:vAlign w:val="bottom"/>
          </w:tcPr>
          <w:p w:rsidR="00CC2C66" w:rsidRDefault="00CC2C66">
            <w:pPr>
              <w:rPr>
                <w:sz w:val="15"/>
                <w:szCs w:val="15"/>
              </w:rPr>
            </w:pPr>
          </w:p>
        </w:tc>
        <w:tc>
          <w:tcPr>
            <w:tcW w:w="1400" w:type="dxa"/>
            <w:vAlign w:val="bottom"/>
          </w:tcPr>
          <w:p w:rsidR="00CC2C66" w:rsidRDefault="00CC2C66">
            <w:pPr>
              <w:rPr>
                <w:sz w:val="15"/>
                <w:szCs w:val="15"/>
              </w:rPr>
            </w:pPr>
          </w:p>
        </w:tc>
        <w:tc>
          <w:tcPr>
            <w:tcW w:w="1980" w:type="dxa"/>
            <w:vAlign w:val="bottom"/>
          </w:tcPr>
          <w:p w:rsidR="00CC2C66" w:rsidRDefault="00F80B74">
            <w:pPr>
              <w:jc w:val="center"/>
              <w:rPr>
                <w:sz w:val="20"/>
                <w:szCs w:val="20"/>
              </w:rPr>
            </w:pPr>
            <w:r>
              <w:rPr>
                <w:rFonts w:ascii="Arial" w:eastAsia="Arial" w:hAnsi="Arial" w:cs="Arial"/>
                <w:b/>
                <w:bCs/>
                <w:color w:val="CF0A2C"/>
                <w:sz w:val="15"/>
                <w:szCs w:val="15"/>
              </w:rPr>
              <w:t>Annual</w:t>
            </w:r>
          </w:p>
        </w:tc>
        <w:tc>
          <w:tcPr>
            <w:tcW w:w="1460" w:type="dxa"/>
            <w:vMerge w:val="restart"/>
            <w:vAlign w:val="bottom"/>
          </w:tcPr>
          <w:p w:rsidR="00CC2C66" w:rsidRDefault="00F80B74">
            <w:pPr>
              <w:ind w:left="308"/>
              <w:jc w:val="center"/>
              <w:rPr>
                <w:sz w:val="20"/>
                <w:szCs w:val="20"/>
              </w:rPr>
            </w:pPr>
            <w:r>
              <w:rPr>
                <w:rFonts w:ascii="Arial" w:eastAsia="Arial" w:hAnsi="Arial" w:cs="Arial"/>
                <w:b/>
                <w:bCs/>
                <w:color w:val="CF0A2C"/>
                <w:sz w:val="15"/>
                <w:szCs w:val="15"/>
              </w:rPr>
              <w:t>Long-Term</w:t>
            </w:r>
          </w:p>
        </w:tc>
        <w:tc>
          <w:tcPr>
            <w:tcW w:w="0" w:type="dxa"/>
            <w:vAlign w:val="bottom"/>
          </w:tcPr>
          <w:p w:rsidR="00CC2C66" w:rsidRDefault="00CC2C66">
            <w:pPr>
              <w:rPr>
                <w:sz w:val="1"/>
                <w:szCs w:val="1"/>
              </w:rPr>
            </w:pPr>
          </w:p>
        </w:tc>
      </w:tr>
      <w:tr w:rsidR="00CC2C66">
        <w:trPr>
          <w:trHeight w:val="166"/>
        </w:trPr>
        <w:tc>
          <w:tcPr>
            <w:tcW w:w="36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520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1980" w:type="dxa"/>
            <w:vAlign w:val="bottom"/>
          </w:tcPr>
          <w:p w:rsidR="00CC2C66" w:rsidRDefault="00F80B74">
            <w:pPr>
              <w:spacing w:line="167" w:lineRule="exact"/>
              <w:jc w:val="center"/>
              <w:rPr>
                <w:sz w:val="20"/>
                <w:szCs w:val="20"/>
              </w:rPr>
            </w:pPr>
            <w:r>
              <w:rPr>
                <w:rFonts w:ascii="Arial" w:eastAsia="Arial" w:hAnsi="Arial" w:cs="Arial"/>
                <w:b/>
                <w:bCs/>
                <w:color w:val="CF0A2C"/>
                <w:sz w:val="15"/>
                <w:szCs w:val="15"/>
              </w:rPr>
              <w:t>Performance-</w:t>
            </w:r>
          </w:p>
        </w:tc>
        <w:tc>
          <w:tcPr>
            <w:tcW w:w="1460" w:type="dxa"/>
            <w:vMerge/>
            <w:vAlign w:val="bottom"/>
          </w:tcPr>
          <w:p w:rsidR="00CC2C66" w:rsidRDefault="00CC2C66">
            <w:pPr>
              <w:rPr>
                <w:sz w:val="14"/>
                <w:szCs w:val="14"/>
              </w:rPr>
            </w:pPr>
          </w:p>
        </w:tc>
        <w:tc>
          <w:tcPr>
            <w:tcW w:w="0" w:type="dxa"/>
            <w:vAlign w:val="bottom"/>
          </w:tcPr>
          <w:p w:rsidR="00CC2C66" w:rsidRDefault="00CC2C66">
            <w:pPr>
              <w:rPr>
                <w:sz w:val="1"/>
                <w:szCs w:val="1"/>
              </w:rPr>
            </w:pPr>
          </w:p>
        </w:tc>
      </w:tr>
      <w:tr w:rsidR="00CC2C66">
        <w:trPr>
          <w:trHeight w:val="179"/>
        </w:trPr>
        <w:tc>
          <w:tcPr>
            <w:tcW w:w="360" w:type="dxa"/>
            <w:vAlign w:val="bottom"/>
          </w:tcPr>
          <w:p w:rsidR="00CC2C66" w:rsidRDefault="00CC2C66">
            <w:pPr>
              <w:rPr>
                <w:sz w:val="15"/>
                <w:szCs w:val="15"/>
              </w:rPr>
            </w:pPr>
          </w:p>
        </w:tc>
        <w:tc>
          <w:tcPr>
            <w:tcW w:w="20" w:type="dxa"/>
            <w:vAlign w:val="bottom"/>
          </w:tcPr>
          <w:p w:rsidR="00CC2C66" w:rsidRDefault="00CC2C66">
            <w:pPr>
              <w:rPr>
                <w:sz w:val="15"/>
                <w:szCs w:val="15"/>
              </w:rPr>
            </w:pPr>
          </w:p>
        </w:tc>
        <w:tc>
          <w:tcPr>
            <w:tcW w:w="5200" w:type="dxa"/>
            <w:vAlign w:val="bottom"/>
          </w:tcPr>
          <w:p w:rsidR="00CC2C66" w:rsidRDefault="00CC2C66">
            <w:pPr>
              <w:rPr>
                <w:sz w:val="15"/>
                <w:szCs w:val="15"/>
              </w:rPr>
            </w:pPr>
          </w:p>
        </w:tc>
        <w:tc>
          <w:tcPr>
            <w:tcW w:w="1400" w:type="dxa"/>
            <w:vAlign w:val="bottom"/>
          </w:tcPr>
          <w:p w:rsidR="00CC2C66" w:rsidRDefault="00F80B74">
            <w:pPr>
              <w:ind w:right="446"/>
              <w:jc w:val="right"/>
              <w:rPr>
                <w:sz w:val="20"/>
                <w:szCs w:val="20"/>
              </w:rPr>
            </w:pPr>
            <w:r>
              <w:rPr>
                <w:rFonts w:ascii="Arial" w:eastAsia="Arial" w:hAnsi="Arial" w:cs="Arial"/>
                <w:b/>
                <w:bCs/>
                <w:color w:val="CF0A2C"/>
                <w:sz w:val="15"/>
                <w:szCs w:val="15"/>
              </w:rPr>
              <w:t>Base</w:t>
            </w:r>
          </w:p>
        </w:tc>
        <w:tc>
          <w:tcPr>
            <w:tcW w:w="1980" w:type="dxa"/>
            <w:vAlign w:val="bottom"/>
          </w:tcPr>
          <w:p w:rsidR="00CC2C66" w:rsidRDefault="00F80B74">
            <w:pPr>
              <w:jc w:val="center"/>
              <w:rPr>
                <w:sz w:val="20"/>
                <w:szCs w:val="20"/>
              </w:rPr>
            </w:pPr>
            <w:r>
              <w:rPr>
                <w:rFonts w:ascii="Arial" w:eastAsia="Arial" w:hAnsi="Arial" w:cs="Arial"/>
                <w:b/>
                <w:bCs/>
                <w:color w:val="CF0A2C"/>
                <w:sz w:val="15"/>
                <w:szCs w:val="15"/>
              </w:rPr>
              <w:t>Based Cash</w:t>
            </w:r>
          </w:p>
        </w:tc>
        <w:tc>
          <w:tcPr>
            <w:tcW w:w="1460" w:type="dxa"/>
            <w:vAlign w:val="bottom"/>
          </w:tcPr>
          <w:p w:rsidR="00CC2C66" w:rsidRDefault="00F80B74">
            <w:pPr>
              <w:ind w:left="308"/>
              <w:jc w:val="center"/>
              <w:rPr>
                <w:sz w:val="20"/>
                <w:szCs w:val="20"/>
              </w:rPr>
            </w:pPr>
            <w:r>
              <w:rPr>
                <w:rFonts w:ascii="Arial" w:eastAsia="Arial" w:hAnsi="Arial" w:cs="Arial"/>
                <w:b/>
                <w:bCs/>
                <w:color w:val="CF0A2C"/>
                <w:sz w:val="15"/>
                <w:szCs w:val="15"/>
              </w:rPr>
              <w:t>Equity</w:t>
            </w:r>
          </w:p>
        </w:tc>
        <w:tc>
          <w:tcPr>
            <w:tcW w:w="0" w:type="dxa"/>
            <w:vAlign w:val="bottom"/>
          </w:tcPr>
          <w:p w:rsidR="00CC2C66" w:rsidRDefault="00CC2C66">
            <w:pPr>
              <w:rPr>
                <w:sz w:val="1"/>
                <w:szCs w:val="1"/>
              </w:rPr>
            </w:pPr>
          </w:p>
        </w:tc>
      </w:tr>
      <w:tr w:rsidR="00CC2C66">
        <w:trPr>
          <w:trHeight w:val="206"/>
        </w:trPr>
        <w:tc>
          <w:tcPr>
            <w:tcW w:w="5580" w:type="dxa"/>
            <w:gridSpan w:val="3"/>
            <w:tcBorders>
              <w:bottom w:val="single" w:sz="8" w:space="0" w:color="CF0A2C"/>
            </w:tcBorders>
            <w:vAlign w:val="bottom"/>
          </w:tcPr>
          <w:p w:rsidR="00CC2C66" w:rsidRDefault="00F80B74">
            <w:pPr>
              <w:rPr>
                <w:sz w:val="20"/>
                <w:szCs w:val="20"/>
              </w:rPr>
            </w:pPr>
            <w:r>
              <w:rPr>
                <w:rFonts w:ascii="Arial" w:eastAsia="Arial" w:hAnsi="Arial" w:cs="Arial"/>
                <w:b/>
                <w:bCs/>
                <w:color w:val="CF0A2C"/>
                <w:sz w:val="15"/>
                <w:szCs w:val="15"/>
              </w:rPr>
              <w:t>Objective</w:t>
            </w:r>
          </w:p>
        </w:tc>
        <w:tc>
          <w:tcPr>
            <w:tcW w:w="1400" w:type="dxa"/>
            <w:tcBorders>
              <w:bottom w:val="single" w:sz="8" w:space="0" w:color="CF0A2C"/>
            </w:tcBorders>
            <w:vAlign w:val="bottom"/>
          </w:tcPr>
          <w:p w:rsidR="00CC2C66" w:rsidRDefault="00F80B74">
            <w:pPr>
              <w:ind w:right="406"/>
              <w:jc w:val="right"/>
              <w:rPr>
                <w:sz w:val="20"/>
                <w:szCs w:val="20"/>
              </w:rPr>
            </w:pPr>
            <w:r>
              <w:rPr>
                <w:rFonts w:ascii="Arial" w:eastAsia="Arial" w:hAnsi="Arial" w:cs="Arial"/>
                <w:b/>
                <w:bCs/>
                <w:color w:val="CF0A2C"/>
                <w:sz w:val="15"/>
                <w:szCs w:val="15"/>
              </w:rPr>
              <w:t>Salary</w:t>
            </w:r>
          </w:p>
        </w:tc>
        <w:tc>
          <w:tcPr>
            <w:tcW w:w="1980" w:type="dxa"/>
            <w:tcBorders>
              <w:bottom w:val="single" w:sz="8" w:space="0" w:color="CF0A2C"/>
            </w:tcBorders>
            <w:vAlign w:val="bottom"/>
          </w:tcPr>
          <w:p w:rsidR="00CC2C66" w:rsidRDefault="00F80B74">
            <w:pPr>
              <w:jc w:val="center"/>
              <w:rPr>
                <w:sz w:val="20"/>
                <w:szCs w:val="20"/>
              </w:rPr>
            </w:pPr>
            <w:r>
              <w:rPr>
                <w:rFonts w:ascii="Arial" w:eastAsia="Arial" w:hAnsi="Arial" w:cs="Arial"/>
                <w:b/>
                <w:bCs/>
                <w:color w:val="CF0A2C"/>
                <w:sz w:val="15"/>
                <w:szCs w:val="15"/>
              </w:rPr>
              <w:t>Bonuses</w:t>
            </w:r>
          </w:p>
        </w:tc>
        <w:tc>
          <w:tcPr>
            <w:tcW w:w="1460" w:type="dxa"/>
            <w:tcBorders>
              <w:bottom w:val="single" w:sz="8" w:space="0" w:color="CF0A2C"/>
            </w:tcBorders>
            <w:vAlign w:val="bottom"/>
          </w:tcPr>
          <w:p w:rsidR="00CC2C66" w:rsidRDefault="00F80B74">
            <w:pPr>
              <w:ind w:left="308"/>
              <w:jc w:val="center"/>
              <w:rPr>
                <w:sz w:val="20"/>
                <w:szCs w:val="20"/>
              </w:rPr>
            </w:pPr>
            <w:r>
              <w:rPr>
                <w:rFonts w:ascii="Arial" w:eastAsia="Arial" w:hAnsi="Arial" w:cs="Arial"/>
                <w:b/>
                <w:bCs/>
                <w:color w:val="CF0A2C"/>
                <w:sz w:val="15"/>
                <w:szCs w:val="15"/>
              </w:rPr>
              <w:t>Incentives</w:t>
            </w:r>
          </w:p>
        </w:tc>
        <w:tc>
          <w:tcPr>
            <w:tcW w:w="0" w:type="dxa"/>
            <w:vAlign w:val="bottom"/>
          </w:tcPr>
          <w:p w:rsidR="00CC2C66" w:rsidRDefault="00CC2C66">
            <w:pPr>
              <w:rPr>
                <w:sz w:val="1"/>
                <w:szCs w:val="1"/>
              </w:rPr>
            </w:pPr>
          </w:p>
        </w:tc>
      </w:tr>
      <w:tr w:rsidR="00CC2C66">
        <w:trPr>
          <w:trHeight w:val="157"/>
        </w:trPr>
        <w:tc>
          <w:tcPr>
            <w:tcW w:w="5580" w:type="dxa"/>
            <w:gridSpan w:val="3"/>
            <w:vAlign w:val="bottom"/>
          </w:tcPr>
          <w:p w:rsidR="00CC2C66" w:rsidRDefault="00F80B74">
            <w:pPr>
              <w:spacing w:line="158" w:lineRule="exact"/>
              <w:rPr>
                <w:sz w:val="20"/>
                <w:szCs w:val="20"/>
              </w:rPr>
            </w:pPr>
            <w:r>
              <w:rPr>
                <w:rFonts w:ascii="Arial" w:eastAsia="Arial" w:hAnsi="Arial" w:cs="Arial"/>
                <w:b/>
                <w:bCs/>
                <w:color w:val="CF0A2C"/>
                <w:sz w:val="15"/>
                <w:szCs w:val="15"/>
              </w:rPr>
              <w:t>Attract and retain the right talent to achieve superior stockholder</w:t>
            </w:r>
          </w:p>
        </w:tc>
        <w:tc>
          <w:tcPr>
            <w:tcW w:w="1400" w:type="dxa"/>
            <w:vAlign w:val="bottom"/>
          </w:tcPr>
          <w:p w:rsidR="00CC2C66" w:rsidRDefault="00CC2C66">
            <w:pPr>
              <w:rPr>
                <w:sz w:val="13"/>
                <w:szCs w:val="13"/>
              </w:rPr>
            </w:pPr>
          </w:p>
        </w:tc>
        <w:tc>
          <w:tcPr>
            <w:tcW w:w="1980" w:type="dxa"/>
            <w:vAlign w:val="bottom"/>
          </w:tcPr>
          <w:p w:rsidR="00CC2C66" w:rsidRDefault="00CC2C66">
            <w:pPr>
              <w:rPr>
                <w:sz w:val="13"/>
                <w:szCs w:val="13"/>
              </w:rPr>
            </w:pPr>
          </w:p>
        </w:tc>
        <w:tc>
          <w:tcPr>
            <w:tcW w:w="1460" w:type="dxa"/>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181"/>
        </w:trPr>
        <w:tc>
          <w:tcPr>
            <w:tcW w:w="5580" w:type="dxa"/>
            <w:gridSpan w:val="3"/>
            <w:vAlign w:val="bottom"/>
          </w:tcPr>
          <w:p w:rsidR="00CC2C66" w:rsidRDefault="00F80B74">
            <w:pPr>
              <w:rPr>
                <w:sz w:val="20"/>
                <w:szCs w:val="20"/>
              </w:rPr>
            </w:pPr>
            <w:r>
              <w:rPr>
                <w:rFonts w:ascii="Arial" w:eastAsia="Arial" w:hAnsi="Arial" w:cs="Arial"/>
                <w:b/>
                <w:bCs/>
                <w:color w:val="CF0A2C"/>
                <w:sz w:val="15"/>
                <w:szCs w:val="15"/>
              </w:rPr>
              <w:t xml:space="preserve">results </w:t>
            </w:r>
            <w:r>
              <w:rPr>
                <w:rFonts w:ascii="Arial" w:eastAsia="Arial" w:hAnsi="Arial" w:cs="Arial"/>
                <w:color w:val="CF0A2C"/>
                <w:sz w:val="15"/>
                <w:szCs w:val="15"/>
              </w:rPr>
              <w:t>— Competitive total reward program structure that enables pay to</w:t>
            </w:r>
          </w:p>
        </w:tc>
        <w:tc>
          <w:tcPr>
            <w:tcW w:w="1400" w:type="dxa"/>
            <w:vAlign w:val="bottom"/>
          </w:tcPr>
          <w:p w:rsidR="00CC2C66" w:rsidRDefault="00CC2C66">
            <w:pPr>
              <w:rPr>
                <w:sz w:val="15"/>
                <w:szCs w:val="15"/>
              </w:rPr>
            </w:pPr>
          </w:p>
        </w:tc>
        <w:tc>
          <w:tcPr>
            <w:tcW w:w="1980" w:type="dxa"/>
            <w:vAlign w:val="bottom"/>
          </w:tcPr>
          <w:p w:rsidR="00CC2C66" w:rsidRDefault="00CC2C66">
            <w:pPr>
              <w:rPr>
                <w:sz w:val="15"/>
                <w:szCs w:val="15"/>
              </w:rPr>
            </w:pPr>
          </w:p>
        </w:tc>
        <w:tc>
          <w:tcPr>
            <w:tcW w:w="146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179"/>
        </w:trPr>
        <w:tc>
          <w:tcPr>
            <w:tcW w:w="5580" w:type="dxa"/>
            <w:gridSpan w:val="3"/>
            <w:vAlign w:val="bottom"/>
          </w:tcPr>
          <w:p w:rsidR="00CC2C66" w:rsidRDefault="00F80B74">
            <w:pPr>
              <w:rPr>
                <w:sz w:val="20"/>
                <w:szCs w:val="20"/>
              </w:rPr>
            </w:pPr>
            <w:r>
              <w:rPr>
                <w:rFonts w:ascii="Arial" w:eastAsia="Arial" w:hAnsi="Arial" w:cs="Arial"/>
                <w:color w:val="CF0A2C"/>
                <w:sz w:val="15"/>
                <w:szCs w:val="15"/>
              </w:rPr>
              <w:t>vary based on role, responsibility, experience,</w:t>
            </w:r>
            <w:r>
              <w:rPr>
                <w:rFonts w:ascii="Arial" w:eastAsia="Arial" w:hAnsi="Arial" w:cs="Arial"/>
                <w:color w:val="CF0A2C"/>
                <w:sz w:val="15"/>
                <w:szCs w:val="15"/>
              </w:rPr>
              <w:t xml:space="preserve"> market value and future</w:t>
            </w:r>
          </w:p>
        </w:tc>
        <w:tc>
          <w:tcPr>
            <w:tcW w:w="1400" w:type="dxa"/>
            <w:vAlign w:val="bottom"/>
          </w:tcPr>
          <w:p w:rsidR="00CC2C66" w:rsidRDefault="00CC2C66">
            <w:pPr>
              <w:rPr>
                <w:sz w:val="15"/>
                <w:szCs w:val="15"/>
              </w:rPr>
            </w:pPr>
          </w:p>
        </w:tc>
        <w:tc>
          <w:tcPr>
            <w:tcW w:w="1980" w:type="dxa"/>
            <w:vAlign w:val="bottom"/>
          </w:tcPr>
          <w:p w:rsidR="00CC2C66" w:rsidRDefault="00CC2C66">
            <w:pPr>
              <w:rPr>
                <w:sz w:val="15"/>
                <w:szCs w:val="15"/>
              </w:rPr>
            </w:pPr>
          </w:p>
        </w:tc>
        <w:tc>
          <w:tcPr>
            <w:tcW w:w="146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210"/>
        </w:trPr>
        <w:tc>
          <w:tcPr>
            <w:tcW w:w="5580" w:type="dxa"/>
            <w:gridSpan w:val="3"/>
            <w:vAlign w:val="bottom"/>
          </w:tcPr>
          <w:p w:rsidR="00CC2C66" w:rsidRDefault="00F80B74">
            <w:pPr>
              <w:rPr>
                <w:sz w:val="20"/>
                <w:szCs w:val="20"/>
              </w:rPr>
            </w:pPr>
            <w:r>
              <w:rPr>
                <w:rFonts w:ascii="Arial" w:eastAsia="Arial" w:hAnsi="Arial" w:cs="Arial"/>
                <w:color w:val="CF0A2C"/>
                <w:sz w:val="15"/>
                <w:szCs w:val="15"/>
              </w:rPr>
              <w:t>potential of talent in order to drive superior results year-over-year.</w:t>
            </w:r>
          </w:p>
        </w:tc>
        <w:tc>
          <w:tcPr>
            <w:tcW w:w="1400" w:type="dxa"/>
            <w:vAlign w:val="bottom"/>
          </w:tcPr>
          <w:p w:rsidR="00CC2C66" w:rsidRDefault="00F80B74">
            <w:pPr>
              <w:ind w:right="406"/>
              <w:jc w:val="right"/>
              <w:rPr>
                <w:sz w:val="20"/>
                <w:szCs w:val="20"/>
              </w:rPr>
            </w:pPr>
            <w:r>
              <w:rPr>
                <w:rFonts w:ascii="Arial" w:eastAsia="Arial" w:hAnsi="Arial" w:cs="Arial"/>
                <w:color w:val="CF0A2C"/>
                <w:sz w:val="14"/>
                <w:szCs w:val="14"/>
              </w:rPr>
              <w:t>X</w:t>
            </w:r>
          </w:p>
        </w:tc>
        <w:tc>
          <w:tcPr>
            <w:tcW w:w="1980" w:type="dxa"/>
            <w:vAlign w:val="bottom"/>
          </w:tcPr>
          <w:p w:rsidR="00CC2C66" w:rsidRDefault="00F80B74">
            <w:pPr>
              <w:ind w:left="1380"/>
              <w:rPr>
                <w:sz w:val="20"/>
                <w:szCs w:val="20"/>
              </w:rPr>
            </w:pPr>
            <w:r>
              <w:rPr>
                <w:rFonts w:ascii="Arial" w:eastAsia="Arial" w:hAnsi="Arial" w:cs="Arial"/>
                <w:color w:val="CF0A2C"/>
                <w:sz w:val="14"/>
                <w:szCs w:val="14"/>
              </w:rPr>
              <w:t>X</w:t>
            </w:r>
          </w:p>
        </w:tc>
        <w:tc>
          <w:tcPr>
            <w:tcW w:w="1460" w:type="dxa"/>
            <w:vAlign w:val="bottom"/>
          </w:tcPr>
          <w:p w:rsidR="00CC2C66" w:rsidRDefault="00F80B74">
            <w:pPr>
              <w:ind w:left="1320"/>
              <w:rPr>
                <w:sz w:val="20"/>
                <w:szCs w:val="20"/>
              </w:rPr>
            </w:pPr>
            <w:r>
              <w:rPr>
                <w:rFonts w:ascii="Arial" w:eastAsia="Arial" w:hAnsi="Arial" w:cs="Arial"/>
                <w:color w:val="CF0A2C"/>
                <w:sz w:val="14"/>
                <w:szCs w:val="14"/>
              </w:rPr>
              <w:t>X</w:t>
            </w:r>
          </w:p>
        </w:tc>
        <w:tc>
          <w:tcPr>
            <w:tcW w:w="0" w:type="dxa"/>
            <w:vAlign w:val="bottom"/>
          </w:tcPr>
          <w:p w:rsidR="00CC2C66" w:rsidRDefault="00CC2C66">
            <w:pPr>
              <w:rPr>
                <w:sz w:val="1"/>
                <w:szCs w:val="1"/>
              </w:rPr>
            </w:pPr>
          </w:p>
        </w:tc>
      </w:tr>
      <w:tr w:rsidR="00CC2C66">
        <w:trPr>
          <w:trHeight w:val="238"/>
        </w:trPr>
        <w:tc>
          <w:tcPr>
            <w:tcW w:w="5580" w:type="dxa"/>
            <w:gridSpan w:val="3"/>
            <w:vAlign w:val="bottom"/>
          </w:tcPr>
          <w:p w:rsidR="00CC2C66" w:rsidRDefault="00F80B74">
            <w:pPr>
              <w:rPr>
                <w:sz w:val="20"/>
                <w:szCs w:val="20"/>
              </w:rPr>
            </w:pPr>
            <w:r>
              <w:rPr>
                <w:rFonts w:ascii="Arial" w:eastAsia="Arial" w:hAnsi="Arial" w:cs="Arial"/>
                <w:b/>
                <w:bCs/>
                <w:color w:val="CF0A2C"/>
                <w:sz w:val="15"/>
                <w:szCs w:val="15"/>
              </w:rPr>
              <w:t xml:space="preserve">Reward performance </w:t>
            </w:r>
            <w:r>
              <w:rPr>
                <w:rFonts w:ascii="Arial" w:eastAsia="Arial" w:hAnsi="Arial" w:cs="Arial"/>
                <w:color w:val="CF0A2C"/>
                <w:sz w:val="15"/>
                <w:szCs w:val="15"/>
              </w:rPr>
              <w:t>— Motivate both short-term and long-term</w:t>
            </w:r>
          </w:p>
        </w:tc>
        <w:tc>
          <w:tcPr>
            <w:tcW w:w="1400" w:type="dxa"/>
            <w:vAlign w:val="bottom"/>
          </w:tcPr>
          <w:p w:rsidR="00CC2C66" w:rsidRDefault="00CC2C66">
            <w:pPr>
              <w:rPr>
                <w:sz w:val="20"/>
                <w:szCs w:val="20"/>
              </w:rPr>
            </w:pPr>
          </w:p>
        </w:tc>
        <w:tc>
          <w:tcPr>
            <w:tcW w:w="1980" w:type="dxa"/>
            <w:vAlign w:val="bottom"/>
          </w:tcPr>
          <w:p w:rsidR="00CC2C66" w:rsidRDefault="00CC2C66">
            <w:pPr>
              <w:rPr>
                <w:sz w:val="20"/>
                <w:szCs w:val="20"/>
              </w:rPr>
            </w:pPr>
          </w:p>
        </w:tc>
        <w:tc>
          <w:tcPr>
            <w:tcW w:w="1460" w:type="dxa"/>
            <w:vAlign w:val="bottom"/>
          </w:tcPr>
          <w:p w:rsidR="00CC2C66" w:rsidRDefault="00CC2C66">
            <w:pPr>
              <w:rPr>
                <w:sz w:val="20"/>
                <w:szCs w:val="20"/>
              </w:rPr>
            </w:pPr>
          </w:p>
        </w:tc>
        <w:tc>
          <w:tcPr>
            <w:tcW w:w="0" w:type="dxa"/>
            <w:vAlign w:val="bottom"/>
          </w:tcPr>
          <w:p w:rsidR="00CC2C66" w:rsidRDefault="00CC2C66">
            <w:pPr>
              <w:rPr>
                <w:sz w:val="1"/>
                <w:szCs w:val="1"/>
              </w:rPr>
            </w:pPr>
          </w:p>
        </w:tc>
      </w:tr>
      <w:tr w:rsidR="00CC2C66">
        <w:trPr>
          <w:trHeight w:val="179"/>
        </w:trPr>
        <w:tc>
          <w:tcPr>
            <w:tcW w:w="5580" w:type="dxa"/>
            <w:gridSpan w:val="3"/>
            <w:vAlign w:val="bottom"/>
          </w:tcPr>
          <w:p w:rsidR="00CC2C66" w:rsidRDefault="00F80B74">
            <w:pPr>
              <w:rPr>
                <w:sz w:val="20"/>
                <w:szCs w:val="20"/>
              </w:rPr>
            </w:pPr>
            <w:r>
              <w:rPr>
                <w:rFonts w:ascii="Arial" w:eastAsia="Arial" w:hAnsi="Arial" w:cs="Arial"/>
                <w:color w:val="CF0A2C"/>
                <w:sz w:val="15"/>
                <w:szCs w:val="15"/>
              </w:rPr>
              <w:t>performance through annual and long-term equity programs. A majority of</w:t>
            </w:r>
          </w:p>
        </w:tc>
        <w:tc>
          <w:tcPr>
            <w:tcW w:w="1400" w:type="dxa"/>
            <w:vAlign w:val="bottom"/>
          </w:tcPr>
          <w:p w:rsidR="00CC2C66" w:rsidRDefault="00CC2C66">
            <w:pPr>
              <w:rPr>
                <w:sz w:val="15"/>
                <w:szCs w:val="15"/>
              </w:rPr>
            </w:pPr>
          </w:p>
        </w:tc>
        <w:tc>
          <w:tcPr>
            <w:tcW w:w="1980" w:type="dxa"/>
            <w:vAlign w:val="bottom"/>
          </w:tcPr>
          <w:p w:rsidR="00CC2C66" w:rsidRDefault="00CC2C66">
            <w:pPr>
              <w:rPr>
                <w:sz w:val="15"/>
                <w:szCs w:val="15"/>
              </w:rPr>
            </w:pPr>
          </w:p>
        </w:tc>
        <w:tc>
          <w:tcPr>
            <w:tcW w:w="146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179"/>
        </w:trPr>
        <w:tc>
          <w:tcPr>
            <w:tcW w:w="5580" w:type="dxa"/>
            <w:gridSpan w:val="3"/>
            <w:vAlign w:val="bottom"/>
          </w:tcPr>
          <w:p w:rsidR="00CC2C66" w:rsidRDefault="00F80B74">
            <w:pPr>
              <w:rPr>
                <w:sz w:val="20"/>
                <w:szCs w:val="20"/>
              </w:rPr>
            </w:pPr>
            <w:r>
              <w:rPr>
                <w:rFonts w:ascii="Arial" w:eastAsia="Arial" w:hAnsi="Arial" w:cs="Arial"/>
                <w:color w:val="CF0A2C"/>
                <w:sz w:val="15"/>
                <w:szCs w:val="15"/>
              </w:rPr>
              <w:t xml:space="preserve">NEO </w:t>
            </w:r>
            <w:r>
              <w:rPr>
                <w:rFonts w:ascii="Arial" w:eastAsia="Arial" w:hAnsi="Arial" w:cs="Arial"/>
                <w:color w:val="CF0A2C"/>
                <w:sz w:val="15"/>
                <w:szCs w:val="15"/>
              </w:rPr>
              <w:t>annual target compensation is performance-based or variable and,</w:t>
            </w:r>
          </w:p>
        </w:tc>
        <w:tc>
          <w:tcPr>
            <w:tcW w:w="1400" w:type="dxa"/>
            <w:vAlign w:val="bottom"/>
          </w:tcPr>
          <w:p w:rsidR="00CC2C66" w:rsidRDefault="00CC2C66">
            <w:pPr>
              <w:rPr>
                <w:sz w:val="15"/>
                <w:szCs w:val="15"/>
              </w:rPr>
            </w:pPr>
          </w:p>
        </w:tc>
        <w:tc>
          <w:tcPr>
            <w:tcW w:w="1980" w:type="dxa"/>
            <w:vAlign w:val="bottom"/>
          </w:tcPr>
          <w:p w:rsidR="00CC2C66" w:rsidRDefault="00CC2C66">
            <w:pPr>
              <w:rPr>
                <w:sz w:val="15"/>
                <w:szCs w:val="15"/>
              </w:rPr>
            </w:pPr>
          </w:p>
        </w:tc>
        <w:tc>
          <w:tcPr>
            <w:tcW w:w="146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210"/>
        </w:trPr>
        <w:tc>
          <w:tcPr>
            <w:tcW w:w="5580" w:type="dxa"/>
            <w:gridSpan w:val="3"/>
            <w:vAlign w:val="bottom"/>
          </w:tcPr>
          <w:p w:rsidR="00CC2C66" w:rsidRDefault="00F80B74">
            <w:pPr>
              <w:rPr>
                <w:sz w:val="20"/>
                <w:szCs w:val="20"/>
              </w:rPr>
            </w:pPr>
            <w:r>
              <w:rPr>
                <w:rFonts w:ascii="Arial" w:eastAsia="Arial" w:hAnsi="Arial" w:cs="Arial"/>
                <w:color w:val="CF0A2C"/>
                <w:sz w:val="15"/>
                <w:szCs w:val="15"/>
              </w:rPr>
              <w:t>therefore, at-risk.</w:t>
            </w:r>
          </w:p>
        </w:tc>
        <w:tc>
          <w:tcPr>
            <w:tcW w:w="1400" w:type="dxa"/>
            <w:vAlign w:val="bottom"/>
          </w:tcPr>
          <w:p w:rsidR="00CC2C66" w:rsidRDefault="00CC2C66">
            <w:pPr>
              <w:rPr>
                <w:sz w:val="18"/>
                <w:szCs w:val="18"/>
              </w:rPr>
            </w:pPr>
          </w:p>
        </w:tc>
        <w:tc>
          <w:tcPr>
            <w:tcW w:w="1980" w:type="dxa"/>
            <w:vAlign w:val="bottom"/>
          </w:tcPr>
          <w:p w:rsidR="00CC2C66" w:rsidRDefault="00F80B74">
            <w:pPr>
              <w:ind w:left="1380"/>
              <w:rPr>
                <w:sz w:val="20"/>
                <w:szCs w:val="20"/>
              </w:rPr>
            </w:pPr>
            <w:r>
              <w:rPr>
                <w:rFonts w:ascii="Arial" w:eastAsia="Arial" w:hAnsi="Arial" w:cs="Arial"/>
                <w:color w:val="CF0A2C"/>
                <w:sz w:val="14"/>
                <w:szCs w:val="14"/>
              </w:rPr>
              <w:t>X</w:t>
            </w:r>
          </w:p>
        </w:tc>
        <w:tc>
          <w:tcPr>
            <w:tcW w:w="1460" w:type="dxa"/>
            <w:vAlign w:val="bottom"/>
          </w:tcPr>
          <w:p w:rsidR="00CC2C66" w:rsidRDefault="00F80B74">
            <w:pPr>
              <w:ind w:left="1320"/>
              <w:rPr>
                <w:sz w:val="20"/>
                <w:szCs w:val="20"/>
              </w:rPr>
            </w:pPr>
            <w:r>
              <w:rPr>
                <w:rFonts w:ascii="Arial" w:eastAsia="Arial" w:hAnsi="Arial" w:cs="Arial"/>
                <w:color w:val="CF0A2C"/>
                <w:sz w:val="14"/>
                <w:szCs w:val="14"/>
              </w:rPr>
              <w:t>X</w:t>
            </w:r>
          </w:p>
        </w:tc>
        <w:tc>
          <w:tcPr>
            <w:tcW w:w="0" w:type="dxa"/>
            <w:vAlign w:val="bottom"/>
          </w:tcPr>
          <w:p w:rsidR="00CC2C66" w:rsidRDefault="00CC2C66">
            <w:pPr>
              <w:rPr>
                <w:sz w:val="1"/>
                <w:szCs w:val="1"/>
              </w:rPr>
            </w:pPr>
          </w:p>
        </w:tc>
      </w:tr>
      <w:tr w:rsidR="00CC2C66">
        <w:trPr>
          <w:trHeight w:val="238"/>
        </w:trPr>
        <w:tc>
          <w:tcPr>
            <w:tcW w:w="5580" w:type="dxa"/>
            <w:gridSpan w:val="3"/>
            <w:vAlign w:val="bottom"/>
          </w:tcPr>
          <w:p w:rsidR="00CC2C66" w:rsidRDefault="00F80B74">
            <w:pPr>
              <w:rPr>
                <w:sz w:val="20"/>
                <w:szCs w:val="20"/>
              </w:rPr>
            </w:pPr>
            <w:r>
              <w:rPr>
                <w:rFonts w:ascii="Arial" w:eastAsia="Arial" w:hAnsi="Arial" w:cs="Arial"/>
                <w:b/>
                <w:bCs/>
                <w:color w:val="CF0A2C"/>
                <w:sz w:val="15"/>
                <w:szCs w:val="15"/>
              </w:rPr>
              <w:t xml:space="preserve">Emphasize long-term value creation </w:t>
            </w:r>
            <w:r>
              <w:rPr>
                <w:rFonts w:ascii="Arial" w:eastAsia="Arial" w:hAnsi="Arial" w:cs="Arial"/>
                <w:color w:val="CF0A2C"/>
                <w:sz w:val="15"/>
                <w:szCs w:val="15"/>
              </w:rPr>
              <w:t>— The Company’s belief is simple: if</w:t>
            </w:r>
          </w:p>
        </w:tc>
        <w:tc>
          <w:tcPr>
            <w:tcW w:w="1400" w:type="dxa"/>
            <w:vAlign w:val="bottom"/>
          </w:tcPr>
          <w:p w:rsidR="00CC2C66" w:rsidRDefault="00CC2C66">
            <w:pPr>
              <w:rPr>
                <w:sz w:val="20"/>
                <w:szCs w:val="20"/>
              </w:rPr>
            </w:pPr>
          </w:p>
        </w:tc>
        <w:tc>
          <w:tcPr>
            <w:tcW w:w="1980" w:type="dxa"/>
            <w:vAlign w:val="bottom"/>
          </w:tcPr>
          <w:p w:rsidR="00CC2C66" w:rsidRDefault="00CC2C66">
            <w:pPr>
              <w:rPr>
                <w:sz w:val="20"/>
                <w:szCs w:val="20"/>
              </w:rPr>
            </w:pPr>
          </w:p>
        </w:tc>
        <w:tc>
          <w:tcPr>
            <w:tcW w:w="1460" w:type="dxa"/>
            <w:vAlign w:val="bottom"/>
          </w:tcPr>
          <w:p w:rsidR="00CC2C66" w:rsidRDefault="00CC2C66">
            <w:pPr>
              <w:rPr>
                <w:sz w:val="20"/>
                <w:szCs w:val="20"/>
              </w:rPr>
            </w:pPr>
          </w:p>
        </w:tc>
        <w:tc>
          <w:tcPr>
            <w:tcW w:w="0" w:type="dxa"/>
            <w:vAlign w:val="bottom"/>
          </w:tcPr>
          <w:p w:rsidR="00CC2C66" w:rsidRDefault="00CC2C66">
            <w:pPr>
              <w:rPr>
                <w:sz w:val="1"/>
                <w:szCs w:val="1"/>
              </w:rPr>
            </w:pPr>
          </w:p>
        </w:tc>
      </w:tr>
      <w:tr w:rsidR="00CC2C66">
        <w:trPr>
          <w:trHeight w:val="179"/>
        </w:trPr>
        <w:tc>
          <w:tcPr>
            <w:tcW w:w="5580" w:type="dxa"/>
            <w:gridSpan w:val="3"/>
            <w:vAlign w:val="bottom"/>
          </w:tcPr>
          <w:p w:rsidR="00CC2C66" w:rsidRDefault="00F80B74">
            <w:pPr>
              <w:rPr>
                <w:sz w:val="20"/>
                <w:szCs w:val="20"/>
              </w:rPr>
            </w:pPr>
            <w:r>
              <w:rPr>
                <w:rFonts w:ascii="Arial" w:eastAsia="Arial" w:hAnsi="Arial" w:cs="Arial"/>
                <w:color w:val="CF0A2C"/>
                <w:sz w:val="15"/>
                <w:szCs w:val="15"/>
              </w:rPr>
              <w:t>it creates long-term value for stockholders, then it shares a portion of that</w:t>
            </w:r>
          </w:p>
        </w:tc>
        <w:tc>
          <w:tcPr>
            <w:tcW w:w="1400" w:type="dxa"/>
            <w:vAlign w:val="bottom"/>
          </w:tcPr>
          <w:p w:rsidR="00CC2C66" w:rsidRDefault="00CC2C66">
            <w:pPr>
              <w:rPr>
                <w:sz w:val="15"/>
                <w:szCs w:val="15"/>
              </w:rPr>
            </w:pPr>
          </w:p>
        </w:tc>
        <w:tc>
          <w:tcPr>
            <w:tcW w:w="1980" w:type="dxa"/>
            <w:vAlign w:val="bottom"/>
          </w:tcPr>
          <w:p w:rsidR="00CC2C66" w:rsidRDefault="00CC2C66">
            <w:pPr>
              <w:rPr>
                <w:sz w:val="15"/>
                <w:szCs w:val="15"/>
              </w:rPr>
            </w:pPr>
          </w:p>
        </w:tc>
        <w:tc>
          <w:tcPr>
            <w:tcW w:w="146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179"/>
        </w:trPr>
        <w:tc>
          <w:tcPr>
            <w:tcW w:w="5580" w:type="dxa"/>
            <w:gridSpan w:val="3"/>
            <w:vAlign w:val="bottom"/>
          </w:tcPr>
          <w:p w:rsidR="00CC2C66" w:rsidRDefault="00F80B74">
            <w:pPr>
              <w:rPr>
                <w:sz w:val="20"/>
                <w:szCs w:val="20"/>
              </w:rPr>
            </w:pPr>
            <w:r>
              <w:rPr>
                <w:rFonts w:ascii="Arial" w:eastAsia="Arial" w:hAnsi="Arial" w:cs="Arial"/>
                <w:color w:val="CF0A2C"/>
                <w:sz w:val="15"/>
                <w:szCs w:val="15"/>
              </w:rPr>
              <w:t>value with those responsible for the results. SARs and PSUs focus on the</w:t>
            </w:r>
          </w:p>
        </w:tc>
        <w:tc>
          <w:tcPr>
            <w:tcW w:w="1400" w:type="dxa"/>
            <w:vAlign w:val="bottom"/>
          </w:tcPr>
          <w:p w:rsidR="00CC2C66" w:rsidRDefault="00CC2C66">
            <w:pPr>
              <w:rPr>
                <w:sz w:val="15"/>
                <w:szCs w:val="15"/>
              </w:rPr>
            </w:pPr>
          </w:p>
        </w:tc>
        <w:tc>
          <w:tcPr>
            <w:tcW w:w="1980" w:type="dxa"/>
            <w:vAlign w:val="bottom"/>
          </w:tcPr>
          <w:p w:rsidR="00CC2C66" w:rsidRDefault="00CC2C66">
            <w:pPr>
              <w:rPr>
                <w:sz w:val="15"/>
                <w:szCs w:val="15"/>
              </w:rPr>
            </w:pPr>
          </w:p>
        </w:tc>
        <w:tc>
          <w:tcPr>
            <w:tcW w:w="146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179"/>
        </w:trPr>
        <w:tc>
          <w:tcPr>
            <w:tcW w:w="5580" w:type="dxa"/>
            <w:gridSpan w:val="3"/>
            <w:vAlign w:val="bottom"/>
          </w:tcPr>
          <w:p w:rsidR="00CC2C66" w:rsidRDefault="00F80B74">
            <w:pPr>
              <w:rPr>
                <w:sz w:val="20"/>
                <w:szCs w:val="20"/>
              </w:rPr>
            </w:pPr>
            <w:r>
              <w:rPr>
                <w:rFonts w:ascii="Arial" w:eastAsia="Arial" w:hAnsi="Arial" w:cs="Arial"/>
                <w:color w:val="CF0A2C"/>
                <w:sz w:val="15"/>
                <w:szCs w:val="15"/>
              </w:rPr>
              <w:t>long-term performance of the Company and directly align the interests of</w:t>
            </w:r>
          </w:p>
        </w:tc>
        <w:tc>
          <w:tcPr>
            <w:tcW w:w="1400" w:type="dxa"/>
            <w:vAlign w:val="bottom"/>
          </w:tcPr>
          <w:p w:rsidR="00CC2C66" w:rsidRDefault="00CC2C66">
            <w:pPr>
              <w:rPr>
                <w:sz w:val="15"/>
                <w:szCs w:val="15"/>
              </w:rPr>
            </w:pPr>
          </w:p>
        </w:tc>
        <w:tc>
          <w:tcPr>
            <w:tcW w:w="1980" w:type="dxa"/>
            <w:vAlign w:val="bottom"/>
          </w:tcPr>
          <w:p w:rsidR="00CC2C66" w:rsidRDefault="00CC2C66">
            <w:pPr>
              <w:rPr>
                <w:sz w:val="15"/>
                <w:szCs w:val="15"/>
              </w:rPr>
            </w:pPr>
          </w:p>
        </w:tc>
        <w:tc>
          <w:tcPr>
            <w:tcW w:w="1460" w:type="dxa"/>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210"/>
        </w:trPr>
        <w:tc>
          <w:tcPr>
            <w:tcW w:w="5580" w:type="dxa"/>
            <w:gridSpan w:val="3"/>
            <w:vAlign w:val="bottom"/>
          </w:tcPr>
          <w:p w:rsidR="00CC2C66" w:rsidRDefault="00F80B74">
            <w:pPr>
              <w:rPr>
                <w:sz w:val="20"/>
                <w:szCs w:val="20"/>
              </w:rPr>
            </w:pPr>
            <w:r>
              <w:rPr>
                <w:rFonts w:ascii="Arial" w:eastAsia="Arial" w:hAnsi="Arial" w:cs="Arial"/>
                <w:color w:val="CF0A2C"/>
                <w:sz w:val="15"/>
                <w:szCs w:val="15"/>
              </w:rPr>
              <w:t>the recipients with those of the Company’s stockholders.</w:t>
            </w:r>
          </w:p>
        </w:tc>
        <w:tc>
          <w:tcPr>
            <w:tcW w:w="1400" w:type="dxa"/>
            <w:vAlign w:val="bottom"/>
          </w:tcPr>
          <w:p w:rsidR="00CC2C66" w:rsidRDefault="00CC2C66">
            <w:pPr>
              <w:rPr>
                <w:sz w:val="18"/>
                <w:szCs w:val="18"/>
              </w:rPr>
            </w:pPr>
          </w:p>
        </w:tc>
        <w:tc>
          <w:tcPr>
            <w:tcW w:w="1980" w:type="dxa"/>
            <w:vAlign w:val="bottom"/>
          </w:tcPr>
          <w:p w:rsidR="00CC2C66" w:rsidRDefault="00CC2C66">
            <w:pPr>
              <w:rPr>
                <w:sz w:val="18"/>
                <w:szCs w:val="18"/>
              </w:rPr>
            </w:pPr>
          </w:p>
        </w:tc>
        <w:tc>
          <w:tcPr>
            <w:tcW w:w="1460" w:type="dxa"/>
            <w:vAlign w:val="bottom"/>
          </w:tcPr>
          <w:p w:rsidR="00CC2C66" w:rsidRDefault="00F80B74">
            <w:pPr>
              <w:ind w:left="1320"/>
              <w:rPr>
                <w:sz w:val="20"/>
                <w:szCs w:val="20"/>
              </w:rPr>
            </w:pPr>
            <w:r>
              <w:rPr>
                <w:rFonts w:ascii="Arial" w:eastAsia="Arial" w:hAnsi="Arial" w:cs="Arial"/>
                <w:color w:val="CF0A2C"/>
                <w:sz w:val="14"/>
                <w:szCs w:val="14"/>
              </w:rPr>
              <w:t>X</w:t>
            </w:r>
          </w:p>
        </w:tc>
        <w:tc>
          <w:tcPr>
            <w:tcW w:w="0" w:type="dxa"/>
            <w:vAlign w:val="bottom"/>
          </w:tcPr>
          <w:p w:rsidR="00CC2C66" w:rsidRDefault="00CC2C66">
            <w:pPr>
              <w:rPr>
                <w:sz w:val="1"/>
                <w:szCs w:val="1"/>
              </w:rPr>
            </w:pPr>
          </w:p>
        </w:tc>
      </w:tr>
      <w:tr w:rsidR="00CC2C66">
        <w:trPr>
          <w:trHeight w:val="238"/>
        </w:trPr>
        <w:tc>
          <w:tcPr>
            <w:tcW w:w="5580" w:type="dxa"/>
            <w:gridSpan w:val="3"/>
            <w:vAlign w:val="bottom"/>
          </w:tcPr>
          <w:p w:rsidR="00CC2C66" w:rsidRDefault="00F80B74">
            <w:pPr>
              <w:rPr>
                <w:sz w:val="20"/>
                <w:szCs w:val="20"/>
              </w:rPr>
            </w:pPr>
            <w:r>
              <w:rPr>
                <w:rFonts w:ascii="Arial" w:eastAsia="Arial" w:hAnsi="Arial" w:cs="Arial"/>
                <w:b/>
                <w:bCs/>
                <w:color w:val="CF0A2C"/>
                <w:sz w:val="15"/>
                <w:szCs w:val="15"/>
              </w:rPr>
              <w:t xml:space="preserve">Drive ownership mentality </w:t>
            </w:r>
            <w:r>
              <w:rPr>
                <w:rFonts w:ascii="Arial" w:eastAsia="Arial" w:hAnsi="Arial" w:cs="Arial"/>
                <w:color w:val="CF0A2C"/>
                <w:sz w:val="15"/>
                <w:szCs w:val="15"/>
              </w:rPr>
              <w:t xml:space="preserve">— We </w:t>
            </w:r>
            <w:r>
              <w:rPr>
                <w:rFonts w:ascii="Arial" w:eastAsia="Arial" w:hAnsi="Arial" w:cs="Arial"/>
                <w:color w:val="CF0A2C"/>
                <w:sz w:val="15"/>
                <w:szCs w:val="15"/>
              </w:rPr>
              <w:t>require executives to invest in the</w:t>
            </w:r>
          </w:p>
        </w:tc>
        <w:tc>
          <w:tcPr>
            <w:tcW w:w="1400" w:type="dxa"/>
            <w:vAlign w:val="bottom"/>
          </w:tcPr>
          <w:p w:rsidR="00CC2C66" w:rsidRDefault="00CC2C66">
            <w:pPr>
              <w:rPr>
                <w:sz w:val="20"/>
                <w:szCs w:val="20"/>
              </w:rPr>
            </w:pPr>
          </w:p>
        </w:tc>
        <w:tc>
          <w:tcPr>
            <w:tcW w:w="1980" w:type="dxa"/>
            <w:vAlign w:val="bottom"/>
          </w:tcPr>
          <w:p w:rsidR="00CC2C66" w:rsidRDefault="00CC2C66">
            <w:pPr>
              <w:rPr>
                <w:sz w:val="20"/>
                <w:szCs w:val="20"/>
              </w:rPr>
            </w:pPr>
          </w:p>
        </w:tc>
        <w:tc>
          <w:tcPr>
            <w:tcW w:w="1460" w:type="dxa"/>
            <w:vAlign w:val="bottom"/>
          </w:tcPr>
          <w:p w:rsidR="00CC2C66" w:rsidRDefault="00CC2C66">
            <w:pPr>
              <w:rPr>
                <w:sz w:val="20"/>
                <w:szCs w:val="20"/>
              </w:rPr>
            </w:pPr>
          </w:p>
        </w:tc>
        <w:tc>
          <w:tcPr>
            <w:tcW w:w="0" w:type="dxa"/>
            <w:vAlign w:val="bottom"/>
          </w:tcPr>
          <w:p w:rsidR="00CC2C66" w:rsidRDefault="00CC2C66">
            <w:pPr>
              <w:rPr>
                <w:sz w:val="1"/>
                <w:szCs w:val="1"/>
              </w:rPr>
            </w:pPr>
          </w:p>
        </w:tc>
      </w:tr>
      <w:tr w:rsidR="00CC2C66">
        <w:trPr>
          <w:trHeight w:val="210"/>
        </w:trPr>
        <w:tc>
          <w:tcPr>
            <w:tcW w:w="5580" w:type="dxa"/>
            <w:gridSpan w:val="3"/>
            <w:vAlign w:val="bottom"/>
          </w:tcPr>
          <w:p w:rsidR="00CC2C66" w:rsidRDefault="00F80B74">
            <w:pPr>
              <w:rPr>
                <w:sz w:val="20"/>
                <w:szCs w:val="20"/>
              </w:rPr>
            </w:pPr>
            <w:r>
              <w:rPr>
                <w:rFonts w:ascii="Arial" w:eastAsia="Arial" w:hAnsi="Arial" w:cs="Arial"/>
                <w:color w:val="CF0A2C"/>
                <w:sz w:val="15"/>
                <w:szCs w:val="15"/>
              </w:rPr>
              <w:t>Company’s success by owning a substantial amount of Company stock.</w:t>
            </w:r>
          </w:p>
        </w:tc>
        <w:tc>
          <w:tcPr>
            <w:tcW w:w="1400" w:type="dxa"/>
            <w:vAlign w:val="bottom"/>
          </w:tcPr>
          <w:p w:rsidR="00CC2C66" w:rsidRDefault="00CC2C66">
            <w:pPr>
              <w:rPr>
                <w:sz w:val="18"/>
                <w:szCs w:val="18"/>
              </w:rPr>
            </w:pPr>
          </w:p>
        </w:tc>
        <w:tc>
          <w:tcPr>
            <w:tcW w:w="1980" w:type="dxa"/>
            <w:vAlign w:val="bottom"/>
          </w:tcPr>
          <w:p w:rsidR="00CC2C66" w:rsidRDefault="00CC2C66">
            <w:pPr>
              <w:rPr>
                <w:sz w:val="18"/>
                <w:szCs w:val="18"/>
              </w:rPr>
            </w:pPr>
          </w:p>
        </w:tc>
        <w:tc>
          <w:tcPr>
            <w:tcW w:w="1460" w:type="dxa"/>
            <w:vAlign w:val="bottom"/>
          </w:tcPr>
          <w:p w:rsidR="00CC2C66" w:rsidRDefault="00F80B74">
            <w:pPr>
              <w:ind w:left="1320"/>
              <w:rPr>
                <w:sz w:val="20"/>
                <w:szCs w:val="20"/>
              </w:rPr>
            </w:pPr>
            <w:r>
              <w:rPr>
                <w:rFonts w:ascii="Arial" w:eastAsia="Arial" w:hAnsi="Arial" w:cs="Arial"/>
                <w:color w:val="CF0A2C"/>
                <w:sz w:val="14"/>
                <w:szCs w:val="14"/>
              </w:rPr>
              <w:t>X</w:t>
            </w:r>
          </w:p>
        </w:tc>
        <w:tc>
          <w:tcPr>
            <w:tcW w:w="0" w:type="dxa"/>
            <w:vAlign w:val="bottom"/>
          </w:tcPr>
          <w:p w:rsidR="00CC2C66" w:rsidRDefault="00CC2C66">
            <w:pPr>
              <w:rPr>
                <w:sz w:val="1"/>
                <w:szCs w:val="1"/>
              </w:rPr>
            </w:pPr>
          </w:p>
        </w:tc>
      </w:tr>
      <w:tr w:rsidR="00CC2C66">
        <w:trPr>
          <w:trHeight w:val="71"/>
        </w:trPr>
        <w:tc>
          <w:tcPr>
            <w:tcW w:w="360" w:type="dxa"/>
            <w:tcBorders>
              <w:bottom w:val="single" w:sz="8" w:space="0" w:color="CF0A2C"/>
            </w:tcBorders>
            <w:vAlign w:val="bottom"/>
          </w:tcPr>
          <w:p w:rsidR="00CC2C66" w:rsidRDefault="00CC2C66">
            <w:pPr>
              <w:rPr>
                <w:sz w:val="6"/>
                <w:szCs w:val="6"/>
              </w:rPr>
            </w:pPr>
          </w:p>
        </w:tc>
        <w:tc>
          <w:tcPr>
            <w:tcW w:w="20" w:type="dxa"/>
            <w:tcBorders>
              <w:bottom w:val="single" w:sz="8" w:space="0" w:color="CF0A2C"/>
            </w:tcBorders>
            <w:vAlign w:val="bottom"/>
          </w:tcPr>
          <w:p w:rsidR="00CC2C66" w:rsidRDefault="00CC2C66">
            <w:pPr>
              <w:rPr>
                <w:sz w:val="6"/>
                <w:szCs w:val="6"/>
              </w:rPr>
            </w:pPr>
          </w:p>
        </w:tc>
        <w:tc>
          <w:tcPr>
            <w:tcW w:w="5200" w:type="dxa"/>
            <w:tcBorders>
              <w:bottom w:val="single" w:sz="8" w:space="0" w:color="CF0A2C"/>
            </w:tcBorders>
            <w:vAlign w:val="bottom"/>
          </w:tcPr>
          <w:p w:rsidR="00CC2C66" w:rsidRDefault="00CC2C66">
            <w:pPr>
              <w:rPr>
                <w:sz w:val="6"/>
                <w:szCs w:val="6"/>
              </w:rPr>
            </w:pPr>
          </w:p>
        </w:tc>
        <w:tc>
          <w:tcPr>
            <w:tcW w:w="1400" w:type="dxa"/>
            <w:tcBorders>
              <w:bottom w:val="single" w:sz="8" w:space="0" w:color="CF0A2C"/>
            </w:tcBorders>
            <w:vAlign w:val="bottom"/>
          </w:tcPr>
          <w:p w:rsidR="00CC2C66" w:rsidRDefault="00CC2C66">
            <w:pPr>
              <w:rPr>
                <w:sz w:val="6"/>
                <w:szCs w:val="6"/>
              </w:rPr>
            </w:pPr>
          </w:p>
        </w:tc>
        <w:tc>
          <w:tcPr>
            <w:tcW w:w="1980" w:type="dxa"/>
            <w:tcBorders>
              <w:bottom w:val="single" w:sz="8" w:space="0" w:color="CF0A2C"/>
            </w:tcBorders>
            <w:vAlign w:val="bottom"/>
          </w:tcPr>
          <w:p w:rsidR="00CC2C66" w:rsidRDefault="00CC2C66">
            <w:pPr>
              <w:rPr>
                <w:sz w:val="6"/>
                <w:szCs w:val="6"/>
              </w:rPr>
            </w:pPr>
          </w:p>
        </w:tc>
        <w:tc>
          <w:tcPr>
            <w:tcW w:w="1460" w:type="dxa"/>
            <w:tcBorders>
              <w:bottom w:val="single" w:sz="8" w:space="0" w:color="CF0A2C"/>
            </w:tcBorders>
            <w:vAlign w:val="bottom"/>
          </w:tcPr>
          <w:p w:rsidR="00CC2C66" w:rsidRDefault="00CC2C66">
            <w:pPr>
              <w:rPr>
                <w:sz w:val="6"/>
                <w:szCs w:val="6"/>
              </w:rPr>
            </w:pPr>
          </w:p>
        </w:tc>
        <w:tc>
          <w:tcPr>
            <w:tcW w:w="0" w:type="dxa"/>
            <w:vAlign w:val="bottom"/>
          </w:tcPr>
          <w:p w:rsidR="00CC2C66" w:rsidRDefault="00CC2C66">
            <w:pPr>
              <w:rPr>
                <w:sz w:val="1"/>
                <w:szCs w:val="1"/>
              </w:rPr>
            </w:pPr>
          </w:p>
        </w:tc>
      </w:tr>
      <w:tr w:rsidR="00CC2C66">
        <w:trPr>
          <w:trHeight w:val="133"/>
        </w:trPr>
        <w:tc>
          <w:tcPr>
            <w:tcW w:w="360" w:type="dxa"/>
            <w:vMerge w:val="restart"/>
            <w:vAlign w:val="bottom"/>
          </w:tcPr>
          <w:p w:rsidR="00CC2C66" w:rsidRDefault="00F80B74">
            <w:pPr>
              <w:ind w:left="140"/>
              <w:rPr>
                <w:sz w:val="20"/>
                <w:szCs w:val="20"/>
              </w:rPr>
            </w:pPr>
            <w:r>
              <w:rPr>
                <w:rFonts w:ascii="Arial" w:eastAsia="Arial" w:hAnsi="Arial" w:cs="Arial"/>
                <w:color w:val="CF0A2C"/>
                <w:sz w:val="14"/>
                <w:szCs w:val="14"/>
              </w:rPr>
              <w:t>34</w:t>
            </w:r>
          </w:p>
        </w:tc>
        <w:tc>
          <w:tcPr>
            <w:tcW w:w="20" w:type="dxa"/>
            <w:vAlign w:val="bottom"/>
          </w:tcPr>
          <w:p w:rsidR="00CC2C66" w:rsidRDefault="00CC2C66">
            <w:pPr>
              <w:rPr>
                <w:sz w:val="11"/>
                <w:szCs w:val="11"/>
              </w:rPr>
            </w:pPr>
          </w:p>
        </w:tc>
        <w:tc>
          <w:tcPr>
            <w:tcW w:w="5200" w:type="dxa"/>
            <w:vMerge w:val="restart"/>
            <w:vAlign w:val="bottom"/>
          </w:tcPr>
          <w:p w:rsidR="00CC2C66" w:rsidRDefault="00F80B74">
            <w:pPr>
              <w:ind w:left="140"/>
              <w:rPr>
                <w:sz w:val="20"/>
                <w:szCs w:val="20"/>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tc>
        <w:tc>
          <w:tcPr>
            <w:tcW w:w="1400" w:type="dxa"/>
            <w:vAlign w:val="bottom"/>
          </w:tcPr>
          <w:p w:rsidR="00CC2C66" w:rsidRDefault="00CC2C66">
            <w:pPr>
              <w:rPr>
                <w:sz w:val="11"/>
                <w:szCs w:val="11"/>
              </w:rPr>
            </w:pPr>
          </w:p>
        </w:tc>
        <w:tc>
          <w:tcPr>
            <w:tcW w:w="1980" w:type="dxa"/>
            <w:vAlign w:val="bottom"/>
          </w:tcPr>
          <w:p w:rsidR="00CC2C66" w:rsidRDefault="00CC2C66">
            <w:pPr>
              <w:rPr>
                <w:sz w:val="11"/>
                <w:szCs w:val="11"/>
              </w:rPr>
            </w:pPr>
          </w:p>
        </w:tc>
        <w:tc>
          <w:tcPr>
            <w:tcW w:w="1460" w:type="dxa"/>
            <w:vAlign w:val="bottom"/>
          </w:tcPr>
          <w:p w:rsidR="00CC2C66" w:rsidRDefault="00CC2C66">
            <w:pPr>
              <w:rPr>
                <w:sz w:val="11"/>
                <w:szCs w:val="11"/>
              </w:rPr>
            </w:pPr>
          </w:p>
        </w:tc>
        <w:tc>
          <w:tcPr>
            <w:tcW w:w="0" w:type="dxa"/>
            <w:vAlign w:val="bottom"/>
          </w:tcPr>
          <w:p w:rsidR="00CC2C66" w:rsidRDefault="00CC2C66">
            <w:pPr>
              <w:rPr>
                <w:sz w:val="1"/>
                <w:szCs w:val="1"/>
              </w:rPr>
            </w:pPr>
          </w:p>
        </w:tc>
      </w:tr>
      <w:tr w:rsidR="00CC2C66">
        <w:trPr>
          <w:trHeight w:val="153"/>
        </w:trPr>
        <w:tc>
          <w:tcPr>
            <w:tcW w:w="360" w:type="dxa"/>
            <w:vMerge/>
            <w:vAlign w:val="bottom"/>
          </w:tcPr>
          <w:p w:rsidR="00CC2C66" w:rsidRDefault="00CC2C66">
            <w:pPr>
              <w:rPr>
                <w:sz w:val="13"/>
                <w:szCs w:val="13"/>
              </w:rPr>
            </w:pPr>
          </w:p>
        </w:tc>
        <w:tc>
          <w:tcPr>
            <w:tcW w:w="20" w:type="dxa"/>
            <w:shd w:val="clear" w:color="auto" w:fill="CF0A2C"/>
            <w:vAlign w:val="bottom"/>
          </w:tcPr>
          <w:p w:rsidR="00CC2C66" w:rsidRDefault="00CC2C66">
            <w:pPr>
              <w:rPr>
                <w:sz w:val="13"/>
                <w:szCs w:val="13"/>
              </w:rPr>
            </w:pPr>
          </w:p>
        </w:tc>
        <w:tc>
          <w:tcPr>
            <w:tcW w:w="5200" w:type="dxa"/>
            <w:vMerge/>
            <w:vAlign w:val="bottom"/>
          </w:tcPr>
          <w:p w:rsidR="00CC2C66" w:rsidRDefault="00CC2C66">
            <w:pPr>
              <w:rPr>
                <w:sz w:val="13"/>
                <w:szCs w:val="13"/>
              </w:rPr>
            </w:pPr>
          </w:p>
        </w:tc>
        <w:tc>
          <w:tcPr>
            <w:tcW w:w="1400" w:type="dxa"/>
            <w:vAlign w:val="bottom"/>
          </w:tcPr>
          <w:p w:rsidR="00CC2C66" w:rsidRDefault="00CC2C66">
            <w:pPr>
              <w:rPr>
                <w:sz w:val="13"/>
                <w:szCs w:val="13"/>
              </w:rPr>
            </w:pPr>
          </w:p>
        </w:tc>
        <w:tc>
          <w:tcPr>
            <w:tcW w:w="1980" w:type="dxa"/>
            <w:vAlign w:val="bottom"/>
          </w:tcPr>
          <w:p w:rsidR="00CC2C66" w:rsidRDefault="00CC2C66">
            <w:pPr>
              <w:rPr>
                <w:sz w:val="13"/>
                <w:szCs w:val="13"/>
              </w:rPr>
            </w:pPr>
          </w:p>
        </w:tc>
        <w:tc>
          <w:tcPr>
            <w:tcW w:w="1460" w:type="dxa"/>
            <w:vAlign w:val="bottom"/>
          </w:tcPr>
          <w:p w:rsidR="00CC2C66" w:rsidRDefault="00CC2C66">
            <w:pPr>
              <w:rPr>
                <w:sz w:val="13"/>
                <w:szCs w:val="13"/>
              </w:rPr>
            </w:pPr>
          </w:p>
        </w:tc>
        <w:tc>
          <w:tcPr>
            <w:tcW w:w="0" w:type="dxa"/>
            <w:vAlign w:val="bottom"/>
          </w:tcPr>
          <w:p w:rsidR="00CC2C66" w:rsidRDefault="00CC2C66">
            <w:pPr>
              <w:rPr>
                <w:sz w:val="1"/>
                <w:szCs w:val="1"/>
              </w:rPr>
            </w:pPr>
          </w:p>
        </w:tc>
      </w:tr>
    </w:tbl>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41" w:name="page41"/>
      <w:bookmarkEnd w:id="41"/>
      <w:r>
        <w:rPr>
          <w:rFonts w:eastAsia="Times New Roman"/>
          <w:b/>
          <w:bCs/>
          <w:noProof/>
          <w:color w:val="0000EE"/>
          <w:sz w:val="17"/>
          <w:szCs w:val="17"/>
          <w:u w:val="single"/>
        </w:rPr>
        <w:lastRenderedPageBreak/>
        <w:drawing>
          <wp:anchor distT="0" distB="0" distL="114300" distR="114300" simplePos="0" relativeHeight="25163264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right="160"/>
        <w:jc w:val="right"/>
        <w:rPr>
          <w:sz w:val="20"/>
          <w:szCs w:val="20"/>
        </w:rPr>
      </w:pPr>
      <w:r>
        <w:rPr>
          <w:rFonts w:ascii="Arial" w:eastAsia="Arial" w:hAnsi="Arial" w:cs="Arial"/>
          <w:b/>
          <w:bCs/>
          <w:color w:val="FFFFFF"/>
          <w:sz w:val="15"/>
          <w:szCs w:val="15"/>
        </w:rPr>
        <w:t>EXECUTIVE COMPENSATION</w:t>
      </w:r>
    </w:p>
    <w:p w:rsidR="00CC2C66" w:rsidRDefault="00CC2C66">
      <w:pPr>
        <w:spacing w:line="185" w:lineRule="exact"/>
        <w:rPr>
          <w:sz w:val="20"/>
          <w:szCs w:val="20"/>
        </w:rPr>
      </w:pPr>
    </w:p>
    <w:p w:rsidR="00CC2C66" w:rsidRDefault="00F80B74">
      <w:pPr>
        <w:ind w:left="420"/>
        <w:rPr>
          <w:sz w:val="20"/>
          <w:szCs w:val="20"/>
        </w:rPr>
      </w:pPr>
      <w:r>
        <w:rPr>
          <w:rFonts w:eastAsia="Times New Roman"/>
          <w:b/>
          <w:bCs/>
          <w:i/>
          <w:iCs/>
          <w:color w:val="CF0A2C"/>
          <w:sz w:val="19"/>
          <w:szCs w:val="19"/>
        </w:rPr>
        <w:t xml:space="preserve">Executive </w:t>
      </w:r>
      <w:r>
        <w:rPr>
          <w:rFonts w:eastAsia="Times New Roman"/>
          <w:b/>
          <w:bCs/>
          <w:i/>
          <w:iCs/>
          <w:color w:val="CF0A2C"/>
          <w:sz w:val="19"/>
          <w:szCs w:val="19"/>
        </w:rPr>
        <w:t>Compensation Practices</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337" w:lineRule="exact"/>
        <w:rPr>
          <w:sz w:val="20"/>
          <w:szCs w:val="20"/>
        </w:rPr>
      </w:pPr>
    </w:p>
    <w:p w:rsidR="00CC2C66" w:rsidRDefault="00F80B74">
      <w:pPr>
        <w:spacing w:line="247" w:lineRule="auto"/>
        <w:ind w:left="420"/>
        <w:jc w:val="both"/>
        <w:rPr>
          <w:sz w:val="20"/>
          <w:szCs w:val="20"/>
        </w:rPr>
      </w:pPr>
      <w:r>
        <w:rPr>
          <w:rFonts w:eastAsia="Times New Roman"/>
          <w:sz w:val="19"/>
          <w:szCs w:val="19"/>
        </w:rPr>
        <w:t>The Compensation Committee reviews on an ongoing basis the Company’s executive compensation program to evaluate whether it supports the Company’s executive compensation philosophies and objectives and is aligned</w:t>
      </w:r>
    </w:p>
    <w:p w:rsidR="00CC2C66" w:rsidRDefault="00F80B74">
      <w:pPr>
        <w:spacing w:line="20" w:lineRule="exact"/>
        <w:rPr>
          <w:sz w:val="20"/>
          <w:szCs w:val="20"/>
        </w:rPr>
      </w:pPr>
      <w:r>
        <w:rPr>
          <w:sz w:val="20"/>
          <w:szCs w:val="20"/>
        </w:rPr>
        <w:br w:type="column"/>
      </w:r>
    </w:p>
    <w:p w:rsidR="00CC2C66" w:rsidRDefault="00CC2C66">
      <w:pPr>
        <w:spacing w:line="317" w:lineRule="exact"/>
        <w:rPr>
          <w:sz w:val="20"/>
          <w:szCs w:val="20"/>
        </w:rPr>
      </w:pPr>
    </w:p>
    <w:p w:rsidR="00CC2C66" w:rsidRDefault="00F80B74">
      <w:pPr>
        <w:spacing w:line="247" w:lineRule="auto"/>
        <w:jc w:val="both"/>
        <w:rPr>
          <w:sz w:val="20"/>
          <w:szCs w:val="20"/>
        </w:rPr>
      </w:pPr>
      <w:r>
        <w:rPr>
          <w:rFonts w:eastAsia="Times New Roman"/>
          <w:sz w:val="19"/>
          <w:szCs w:val="19"/>
        </w:rPr>
        <w:t>with stockholder interests. Our executive compensation practices include the following, each of which the Compensation Committee believes reinforces our executive compensation philosophy and objectives:</w:t>
      </w:r>
    </w:p>
    <w:p w:rsidR="00CC2C66" w:rsidRDefault="00F80B74">
      <w:pPr>
        <w:spacing w:line="2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-3378835</wp:posOffset>
            </wp:positionH>
            <wp:positionV relativeFrom="paragraph">
              <wp:posOffset>229235</wp:posOffset>
            </wp:positionV>
            <wp:extent cx="6636385" cy="444627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a:extLst/>
                    </a:blip>
                    <a:srcRect/>
                    <a:stretch>
                      <a:fillRect/>
                    </a:stretch>
                  </pic:blipFill>
                  <pic:spPr bwMode="auto">
                    <a:xfrm>
                      <a:off x="0" y="0"/>
                      <a:ext cx="6636385" cy="444627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279" w:lineRule="exact"/>
        <w:rPr>
          <w:sz w:val="20"/>
          <w:szCs w:val="20"/>
        </w:rPr>
      </w:pPr>
    </w:p>
    <w:p w:rsidR="00CC2C66" w:rsidRDefault="00F80B74">
      <w:pPr>
        <w:ind w:left="3440"/>
        <w:rPr>
          <w:sz w:val="20"/>
          <w:szCs w:val="20"/>
        </w:rPr>
      </w:pPr>
      <w:r>
        <w:rPr>
          <w:rFonts w:ascii="Arial" w:eastAsia="Arial" w:hAnsi="Arial" w:cs="Arial"/>
          <w:b/>
          <w:bCs/>
          <w:sz w:val="24"/>
          <w:szCs w:val="24"/>
        </w:rPr>
        <w:t>Our Executive Com</w:t>
      </w:r>
      <w:r>
        <w:rPr>
          <w:rFonts w:ascii="Arial" w:eastAsia="Arial" w:hAnsi="Arial" w:cs="Arial"/>
          <w:b/>
          <w:bCs/>
          <w:sz w:val="24"/>
          <w:szCs w:val="24"/>
        </w:rPr>
        <w:t>pensation Practices</w:t>
      </w:r>
    </w:p>
    <w:p w:rsidR="00CC2C66" w:rsidRDefault="00CC2C66">
      <w:pPr>
        <w:spacing w:line="135" w:lineRule="exact"/>
        <w:rPr>
          <w:sz w:val="20"/>
          <w:szCs w:val="20"/>
        </w:rPr>
      </w:pPr>
    </w:p>
    <w:p w:rsidR="00CC2C66" w:rsidRDefault="00F80B74">
      <w:pPr>
        <w:numPr>
          <w:ilvl w:val="0"/>
          <w:numId w:val="67"/>
        </w:numPr>
        <w:tabs>
          <w:tab w:val="left" w:pos="940"/>
        </w:tabs>
        <w:spacing w:line="256" w:lineRule="auto"/>
        <w:ind w:left="940" w:right="60" w:hanging="380"/>
        <w:rPr>
          <w:rFonts w:ascii="MS PGothic" w:eastAsia="MS PGothic" w:hAnsi="MS PGothic" w:cs="MS PGothic"/>
          <w:color w:val="CF0A2C"/>
          <w:sz w:val="19"/>
          <w:szCs w:val="19"/>
        </w:rPr>
      </w:pPr>
      <w:r>
        <w:rPr>
          <w:rFonts w:eastAsia="Times New Roman"/>
          <w:color w:val="CF0A2C"/>
          <w:sz w:val="19"/>
          <w:szCs w:val="19"/>
        </w:rPr>
        <w:t>We deliver a significant percentage of annual target compensation in the form of variable compensation tied to performance, with 87% of Ms. Wat’s 2021 annual target compensation in the form of variable pay elements</w:t>
      </w:r>
    </w:p>
    <w:p w:rsidR="00CC2C66" w:rsidRDefault="00CC2C66">
      <w:pPr>
        <w:spacing w:line="3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 xml:space="preserve">We deliver a </w:t>
      </w:r>
      <w:r>
        <w:rPr>
          <w:rFonts w:eastAsia="Times New Roman"/>
          <w:color w:val="CF0A2C"/>
          <w:sz w:val="19"/>
          <w:szCs w:val="19"/>
        </w:rPr>
        <w:t>significant portion of total compensation in the form of equity</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Maximum payout opportunity for STI and PSUs</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We have multi-year vesting periods for equity awards</w:t>
      </w:r>
    </w:p>
    <w:p w:rsidR="00CC2C66" w:rsidRDefault="00CC2C66">
      <w:pPr>
        <w:spacing w:line="49" w:lineRule="exact"/>
        <w:rPr>
          <w:rFonts w:ascii="MS PGothic" w:eastAsia="MS PGothic" w:hAnsi="MS PGothic" w:cs="MS PGothic"/>
          <w:color w:val="CF0A2C"/>
          <w:sz w:val="19"/>
          <w:szCs w:val="19"/>
        </w:rPr>
      </w:pPr>
    </w:p>
    <w:p w:rsidR="00CC2C66" w:rsidRDefault="00F80B74">
      <w:pPr>
        <w:numPr>
          <w:ilvl w:val="0"/>
          <w:numId w:val="67"/>
        </w:numPr>
        <w:tabs>
          <w:tab w:val="left" w:pos="940"/>
        </w:tabs>
        <w:spacing w:line="256" w:lineRule="auto"/>
        <w:ind w:left="940" w:right="60" w:hanging="380"/>
        <w:rPr>
          <w:rFonts w:ascii="MS PGothic" w:eastAsia="MS PGothic" w:hAnsi="MS PGothic" w:cs="MS PGothic"/>
          <w:color w:val="CF0A2C"/>
          <w:sz w:val="19"/>
          <w:szCs w:val="19"/>
        </w:rPr>
      </w:pPr>
      <w:r>
        <w:rPr>
          <w:rFonts w:eastAsia="Times New Roman"/>
          <w:color w:val="CF0A2C"/>
          <w:sz w:val="19"/>
          <w:szCs w:val="19"/>
        </w:rPr>
        <w:t>We perform market comparisons of executive compensation against a relevant peer group, recog</w:t>
      </w:r>
      <w:r>
        <w:rPr>
          <w:rFonts w:eastAsia="Times New Roman"/>
          <w:color w:val="CF0A2C"/>
          <w:sz w:val="19"/>
          <w:szCs w:val="19"/>
        </w:rPr>
        <w:t>nizing the different geographic regions where executives are sourced and recruited</w:t>
      </w:r>
    </w:p>
    <w:p w:rsidR="00CC2C66" w:rsidRDefault="00CC2C66">
      <w:pPr>
        <w:spacing w:line="19" w:lineRule="exact"/>
        <w:rPr>
          <w:rFonts w:ascii="MS PGothic" w:eastAsia="MS PGothic" w:hAnsi="MS PGothic" w:cs="MS PGothic"/>
          <w:color w:val="CF0A2C"/>
          <w:sz w:val="19"/>
          <w:szCs w:val="19"/>
        </w:rPr>
      </w:pPr>
    </w:p>
    <w:p w:rsidR="00CC2C66" w:rsidRDefault="00F80B74">
      <w:pPr>
        <w:numPr>
          <w:ilvl w:val="0"/>
          <w:numId w:val="67"/>
        </w:numPr>
        <w:tabs>
          <w:tab w:val="left" w:pos="940"/>
        </w:tabs>
        <w:spacing w:line="256" w:lineRule="auto"/>
        <w:ind w:left="940" w:right="60" w:hanging="380"/>
        <w:rPr>
          <w:rFonts w:ascii="MS PGothic" w:eastAsia="MS PGothic" w:hAnsi="MS PGothic" w:cs="MS PGothic"/>
          <w:color w:val="CF0A2C"/>
          <w:sz w:val="19"/>
          <w:szCs w:val="19"/>
        </w:rPr>
      </w:pPr>
      <w:r>
        <w:rPr>
          <w:rFonts w:eastAsia="Times New Roman"/>
          <w:color w:val="CF0A2C"/>
          <w:sz w:val="19"/>
          <w:szCs w:val="19"/>
        </w:rPr>
        <w:t>The vesting of the rTSR portion of the PSU awards will be capped at target if our TSR performance is negative over the performance period</w:t>
      </w:r>
    </w:p>
    <w:p w:rsidR="00CC2C66" w:rsidRDefault="00CC2C66">
      <w:pPr>
        <w:spacing w:line="3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We use an independent compensatio</w:t>
      </w:r>
      <w:r>
        <w:rPr>
          <w:rFonts w:eastAsia="Times New Roman"/>
          <w:color w:val="CF0A2C"/>
          <w:sz w:val="19"/>
          <w:szCs w:val="19"/>
        </w:rPr>
        <w:t>n consultant reporting directly to the Compensation Committee</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We have double-trigger vesting for equity awards in the event of a change in control under our long-term incentive plan</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We maintain stock ownership guidelines, which includes a retention requi</w:t>
      </w:r>
      <w:r>
        <w:rPr>
          <w:rFonts w:eastAsia="Times New Roman"/>
          <w:color w:val="CF0A2C"/>
          <w:sz w:val="19"/>
          <w:szCs w:val="19"/>
        </w:rPr>
        <w:t>rement until the guideline is achieved</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We maintain a compensation recovery policy</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We maintain an equity-based awards grant policy specifying pre-determined dates for annual equity grants</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We hold an annual “say on pay” vote</w:t>
      </w:r>
    </w:p>
    <w:p w:rsidR="00CC2C66" w:rsidRDefault="00CC2C66">
      <w:pPr>
        <w:spacing w:line="62"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 xml:space="preserve">We maintain an annual </w:t>
      </w:r>
      <w:r>
        <w:rPr>
          <w:rFonts w:eastAsia="Times New Roman"/>
          <w:color w:val="CF0A2C"/>
          <w:sz w:val="19"/>
          <w:szCs w:val="19"/>
        </w:rPr>
        <w:t>stockholder engagement process</w:t>
      </w:r>
    </w:p>
    <w:p w:rsidR="00CC2C66" w:rsidRDefault="00CC2C66">
      <w:pPr>
        <w:spacing w:line="18" w:lineRule="exact"/>
        <w:rPr>
          <w:rFonts w:ascii="MS PGothic" w:eastAsia="MS PGothic" w:hAnsi="MS PGothic" w:cs="MS PGothic"/>
          <w:color w:val="CF0A2C"/>
          <w:sz w:val="19"/>
          <w:szCs w:val="19"/>
        </w:rPr>
      </w:pPr>
    </w:p>
    <w:p w:rsidR="00CC2C66" w:rsidRDefault="00F80B74">
      <w:pPr>
        <w:numPr>
          <w:ilvl w:val="0"/>
          <w:numId w:val="67"/>
        </w:numPr>
        <w:tabs>
          <w:tab w:val="left" w:pos="940"/>
        </w:tabs>
        <w:ind w:left="940" w:hanging="380"/>
        <w:rPr>
          <w:rFonts w:ascii="MS PGothic" w:eastAsia="MS PGothic" w:hAnsi="MS PGothic" w:cs="MS PGothic"/>
          <w:color w:val="CF0A2C"/>
          <w:sz w:val="19"/>
          <w:szCs w:val="19"/>
        </w:rPr>
      </w:pPr>
      <w:r>
        <w:rPr>
          <w:rFonts w:eastAsia="Times New Roman"/>
          <w:color w:val="CF0A2C"/>
          <w:sz w:val="19"/>
          <w:szCs w:val="19"/>
        </w:rPr>
        <w:t>Our Compensation Committee regularly meets in executive session without any members of management present</w:t>
      </w:r>
    </w:p>
    <w:p w:rsidR="00CC2C66" w:rsidRDefault="00CC2C66">
      <w:pPr>
        <w:spacing w:line="200" w:lineRule="exact"/>
        <w:rPr>
          <w:sz w:val="20"/>
          <w:szCs w:val="20"/>
        </w:rPr>
      </w:pPr>
    </w:p>
    <w:p w:rsidR="00CC2C66" w:rsidRDefault="00CC2C66">
      <w:pPr>
        <w:spacing w:line="239" w:lineRule="exact"/>
        <w:rPr>
          <w:sz w:val="20"/>
          <w:szCs w:val="20"/>
        </w:rPr>
      </w:pPr>
    </w:p>
    <w:p w:rsidR="00CC2C66" w:rsidRDefault="00F80B74">
      <w:pPr>
        <w:numPr>
          <w:ilvl w:val="0"/>
          <w:numId w:val="68"/>
        </w:numPr>
        <w:tabs>
          <w:tab w:val="left" w:pos="940"/>
        </w:tabs>
        <w:ind w:left="940" w:hanging="380"/>
        <w:rPr>
          <w:rFonts w:eastAsia="Times New Roman"/>
          <w:color w:val="CF0A2C"/>
          <w:sz w:val="19"/>
          <w:szCs w:val="19"/>
        </w:rPr>
      </w:pPr>
      <w:r>
        <w:rPr>
          <w:rFonts w:eastAsia="Times New Roman"/>
          <w:color w:val="CF0A2C"/>
          <w:sz w:val="19"/>
          <w:szCs w:val="19"/>
        </w:rPr>
        <w:t>We do not pay dividends or dividend equivalents on PSUs unless and until they vest</w:t>
      </w:r>
    </w:p>
    <w:p w:rsidR="00CC2C66" w:rsidRDefault="00CC2C66">
      <w:pPr>
        <w:spacing w:line="49" w:lineRule="exact"/>
        <w:rPr>
          <w:rFonts w:eastAsia="Times New Roman"/>
          <w:color w:val="CF0A2C"/>
          <w:sz w:val="19"/>
          <w:szCs w:val="19"/>
        </w:rPr>
      </w:pPr>
    </w:p>
    <w:p w:rsidR="00CC2C66" w:rsidRDefault="00F80B74">
      <w:pPr>
        <w:numPr>
          <w:ilvl w:val="0"/>
          <w:numId w:val="68"/>
        </w:numPr>
        <w:tabs>
          <w:tab w:val="left" w:pos="940"/>
        </w:tabs>
        <w:ind w:left="940" w:hanging="380"/>
        <w:rPr>
          <w:rFonts w:eastAsia="Times New Roman"/>
          <w:color w:val="CF0A2C"/>
          <w:sz w:val="19"/>
          <w:szCs w:val="19"/>
        </w:rPr>
      </w:pPr>
      <w:r>
        <w:rPr>
          <w:rFonts w:eastAsia="Times New Roman"/>
          <w:color w:val="CF0A2C"/>
          <w:sz w:val="19"/>
          <w:szCs w:val="19"/>
        </w:rPr>
        <w:t>We do not allow repricing of und</w:t>
      </w:r>
      <w:r>
        <w:rPr>
          <w:rFonts w:eastAsia="Times New Roman"/>
          <w:color w:val="CF0A2C"/>
          <w:sz w:val="19"/>
          <w:szCs w:val="19"/>
        </w:rPr>
        <w:t>erwater SARs under our long-term incentive plan without stockholder approval</w:t>
      </w:r>
    </w:p>
    <w:p w:rsidR="00CC2C66" w:rsidRDefault="00CC2C66">
      <w:pPr>
        <w:spacing w:line="49" w:lineRule="exact"/>
        <w:rPr>
          <w:rFonts w:eastAsia="Times New Roman"/>
          <w:color w:val="CF0A2C"/>
          <w:sz w:val="19"/>
          <w:szCs w:val="19"/>
        </w:rPr>
      </w:pPr>
    </w:p>
    <w:p w:rsidR="00CC2C66" w:rsidRDefault="00F80B74">
      <w:pPr>
        <w:numPr>
          <w:ilvl w:val="0"/>
          <w:numId w:val="68"/>
        </w:numPr>
        <w:tabs>
          <w:tab w:val="left" w:pos="940"/>
        </w:tabs>
        <w:ind w:left="940" w:hanging="380"/>
        <w:rPr>
          <w:rFonts w:eastAsia="Times New Roman"/>
          <w:color w:val="CF0A2C"/>
          <w:sz w:val="19"/>
          <w:szCs w:val="19"/>
        </w:rPr>
      </w:pPr>
      <w:r>
        <w:rPr>
          <w:rFonts w:eastAsia="Times New Roman"/>
          <w:color w:val="CF0A2C"/>
          <w:sz w:val="19"/>
          <w:szCs w:val="19"/>
        </w:rPr>
        <w:t>We do not allow hedging, short sales or pledging of our securities</w:t>
      </w:r>
    </w:p>
    <w:p w:rsidR="00CC2C66" w:rsidRDefault="00CC2C66">
      <w:pPr>
        <w:spacing w:line="49" w:lineRule="exact"/>
        <w:rPr>
          <w:rFonts w:eastAsia="Times New Roman"/>
          <w:color w:val="CF0A2C"/>
          <w:sz w:val="19"/>
          <w:szCs w:val="19"/>
        </w:rPr>
      </w:pPr>
    </w:p>
    <w:p w:rsidR="00CC2C66" w:rsidRDefault="00F80B74">
      <w:pPr>
        <w:numPr>
          <w:ilvl w:val="0"/>
          <w:numId w:val="68"/>
        </w:numPr>
        <w:tabs>
          <w:tab w:val="left" w:pos="940"/>
        </w:tabs>
        <w:ind w:left="940" w:hanging="380"/>
        <w:rPr>
          <w:rFonts w:eastAsia="Times New Roman"/>
          <w:color w:val="CF0A2C"/>
          <w:sz w:val="19"/>
          <w:szCs w:val="19"/>
        </w:rPr>
      </w:pPr>
      <w:r>
        <w:rPr>
          <w:rFonts w:eastAsia="Times New Roman"/>
          <w:color w:val="CF0A2C"/>
          <w:sz w:val="19"/>
          <w:szCs w:val="19"/>
        </w:rPr>
        <w:t>We do not allow backdating of SARs</w:t>
      </w:r>
    </w:p>
    <w:p w:rsidR="00CC2C66" w:rsidRDefault="00CC2C66">
      <w:pPr>
        <w:spacing w:line="49" w:lineRule="exact"/>
        <w:rPr>
          <w:rFonts w:eastAsia="Times New Roman"/>
          <w:color w:val="CF0A2C"/>
          <w:sz w:val="19"/>
          <w:szCs w:val="19"/>
        </w:rPr>
      </w:pPr>
    </w:p>
    <w:p w:rsidR="00CC2C66" w:rsidRDefault="00F80B74">
      <w:pPr>
        <w:numPr>
          <w:ilvl w:val="0"/>
          <w:numId w:val="68"/>
        </w:numPr>
        <w:tabs>
          <w:tab w:val="left" w:pos="940"/>
        </w:tabs>
        <w:ind w:left="940" w:hanging="380"/>
        <w:rPr>
          <w:rFonts w:eastAsia="Times New Roman"/>
          <w:color w:val="CF0A2C"/>
          <w:sz w:val="19"/>
          <w:szCs w:val="19"/>
        </w:rPr>
      </w:pPr>
      <w:r>
        <w:rPr>
          <w:rFonts w:eastAsia="Times New Roman"/>
          <w:color w:val="CF0A2C"/>
          <w:sz w:val="19"/>
          <w:szCs w:val="19"/>
        </w:rPr>
        <w:t>We do not provide for tax gross-ups relating to a change in control</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4" w:lineRule="exact"/>
        <w:rPr>
          <w:sz w:val="20"/>
          <w:szCs w:val="20"/>
        </w:rPr>
      </w:pPr>
    </w:p>
    <w:p w:rsidR="00CC2C66" w:rsidRDefault="00F80B74">
      <w:pPr>
        <w:ind w:left="420"/>
        <w:rPr>
          <w:sz w:val="20"/>
          <w:szCs w:val="20"/>
        </w:rPr>
      </w:pPr>
      <w:r>
        <w:rPr>
          <w:rFonts w:eastAsia="Times New Roman"/>
          <w:b/>
          <w:bCs/>
          <w:i/>
          <w:iCs/>
          <w:color w:val="CF0A2C"/>
          <w:sz w:val="19"/>
          <w:szCs w:val="19"/>
        </w:rPr>
        <w:t>Stockholder Engagement</w:t>
      </w:r>
    </w:p>
    <w:p w:rsidR="00CC2C66" w:rsidRDefault="00CC2C66">
      <w:pPr>
        <w:spacing w:line="337"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In its compensation review process, the Compensation Committee focuses on structuring the executive compensation program to serve the interests of our stockholders. In that respect, as part of its ongoing </w:t>
      </w:r>
      <w:r>
        <w:rPr>
          <w:rFonts w:eastAsia="Times New Roman"/>
          <w:sz w:val="19"/>
          <w:szCs w:val="19"/>
        </w:rPr>
        <w:t>review of our executive compensation program, the Compensation Committee considered the approval by approximately 93% of the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9" w:lineRule="exact"/>
        <w:rPr>
          <w:sz w:val="20"/>
          <w:szCs w:val="20"/>
        </w:rPr>
      </w:pPr>
    </w:p>
    <w:p w:rsidR="00CC2C66" w:rsidRDefault="00F80B74">
      <w:pPr>
        <w:spacing w:line="262" w:lineRule="auto"/>
        <w:jc w:val="both"/>
        <w:rPr>
          <w:sz w:val="20"/>
          <w:szCs w:val="20"/>
        </w:rPr>
      </w:pPr>
      <w:r>
        <w:rPr>
          <w:rFonts w:eastAsia="Times New Roman"/>
          <w:sz w:val="18"/>
          <w:szCs w:val="18"/>
        </w:rPr>
        <w:t>votes cast for the Company’s “say on pay” vote at our 2021 Annual Meeting of Stockholders. Although the Compensation Committ</w:t>
      </w:r>
      <w:r>
        <w:rPr>
          <w:rFonts w:eastAsia="Times New Roman"/>
          <w:sz w:val="18"/>
          <w:szCs w:val="18"/>
        </w:rPr>
        <w:t>ee was pleased with this favorable outcome and interpreted this level of support as an endorsement by our stockholders of our executive compensation program and policies, the Compensation</w:t>
      </w:r>
    </w:p>
    <w:p w:rsidR="00CC2C66" w:rsidRDefault="00CC2C66">
      <w:pPr>
        <w:spacing w:line="397"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56"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35</w:t>
      </w:r>
    </w:p>
    <w:p w:rsidR="00CC2C66" w:rsidRDefault="00F80B74">
      <w:pPr>
        <w:spacing w:line="2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42" w:name="page42"/>
      <w:bookmarkEnd w:id="42"/>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Committee continuously evaluates program design and considers adjustments to the Company’s compensation program based on stockholder feedback, market practices, operating environment and </w:t>
      </w:r>
      <w:r>
        <w:rPr>
          <w:rFonts w:eastAsia="Times New Roman"/>
          <w:sz w:val="19"/>
          <w:szCs w:val="19"/>
        </w:rPr>
        <w:t>other considerations in order to deliver a program designed to be aligned with our business strategy, the creation of long-term value and our stockholders’ interests.</w:t>
      </w:r>
    </w:p>
    <w:p w:rsidR="00CC2C66" w:rsidRDefault="00CC2C66">
      <w:pPr>
        <w:spacing w:line="219" w:lineRule="exact"/>
        <w:rPr>
          <w:sz w:val="20"/>
          <w:szCs w:val="20"/>
        </w:rPr>
      </w:pPr>
    </w:p>
    <w:p w:rsidR="00CC2C66" w:rsidRDefault="00F80B74">
      <w:pPr>
        <w:spacing w:line="243" w:lineRule="auto"/>
        <w:ind w:left="420"/>
        <w:jc w:val="both"/>
        <w:rPr>
          <w:sz w:val="20"/>
          <w:szCs w:val="20"/>
        </w:rPr>
      </w:pPr>
      <w:r>
        <w:rPr>
          <w:rFonts w:eastAsia="Times New Roman"/>
          <w:sz w:val="19"/>
          <w:szCs w:val="19"/>
        </w:rPr>
        <w:t>During 2021, the Company reached out to its 25 largest stockholders and select stockhold</w:t>
      </w:r>
      <w:r>
        <w:rPr>
          <w:rFonts w:eastAsia="Times New Roman"/>
          <w:sz w:val="19"/>
          <w:szCs w:val="19"/>
        </w:rPr>
        <w:t>ers who previously indicated interest for having engagement calls (which represented more than 50% of the Company’s outstanding shares) to solicit feedback on a variety of corporate governance matters (including with respect to executive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45" w:lineRule="auto"/>
        <w:jc w:val="both"/>
        <w:rPr>
          <w:sz w:val="20"/>
          <w:szCs w:val="20"/>
        </w:rPr>
      </w:pPr>
      <w:r>
        <w:rPr>
          <w:rFonts w:eastAsia="Times New Roman"/>
          <w:sz w:val="19"/>
          <w:szCs w:val="19"/>
        </w:rPr>
        <w:t>compensation</w:t>
      </w:r>
      <w:r>
        <w:rPr>
          <w:rFonts w:eastAsia="Times New Roman"/>
          <w:sz w:val="19"/>
          <w:szCs w:val="19"/>
        </w:rPr>
        <w:t>), and the Company held discussions with all stockholders who accepted an invitation. Management shared this stockholder feedback with the Compensation Committee for its consideration in designing the Company’s executive compensation program.</w:t>
      </w:r>
    </w:p>
    <w:p w:rsidR="00CC2C66" w:rsidRDefault="00F80B74">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-3642995</wp:posOffset>
            </wp:positionH>
            <wp:positionV relativeFrom="paragraph">
              <wp:posOffset>-1522095</wp:posOffset>
            </wp:positionV>
            <wp:extent cx="7181215" cy="3683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194" w:lineRule="exact"/>
        <w:rPr>
          <w:sz w:val="20"/>
          <w:szCs w:val="20"/>
        </w:rPr>
      </w:pPr>
    </w:p>
    <w:p w:rsidR="00CC2C66" w:rsidRDefault="00F80B74">
      <w:pPr>
        <w:spacing w:line="243" w:lineRule="auto"/>
        <w:jc w:val="both"/>
        <w:rPr>
          <w:sz w:val="20"/>
          <w:szCs w:val="20"/>
        </w:rPr>
      </w:pPr>
      <w:r>
        <w:rPr>
          <w:rFonts w:eastAsia="Times New Roman"/>
          <w:sz w:val="19"/>
          <w:szCs w:val="19"/>
        </w:rPr>
        <w:t>Based on f</w:t>
      </w:r>
      <w:r>
        <w:rPr>
          <w:rFonts w:eastAsia="Times New Roman"/>
          <w:sz w:val="19"/>
          <w:szCs w:val="19"/>
        </w:rPr>
        <w:t xml:space="preserve">eedback received during the Company’s stockholder engagement efforts over the past several years, the Compensation Committee has approved changes to its compensation program, including the incorporation of ESG measures and targets into the key performance </w:t>
      </w:r>
      <w:r>
        <w:rPr>
          <w:rFonts w:eastAsia="Times New Roman"/>
          <w:sz w:val="19"/>
          <w:szCs w:val="19"/>
        </w:rPr>
        <w:t>indicators that are used to determine the individual performance factor under the 2021 annual incentive program for each leadership team member.</w:t>
      </w:r>
    </w:p>
    <w:p w:rsidR="00CC2C66" w:rsidRDefault="00CC2C66">
      <w:pPr>
        <w:spacing w:line="200" w:lineRule="exact"/>
        <w:rPr>
          <w:sz w:val="20"/>
          <w:szCs w:val="20"/>
        </w:rPr>
      </w:pP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CC2C66">
      <w:pPr>
        <w:spacing w:line="192" w:lineRule="exact"/>
        <w:rPr>
          <w:sz w:val="20"/>
          <w:szCs w:val="20"/>
        </w:rPr>
      </w:pPr>
    </w:p>
    <w:p w:rsidR="00CC2C66" w:rsidRDefault="00F80B74">
      <w:pPr>
        <w:ind w:left="420"/>
        <w:rPr>
          <w:sz w:val="20"/>
          <w:szCs w:val="20"/>
        </w:rPr>
      </w:pPr>
      <w:r>
        <w:rPr>
          <w:rFonts w:ascii="Arial" w:eastAsia="Arial" w:hAnsi="Arial" w:cs="Arial"/>
          <w:b/>
          <w:bCs/>
          <w:color w:val="CF0A2C"/>
          <w:sz w:val="23"/>
          <w:szCs w:val="23"/>
        </w:rPr>
        <w:t>Elements of the Executive Compensation Program</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351" w:lineRule="exact"/>
        <w:rPr>
          <w:sz w:val="20"/>
          <w:szCs w:val="20"/>
        </w:rPr>
      </w:pPr>
    </w:p>
    <w:p w:rsidR="00CC2C66" w:rsidRDefault="00F80B74">
      <w:pPr>
        <w:spacing w:line="245" w:lineRule="auto"/>
        <w:ind w:left="420"/>
        <w:jc w:val="both"/>
        <w:rPr>
          <w:sz w:val="20"/>
          <w:szCs w:val="20"/>
        </w:rPr>
      </w:pPr>
      <w:r>
        <w:rPr>
          <w:rFonts w:eastAsia="Times New Roman"/>
          <w:sz w:val="19"/>
          <w:szCs w:val="19"/>
        </w:rPr>
        <w:t>The Company’</w:t>
      </w:r>
      <w:r>
        <w:rPr>
          <w:rFonts w:eastAsia="Times New Roman"/>
          <w:sz w:val="19"/>
          <w:szCs w:val="19"/>
        </w:rPr>
        <w:t>s 2021 executive compensation program consists of three primary pay components: (i) base salary; (ii) annual performance-based cash bonuses (i.e., short-term incentives); and</w:t>
      </w:r>
    </w:p>
    <w:p w:rsidR="00CC2C66" w:rsidRDefault="00CC2C66">
      <w:pPr>
        <w:spacing w:line="3" w:lineRule="exact"/>
        <w:rPr>
          <w:sz w:val="20"/>
          <w:szCs w:val="20"/>
        </w:rPr>
      </w:pPr>
    </w:p>
    <w:p w:rsidR="00CC2C66" w:rsidRDefault="00F80B74">
      <w:pPr>
        <w:numPr>
          <w:ilvl w:val="0"/>
          <w:numId w:val="69"/>
        </w:numPr>
        <w:tabs>
          <w:tab w:val="left" w:pos="781"/>
        </w:tabs>
        <w:ind w:left="420" w:hanging="9"/>
        <w:jc w:val="both"/>
        <w:rPr>
          <w:rFonts w:eastAsia="Times New Roman"/>
          <w:sz w:val="19"/>
          <w:szCs w:val="19"/>
        </w:rPr>
      </w:pPr>
      <w:r>
        <w:rPr>
          <w:rFonts w:eastAsia="Times New Roman"/>
          <w:sz w:val="19"/>
          <w:szCs w:val="19"/>
        </w:rPr>
        <w:t xml:space="preserve">long-term equity awards. The following charts demonstrate that 2021 annual </w:t>
      </w:r>
      <w:r>
        <w:rPr>
          <w:rFonts w:eastAsia="Times New Roman"/>
          <w:sz w:val="19"/>
          <w:szCs w:val="19"/>
        </w:rPr>
        <w:t>target compensation for Ms. Wat, our CEO, and the continuing NEOs was heavily weighted toward variable pay elements. Such elements represented approximately 87% of</w:t>
      </w:r>
    </w:p>
    <w:p w:rsidR="00CC2C66" w:rsidRDefault="00F80B74">
      <w:pPr>
        <w:spacing w:line="20" w:lineRule="exact"/>
        <w:rPr>
          <w:sz w:val="20"/>
          <w:szCs w:val="20"/>
        </w:rPr>
      </w:pPr>
      <w:r>
        <w:rPr>
          <w:sz w:val="20"/>
          <w:szCs w:val="20"/>
        </w:rPr>
        <w:br w:type="column"/>
      </w:r>
    </w:p>
    <w:p w:rsidR="00CC2C66" w:rsidRDefault="00CC2C66">
      <w:pPr>
        <w:spacing w:line="331" w:lineRule="exact"/>
        <w:rPr>
          <w:sz w:val="20"/>
          <w:szCs w:val="20"/>
        </w:rPr>
      </w:pPr>
    </w:p>
    <w:p w:rsidR="00CC2C66" w:rsidRDefault="00F80B74">
      <w:pPr>
        <w:spacing w:line="243" w:lineRule="auto"/>
        <w:jc w:val="both"/>
        <w:rPr>
          <w:sz w:val="20"/>
          <w:szCs w:val="20"/>
        </w:rPr>
      </w:pPr>
      <w:r>
        <w:rPr>
          <w:rFonts w:eastAsia="Times New Roman"/>
          <w:sz w:val="19"/>
          <w:szCs w:val="19"/>
        </w:rPr>
        <w:t>the 2021 annual target compensation for Ms. Wat and, on average, 72% of the 2021 annual t</w:t>
      </w:r>
      <w:r>
        <w:rPr>
          <w:rFonts w:eastAsia="Times New Roman"/>
          <w:sz w:val="19"/>
          <w:szCs w:val="19"/>
        </w:rPr>
        <w:t>arget compensation for our other NEOs (consisting of the target payout opportunity under the cash bonus plan and target annual equity grants and excluding the 2021 Chairman Grants and all other compensation reported in the 2021 Summary Compensation Table).</w:t>
      </w:r>
    </w:p>
    <w:p w:rsidR="00CC2C66" w:rsidRDefault="00CC2C66">
      <w:pPr>
        <w:spacing w:line="418"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180" w:lineRule="exact"/>
        <w:rPr>
          <w:sz w:val="20"/>
          <w:szCs w:val="20"/>
        </w:rPr>
      </w:pPr>
    </w:p>
    <w:p w:rsidR="00CC2C66" w:rsidRDefault="00F80B74">
      <w:pPr>
        <w:tabs>
          <w:tab w:val="left" w:pos="2100"/>
        </w:tabs>
        <w:ind w:right="1440"/>
        <w:jc w:val="right"/>
        <w:rPr>
          <w:sz w:val="20"/>
          <w:szCs w:val="20"/>
        </w:rPr>
      </w:pPr>
      <w:r>
        <w:rPr>
          <w:rFonts w:eastAsia="Times New Roman"/>
          <w:b/>
          <w:bCs/>
          <w:color w:val="CF0A2C"/>
          <w:sz w:val="19"/>
          <w:szCs w:val="19"/>
        </w:rPr>
        <w:t>2021 CEO Target Compensation Mix</w:t>
      </w:r>
      <w:r>
        <w:rPr>
          <w:sz w:val="20"/>
          <w:szCs w:val="20"/>
        </w:rPr>
        <w:tab/>
      </w:r>
      <w:r>
        <w:rPr>
          <w:rFonts w:eastAsia="Times New Roman"/>
          <w:b/>
          <w:bCs/>
          <w:color w:val="CF0A2C"/>
          <w:sz w:val="18"/>
          <w:szCs w:val="18"/>
        </w:rPr>
        <w:t>2021 Other NEOs Average</w:t>
      </w:r>
    </w:p>
    <w:p w:rsidR="00CC2C66" w:rsidRDefault="00CC2C66">
      <w:pPr>
        <w:spacing w:line="23" w:lineRule="exact"/>
        <w:rPr>
          <w:sz w:val="20"/>
          <w:szCs w:val="20"/>
        </w:rPr>
      </w:pPr>
    </w:p>
    <w:p w:rsidR="00CC2C66" w:rsidRDefault="00F80B74">
      <w:pPr>
        <w:ind w:left="7300"/>
        <w:rPr>
          <w:sz w:val="20"/>
          <w:szCs w:val="20"/>
        </w:rPr>
      </w:pPr>
      <w:r>
        <w:rPr>
          <w:rFonts w:eastAsia="Times New Roman"/>
          <w:b/>
          <w:bCs/>
          <w:color w:val="CF0A2C"/>
          <w:sz w:val="18"/>
          <w:szCs w:val="18"/>
        </w:rPr>
        <w:t>Target Compensation Mix</w:t>
      </w:r>
    </w:p>
    <w:p w:rsidR="00CC2C66" w:rsidRDefault="00F80B74">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1153795</wp:posOffset>
            </wp:positionH>
            <wp:positionV relativeFrom="paragraph">
              <wp:posOffset>193675</wp:posOffset>
            </wp:positionV>
            <wp:extent cx="4843780" cy="243395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9">
                      <a:extLst/>
                    </a:blip>
                    <a:srcRect/>
                    <a:stretch>
                      <a:fillRect/>
                    </a:stretch>
                  </pic:blipFill>
                  <pic:spPr bwMode="auto">
                    <a:xfrm>
                      <a:off x="0" y="0"/>
                      <a:ext cx="4843780" cy="24339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51" w:lineRule="exact"/>
        <w:rPr>
          <w:sz w:val="20"/>
          <w:szCs w:val="20"/>
        </w:rPr>
      </w:pPr>
    </w:p>
    <w:p w:rsidR="00CC2C66" w:rsidRDefault="00F80B74">
      <w:pPr>
        <w:numPr>
          <w:ilvl w:val="0"/>
          <w:numId w:val="70"/>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43" w:name="page43"/>
      <w:bookmarkEnd w:id="43"/>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1" w:lineRule="exact"/>
        <w:rPr>
          <w:sz w:val="20"/>
          <w:szCs w:val="20"/>
        </w:rPr>
      </w:pPr>
    </w:p>
    <w:p w:rsidR="00CC2C66" w:rsidRDefault="00F80B74">
      <w:pPr>
        <w:ind w:left="420"/>
        <w:rPr>
          <w:sz w:val="20"/>
          <w:szCs w:val="20"/>
        </w:rPr>
      </w:pPr>
      <w:r>
        <w:rPr>
          <w:rFonts w:eastAsia="Times New Roman"/>
          <w:b/>
          <w:bCs/>
          <w:i/>
          <w:iCs/>
          <w:color w:val="CF0A2C"/>
          <w:sz w:val="19"/>
          <w:szCs w:val="19"/>
        </w:rPr>
        <w:t>Base Salary</w:t>
      </w:r>
    </w:p>
    <w:p w:rsidR="00CC2C66" w:rsidRDefault="00CC2C66">
      <w:pPr>
        <w:spacing w:line="247" w:lineRule="exact"/>
        <w:rPr>
          <w:sz w:val="20"/>
          <w:szCs w:val="20"/>
        </w:rPr>
      </w:pPr>
    </w:p>
    <w:p w:rsidR="00CC2C66" w:rsidRDefault="00F80B74">
      <w:pPr>
        <w:spacing w:line="241" w:lineRule="auto"/>
        <w:ind w:left="420"/>
        <w:jc w:val="both"/>
        <w:rPr>
          <w:sz w:val="20"/>
          <w:szCs w:val="20"/>
        </w:rPr>
      </w:pPr>
      <w:r>
        <w:rPr>
          <w:rFonts w:eastAsia="Times New Roman"/>
          <w:sz w:val="19"/>
          <w:szCs w:val="19"/>
        </w:rPr>
        <w:t xml:space="preserve">The Company provides a fixed </w:t>
      </w:r>
      <w:r>
        <w:rPr>
          <w:rFonts w:eastAsia="Times New Roman"/>
          <w:sz w:val="19"/>
          <w:szCs w:val="19"/>
        </w:rPr>
        <w:t>level of cash compensation to attract and retain high-caliber talent. Base salary in the form of cash compensates executives for their primary roles and responsibilities. An executive’s actual salary is dependent on factors such as the executive’s role (in</w:t>
      </w:r>
      <w:r>
        <w:rPr>
          <w:rFonts w:eastAsia="Times New Roman"/>
          <w:sz w:val="19"/>
          <w:szCs w:val="19"/>
        </w:rPr>
        <w:t>cluding the market value of the role), level of responsibility, experience, individual performance and future potential. The Compensation Committee annually reviews salary levels of the Company’s executive officers</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41856"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65" w:lineRule="auto"/>
        <w:ind w:right="20"/>
        <w:jc w:val="both"/>
        <w:rPr>
          <w:sz w:val="20"/>
          <w:szCs w:val="20"/>
        </w:rPr>
      </w:pPr>
      <w:r>
        <w:rPr>
          <w:rFonts w:eastAsia="Times New Roman"/>
          <w:sz w:val="19"/>
          <w:szCs w:val="19"/>
        </w:rPr>
        <w:t>to maintai</w:t>
      </w:r>
      <w:r>
        <w:rPr>
          <w:rFonts w:eastAsia="Times New Roman"/>
          <w:sz w:val="19"/>
          <w:szCs w:val="19"/>
        </w:rPr>
        <w:t>n market competitiveness and reflect their evolving responsibilities.</w:t>
      </w:r>
    </w:p>
    <w:p w:rsidR="00CC2C66" w:rsidRDefault="00CC2C66">
      <w:pPr>
        <w:spacing w:line="189" w:lineRule="exact"/>
        <w:rPr>
          <w:sz w:val="20"/>
          <w:szCs w:val="20"/>
        </w:rPr>
      </w:pPr>
    </w:p>
    <w:p w:rsidR="00CC2C66" w:rsidRDefault="00F80B74">
      <w:pPr>
        <w:rPr>
          <w:sz w:val="20"/>
          <w:szCs w:val="20"/>
        </w:rPr>
      </w:pPr>
      <w:r>
        <w:rPr>
          <w:rFonts w:eastAsia="Times New Roman"/>
          <w:b/>
          <w:bCs/>
          <w:i/>
          <w:iCs/>
          <w:color w:val="CF0A2C"/>
          <w:sz w:val="19"/>
          <w:szCs w:val="19"/>
        </w:rPr>
        <w:t>Annual Performance-Based Cash Bonuses</w:t>
      </w:r>
    </w:p>
    <w:p w:rsidR="00CC2C66" w:rsidRDefault="00CC2C66">
      <w:pPr>
        <w:spacing w:line="247" w:lineRule="exact"/>
        <w:rPr>
          <w:sz w:val="20"/>
          <w:szCs w:val="20"/>
        </w:rPr>
      </w:pPr>
    </w:p>
    <w:p w:rsidR="00CC2C66" w:rsidRDefault="00F80B74">
      <w:pPr>
        <w:spacing w:line="247" w:lineRule="auto"/>
        <w:jc w:val="both"/>
        <w:rPr>
          <w:sz w:val="20"/>
          <w:szCs w:val="20"/>
        </w:rPr>
      </w:pPr>
      <w:r>
        <w:rPr>
          <w:rFonts w:eastAsia="Times New Roman"/>
          <w:sz w:val="19"/>
          <w:szCs w:val="19"/>
        </w:rPr>
        <w:t>The principal purpose of our cash-based annual incentive program is to motivate and reward short-term team and individual performance. The followi</w:t>
      </w:r>
      <w:r>
        <w:rPr>
          <w:rFonts w:eastAsia="Times New Roman"/>
          <w:sz w:val="19"/>
          <w:szCs w:val="19"/>
        </w:rPr>
        <w:t>ng is the formula used to calculate 2021 annual performance-based cash bonuses:</w:t>
      </w:r>
    </w:p>
    <w:p w:rsidR="00CC2C66" w:rsidRDefault="00CC2C66">
      <w:pPr>
        <w:spacing w:line="597" w:lineRule="exact"/>
        <w:rPr>
          <w:sz w:val="20"/>
          <w:szCs w:val="20"/>
        </w:rPr>
      </w:pP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CC2C66">
      <w:pPr>
        <w:spacing w:line="203" w:lineRule="exact"/>
        <w:rPr>
          <w:sz w:val="20"/>
          <w:szCs w:val="20"/>
        </w:rPr>
      </w:pPr>
    </w:p>
    <w:tbl>
      <w:tblPr>
        <w:tblW w:w="0" w:type="auto"/>
        <w:tblInd w:w="950" w:type="dxa"/>
        <w:tblLayout w:type="fixed"/>
        <w:tblCellMar>
          <w:left w:w="0" w:type="dxa"/>
          <w:right w:w="0" w:type="dxa"/>
        </w:tblCellMar>
        <w:tblLook w:val="04A0" w:firstRow="1" w:lastRow="0" w:firstColumn="1" w:lastColumn="0" w:noHBand="0" w:noVBand="1"/>
      </w:tblPr>
      <w:tblGrid>
        <w:gridCol w:w="1760"/>
        <w:gridCol w:w="240"/>
        <w:gridCol w:w="1660"/>
        <w:gridCol w:w="240"/>
        <w:gridCol w:w="1620"/>
        <w:gridCol w:w="240"/>
        <w:gridCol w:w="1620"/>
        <w:gridCol w:w="240"/>
        <w:gridCol w:w="1780"/>
        <w:gridCol w:w="30"/>
      </w:tblGrid>
      <w:tr w:rsidR="00CC2C66">
        <w:trPr>
          <w:trHeight w:val="584"/>
        </w:trPr>
        <w:tc>
          <w:tcPr>
            <w:tcW w:w="1760" w:type="dxa"/>
            <w:tcBorders>
              <w:top w:val="single" w:sz="8" w:space="0" w:color="CF0A2C"/>
              <w:left w:val="single" w:sz="8" w:space="0" w:color="CF0A2C"/>
              <w:right w:val="single" w:sz="8" w:space="0" w:color="CF0A2C"/>
            </w:tcBorders>
            <w:shd w:val="clear" w:color="auto" w:fill="FAE6E9"/>
            <w:vAlign w:val="bottom"/>
          </w:tcPr>
          <w:p w:rsidR="00CC2C66" w:rsidRDefault="00CC2C66">
            <w:pPr>
              <w:rPr>
                <w:sz w:val="24"/>
                <w:szCs w:val="24"/>
              </w:rPr>
            </w:pPr>
          </w:p>
        </w:tc>
        <w:tc>
          <w:tcPr>
            <w:tcW w:w="240" w:type="dxa"/>
            <w:tcBorders>
              <w:right w:val="single" w:sz="8" w:space="0" w:color="CF0A2C"/>
            </w:tcBorders>
            <w:vAlign w:val="bottom"/>
          </w:tcPr>
          <w:p w:rsidR="00CC2C66" w:rsidRDefault="00CC2C66">
            <w:pPr>
              <w:rPr>
                <w:sz w:val="24"/>
                <w:szCs w:val="24"/>
              </w:rPr>
            </w:pPr>
          </w:p>
        </w:tc>
        <w:tc>
          <w:tcPr>
            <w:tcW w:w="1660" w:type="dxa"/>
            <w:tcBorders>
              <w:top w:val="single" w:sz="8" w:space="0" w:color="CF0A2C"/>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w w:val="99"/>
                <w:sz w:val="17"/>
                <w:szCs w:val="17"/>
              </w:rPr>
              <w:t>Target Bonus</w:t>
            </w:r>
          </w:p>
        </w:tc>
        <w:tc>
          <w:tcPr>
            <w:tcW w:w="240" w:type="dxa"/>
            <w:tcBorders>
              <w:right w:val="single" w:sz="8" w:space="0" w:color="CF0A2C"/>
            </w:tcBorders>
            <w:vAlign w:val="bottom"/>
          </w:tcPr>
          <w:p w:rsidR="00CC2C66" w:rsidRDefault="00CC2C66">
            <w:pPr>
              <w:rPr>
                <w:sz w:val="24"/>
                <w:szCs w:val="24"/>
              </w:rPr>
            </w:pPr>
          </w:p>
        </w:tc>
        <w:tc>
          <w:tcPr>
            <w:tcW w:w="1620" w:type="dxa"/>
            <w:tcBorders>
              <w:top w:val="single" w:sz="8" w:space="0" w:color="CF0A2C"/>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w w:val="96"/>
                <w:sz w:val="17"/>
                <w:szCs w:val="17"/>
              </w:rPr>
              <w:t>Team</w:t>
            </w:r>
          </w:p>
        </w:tc>
        <w:tc>
          <w:tcPr>
            <w:tcW w:w="240" w:type="dxa"/>
            <w:tcBorders>
              <w:right w:val="single" w:sz="8" w:space="0" w:color="CF0A2C"/>
            </w:tcBorders>
            <w:vAlign w:val="bottom"/>
          </w:tcPr>
          <w:p w:rsidR="00CC2C66" w:rsidRDefault="00CC2C66">
            <w:pPr>
              <w:rPr>
                <w:sz w:val="24"/>
                <w:szCs w:val="24"/>
              </w:rPr>
            </w:pPr>
          </w:p>
        </w:tc>
        <w:tc>
          <w:tcPr>
            <w:tcW w:w="1620" w:type="dxa"/>
            <w:tcBorders>
              <w:top w:val="single" w:sz="8" w:space="0" w:color="CF0A2C"/>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sz w:val="17"/>
                <w:szCs w:val="17"/>
              </w:rPr>
              <w:t>Individual</w:t>
            </w:r>
          </w:p>
        </w:tc>
        <w:tc>
          <w:tcPr>
            <w:tcW w:w="240" w:type="dxa"/>
            <w:tcBorders>
              <w:right w:val="single" w:sz="8" w:space="0" w:color="CF0A2C"/>
            </w:tcBorders>
            <w:vAlign w:val="bottom"/>
          </w:tcPr>
          <w:p w:rsidR="00CC2C66" w:rsidRDefault="00CC2C66">
            <w:pPr>
              <w:rPr>
                <w:sz w:val="24"/>
                <w:szCs w:val="24"/>
              </w:rPr>
            </w:pPr>
          </w:p>
        </w:tc>
        <w:tc>
          <w:tcPr>
            <w:tcW w:w="1780" w:type="dxa"/>
            <w:tcBorders>
              <w:top w:val="single" w:sz="8" w:space="0" w:color="CF0A2C"/>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w w:val="97"/>
                <w:sz w:val="17"/>
                <w:szCs w:val="17"/>
              </w:rPr>
              <w:t>Final</w:t>
            </w:r>
          </w:p>
        </w:tc>
        <w:tc>
          <w:tcPr>
            <w:tcW w:w="0" w:type="dxa"/>
            <w:vAlign w:val="bottom"/>
          </w:tcPr>
          <w:p w:rsidR="00CC2C66" w:rsidRDefault="00CC2C66">
            <w:pPr>
              <w:rPr>
                <w:sz w:val="1"/>
                <w:szCs w:val="1"/>
              </w:rPr>
            </w:pPr>
          </w:p>
        </w:tc>
      </w:tr>
      <w:tr w:rsidR="00CC2C66">
        <w:trPr>
          <w:trHeight w:val="192"/>
        </w:trPr>
        <w:tc>
          <w:tcPr>
            <w:tcW w:w="1760" w:type="dxa"/>
            <w:vMerge w:val="restart"/>
            <w:tcBorders>
              <w:left w:val="single" w:sz="8" w:space="0" w:color="CF0A2C"/>
              <w:right w:val="single" w:sz="8" w:space="0" w:color="CF0A2C"/>
            </w:tcBorders>
            <w:shd w:val="clear" w:color="auto" w:fill="FAE6E9"/>
            <w:vAlign w:val="bottom"/>
          </w:tcPr>
          <w:p w:rsidR="00CC2C66" w:rsidRDefault="00F80B74">
            <w:pPr>
              <w:ind w:left="460"/>
              <w:rPr>
                <w:sz w:val="20"/>
                <w:szCs w:val="20"/>
              </w:rPr>
            </w:pPr>
            <w:r>
              <w:rPr>
                <w:rFonts w:ascii="Arial" w:eastAsia="Arial" w:hAnsi="Arial" w:cs="Arial"/>
                <w:color w:val="CF0A2C"/>
                <w:sz w:val="17"/>
                <w:szCs w:val="17"/>
              </w:rPr>
              <w:t>Base Salary</w:t>
            </w:r>
          </w:p>
        </w:tc>
        <w:tc>
          <w:tcPr>
            <w:tcW w:w="240" w:type="dxa"/>
            <w:vMerge w:val="restart"/>
            <w:tcBorders>
              <w:right w:val="single" w:sz="8" w:space="0" w:color="CF0A2C"/>
            </w:tcBorders>
            <w:vAlign w:val="bottom"/>
          </w:tcPr>
          <w:p w:rsidR="00CC2C66" w:rsidRDefault="00F80B74">
            <w:pPr>
              <w:jc w:val="right"/>
              <w:rPr>
                <w:sz w:val="20"/>
                <w:szCs w:val="20"/>
              </w:rPr>
            </w:pPr>
            <w:r>
              <w:rPr>
                <w:rFonts w:ascii="Arial" w:eastAsia="Arial" w:hAnsi="Arial" w:cs="Arial"/>
                <w:color w:val="CF0A2C"/>
                <w:sz w:val="17"/>
                <w:szCs w:val="17"/>
              </w:rPr>
              <w:t>×</w:t>
            </w:r>
          </w:p>
        </w:tc>
        <w:tc>
          <w:tcPr>
            <w:tcW w:w="1660" w:type="dxa"/>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w w:val="98"/>
                <w:sz w:val="17"/>
                <w:szCs w:val="17"/>
              </w:rPr>
              <w:t>Percentage</w:t>
            </w:r>
          </w:p>
        </w:tc>
        <w:tc>
          <w:tcPr>
            <w:tcW w:w="240" w:type="dxa"/>
            <w:vMerge w:val="restart"/>
            <w:tcBorders>
              <w:right w:val="single" w:sz="8" w:space="0" w:color="CF0A2C"/>
            </w:tcBorders>
            <w:vAlign w:val="bottom"/>
          </w:tcPr>
          <w:p w:rsidR="00CC2C66" w:rsidRDefault="00F80B74">
            <w:pPr>
              <w:jc w:val="right"/>
              <w:rPr>
                <w:sz w:val="20"/>
                <w:szCs w:val="20"/>
              </w:rPr>
            </w:pPr>
            <w:r>
              <w:rPr>
                <w:rFonts w:ascii="Arial" w:eastAsia="Arial" w:hAnsi="Arial" w:cs="Arial"/>
                <w:color w:val="CF0A2C"/>
                <w:sz w:val="17"/>
                <w:szCs w:val="17"/>
              </w:rPr>
              <w:t>×</w:t>
            </w:r>
          </w:p>
        </w:tc>
        <w:tc>
          <w:tcPr>
            <w:tcW w:w="1620" w:type="dxa"/>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sz w:val="17"/>
                <w:szCs w:val="17"/>
              </w:rPr>
              <w:t>Performance</w:t>
            </w:r>
          </w:p>
        </w:tc>
        <w:tc>
          <w:tcPr>
            <w:tcW w:w="240" w:type="dxa"/>
            <w:vMerge w:val="restart"/>
            <w:tcBorders>
              <w:right w:val="single" w:sz="8" w:space="0" w:color="CF0A2C"/>
            </w:tcBorders>
            <w:vAlign w:val="bottom"/>
          </w:tcPr>
          <w:p w:rsidR="00CC2C66" w:rsidRDefault="00F80B74">
            <w:pPr>
              <w:jc w:val="right"/>
              <w:rPr>
                <w:sz w:val="20"/>
                <w:szCs w:val="20"/>
              </w:rPr>
            </w:pPr>
            <w:r>
              <w:rPr>
                <w:rFonts w:ascii="Arial" w:eastAsia="Arial" w:hAnsi="Arial" w:cs="Arial"/>
                <w:color w:val="CF0A2C"/>
                <w:sz w:val="17"/>
                <w:szCs w:val="17"/>
              </w:rPr>
              <w:t>×</w:t>
            </w:r>
          </w:p>
        </w:tc>
        <w:tc>
          <w:tcPr>
            <w:tcW w:w="1620" w:type="dxa"/>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w w:val="98"/>
                <w:sz w:val="17"/>
                <w:szCs w:val="17"/>
              </w:rPr>
              <w:t>Performance</w:t>
            </w:r>
          </w:p>
        </w:tc>
        <w:tc>
          <w:tcPr>
            <w:tcW w:w="240" w:type="dxa"/>
            <w:vMerge w:val="restart"/>
            <w:tcBorders>
              <w:right w:val="single" w:sz="8" w:space="0" w:color="CF0A2C"/>
            </w:tcBorders>
            <w:vAlign w:val="bottom"/>
          </w:tcPr>
          <w:p w:rsidR="00CC2C66" w:rsidRDefault="00F80B74">
            <w:pPr>
              <w:jc w:val="right"/>
              <w:rPr>
                <w:sz w:val="20"/>
                <w:szCs w:val="20"/>
              </w:rPr>
            </w:pPr>
            <w:r>
              <w:rPr>
                <w:rFonts w:ascii="Arial" w:eastAsia="Arial" w:hAnsi="Arial" w:cs="Arial"/>
                <w:color w:val="CF0A2C"/>
                <w:sz w:val="17"/>
                <w:szCs w:val="17"/>
              </w:rPr>
              <w:t>=</w:t>
            </w:r>
          </w:p>
        </w:tc>
        <w:tc>
          <w:tcPr>
            <w:tcW w:w="1780" w:type="dxa"/>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sz w:val="17"/>
                <w:szCs w:val="17"/>
              </w:rPr>
              <w:t>Individual</w:t>
            </w:r>
          </w:p>
        </w:tc>
        <w:tc>
          <w:tcPr>
            <w:tcW w:w="0" w:type="dxa"/>
            <w:vAlign w:val="bottom"/>
          </w:tcPr>
          <w:p w:rsidR="00CC2C66" w:rsidRDefault="00CC2C66">
            <w:pPr>
              <w:rPr>
                <w:sz w:val="1"/>
                <w:szCs w:val="1"/>
              </w:rPr>
            </w:pPr>
          </w:p>
        </w:tc>
      </w:tr>
      <w:tr w:rsidR="00CC2C66">
        <w:trPr>
          <w:trHeight w:val="135"/>
        </w:trPr>
        <w:tc>
          <w:tcPr>
            <w:tcW w:w="1760" w:type="dxa"/>
            <w:vMerge/>
            <w:tcBorders>
              <w:left w:val="single" w:sz="8" w:space="0" w:color="CF0A2C"/>
              <w:right w:val="single" w:sz="8" w:space="0" w:color="CF0A2C"/>
            </w:tcBorders>
            <w:shd w:val="clear" w:color="auto" w:fill="FAE6E9"/>
            <w:vAlign w:val="bottom"/>
          </w:tcPr>
          <w:p w:rsidR="00CC2C66" w:rsidRDefault="00CC2C66">
            <w:pPr>
              <w:rPr>
                <w:sz w:val="11"/>
                <w:szCs w:val="11"/>
              </w:rPr>
            </w:pPr>
          </w:p>
        </w:tc>
        <w:tc>
          <w:tcPr>
            <w:tcW w:w="240" w:type="dxa"/>
            <w:vMerge/>
            <w:tcBorders>
              <w:right w:val="single" w:sz="8" w:space="0" w:color="CF0A2C"/>
            </w:tcBorders>
            <w:vAlign w:val="bottom"/>
          </w:tcPr>
          <w:p w:rsidR="00CC2C66" w:rsidRDefault="00CC2C66">
            <w:pPr>
              <w:rPr>
                <w:sz w:val="11"/>
                <w:szCs w:val="11"/>
              </w:rPr>
            </w:pPr>
          </w:p>
        </w:tc>
        <w:tc>
          <w:tcPr>
            <w:tcW w:w="1660" w:type="dxa"/>
            <w:vMerge w:val="restart"/>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w w:val="99"/>
                <w:sz w:val="17"/>
                <w:szCs w:val="17"/>
              </w:rPr>
              <w:t>(As a % of</w:t>
            </w:r>
          </w:p>
        </w:tc>
        <w:tc>
          <w:tcPr>
            <w:tcW w:w="240" w:type="dxa"/>
            <w:vMerge/>
            <w:tcBorders>
              <w:right w:val="single" w:sz="8" w:space="0" w:color="CF0A2C"/>
            </w:tcBorders>
            <w:vAlign w:val="bottom"/>
          </w:tcPr>
          <w:p w:rsidR="00CC2C66" w:rsidRDefault="00CC2C66">
            <w:pPr>
              <w:rPr>
                <w:sz w:val="11"/>
                <w:szCs w:val="11"/>
              </w:rPr>
            </w:pPr>
          </w:p>
        </w:tc>
        <w:tc>
          <w:tcPr>
            <w:tcW w:w="1620" w:type="dxa"/>
            <w:vMerge w:val="restart"/>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w w:val="99"/>
                <w:sz w:val="17"/>
                <w:szCs w:val="17"/>
              </w:rPr>
              <w:t>Factor</w:t>
            </w:r>
          </w:p>
        </w:tc>
        <w:tc>
          <w:tcPr>
            <w:tcW w:w="240" w:type="dxa"/>
            <w:vMerge/>
            <w:tcBorders>
              <w:right w:val="single" w:sz="8" w:space="0" w:color="CF0A2C"/>
            </w:tcBorders>
            <w:vAlign w:val="bottom"/>
          </w:tcPr>
          <w:p w:rsidR="00CC2C66" w:rsidRDefault="00CC2C66">
            <w:pPr>
              <w:rPr>
                <w:sz w:val="11"/>
                <w:szCs w:val="11"/>
              </w:rPr>
            </w:pPr>
          </w:p>
        </w:tc>
        <w:tc>
          <w:tcPr>
            <w:tcW w:w="1620" w:type="dxa"/>
            <w:vMerge w:val="restart"/>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w w:val="99"/>
                <w:sz w:val="17"/>
                <w:szCs w:val="17"/>
              </w:rPr>
              <w:t>Factor</w:t>
            </w:r>
          </w:p>
        </w:tc>
        <w:tc>
          <w:tcPr>
            <w:tcW w:w="240" w:type="dxa"/>
            <w:vMerge/>
            <w:tcBorders>
              <w:right w:val="single" w:sz="8" w:space="0" w:color="CF0A2C"/>
            </w:tcBorders>
            <w:vAlign w:val="bottom"/>
          </w:tcPr>
          <w:p w:rsidR="00CC2C66" w:rsidRDefault="00CC2C66">
            <w:pPr>
              <w:rPr>
                <w:sz w:val="11"/>
                <w:szCs w:val="11"/>
              </w:rPr>
            </w:pPr>
          </w:p>
        </w:tc>
        <w:tc>
          <w:tcPr>
            <w:tcW w:w="1780" w:type="dxa"/>
            <w:vMerge w:val="restart"/>
            <w:tcBorders>
              <w:right w:val="single" w:sz="8" w:space="0" w:color="CF0A2C"/>
            </w:tcBorders>
            <w:shd w:val="clear" w:color="auto" w:fill="FAE6E9"/>
            <w:vAlign w:val="bottom"/>
          </w:tcPr>
          <w:p w:rsidR="00CC2C66" w:rsidRDefault="00F80B74">
            <w:pPr>
              <w:spacing w:line="192" w:lineRule="exact"/>
              <w:jc w:val="center"/>
              <w:rPr>
                <w:sz w:val="20"/>
                <w:szCs w:val="20"/>
              </w:rPr>
            </w:pPr>
            <w:r>
              <w:rPr>
                <w:rFonts w:ascii="Arial" w:eastAsia="Arial" w:hAnsi="Arial" w:cs="Arial"/>
                <w:color w:val="CF0A2C"/>
                <w:sz w:val="17"/>
                <w:szCs w:val="17"/>
              </w:rPr>
              <w:t>Performance</w:t>
            </w:r>
          </w:p>
        </w:tc>
        <w:tc>
          <w:tcPr>
            <w:tcW w:w="0" w:type="dxa"/>
            <w:vAlign w:val="bottom"/>
          </w:tcPr>
          <w:p w:rsidR="00CC2C66" w:rsidRDefault="00CC2C66">
            <w:pPr>
              <w:rPr>
                <w:sz w:val="1"/>
                <w:szCs w:val="1"/>
              </w:rPr>
            </w:pPr>
          </w:p>
        </w:tc>
      </w:tr>
      <w:tr w:rsidR="00CC2C66">
        <w:trPr>
          <w:trHeight w:val="57"/>
        </w:trPr>
        <w:tc>
          <w:tcPr>
            <w:tcW w:w="1760" w:type="dxa"/>
            <w:tcBorders>
              <w:left w:val="single" w:sz="8" w:space="0" w:color="CF0A2C"/>
              <w:right w:val="single" w:sz="8" w:space="0" w:color="CF0A2C"/>
            </w:tcBorders>
            <w:shd w:val="clear" w:color="auto" w:fill="FAE6E9"/>
            <w:vAlign w:val="bottom"/>
          </w:tcPr>
          <w:p w:rsidR="00CC2C66" w:rsidRDefault="00CC2C66">
            <w:pPr>
              <w:rPr>
                <w:sz w:val="4"/>
                <w:szCs w:val="4"/>
              </w:rPr>
            </w:pPr>
          </w:p>
        </w:tc>
        <w:tc>
          <w:tcPr>
            <w:tcW w:w="240" w:type="dxa"/>
            <w:tcBorders>
              <w:right w:val="single" w:sz="8" w:space="0" w:color="CF0A2C"/>
            </w:tcBorders>
            <w:vAlign w:val="bottom"/>
          </w:tcPr>
          <w:p w:rsidR="00CC2C66" w:rsidRDefault="00CC2C66">
            <w:pPr>
              <w:rPr>
                <w:sz w:val="4"/>
                <w:szCs w:val="4"/>
              </w:rPr>
            </w:pPr>
          </w:p>
        </w:tc>
        <w:tc>
          <w:tcPr>
            <w:tcW w:w="1660" w:type="dxa"/>
            <w:vMerge/>
            <w:tcBorders>
              <w:right w:val="single" w:sz="8" w:space="0" w:color="CF0A2C"/>
            </w:tcBorders>
            <w:shd w:val="clear" w:color="auto" w:fill="FAE6E9"/>
            <w:vAlign w:val="bottom"/>
          </w:tcPr>
          <w:p w:rsidR="00CC2C66" w:rsidRDefault="00CC2C66">
            <w:pPr>
              <w:rPr>
                <w:sz w:val="4"/>
                <w:szCs w:val="4"/>
              </w:rPr>
            </w:pPr>
          </w:p>
        </w:tc>
        <w:tc>
          <w:tcPr>
            <w:tcW w:w="240" w:type="dxa"/>
            <w:tcBorders>
              <w:right w:val="single" w:sz="8" w:space="0" w:color="CF0A2C"/>
            </w:tcBorders>
            <w:vAlign w:val="bottom"/>
          </w:tcPr>
          <w:p w:rsidR="00CC2C66" w:rsidRDefault="00CC2C66">
            <w:pPr>
              <w:rPr>
                <w:sz w:val="4"/>
                <w:szCs w:val="4"/>
              </w:rPr>
            </w:pPr>
          </w:p>
        </w:tc>
        <w:tc>
          <w:tcPr>
            <w:tcW w:w="1620" w:type="dxa"/>
            <w:vMerge/>
            <w:tcBorders>
              <w:right w:val="single" w:sz="8" w:space="0" w:color="CF0A2C"/>
            </w:tcBorders>
            <w:shd w:val="clear" w:color="auto" w:fill="FAE6E9"/>
            <w:vAlign w:val="bottom"/>
          </w:tcPr>
          <w:p w:rsidR="00CC2C66" w:rsidRDefault="00CC2C66">
            <w:pPr>
              <w:rPr>
                <w:sz w:val="4"/>
                <w:szCs w:val="4"/>
              </w:rPr>
            </w:pPr>
          </w:p>
        </w:tc>
        <w:tc>
          <w:tcPr>
            <w:tcW w:w="240" w:type="dxa"/>
            <w:tcBorders>
              <w:right w:val="single" w:sz="8" w:space="0" w:color="CF0A2C"/>
            </w:tcBorders>
            <w:vAlign w:val="bottom"/>
          </w:tcPr>
          <w:p w:rsidR="00CC2C66" w:rsidRDefault="00CC2C66">
            <w:pPr>
              <w:rPr>
                <w:sz w:val="4"/>
                <w:szCs w:val="4"/>
              </w:rPr>
            </w:pPr>
          </w:p>
        </w:tc>
        <w:tc>
          <w:tcPr>
            <w:tcW w:w="1620" w:type="dxa"/>
            <w:vMerge/>
            <w:tcBorders>
              <w:right w:val="single" w:sz="8" w:space="0" w:color="CF0A2C"/>
            </w:tcBorders>
            <w:shd w:val="clear" w:color="auto" w:fill="FAE6E9"/>
            <w:vAlign w:val="bottom"/>
          </w:tcPr>
          <w:p w:rsidR="00CC2C66" w:rsidRDefault="00CC2C66">
            <w:pPr>
              <w:rPr>
                <w:sz w:val="4"/>
                <w:szCs w:val="4"/>
              </w:rPr>
            </w:pPr>
          </w:p>
        </w:tc>
        <w:tc>
          <w:tcPr>
            <w:tcW w:w="240" w:type="dxa"/>
            <w:tcBorders>
              <w:right w:val="single" w:sz="8" w:space="0" w:color="CF0A2C"/>
            </w:tcBorders>
            <w:vAlign w:val="bottom"/>
          </w:tcPr>
          <w:p w:rsidR="00CC2C66" w:rsidRDefault="00CC2C66">
            <w:pPr>
              <w:rPr>
                <w:sz w:val="4"/>
                <w:szCs w:val="4"/>
              </w:rPr>
            </w:pPr>
          </w:p>
        </w:tc>
        <w:tc>
          <w:tcPr>
            <w:tcW w:w="1780" w:type="dxa"/>
            <w:vMerge/>
            <w:tcBorders>
              <w:right w:val="single" w:sz="8" w:space="0" w:color="CF0A2C"/>
            </w:tcBorders>
            <w:shd w:val="clear" w:color="auto" w:fill="FAE6E9"/>
            <w:vAlign w:val="bottom"/>
          </w:tcPr>
          <w:p w:rsidR="00CC2C66" w:rsidRDefault="00CC2C66">
            <w:pPr>
              <w:rPr>
                <w:sz w:val="4"/>
                <w:szCs w:val="4"/>
              </w:rPr>
            </w:pPr>
          </w:p>
        </w:tc>
        <w:tc>
          <w:tcPr>
            <w:tcW w:w="0" w:type="dxa"/>
            <w:vAlign w:val="bottom"/>
          </w:tcPr>
          <w:p w:rsidR="00CC2C66" w:rsidRDefault="00CC2C66">
            <w:pPr>
              <w:rPr>
                <w:sz w:val="1"/>
                <w:szCs w:val="1"/>
              </w:rPr>
            </w:pPr>
          </w:p>
        </w:tc>
      </w:tr>
      <w:tr w:rsidR="00CC2C66">
        <w:trPr>
          <w:trHeight w:val="224"/>
        </w:trPr>
        <w:tc>
          <w:tcPr>
            <w:tcW w:w="1760" w:type="dxa"/>
            <w:tcBorders>
              <w:left w:val="single" w:sz="8" w:space="0" w:color="CF0A2C"/>
              <w:right w:val="single" w:sz="8" w:space="0" w:color="CF0A2C"/>
            </w:tcBorders>
            <w:shd w:val="clear" w:color="auto" w:fill="FAE6E9"/>
            <w:vAlign w:val="bottom"/>
          </w:tcPr>
          <w:p w:rsidR="00CC2C66" w:rsidRDefault="00CC2C66">
            <w:pPr>
              <w:rPr>
                <w:sz w:val="19"/>
                <w:szCs w:val="19"/>
              </w:rPr>
            </w:pPr>
          </w:p>
        </w:tc>
        <w:tc>
          <w:tcPr>
            <w:tcW w:w="240" w:type="dxa"/>
            <w:tcBorders>
              <w:right w:val="single" w:sz="8" w:space="0" w:color="CF0A2C"/>
            </w:tcBorders>
            <w:vAlign w:val="bottom"/>
          </w:tcPr>
          <w:p w:rsidR="00CC2C66" w:rsidRDefault="00CC2C66">
            <w:pPr>
              <w:rPr>
                <w:sz w:val="19"/>
                <w:szCs w:val="19"/>
              </w:rPr>
            </w:pPr>
          </w:p>
        </w:tc>
        <w:tc>
          <w:tcPr>
            <w:tcW w:w="1660" w:type="dxa"/>
            <w:tcBorders>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sz w:val="17"/>
                <w:szCs w:val="17"/>
              </w:rPr>
              <w:t>Base Salary)</w:t>
            </w:r>
          </w:p>
        </w:tc>
        <w:tc>
          <w:tcPr>
            <w:tcW w:w="240" w:type="dxa"/>
            <w:tcBorders>
              <w:right w:val="single" w:sz="8" w:space="0" w:color="CF0A2C"/>
            </w:tcBorders>
            <w:vAlign w:val="bottom"/>
          </w:tcPr>
          <w:p w:rsidR="00CC2C66" w:rsidRDefault="00CC2C66">
            <w:pPr>
              <w:rPr>
                <w:sz w:val="19"/>
                <w:szCs w:val="19"/>
              </w:rPr>
            </w:pPr>
          </w:p>
        </w:tc>
        <w:tc>
          <w:tcPr>
            <w:tcW w:w="1620" w:type="dxa"/>
            <w:tcBorders>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sz w:val="17"/>
                <w:szCs w:val="17"/>
              </w:rPr>
              <w:t>(0%-200%)</w:t>
            </w:r>
          </w:p>
        </w:tc>
        <w:tc>
          <w:tcPr>
            <w:tcW w:w="240" w:type="dxa"/>
            <w:tcBorders>
              <w:right w:val="single" w:sz="8" w:space="0" w:color="CF0A2C"/>
            </w:tcBorders>
            <w:vAlign w:val="bottom"/>
          </w:tcPr>
          <w:p w:rsidR="00CC2C66" w:rsidRDefault="00CC2C66">
            <w:pPr>
              <w:rPr>
                <w:sz w:val="19"/>
                <w:szCs w:val="19"/>
              </w:rPr>
            </w:pPr>
          </w:p>
        </w:tc>
        <w:tc>
          <w:tcPr>
            <w:tcW w:w="1620" w:type="dxa"/>
            <w:tcBorders>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w w:val="98"/>
                <w:sz w:val="17"/>
                <w:szCs w:val="17"/>
              </w:rPr>
              <w:t>(0%-150%)</w:t>
            </w:r>
          </w:p>
        </w:tc>
        <w:tc>
          <w:tcPr>
            <w:tcW w:w="240" w:type="dxa"/>
            <w:tcBorders>
              <w:right w:val="single" w:sz="8" w:space="0" w:color="CF0A2C"/>
            </w:tcBorders>
            <w:vAlign w:val="bottom"/>
          </w:tcPr>
          <w:p w:rsidR="00CC2C66" w:rsidRDefault="00CC2C66">
            <w:pPr>
              <w:rPr>
                <w:sz w:val="19"/>
                <w:szCs w:val="19"/>
              </w:rPr>
            </w:pPr>
          </w:p>
        </w:tc>
        <w:tc>
          <w:tcPr>
            <w:tcW w:w="1780" w:type="dxa"/>
            <w:tcBorders>
              <w:right w:val="single" w:sz="8" w:space="0" w:color="CF0A2C"/>
            </w:tcBorders>
            <w:shd w:val="clear" w:color="auto" w:fill="FAE6E9"/>
            <w:vAlign w:val="bottom"/>
          </w:tcPr>
          <w:p w:rsidR="00CC2C66" w:rsidRDefault="00F80B74">
            <w:pPr>
              <w:jc w:val="center"/>
              <w:rPr>
                <w:sz w:val="20"/>
                <w:szCs w:val="20"/>
              </w:rPr>
            </w:pPr>
            <w:r>
              <w:rPr>
                <w:rFonts w:ascii="Arial" w:eastAsia="Arial" w:hAnsi="Arial" w:cs="Arial"/>
                <w:color w:val="CF0A2C"/>
                <w:sz w:val="17"/>
                <w:szCs w:val="17"/>
              </w:rPr>
              <w:t>Bonus Payout</w:t>
            </w:r>
          </w:p>
        </w:tc>
        <w:tc>
          <w:tcPr>
            <w:tcW w:w="0" w:type="dxa"/>
            <w:vAlign w:val="bottom"/>
          </w:tcPr>
          <w:p w:rsidR="00CC2C66" w:rsidRDefault="00CC2C66">
            <w:pPr>
              <w:rPr>
                <w:sz w:val="1"/>
                <w:szCs w:val="1"/>
              </w:rPr>
            </w:pPr>
          </w:p>
        </w:tc>
      </w:tr>
      <w:tr w:rsidR="00CC2C66">
        <w:trPr>
          <w:trHeight w:val="393"/>
        </w:trPr>
        <w:tc>
          <w:tcPr>
            <w:tcW w:w="1760" w:type="dxa"/>
            <w:tcBorders>
              <w:left w:val="single" w:sz="8" w:space="0" w:color="CF0A2C"/>
              <w:bottom w:val="single" w:sz="8" w:space="0" w:color="CF0A2C"/>
              <w:right w:val="single" w:sz="8" w:space="0" w:color="CF0A2C"/>
            </w:tcBorders>
            <w:shd w:val="clear" w:color="auto" w:fill="FAE6E9"/>
            <w:vAlign w:val="bottom"/>
          </w:tcPr>
          <w:p w:rsidR="00CC2C66" w:rsidRDefault="00CC2C66">
            <w:pPr>
              <w:rPr>
                <w:sz w:val="24"/>
                <w:szCs w:val="24"/>
              </w:rPr>
            </w:pPr>
          </w:p>
        </w:tc>
        <w:tc>
          <w:tcPr>
            <w:tcW w:w="240" w:type="dxa"/>
            <w:tcBorders>
              <w:right w:val="single" w:sz="8" w:space="0" w:color="CF0A2C"/>
            </w:tcBorders>
            <w:vAlign w:val="bottom"/>
          </w:tcPr>
          <w:p w:rsidR="00CC2C66" w:rsidRDefault="00CC2C66">
            <w:pPr>
              <w:rPr>
                <w:sz w:val="24"/>
                <w:szCs w:val="24"/>
              </w:rPr>
            </w:pPr>
          </w:p>
        </w:tc>
        <w:tc>
          <w:tcPr>
            <w:tcW w:w="1660" w:type="dxa"/>
            <w:tcBorders>
              <w:bottom w:val="single" w:sz="8" w:space="0" w:color="CF0A2C"/>
              <w:right w:val="single" w:sz="8" w:space="0" w:color="CF0A2C"/>
            </w:tcBorders>
            <w:shd w:val="clear" w:color="auto" w:fill="FAE6E9"/>
            <w:vAlign w:val="bottom"/>
          </w:tcPr>
          <w:p w:rsidR="00CC2C66" w:rsidRDefault="00CC2C66">
            <w:pPr>
              <w:rPr>
                <w:sz w:val="24"/>
                <w:szCs w:val="24"/>
              </w:rPr>
            </w:pPr>
          </w:p>
        </w:tc>
        <w:tc>
          <w:tcPr>
            <w:tcW w:w="240" w:type="dxa"/>
            <w:tcBorders>
              <w:right w:val="single" w:sz="8" w:space="0" w:color="CF0A2C"/>
            </w:tcBorders>
            <w:vAlign w:val="bottom"/>
          </w:tcPr>
          <w:p w:rsidR="00CC2C66" w:rsidRDefault="00CC2C66">
            <w:pPr>
              <w:rPr>
                <w:sz w:val="24"/>
                <w:szCs w:val="24"/>
              </w:rPr>
            </w:pPr>
          </w:p>
        </w:tc>
        <w:tc>
          <w:tcPr>
            <w:tcW w:w="1620" w:type="dxa"/>
            <w:tcBorders>
              <w:bottom w:val="single" w:sz="8" w:space="0" w:color="CF0A2C"/>
              <w:right w:val="single" w:sz="8" w:space="0" w:color="CF0A2C"/>
            </w:tcBorders>
            <w:shd w:val="clear" w:color="auto" w:fill="FAE6E9"/>
            <w:vAlign w:val="bottom"/>
          </w:tcPr>
          <w:p w:rsidR="00CC2C66" w:rsidRDefault="00CC2C66">
            <w:pPr>
              <w:rPr>
                <w:sz w:val="24"/>
                <w:szCs w:val="24"/>
              </w:rPr>
            </w:pPr>
          </w:p>
        </w:tc>
        <w:tc>
          <w:tcPr>
            <w:tcW w:w="240" w:type="dxa"/>
            <w:tcBorders>
              <w:right w:val="single" w:sz="8" w:space="0" w:color="CF0A2C"/>
            </w:tcBorders>
            <w:vAlign w:val="bottom"/>
          </w:tcPr>
          <w:p w:rsidR="00CC2C66" w:rsidRDefault="00CC2C66">
            <w:pPr>
              <w:rPr>
                <w:sz w:val="24"/>
                <w:szCs w:val="24"/>
              </w:rPr>
            </w:pPr>
          </w:p>
        </w:tc>
        <w:tc>
          <w:tcPr>
            <w:tcW w:w="1620" w:type="dxa"/>
            <w:tcBorders>
              <w:bottom w:val="single" w:sz="8" w:space="0" w:color="CF0A2C"/>
              <w:right w:val="single" w:sz="8" w:space="0" w:color="CF0A2C"/>
            </w:tcBorders>
            <w:shd w:val="clear" w:color="auto" w:fill="FAE6E9"/>
            <w:vAlign w:val="bottom"/>
          </w:tcPr>
          <w:p w:rsidR="00CC2C66" w:rsidRDefault="00CC2C66">
            <w:pPr>
              <w:rPr>
                <w:sz w:val="24"/>
                <w:szCs w:val="24"/>
              </w:rPr>
            </w:pPr>
          </w:p>
        </w:tc>
        <w:tc>
          <w:tcPr>
            <w:tcW w:w="240" w:type="dxa"/>
            <w:tcBorders>
              <w:right w:val="single" w:sz="8" w:space="0" w:color="CF0A2C"/>
            </w:tcBorders>
            <w:vAlign w:val="bottom"/>
          </w:tcPr>
          <w:p w:rsidR="00CC2C66" w:rsidRDefault="00CC2C66">
            <w:pPr>
              <w:rPr>
                <w:sz w:val="24"/>
                <w:szCs w:val="24"/>
              </w:rPr>
            </w:pPr>
          </w:p>
        </w:tc>
        <w:tc>
          <w:tcPr>
            <w:tcW w:w="1780" w:type="dxa"/>
            <w:tcBorders>
              <w:bottom w:val="single" w:sz="8" w:space="0" w:color="CF0A2C"/>
              <w:right w:val="single" w:sz="8" w:space="0" w:color="CF0A2C"/>
            </w:tcBorders>
            <w:shd w:val="clear" w:color="auto" w:fill="FAE6E9"/>
            <w:vAlign w:val="bottom"/>
          </w:tcPr>
          <w:p w:rsidR="00CC2C66" w:rsidRDefault="00CC2C66">
            <w:pPr>
              <w:rPr>
                <w:sz w:val="24"/>
                <w:szCs w:val="24"/>
              </w:rPr>
            </w:pPr>
          </w:p>
        </w:tc>
        <w:tc>
          <w:tcPr>
            <w:tcW w:w="0" w:type="dxa"/>
            <w:vAlign w:val="bottom"/>
          </w:tcPr>
          <w:p w:rsidR="00CC2C66" w:rsidRDefault="00CC2C66">
            <w:pPr>
              <w:rPr>
                <w:sz w:val="1"/>
                <w:szCs w:val="1"/>
              </w:rPr>
            </w:pPr>
          </w:p>
        </w:tc>
      </w:tr>
    </w:tbl>
    <w:p w:rsidR="00CC2C66" w:rsidRDefault="00CC2C66">
      <w:pPr>
        <w:spacing w:line="205" w:lineRule="exact"/>
        <w:rPr>
          <w:sz w:val="20"/>
          <w:szCs w:val="20"/>
        </w:rPr>
      </w:pPr>
    </w:p>
    <w:p w:rsidR="00CC2C66" w:rsidRDefault="00F80B74">
      <w:pPr>
        <w:ind w:left="420"/>
        <w:rPr>
          <w:sz w:val="20"/>
          <w:szCs w:val="20"/>
        </w:rPr>
      </w:pPr>
      <w:r>
        <w:rPr>
          <w:rFonts w:eastAsia="Times New Roman"/>
          <w:i/>
          <w:iCs/>
          <w:color w:val="CF0A2C"/>
          <w:sz w:val="19"/>
          <w:szCs w:val="19"/>
        </w:rPr>
        <w:t>Team Performance Factors</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335" w:lineRule="exact"/>
        <w:rPr>
          <w:sz w:val="20"/>
          <w:szCs w:val="20"/>
        </w:rPr>
      </w:pPr>
    </w:p>
    <w:p w:rsidR="00CC2C66" w:rsidRDefault="00F80B74">
      <w:pPr>
        <w:spacing w:line="255" w:lineRule="auto"/>
        <w:ind w:left="420"/>
        <w:jc w:val="both"/>
        <w:rPr>
          <w:sz w:val="20"/>
          <w:szCs w:val="20"/>
        </w:rPr>
      </w:pPr>
      <w:r>
        <w:rPr>
          <w:rFonts w:eastAsia="Times New Roman"/>
          <w:sz w:val="18"/>
          <w:szCs w:val="18"/>
        </w:rPr>
        <w:t>The Compensation Committee reviewed the performance measures used in the annual incentive plan to assess the program’s</w:t>
      </w:r>
      <w:r>
        <w:rPr>
          <w:rFonts w:eastAsia="Times New Roman"/>
          <w:sz w:val="18"/>
          <w:szCs w:val="18"/>
        </w:rPr>
        <w:t xml:space="preserve"> alignment of the incentive payouts with key performance measures of the Company’s overall business and operating segments. The Compensation Committee established the initial team performance measures, targets and weights for the 2021 bonus program at the </w:t>
      </w:r>
      <w:r>
        <w:rPr>
          <w:rFonts w:eastAsia="Times New Roman"/>
          <w:sz w:val="18"/>
          <w:szCs w:val="18"/>
        </w:rPr>
        <w:t>beginning of the year after receiving input and recommendations from management and the Compensation Committee’s compensation consultant. The team performance objectives and targets in 2021 were developed through the Company’s annual financial planning pro</w:t>
      </w:r>
      <w:r>
        <w:rPr>
          <w:rFonts w:eastAsia="Times New Roman"/>
          <w:sz w:val="18"/>
          <w:szCs w:val="18"/>
        </w:rPr>
        <w:t>cess, which took into account growth strategies, historical performance, and the existing and expected future operating environment of the Company.</w:t>
      </w:r>
    </w:p>
    <w:p w:rsidR="00CC2C66" w:rsidRDefault="00CC2C66">
      <w:pPr>
        <w:spacing w:line="207" w:lineRule="exact"/>
        <w:rPr>
          <w:sz w:val="20"/>
          <w:szCs w:val="20"/>
        </w:rPr>
      </w:pPr>
    </w:p>
    <w:p w:rsidR="00CC2C66" w:rsidRDefault="00F80B74">
      <w:pPr>
        <w:spacing w:line="265" w:lineRule="auto"/>
        <w:ind w:left="420"/>
        <w:jc w:val="both"/>
        <w:rPr>
          <w:sz w:val="20"/>
          <w:szCs w:val="20"/>
        </w:rPr>
      </w:pPr>
      <w:r>
        <w:rPr>
          <w:rFonts w:eastAsia="Times New Roman"/>
          <w:sz w:val="19"/>
          <w:szCs w:val="19"/>
        </w:rPr>
        <w:t>At the time the targets were set, the performance targets were designed to be challenging but achievable gi</w:t>
      </w:r>
      <w:r>
        <w:rPr>
          <w:rFonts w:eastAsia="Times New Roman"/>
          <w:sz w:val="19"/>
          <w:szCs w:val="19"/>
        </w:rPr>
        <w:t>ven the</w:t>
      </w:r>
    </w:p>
    <w:p w:rsidR="00CC2C66" w:rsidRDefault="00F80B74">
      <w:pPr>
        <w:spacing w:line="20" w:lineRule="exact"/>
        <w:rPr>
          <w:sz w:val="20"/>
          <w:szCs w:val="20"/>
        </w:rPr>
      </w:pPr>
      <w:r>
        <w:rPr>
          <w:sz w:val="20"/>
          <w:szCs w:val="20"/>
        </w:rPr>
        <w:br w:type="column"/>
      </w:r>
    </w:p>
    <w:p w:rsidR="00CC2C66" w:rsidRDefault="00CC2C66">
      <w:pPr>
        <w:spacing w:line="315" w:lineRule="exact"/>
        <w:rPr>
          <w:sz w:val="20"/>
          <w:szCs w:val="20"/>
        </w:rPr>
      </w:pPr>
    </w:p>
    <w:p w:rsidR="00CC2C66" w:rsidRDefault="00F80B74">
      <w:pPr>
        <w:spacing w:line="241" w:lineRule="auto"/>
        <w:jc w:val="both"/>
        <w:rPr>
          <w:sz w:val="20"/>
          <w:szCs w:val="20"/>
        </w:rPr>
      </w:pPr>
      <w:r>
        <w:rPr>
          <w:rFonts w:eastAsia="Times New Roman"/>
          <w:sz w:val="19"/>
          <w:szCs w:val="19"/>
        </w:rPr>
        <w:t xml:space="preserve">operating environment at the time and with strong management performance. A leverage formula for each team performance measure magnifies the potential impact that performance above or below the performance target will have on the calculation of </w:t>
      </w:r>
      <w:r>
        <w:rPr>
          <w:rFonts w:eastAsia="Times New Roman"/>
          <w:sz w:val="19"/>
          <w:szCs w:val="19"/>
        </w:rPr>
        <w:t xml:space="preserve">the annual bonus. This leverage increases the payouts when targets are exceeded and reduces payouts when performance is below target, with a threshold level of performance required in order for any bonus associated with such metric to be paid and a cap on </w:t>
      </w:r>
      <w:r>
        <w:rPr>
          <w:rFonts w:eastAsia="Times New Roman"/>
          <w:sz w:val="19"/>
          <w:szCs w:val="19"/>
        </w:rPr>
        <w:t>bonus payments.</w:t>
      </w:r>
    </w:p>
    <w:p w:rsidR="00CC2C66" w:rsidRDefault="00CC2C66">
      <w:pPr>
        <w:spacing w:line="223" w:lineRule="exact"/>
        <w:rPr>
          <w:sz w:val="20"/>
          <w:szCs w:val="20"/>
        </w:rPr>
      </w:pPr>
    </w:p>
    <w:p w:rsidR="00CC2C66" w:rsidRDefault="00F80B74">
      <w:pPr>
        <w:spacing w:line="243" w:lineRule="auto"/>
        <w:jc w:val="both"/>
        <w:rPr>
          <w:sz w:val="20"/>
          <w:szCs w:val="20"/>
        </w:rPr>
      </w:pPr>
      <w:r>
        <w:rPr>
          <w:rFonts w:eastAsia="Times New Roman"/>
          <w:sz w:val="19"/>
          <w:szCs w:val="19"/>
        </w:rPr>
        <w:t>The team performance targets and weights for each measure established at the beginning of 2021 for the Company’s NEOs are outlined below. The Company’s performance metrics were established as growth rate goals with 2020 as the base line me</w:t>
      </w:r>
      <w:r>
        <w:rPr>
          <w:rFonts w:eastAsia="Times New Roman"/>
          <w:sz w:val="19"/>
          <w:szCs w:val="19"/>
        </w:rPr>
        <w:t>asure. This methodology required performance better than in 2020 in order to receive a target payout.</w:t>
      </w:r>
    </w:p>
    <w:p w:rsidR="00CC2C66" w:rsidRDefault="00CC2C66">
      <w:pPr>
        <w:spacing w:line="224"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174"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7420"/>
        <w:gridCol w:w="760"/>
        <w:gridCol w:w="920"/>
        <w:gridCol w:w="1020"/>
        <w:gridCol w:w="300"/>
      </w:tblGrid>
      <w:tr w:rsidR="00CC2C66">
        <w:trPr>
          <w:trHeight w:val="192"/>
        </w:trPr>
        <w:tc>
          <w:tcPr>
            <w:tcW w:w="7420" w:type="dxa"/>
            <w:vAlign w:val="bottom"/>
          </w:tcPr>
          <w:p w:rsidR="00CC2C66" w:rsidRDefault="00F80B74">
            <w:pPr>
              <w:rPr>
                <w:sz w:val="20"/>
                <w:szCs w:val="20"/>
              </w:rPr>
            </w:pPr>
            <w:r>
              <w:rPr>
                <w:rFonts w:ascii="Arial" w:eastAsia="Arial" w:hAnsi="Arial" w:cs="Arial"/>
                <w:b/>
                <w:bCs/>
                <w:color w:val="CF0A2C"/>
                <w:sz w:val="15"/>
                <w:szCs w:val="15"/>
              </w:rPr>
              <w:t>Team Performance Measures</w:t>
            </w:r>
          </w:p>
        </w:tc>
        <w:tc>
          <w:tcPr>
            <w:tcW w:w="760" w:type="dxa"/>
            <w:tcBorders>
              <w:top w:val="single" w:sz="8" w:space="0" w:color="CF0A2C"/>
              <w:bottom w:val="single" w:sz="8" w:space="0" w:color="CF0A2C"/>
            </w:tcBorders>
            <w:shd w:val="clear" w:color="auto" w:fill="FAE6E9"/>
            <w:vAlign w:val="bottom"/>
          </w:tcPr>
          <w:p w:rsidR="00CC2C66" w:rsidRDefault="00CC2C66">
            <w:pPr>
              <w:rPr>
                <w:sz w:val="16"/>
                <w:szCs w:val="16"/>
              </w:rPr>
            </w:pPr>
          </w:p>
        </w:tc>
        <w:tc>
          <w:tcPr>
            <w:tcW w:w="920" w:type="dxa"/>
            <w:tcBorders>
              <w:top w:val="single" w:sz="8" w:space="0" w:color="CF0A2C"/>
              <w:bottom w:val="single" w:sz="8" w:space="0" w:color="CF0A2C"/>
            </w:tcBorders>
            <w:shd w:val="clear" w:color="auto" w:fill="FAE6E9"/>
            <w:vAlign w:val="bottom"/>
          </w:tcPr>
          <w:p w:rsidR="00CC2C66" w:rsidRDefault="00F80B74">
            <w:pPr>
              <w:ind w:right="323"/>
              <w:jc w:val="right"/>
              <w:rPr>
                <w:sz w:val="20"/>
                <w:szCs w:val="20"/>
              </w:rPr>
            </w:pPr>
            <w:r>
              <w:rPr>
                <w:rFonts w:ascii="Arial" w:eastAsia="Arial" w:hAnsi="Arial" w:cs="Arial"/>
                <w:b/>
                <w:bCs/>
                <w:color w:val="CF0A2C"/>
                <w:sz w:val="15"/>
                <w:szCs w:val="15"/>
              </w:rPr>
              <w:t>Target</w:t>
            </w:r>
          </w:p>
        </w:tc>
        <w:tc>
          <w:tcPr>
            <w:tcW w:w="1320" w:type="dxa"/>
            <w:gridSpan w:val="2"/>
            <w:tcBorders>
              <w:top w:val="single" w:sz="8" w:space="0" w:color="CF0A2C"/>
              <w:bottom w:val="single" w:sz="8" w:space="0" w:color="CF0A2C"/>
            </w:tcBorders>
            <w:shd w:val="clear" w:color="auto" w:fill="FAE6E9"/>
            <w:vAlign w:val="bottom"/>
          </w:tcPr>
          <w:p w:rsidR="00CC2C66" w:rsidRDefault="00F80B74">
            <w:pPr>
              <w:ind w:right="300"/>
              <w:jc w:val="right"/>
              <w:rPr>
                <w:sz w:val="20"/>
                <w:szCs w:val="20"/>
              </w:rPr>
            </w:pPr>
            <w:r>
              <w:rPr>
                <w:rFonts w:ascii="Arial" w:eastAsia="Arial" w:hAnsi="Arial" w:cs="Arial"/>
                <w:b/>
                <w:bCs/>
                <w:color w:val="CF0A2C"/>
                <w:sz w:val="15"/>
                <w:szCs w:val="15"/>
              </w:rPr>
              <w:t>Weighting</w:t>
            </w:r>
          </w:p>
        </w:tc>
      </w:tr>
      <w:tr w:rsidR="00CC2C66">
        <w:trPr>
          <w:trHeight w:val="145"/>
        </w:trPr>
        <w:tc>
          <w:tcPr>
            <w:tcW w:w="7420" w:type="dxa"/>
            <w:vAlign w:val="bottom"/>
          </w:tcPr>
          <w:p w:rsidR="00CC2C66" w:rsidRDefault="00F80B74">
            <w:pPr>
              <w:spacing w:line="145" w:lineRule="exact"/>
              <w:rPr>
                <w:sz w:val="20"/>
                <w:szCs w:val="20"/>
              </w:rPr>
            </w:pPr>
            <w:r>
              <w:rPr>
                <w:rFonts w:ascii="Arial" w:eastAsia="Arial" w:hAnsi="Arial" w:cs="Arial"/>
                <w:b/>
                <w:bCs/>
                <w:color w:val="CF0A2C"/>
                <w:sz w:val="15"/>
                <w:szCs w:val="15"/>
              </w:rPr>
              <w:t>Adjusted Operating Profit Growth*</w:t>
            </w:r>
          </w:p>
        </w:tc>
        <w:tc>
          <w:tcPr>
            <w:tcW w:w="1680" w:type="dxa"/>
            <w:gridSpan w:val="2"/>
            <w:vAlign w:val="bottom"/>
          </w:tcPr>
          <w:p w:rsidR="00CC2C66" w:rsidRDefault="00F80B74">
            <w:pPr>
              <w:spacing w:line="145" w:lineRule="exact"/>
              <w:ind w:right="203"/>
              <w:jc w:val="right"/>
              <w:rPr>
                <w:sz w:val="20"/>
                <w:szCs w:val="20"/>
              </w:rPr>
            </w:pPr>
            <w:r>
              <w:rPr>
                <w:rFonts w:ascii="Arial" w:eastAsia="Arial" w:hAnsi="Arial" w:cs="Arial"/>
                <w:color w:val="CF0A2C"/>
                <w:sz w:val="14"/>
                <w:szCs w:val="14"/>
              </w:rPr>
              <w:t>10%</w:t>
            </w:r>
          </w:p>
        </w:tc>
        <w:tc>
          <w:tcPr>
            <w:tcW w:w="1320" w:type="dxa"/>
            <w:gridSpan w:val="2"/>
            <w:vAlign w:val="bottom"/>
          </w:tcPr>
          <w:p w:rsidR="00CC2C66" w:rsidRDefault="00F80B74">
            <w:pPr>
              <w:spacing w:line="145" w:lineRule="exact"/>
              <w:ind w:right="180"/>
              <w:jc w:val="right"/>
              <w:rPr>
                <w:sz w:val="20"/>
                <w:szCs w:val="20"/>
              </w:rPr>
            </w:pPr>
            <w:r>
              <w:rPr>
                <w:rFonts w:ascii="Arial" w:eastAsia="Arial" w:hAnsi="Arial" w:cs="Arial"/>
                <w:color w:val="CF0A2C"/>
                <w:sz w:val="14"/>
                <w:szCs w:val="14"/>
              </w:rPr>
              <w:t>40%</w:t>
            </w:r>
          </w:p>
        </w:tc>
      </w:tr>
      <w:tr w:rsidR="00CC2C66">
        <w:trPr>
          <w:trHeight w:val="179"/>
        </w:trPr>
        <w:tc>
          <w:tcPr>
            <w:tcW w:w="7420" w:type="dxa"/>
            <w:vAlign w:val="bottom"/>
          </w:tcPr>
          <w:p w:rsidR="00CC2C66" w:rsidRDefault="00F80B74">
            <w:pPr>
              <w:rPr>
                <w:sz w:val="20"/>
                <w:szCs w:val="20"/>
              </w:rPr>
            </w:pPr>
            <w:r>
              <w:rPr>
                <w:rFonts w:ascii="Arial" w:eastAsia="Arial" w:hAnsi="Arial" w:cs="Arial"/>
                <w:b/>
                <w:bCs/>
                <w:color w:val="CF0A2C"/>
                <w:sz w:val="15"/>
                <w:szCs w:val="15"/>
              </w:rPr>
              <w:t>Same Store Sales Growth**</w:t>
            </w:r>
          </w:p>
        </w:tc>
        <w:tc>
          <w:tcPr>
            <w:tcW w:w="1680" w:type="dxa"/>
            <w:gridSpan w:val="2"/>
            <w:vAlign w:val="bottom"/>
          </w:tcPr>
          <w:p w:rsidR="00CC2C66" w:rsidRDefault="00F80B74">
            <w:pPr>
              <w:ind w:right="203"/>
              <w:jc w:val="right"/>
              <w:rPr>
                <w:sz w:val="20"/>
                <w:szCs w:val="20"/>
              </w:rPr>
            </w:pPr>
            <w:r>
              <w:rPr>
                <w:rFonts w:ascii="Arial" w:eastAsia="Arial" w:hAnsi="Arial" w:cs="Arial"/>
                <w:color w:val="CF0A2C"/>
                <w:sz w:val="14"/>
                <w:szCs w:val="14"/>
              </w:rPr>
              <w:t>6.8%</w:t>
            </w:r>
          </w:p>
        </w:tc>
        <w:tc>
          <w:tcPr>
            <w:tcW w:w="1320" w:type="dxa"/>
            <w:gridSpan w:val="2"/>
            <w:vAlign w:val="bottom"/>
          </w:tcPr>
          <w:p w:rsidR="00CC2C66" w:rsidRDefault="00F80B74">
            <w:pPr>
              <w:ind w:right="180"/>
              <w:jc w:val="right"/>
              <w:rPr>
                <w:sz w:val="20"/>
                <w:szCs w:val="20"/>
              </w:rPr>
            </w:pPr>
            <w:r>
              <w:rPr>
                <w:rFonts w:ascii="Arial" w:eastAsia="Arial" w:hAnsi="Arial" w:cs="Arial"/>
                <w:color w:val="CF0A2C"/>
                <w:sz w:val="14"/>
                <w:szCs w:val="14"/>
              </w:rPr>
              <w:t>15%</w:t>
            </w:r>
          </w:p>
        </w:tc>
      </w:tr>
      <w:tr w:rsidR="00CC2C66">
        <w:trPr>
          <w:trHeight w:val="179"/>
        </w:trPr>
        <w:tc>
          <w:tcPr>
            <w:tcW w:w="7420" w:type="dxa"/>
            <w:vAlign w:val="bottom"/>
          </w:tcPr>
          <w:p w:rsidR="00CC2C66" w:rsidRDefault="00F80B74">
            <w:pPr>
              <w:rPr>
                <w:sz w:val="20"/>
                <w:szCs w:val="20"/>
              </w:rPr>
            </w:pPr>
            <w:r>
              <w:rPr>
                <w:rFonts w:ascii="Arial" w:eastAsia="Arial" w:hAnsi="Arial" w:cs="Arial"/>
                <w:b/>
                <w:bCs/>
                <w:color w:val="CF0A2C"/>
                <w:sz w:val="15"/>
                <w:szCs w:val="15"/>
              </w:rPr>
              <w:t>Delivery Sales Growth</w:t>
            </w:r>
          </w:p>
        </w:tc>
        <w:tc>
          <w:tcPr>
            <w:tcW w:w="1680" w:type="dxa"/>
            <w:gridSpan w:val="2"/>
            <w:vAlign w:val="bottom"/>
          </w:tcPr>
          <w:p w:rsidR="00CC2C66" w:rsidRDefault="00F80B74">
            <w:pPr>
              <w:ind w:right="203"/>
              <w:jc w:val="right"/>
              <w:rPr>
                <w:sz w:val="20"/>
                <w:szCs w:val="20"/>
              </w:rPr>
            </w:pPr>
            <w:r>
              <w:rPr>
                <w:rFonts w:ascii="Arial" w:eastAsia="Arial" w:hAnsi="Arial" w:cs="Arial"/>
                <w:color w:val="CF0A2C"/>
                <w:sz w:val="14"/>
                <w:szCs w:val="14"/>
              </w:rPr>
              <w:t>20%</w:t>
            </w:r>
          </w:p>
        </w:tc>
        <w:tc>
          <w:tcPr>
            <w:tcW w:w="1320" w:type="dxa"/>
            <w:gridSpan w:val="2"/>
            <w:vAlign w:val="bottom"/>
          </w:tcPr>
          <w:p w:rsidR="00CC2C66" w:rsidRDefault="00F80B74">
            <w:pPr>
              <w:ind w:right="180"/>
              <w:jc w:val="right"/>
              <w:rPr>
                <w:sz w:val="20"/>
                <w:szCs w:val="20"/>
              </w:rPr>
            </w:pPr>
            <w:r>
              <w:rPr>
                <w:rFonts w:ascii="Arial" w:eastAsia="Arial" w:hAnsi="Arial" w:cs="Arial"/>
                <w:color w:val="CF0A2C"/>
                <w:sz w:val="14"/>
                <w:szCs w:val="14"/>
              </w:rPr>
              <w:t>15%</w:t>
            </w:r>
          </w:p>
        </w:tc>
      </w:tr>
      <w:tr w:rsidR="00CC2C66">
        <w:trPr>
          <w:trHeight w:val="179"/>
        </w:trPr>
        <w:tc>
          <w:tcPr>
            <w:tcW w:w="7420" w:type="dxa"/>
            <w:vAlign w:val="bottom"/>
          </w:tcPr>
          <w:p w:rsidR="00CC2C66" w:rsidRDefault="00F80B74">
            <w:pPr>
              <w:rPr>
                <w:sz w:val="20"/>
                <w:szCs w:val="20"/>
              </w:rPr>
            </w:pPr>
            <w:r>
              <w:rPr>
                <w:rFonts w:ascii="Arial" w:eastAsia="Arial" w:hAnsi="Arial" w:cs="Arial"/>
                <w:b/>
                <w:bCs/>
                <w:color w:val="CF0A2C"/>
                <w:sz w:val="15"/>
                <w:szCs w:val="15"/>
              </w:rPr>
              <w:t>System Gross New Builds</w:t>
            </w:r>
          </w:p>
        </w:tc>
        <w:tc>
          <w:tcPr>
            <w:tcW w:w="1680" w:type="dxa"/>
            <w:gridSpan w:val="2"/>
            <w:vAlign w:val="bottom"/>
          </w:tcPr>
          <w:p w:rsidR="00CC2C66" w:rsidRDefault="00F80B74">
            <w:pPr>
              <w:ind w:right="323"/>
              <w:jc w:val="right"/>
              <w:rPr>
                <w:sz w:val="20"/>
                <w:szCs w:val="20"/>
              </w:rPr>
            </w:pPr>
            <w:r>
              <w:rPr>
                <w:rFonts w:ascii="Arial" w:eastAsia="Arial" w:hAnsi="Arial" w:cs="Arial"/>
                <w:color w:val="CF0A2C"/>
                <w:sz w:val="14"/>
                <w:szCs w:val="14"/>
              </w:rPr>
              <w:t>1,100</w:t>
            </w:r>
          </w:p>
        </w:tc>
        <w:tc>
          <w:tcPr>
            <w:tcW w:w="1320" w:type="dxa"/>
            <w:gridSpan w:val="2"/>
            <w:vAlign w:val="bottom"/>
          </w:tcPr>
          <w:p w:rsidR="00CC2C66" w:rsidRDefault="00F80B74">
            <w:pPr>
              <w:ind w:right="180"/>
              <w:jc w:val="right"/>
              <w:rPr>
                <w:sz w:val="20"/>
                <w:szCs w:val="20"/>
              </w:rPr>
            </w:pPr>
            <w:r>
              <w:rPr>
                <w:rFonts w:ascii="Arial" w:eastAsia="Arial" w:hAnsi="Arial" w:cs="Arial"/>
                <w:color w:val="CF0A2C"/>
                <w:sz w:val="14"/>
                <w:szCs w:val="14"/>
              </w:rPr>
              <w:t>20%</w:t>
            </w:r>
          </w:p>
        </w:tc>
      </w:tr>
      <w:tr w:rsidR="00CC2C66">
        <w:trPr>
          <w:trHeight w:val="193"/>
        </w:trPr>
        <w:tc>
          <w:tcPr>
            <w:tcW w:w="7420" w:type="dxa"/>
            <w:vAlign w:val="bottom"/>
          </w:tcPr>
          <w:p w:rsidR="00CC2C66" w:rsidRDefault="00F80B74">
            <w:pPr>
              <w:rPr>
                <w:sz w:val="20"/>
                <w:szCs w:val="20"/>
              </w:rPr>
            </w:pPr>
            <w:r>
              <w:rPr>
                <w:rFonts w:ascii="Arial" w:eastAsia="Arial" w:hAnsi="Arial" w:cs="Arial"/>
                <w:b/>
                <w:bCs/>
                <w:color w:val="CF0A2C"/>
                <w:sz w:val="15"/>
                <w:szCs w:val="15"/>
              </w:rPr>
              <w:t>Member Sales***</w:t>
            </w:r>
          </w:p>
        </w:tc>
        <w:tc>
          <w:tcPr>
            <w:tcW w:w="1680" w:type="dxa"/>
            <w:gridSpan w:val="2"/>
            <w:vAlign w:val="bottom"/>
          </w:tcPr>
          <w:p w:rsidR="00CC2C66" w:rsidRDefault="00F80B74">
            <w:pPr>
              <w:ind w:right="203"/>
              <w:jc w:val="right"/>
              <w:rPr>
                <w:sz w:val="20"/>
                <w:szCs w:val="20"/>
              </w:rPr>
            </w:pPr>
            <w:r>
              <w:rPr>
                <w:rFonts w:ascii="Arial" w:eastAsia="Arial" w:hAnsi="Arial" w:cs="Arial"/>
                <w:color w:val="CF0A2C"/>
                <w:sz w:val="14"/>
                <w:szCs w:val="14"/>
              </w:rPr>
              <w:t>61.5%</w:t>
            </w:r>
          </w:p>
        </w:tc>
        <w:tc>
          <w:tcPr>
            <w:tcW w:w="1320" w:type="dxa"/>
            <w:gridSpan w:val="2"/>
            <w:vAlign w:val="bottom"/>
          </w:tcPr>
          <w:p w:rsidR="00CC2C66" w:rsidRDefault="00F80B74">
            <w:pPr>
              <w:ind w:right="180"/>
              <w:jc w:val="right"/>
              <w:rPr>
                <w:sz w:val="20"/>
                <w:szCs w:val="20"/>
              </w:rPr>
            </w:pPr>
            <w:r>
              <w:rPr>
                <w:rFonts w:ascii="Arial" w:eastAsia="Arial" w:hAnsi="Arial" w:cs="Arial"/>
                <w:color w:val="CF0A2C"/>
                <w:sz w:val="14"/>
                <w:szCs w:val="14"/>
              </w:rPr>
              <w:t>10%</w:t>
            </w:r>
          </w:p>
        </w:tc>
      </w:tr>
      <w:tr w:rsidR="00CC2C66">
        <w:trPr>
          <w:trHeight w:val="20"/>
        </w:trPr>
        <w:tc>
          <w:tcPr>
            <w:tcW w:w="7420" w:type="dxa"/>
            <w:vAlign w:val="bottom"/>
          </w:tcPr>
          <w:p w:rsidR="00CC2C66" w:rsidRDefault="00CC2C66">
            <w:pPr>
              <w:spacing w:line="20" w:lineRule="exact"/>
              <w:rPr>
                <w:sz w:val="1"/>
                <w:szCs w:val="1"/>
              </w:rPr>
            </w:pPr>
          </w:p>
        </w:tc>
        <w:tc>
          <w:tcPr>
            <w:tcW w:w="760" w:type="dxa"/>
            <w:vAlign w:val="bottom"/>
          </w:tcPr>
          <w:p w:rsidR="00CC2C66" w:rsidRDefault="00CC2C66">
            <w:pPr>
              <w:spacing w:line="20" w:lineRule="exact"/>
              <w:rPr>
                <w:sz w:val="1"/>
                <w:szCs w:val="1"/>
              </w:rPr>
            </w:pPr>
          </w:p>
        </w:tc>
        <w:tc>
          <w:tcPr>
            <w:tcW w:w="92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102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300" w:type="dxa"/>
            <w:vAlign w:val="bottom"/>
          </w:tcPr>
          <w:p w:rsidR="00CC2C66" w:rsidRDefault="00CC2C66">
            <w:pPr>
              <w:spacing w:line="20" w:lineRule="exact"/>
              <w:rPr>
                <w:sz w:val="1"/>
                <w:szCs w:val="1"/>
              </w:rPr>
            </w:pPr>
          </w:p>
        </w:tc>
      </w:tr>
    </w:tbl>
    <w:p w:rsidR="00CC2C66" w:rsidRDefault="00CC2C66">
      <w:pPr>
        <w:spacing w:line="144"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37</w:t>
      </w:r>
    </w:p>
    <w:p w:rsidR="00CC2C66" w:rsidRDefault="00F80B74">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44" w:name="page44"/>
      <w:bookmarkEnd w:id="44"/>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The incentive targets for the Team Performance Factor </w:t>
      </w:r>
      <w:r>
        <w:rPr>
          <w:rFonts w:eastAsia="Times New Roman"/>
          <w:sz w:val="19"/>
          <w:szCs w:val="19"/>
        </w:rPr>
        <w:t>were set based on the operating environment at the beginning of 2021 when the COVID-19 situation was relatively stable. However, multiple waves of Delta-variant outbreaks persisted, and our business was significantly affected, in the second half of the yea</w:t>
      </w:r>
      <w:r>
        <w:rPr>
          <w:rFonts w:eastAsia="Times New Roman"/>
          <w:sz w:val="19"/>
          <w:szCs w:val="19"/>
        </w:rPr>
        <w:t>r. For details, see “Executive Summary—Context for Determining Executive Compensation Decisions—Operating Environment.”</w:t>
      </w:r>
    </w:p>
    <w:p w:rsidR="00CC2C66" w:rsidRDefault="00CC2C66">
      <w:pPr>
        <w:spacing w:line="215" w:lineRule="exact"/>
        <w:rPr>
          <w:sz w:val="20"/>
          <w:szCs w:val="20"/>
        </w:rPr>
      </w:pPr>
    </w:p>
    <w:p w:rsidR="00CC2C66" w:rsidRDefault="00F80B74">
      <w:pPr>
        <w:spacing w:line="243" w:lineRule="auto"/>
        <w:ind w:left="420"/>
        <w:jc w:val="both"/>
        <w:rPr>
          <w:sz w:val="20"/>
          <w:szCs w:val="20"/>
        </w:rPr>
      </w:pPr>
      <w:r>
        <w:rPr>
          <w:rFonts w:eastAsia="Times New Roman"/>
          <w:sz w:val="19"/>
          <w:szCs w:val="19"/>
        </w:rPr>
        <w:t>In light of the changes in operating environment and the significant impact of the Delta-variant outbreaks on the Company’s operating a</w:t>
      </w:r>
      <w:r>
        <w:rPr>
          <w:rFonts w:eastAsia="Times New Roman"/>
          <w:sz w:val="19"/>
          <w:szCs w:val="19"/>
        </w:rPr>
        <w:t>nd financial performance since July 2021, in September 2021, the Compensation Committee determined to measure performance with respect to the Adjusted Operating Profit Growth and Same Store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jc w:val="both"/>
        <w:rPr>
          <w:sz w:val="20"/>
          <w:szCs w:val="20"/>
        </w:rPr>
      </w:pPr>
      <w:r>
        <w:rPr>
          <w:rFonts w:eastAsia="Times New Roman"/>
          <w:sz w:val="19"/>
          <w:szCs w:val="19"/>
        </w:rPr>
        <w:t>Sales Growth team performance measures over three separate p</w:t>
      </w:r>
      <w:r>
        <w:rPr>
          <w:rFonts w:eastAsia="Times New Roman"/>
          <w:sz w:val="19"/>
          <w:szCs w:val="19"/>
        </w:rPr>
        <w:t>erformance periods: the first half of 2021 (weighted 50%); the third quarter of 2021 (weighted 25%); and the fourth quarter of 2021 (weighted 25%). The performance targets for each of these three distinct performance periods were derived from the performan</w:t>
      </w:r>
      <w:r>
        <w:rPr>
          <w:rFonts w:eastAsia="Times New Roman"/>
          <w:sz w:val="19"/>
          <w:szCs w:val="19"/>
        </w:rPr>
        <w:t>ce goals established in early 2021, with the only difference being the segregation of performance into the three distinct performance periods. This change retained the same performance-based program design and kept the original goals, but helped address th</w:t>
      </w:r>
      <w:r>
        <w:rPr>
          <w:rFonts w:eastAsia="Times New Roman"/>
          <w:sz w:val="19"/>
          <w:szCs w:val="19"/>
        </w:rPr>
        <w:t>e volatility associated with the COVID-19 pandemic. The team performance targets, actual results, weights and overall performance for each measure following the adjustments described above are outlined below.</w:t>
      </w:r>
    </w:p>
    <w:p w:rsidR="00CC2C66" w:rsidRDefault="00F80B74">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-3642995</wp:posOffset>
            </wp:positionH>
            <wp:positionV relativeFrom="paragraph">
              <wp:posOffset>-2617470</wp:posOffset>
            </wp:positionV>
            <wp:extent cx="7181215" cy="3683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450" w:lineRule="exact"/>
        <w:rPr>
          <w:sz w:val="20"/>
          <w:szCs w:val="20"/>
        </w:rPr>
      </w:pP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CC2C66">
      <w:pPr>
        <w:spacing w:line="198"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3240"/>
        <w:gridCol w:w="540"/>
        <w:gridCol w:w="960"/>
        <w:gridCol w:w="1220"/>
        <w:gridCol w:w="1640"/>
        <w:gridCol w:w="1500"/>
        <w:gridCol w:w="1260"/>
        <w:gridCol w:w="60"/>
      </w:tblGrid>
      <w:tr w:rsidR="00CC2C66">
        <w:trPr>
          <w:trHeight w:val="177"/>
        </w:trPr>
        <w:tc>
          <w:tcPr>
            <w:tcW w:w="3240" w:type="dxa"/>
            <w:vAlign w:val="bottom"/>
          </w:tcPr>
          <w:p w:rsidR="00CC2C66" w:rsidRDefault="00CC2C66">
            <w:pPr>
              <w:rPr>
                <w:sz w:val="15"/>
                <w:szCs w:val="15"/>
              </w:rPr>
            </w:pPr>
          </w:p>
        </w:tc>
        <w:tc>
          <w:tcPr>
            <w:tcW w:w="540" w:type="dxa"/>
            <w:tcBorders>
              <w:top w:val="single" w:sz="8" w:space="0" w:color="CF0A2C"/>
            </w:tcBorders>
            <w:shd w:val="clear" w:color="auto" w:fill="FAE6E9"/>
            <w:vAlign w:val="bottom"/>
          </w:tcPr>
          <w:p w:rsidR="00CC2C66" w:rsidRDefault="00CC2C66">
            <w:pPr>
              <w:rPr>
                <w:sz w:val="15"/>
                <w:szCs w:val="15"/>
              </w:rPr>
            </w:pPr>
          </w:p>
        </w:tc>
        <w:tc>
          <w:tcPr>
            <w:tcW w:w="960" w:type="dxa"/>
            <w:tcBorders>
              <w:top w:val="single" w:sz="8" w:space="0" w:color="CF0A2C"/>
            </w:tcBorders>
            <w:shd w:val="clear" w:color="auto" w:fill="FAE6E9"/>
            <w:vAlign w:val="bottom"/>
          </w:tcPr>
          <w:p w:rsidR="00CC2C66" w:rsidRDefault="00CC2C66">
            <w:pPr>
              <w:rPr>
                <w:sz w:val="15"/>
                <w:szCs w:val="15"/>
              </w:rPr>
            </w:pPr>
          </w:p>
        </w:tc>
        <w:tc>
          <w:tcPr>
            <w:tcW w:w="1220" w:type="dxa"/>
            <w:tcBorders>
              <w:top w:val="single" w:sz="8" w:space="0" w:color="CF0A2C"/>
            </w:tcBorders>
            <w:shd w:val="clear" w:color="auto" w:fill="FAE6E9"/>
            <w:vAlign w:val="bottom"/>
          </w:tcPr>
          <w:p w:rsidR="00CC2C66" w:rsidRDefault="00CC2C66">
            <w:pPr>
              <w:rPr>
                <w:sz w:val="15"/>
                <w:szCs w:val="15"/>
              </w:rPr>
            </w:pPr>
          </w:p>
        </w:tc>
        <w:tc>
          <w:tcPr>
            <w:tcW w:w="1640" w:type="dxa"/>
            <w:tcBorders>
              <w:top w:val="single" w:sz="8" w:space="0" w:color="CF0A2C"/>
            </w:tcBorders>
            <w:shd w:val="clear" w:color="auto" w:fill="FAE6E9"/>
            <w:vAlign w:val="bottom"/>
          </w:tcPr>
          <w:p w:rsidR="00CC2C66" w:rsidRDefault="00F80B74">
            <w:pPr>
              <w:ind w:right="370"/>
              <w:jc w:val="right"/>
              <w:rPr>
                <w:sz w:val="20"/>
                <w:szCs w:val="20"/>
              </w:rPr>
            </w:pPr>
            <w:r>
              <w:rPr>
                <w:rFonts w:ascii="Arial" w:eastAsia="Arial" w:hAnsi="Arial" w:cs="Arial"/>
                <w:b/>
                <w:bCs/>
                <w:color w:val="CF0A2C"/>
                <w:sz w:val="15"/>
                <w:szCs w:val="15"/>
              </w:rPr>
              <w:t>Earned As a</w:t>
            </w:r>
          </w:p>
        </w:tc>
        <w:tc>
          <w:tcPr>
            <w:tcW w:w="1500" w:type="dxa"/>
            <w:tcBorders>
              <w:top w:val="single" w:sz="8" w:space="0" w:color="CF0A2C"/>
            </w:tcBorders>
            <w:shd w:val="clear" w:color="auto" w:fill="FAE6E9"/>
            <w:vAlign w:val="bottom"/>
          </w:tcPr>
          <w:p w:rsidR="00CC2C66" w:rsidRDefault="00CC2C66">
            <w:pPr>
              <w:rPr>
                <w:sz w:val="15"/>
                <w:szCs w:val="15"/>
              </w:rPr>
            </w:pPr>
          </w:p>
        </w:tc>
        <w:tc>
          <w:tcPr>
            <w:tcW w:w="1320" w:type="dxa"/>
            <w:gridSpan w:val="2"/>
            <w:tcBorders>
              <w:top w:val="single" w:sz="8" w:space="0" w:color="CF0A2C"/>
            </w:tcBorders>
            <w:shd w:val="clear" w:color="auto" w:fill="FAE6E9"/>
            <w:vAlign w:val="bottom"/>
          </w:tcPr>
          <w:p w:rsidR="00CC2C66" w:rsidRDefault="00F80B74">
            <w:pPr>
              <w:ind w:right="140"/>
              <w:jc w:val="right"/>
              <w:rPr>
                <w:sz w:val="20"/>
                <w:szCs w:val="20"/>
              </w:rPr>
            </w:pPr>
            <w:r>
              <w:rPr>
                <w:rFonts w:ascii="Arial" w:eastAsia="Arial" w:hAnsi="Arial" w:cs="Arial"/>
                <w:b/>
                <w:bCs/>
                <w:color w:val="CF0A2C"/>
                <w:sz w:val="15"/>
                <w:szCs w:val="15"/>
              </w:rPr>
              <w:t>Final Team</w:t>
            </w:r>
          </w:p>
        </w:tc>
      </w:tr>
      <w:tr w:rsidR="00CC2C66">
        <w:trPr>
          <w:trHeight w:val="193"/>
        </w:trPr>
        <w:tc>
          <w:tcPr>
            <w:tcW w:w="3240" w:type="dxa"/>
            <w:vAlign w:val="bottom"/>
          </w:tcPr>
          <w:p w:rsidR="00CC2C66" w:rsidRDefault="00F80B74">
            <w:pPr>
              <w:rPr>
                <w:sz w:val="20"/>
                <w:szCs w:val="20"/>
              </w:rPr>
            </w:pPr>
            <w:r>
              <w:rPr>
                <w:rFonts w:ascii="Arial" w:eastAsia="Arial" w:hAnsi="Arial" w:cs="Arial"/>
                <w:b/>
                <w:bCs/>
                <w:color w:val="CF0A2C"/>
                <w:sz w:val="15"/>
                <w:szCs w:val="15"/>
              </w:rPr>
              <w:t>Team Performance Measures</w:t>
            </w:r>
          </w:p>
        </w:tc>
        <w:tc>
          <w:tcPr>
            <w:tcW w:w="540" w:type="dxa"/>
            <w:tcBorders>
              <w:bottom w:val="single" w:sz="8" w:space="0" w:color="CF0A2C"/>
            </w:tcBorders>
            <w:shd w:val="clear" w:color="auto" w:fill="FAE6E9"/>
            <w:vAlign w:val="bottom"/>
          </w:tcPr>
          <w:p w:rsidR="00CC2C66" w:rsidRDefault="00CC2C66">
            <w:pPr>
              <w:rPr>
                <w:sz w:val="16"/>
                <w:szCs w:val="16"/>
              </w:rPr>
            </w:pPr>
          </w:p>
        </w:tc>
        <w:tc>
          <w:tcPr>
            <w:tcW w:w="960" w:type="dxa"/>
            <w:tcBorders>
              <w:bottom w:val="single" w:sz="8" w:space="0" w:color="CF0A2C"/>
            </w:tcBorders>
            <w:shd w:val="clear" w:color="auto" w:fill="FAE6E9"/>
            <w:vAlign w:val="bottom"/>
          </w:tcPr>
          <w:p w:rsidR="00CC2C66" w:rsidRDefault="00F80B74">
            <w:pPr>
              <w:ind w:right="363"/>
              <w:jc w:val="right"/>
              <w:rPr>
                <w:sz w:val="20"/>
                <w:szCs w:val="20"/>
              </w:rPr>
            </w:pPr>
            <w:r>
              <w:rPr>
                <w:rFonts w:ascii="Arial" w:eastAsia="Arial" w:hAnsi="Arial" w:cs="Arial"/>
                <w:b/>
                <w:bCs/>
                <w:color w:val="CF0A2C"/>
                <w:sz w:val="15"/>
                <w:szCs w:val="15"/>
              </w:rPr>
              <w:t>Target</w:t>
            </w:r>
          </w:p>
        </w:tc>
        <w:tc>
          <w:tcPr>
            <w:tcW w:w="1220" w:type="dxa"/>
            <w:tcBorders>
              <w:bottom w:val="single" w:sz="8" w:space="0" w:color="CF0A2C"/>
            </w:tcBorders>
            <w:shd w:val="clear" w:color="auto" w:fill="FAE6E9"/>
            <w:vAlign w:val="bottom"/>
          </w:tcPr>
          <w:p w:rsidR="00CC2C66" w:rsidRDefault="00F80B74">
            <w:pPr>
              <w:ind w:right="371"/>
              <w:jc w:val="right"/>
              <w:rPr>
                <w:sz w:val="20"/>
                <w:szCs w:val="20"/>
              </w:rPr>
            </w:pPr>
            <w:r>
              <w:rPr>
                <w:rFonts w:ascii="Arial" w:eastAsia="Arial" w:hAnsi="Arial" w:cs="Arial"/>
                <w:b/>
                <w:bCs/>
                <w:color w:val="CF0A2C"/>
                <w:sz w:val="15"/>
                <w:szCs w:val="15"/>
              </w:rPr>
              <w:t>Actual</w:t>
            </w:r>
          </w:p>
        </w:tc>
        <w:tc>
          <w:tcPr>
            <w:tcW w:w="1640" w:type="dxa"/>
            <w:tcBorders>
              <w:bottom w:val="single" w:sz="8" w:space="0" w:color="CF0A2C"/>
            </w:tcBorders>
            <w:shd w:val="clear" w:color="auto" w:fill="FAE6E9"/>
            <w:vAlign w:val="bottom"/>
          </w:tcPr>
          <w:p w:rsidR="00CC2C66" w:rsidRDefault="00F80B74">
            <w:pPr>
              <w:ind w:right="410"/>
              <w:jc w:val="right"/>
              <w:rPr>
                <w:sz w:val="20"/>
                <w:szCs w:val="20"/>
              </w:rPr>
            </w:pPr>
            <w:r>
              <w:rPr>
                <w:rFonts w:ascii="Arial" w:eastAsia="Arial" w:hAnsi="Arial" w:cs="Arial"/>
                <w:b/>
                <w:bCs/>
                <w:color w:val="CF0A2C"/>
                <w:sz w:val="15"/>
                <w:szCs w:val="15"/>
              </w:rPr>
              <w:t>% of Target</w:t>
            </w:r>
          </w:p>
        </w:tc>
        <w:tc>
          <w:tcPr>
            <w:tcW w:w="1500" w:type="dxa"/>
            <w:tcBorders>
              <w:bottom w:val="single" w:sz="8" w:space="0" w:color="CF0A2C"/>
            </w:tcBorders>
            <w:shd w:val="clear" w:color="auto" w:fill="FAE6E9"/>
            <w:vAlign w:val="bottom"/>
          </w:tcPr>
          <w:p w:rsidR="00CC2C66" w:rsidRDefault="00F80B74">
            <w:pPr>
              <w:ind w:right="371"/>
              <w:jc w:val="right"/>
              <w:rPr>
                <w:sz w:val="20"/>
                <w:szCs w:val="20"/>
              </w:rPr>
            </w:pPr>
            <w:r>
              <w:rPr>
                <w:rFonts w:ascii="Arial" w:eastAsia="Arial" w:hAnsi="Arial" w:cs="Arial"/>
                <w:b/>
                <w:bCs/>
                <w:color w:val="CF0A2C"/>
                <w:sz w:val="15"/>
                <w:szCs w:val="15"/>
              </w:rPr>
              <w:t>Weighting</w:t>
            </w:r>
          </w:p>
        </w:tc>
        <w:tc>
          <w:tcPr>
            <w:tcW w:w="1320" w:type="dxa"/>
            <w:gridSpan w:val="2"/>
            <w:tcBorders>
              <w:bottom w:val="single" w:sz="8" w:space="0" w:color="CF0A2C"/>
            </w:tcBorders>
            <w:shd w:val="clear" w:color="auto" w:fill="FAE6E9"/>
            <w:vAlign w:val="bottom"/>
          </w:tcPr>
          <w:p w:rsidR="00CC2C66" w:rsidRDefault="00F80B74">
            <w:pPr>
              <w:ind w:right="60"/>
              <w:jc w:val="right"/>
              <w:rPr>
                <w:sz w:val="20"/>
                <w:szCs w:val="20"/>
              </w:rPr>
            </w:pPr>
            <w:r>
              <w:rPr>
                <w:rFonts w:ascii="Arial" w:eastAsia="Arial" w:hAnsi="Arial" w:cs="Arial"/>
                <w:b/>
                <w:bCs/>
                <w:color w:val="CF0A2C"/>
                <w:sz w:val="15"/>
                <w:szCs w:val="15"/>
              </w:rPr>
              <w:t>Performance</w:t>
            </w:r>
          </w:p>
        </w:tc>
      </w:tr>
      <w:tr w:rsidR="00CC2C66">
        <w:trPr>
          <w:trHeight w:val="145"/>
        </w:trPr>
        <w:tc>
          <w:tcPr>
            <w:tcW w:w="3240" w:type="dxa"/>
            <w:vAlign w:val="bottom"/>
          </w:tcPr>
          <w:p w:rsidR="00CC2C66" w:rsidRDefault="00F80B74">
            <w:pPr>
              <w:spacing w:line="145" w:lineRule="exact"/>
              <w:rPr>
                <w:sz w:val="20"/>
                <w:szCs w:val="20"/>
              </w:rPr>
            </w:pPr>
            <w:r>
              <w:rPr>
                <w:rFonts w:ascii="Arial" w:eastAsia="Arial" w:hAnsi="Arial" w:cs="Arial"/>
                <w:b/>
                <w:bCs/>
                <w:color w:val="CF0A2C"/>
                <w:sz w:val="15"/>
                <w:szCs w:val="15"/>
              </w:rPr>
              <w:t>Adjusted Operating Profit Growth*</w:t>
            </w:r>
          </w:p>
        </w:tc>
        <w:tc>
          <w:tcPr>
            <w:tcW w:w="540" w:type="dxa"/>
            <w:vAlign w:val="bottom"/>
          </w:tcPr>
          <w:p w:rsidR="00CC2C66" w:rsidRDefault="00CC2C66">
            <w:pPr>
              <w:rPr>
                <w:sz w:val="12"/>
                <w:szCs w:val="12"/>
              </w:rPr>
            </w:pPr>
          </w:p>
        </w:tc>
        <w:tc>
          <w:tcPr>
            <w:tcW w:w="960" w:type="dxa"/>
            <w:vAlign w:val="bottom"/>
          </w:tcPr>
          <w:p w:rsidR="00CC2C66" w:rsidRDefault="00CC2C66">
            <w:pPr>
              <w:rPr>
                <w:sz w:val="12"/>
                <w:szCs w:val="12"/>
              </w:rPr>
            </w:pPr>
          </w:p>
        </w:tc>
        <w:tc>
          <w:tcPr>
            <w:tcW w:w="1220" w:type="dxa"/>
            <w:vAlign w:val="bottom"/>
          </w:tcPr>
          <w:p w:rsidR="00CC2C66" w:rsidRDefault="00CC2C66">
            <w:pPr>
              <w:rPr>
                <w:sz w:val="12"/>
                <w:szCs w:val="12"/>
              </w:rPr>
            </w:pPr>
          </w:p>
        </w:tc>
        <w:tc>
          <w:tcPr>
            <w:tcW w:w="1640" w:type="dxa"/>
            <w:vAlign w:val="bottom"/>
          </w:tcPr>
          <w:p w:rsidR="00CC2C66" w:rsidRDefault="00CC2C66">
            <w:pPr>
              <w:rPr>
                <w:sz w:val="12"/>
                <w:szCs w:val="12"/>
              </w:rPr>
            </w:pPr>
          </w:p>
        </w:tc>
        <w:tc>
          <w:tcPr>
            <w:tcW w:w="1500" w:type="dxa"/>
            <w:vAlign w:val="bottom"/>
          </w:tcPr>
          <w:p w:rsidR="00CC2C66" w:rsidRDefault="00CC2C66">
            <w:pPr>
              <w:rPr>
                <w:sz w:val="12"/>
                <w:szCs w:val="12"/>
              </w:rPr>
            </w:pPr>
          </w:p>
        </w:tc>
        <w:tc>
          <w:tcPr>
            <w:tcW w:w="1260" w:type="dxa"/>
            <w:vAlign w:val="bottom"/>
          </w:tcPr>
          <w:p w:rsidR="00CC2C66" w:rsidRDefault="00CC2C66">
            <w:pPr>
              <w:rPr>
                <w:sz w:val="12"/>
                <w:szCs w:val="12"/>
              </w:rPr>
            </w:pPr>
          </w:p>
        </w:tc>
        <w:tc>
          <w:tcPr>
            <w:tcW w:w="60" w:type="dxa"/>
            <w:vAlign w:val="bottom"/>
          </w:tcPr>
          <w:p w:rsidR="00CC2C66" w:rsidRDefault="00CC2C66">
            <w:pPr>
              <w:rPr>
                <w:sz w:val="12"/>
                <w:szCs w:val="12"/>
              </w:rPr>
            </w:pP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First Half of 2021</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67%</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132%</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200%</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20%</w:t>
            </w:r>
          </w:p>
        </w:tc>
        <w:tc>
          <w:tcPr>
            <w:tcW w:w="1320" w:type="dxa"/>
            <w:gridSpan w:val="2"/>
            <w:vAlign w:val="bottom"/>
          </w:tcPr>
          <w:p w:rsidR="00CC2C66" w:rsidRDefault="00F80B74">
            <w:pPr>
              <w:ind w:right="60"/>
              <w:jc w:val="right"/>
              <w:rPr>
                <w:sz w:val="20"/>
                <w:szCs w:val="20"/>
              </w:rPr>
            </w:pPr>
            <w:r>
              <w:rPr>
                <w:rFonts w:ascii="Arial" w:eastAsia="Arial" w:hAnsi="Arial" w:cs="Arial"/>
                <w:color w:val="CF0A2C"/>
                <w:sz w:val="14"/>
                <w:szCs w:val="14"/>
              </w:rPr>
              <w:t>40</w:t>
            </w: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Third Quarter of 2021</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-7%</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-52%</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0%</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10%</w:t>
            </w:r>
          </w:p>
        </w:tc>
        <w:tc>
          <w:tcPr>
            <w:tcW w:w="1260" w:type="dxa"/>
            <w:vAlign w:val="bottom"/>
          </w:tcPr>
          <w:p w:rsidR="00CC2C66" w:rsidRDefault="00F80B74">
            <w:pPr>
              <w:jc w:val="right"/>
              <w:rPr>
                <w:sz w:val="20"/>
                <w:szCs w:val="20"/>
              </w:rPr>
            </w:pPr>
            <w:r>
              <w:rPr>
                <w:rFonts w:ascii="Arial" w:eastAsia="Arial" w:hAnsi="Arial" w:cs="Arial"/>
                <w:color w:val="CF0A2C"/>
                <w:sz w:val="14"/>
                <w:szCs w:val="14"/>
              </w:rPr>
              <w:t>0</w:t>
            </w:r>
          </w:p>
        </w:tc>
        <w:tc>
          <w:tcPr>
            <w:tcW w:w="60" w:type="dxa"/>
            <w:vAlign w:val="bottom"/>
          </w:tcPr>
          <w:p w:rsidR="00CC2C66" w:rsidRDefault="00CC2C66">
            <w:pPr>
              <w:rPr>
                <w:sz w:val="15"/>
                <w:szCs w:val="15"/>
              </w:rPr>
            </w:pP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Fourth Quarter of 2021</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-31%</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-92%</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0%</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10%</w:t>
            </w:r>
          </w:p>
        </w:tc>
        <w:tc>
          <w:tcPr>
            <w:tcW w:w="1260" w:type="dxa"/>
            <w:vAlign w:val="bottom"/>
          </w:tcPr>
          <w:p w:rsidR="00CC2C66" w:rsidRDefault="00F80B74">
            <w:pPr>
              <w:jc w:val="right"/>
              <w:rPr>
                <w:sz w:val="20"/>
                <w:szCs w:val="20"/>
              </w:rPr>
            </w:pPr>
            <w:r>
              <w:rPr>
                <w:rFonts w:ascii="Arial" w:eastAsia="Arial" w:hAnsi="Arial" w:cs="Arial"/>
                <w:color w:val="CF0A2C"/>
                <w:sz w:val="14"/>
                <w:szCs w:val="14"/>
              </w:rPr>
              <w:t>0</w:t>
            </w:r>
          </w:p>
        </w:tc>
        <w:tc>
          <w:tcPr>
            <w:tcW w:w="60" w:type="dxa"/>
            <w:vAlign w:val="bottom"/>
          </w:tcPr>
          <w:p w:rsidR="00CC2C66" w:rsidRDefault="00CC2C66">
            <w:pPr>
              <w:rPr>
                <w:sz w:val="15"/>
                <w:szCs w:val="15"/>
              </w:rPr>
            </w:pP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Same Store Sales Growth**</w:t>
            </w:r>
          </w:p>
        </w:tc>
        <w:tc>
          <w:tcPr>
            <w:tcW w:w="540" w:type="dxa"/>
            <w:vAlign w:val="bottom"/>
          </w:tcPr>
          <w:p w:rsidR="00CC2C66" w:rsidRDefault="00CC2C66">
            <w:pPr>
              <w:rPr>
                <w:sz w:val="15"/>
                <w:szCs w:val="15"/>
              </w:rPr>
            </w:pPr>
          </w:p>
        </w:tc>
        <w:tc>
          <w:tcPr>
            <w:tcW w:w="960" w:type="dxa"/>
            <w:vAlign w:val="bottom"/>
          </w:tcPr>
          <w:p w:rsidR="00CC2C66" w:rsidRDefault="00CC2C66">
            <w:pPr>
              <w:rPr>
                <w:sz w:val="15"/>
                <w:szCs w:val="15"/>
              </w:rPr>
            </w:pPr>
          </w:p>
        </w:tc>
        <w:tc>
          <w:tcPr>
            <w:tcW w:w="1220" w:type="dxa"/>
            <w:vAlign w:val="bottom"/>
          </w:tcPr>
          <w:p w:rsidR="00CC2C66" w:rsidRDefault="00CC2C66">
            <w:pPr>
              <w:rPr>
                <w:sz w:val="15"/>
                <w:szCs w:val="15"/>
              </w:rPr>
            </w:pPr>
          </w:p>
        </w:tc>
        <w:tc>
          <w:tcPr>
            <w:tcW w:w="1640" w:type="dxa"/>
            <w:vAlign w:val="bottom"/>
          </w:tcPr>
          <w:p w:rsidR="00CC2C66" w:rsidRDefault="00CC2C66">
            <w:pPr>
              <w:rPr>
                <w:sz w:val="15"/>
                <w:szCs w:val="15"/>
              </w:rPr>
            </w:pPr>
          </w:p>
        </w:tc>
        <w:tc>
          <w:tcPr>
            <w:tcW w:w="1500" w:type="dxa"/>
            <w:vAlign w:val="bottom"/>
          </w:tcPr>
          <w:p w:rsidR="00CC2C66" w:rsidRDefault="00CC2C66">
            <w:pPr>
              <w:rPr>
                <w:sz w:val="15"/>
                <w:szCs w:val="15"/>
              </w:rPr>
            </w:pPr>
          </w:p>
        </w:tc>
        <w:tc>
          <w:tcPr>
            <w:tcW w:w="1260" w:type="dxa"/>
            <w:vAlign w:val="bottom"/>
          </w:tcPr>
          <w:p w:rsidR="00CC2C66" w:rsidRDefault="00CC2C66">
            <w:pPr>
              <w:rPr>
                <w:sz w:val="15"/>
                <w:szCs w:val="15"/>
              </w:rPr>
            </w:pPr>
          </w:p>
        </w:tc>
        <w:tc>
          <w:tcPr>
            <w:tcW w:w="60" w:type="dxa"/>
            <w:vAlign w:val="bottom"/>
          </w:tcPr>
          <w:p w:rsidR="00CC2C66" w:rsidRDefault="00CC2C66">
            <w:pPr>
              <w:rPr>
                <w:sz w:val="15"/>
                <w:szCs w:val="15"/>
              </w:rPr>
            </w:pP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First Half of 2021</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8.1%</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7.8%</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97%</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7.5%</w:t>
            </w:r>
          </w:p>
        </w:tc>
        <w:tc>
          <w:tcPr>
            <w:tcW w:w="1260" w:type="dxa"/>
            <w:vAlign w:val="bottom"/>
          </w:tcPr>
          <w:p w:rsidR="00CC2C66" w:rsidRDefault="00F80B74">
            <w:pPr>
              <w:jc w:val="right"/>
              <w:rPr>
                <w:sz w:val="20"/>
                <w:szCs w:val="20"/>
              </w:rPr>
            </w:pPr>
            <w:r>
              <w:rPr>
                <w:rFonts w:ascii="Arial" w:eastAsia="Arial" w:hAnsi="Arial" w:cs="Arial"/>
                <w:color w:val="CF0A2C"/>
                <w:sz w:val="14"/>
                <w:szCs w:val="14"/>
              </w:rPr>
              <w:t>7</w:t>
            </w:r>
          </w:p>
        </w:tc>
        <w:tc>
          <w:tcPr>
            <w:tcW w:w="60" w:type="dxa"/>
            <w:vAlign w:val="bottom"/>
          </w:tcPr>
          <w:p w:rsidR="00CC2C66" w:rsidRDefault="00CC2C66">
            <w:pPr>
              <w:rPr>
                <w:sz w:val="15"/>
                <w:szCs w:val="15"/>
              </w:rPr>
            </w:pP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Third Quarter of 2021</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6.9%</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-7.1%</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0%</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3.75%</w:t>
            </w:r>
          </w:p>
        </w:tc>
        <w:tc>
          <w:tcPr>
            <w:tcW w:w="1260" w:type="dxa"/>
            <w:vAlign w:val="bottom"/>
          </w:tcPr>
          <w:p w:rsidR="00CC2C66" w:rsidRDefault="00F80B74">
            <w:pPr>
              <w:jc w:val="right"/>
              <w:rPr>
                <w:sz w:val="20"/>
                <w:szCs w:val="20"/>
              </w:rPr>
            </w:pPr>
            <w:r>
              <w:rPr>
                <w:rFonts w:ascii="Arial" w:eastAsia="Arial" w:hAnsi="Arial" w:cs="Arial"/>
                <w:color w:val="CF0A2C"/>
                <w:sz w:val="14"/>
                <w:szCs w:val="14"/>
              </w:rPr>
              <w:t>0</w:t>
            </w:r>
          </w:p>
        </w:tc>
        <w:tc>
          <w:tcPr>
            <w:tcW w:w="60" w:type="dxa"/>
            <w:vAlign w:val="bottom"/>
          </w:tcPr>
          <w:p w:rsidR="00CC2C66" w:rsidRDefault="00CC2C66">
            <w:pPr>
              <w:rPr>
                <w:sz w:val="15"/>
                <w:szCs w:val="15"/>
              </w:rPr>
            </w:pP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Fourth Quarter of 2021</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6.8%</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-10.7%</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0%</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3.75%</w:t>
            </w:r>
          </w:p>
        </w:tc>
        <w:tc>
          <w:tcPr>
            <w:tcW w:w="1260" w:type="dxa"/>
            <w:vAlign w:val="bottom"/>
          </w:tcPr>
          <w:p w:rsidR="00CC2C66" w:rsidRDefault="00F80B74">
            <w:pPr>
              <w:jc w:val="right"/>
              <w:rPr>
                <w:sz w:val="20"/>
                <w:szCs w:val="20"/>
              </w:rPr>
            </w:pPr>
            <w:r>
              <w:rPr>
                <w:rFonts w:ascii="Arial" w:eastAsia="Arial" w:hAnsi="Arial" w:cs="Arial"/>
                <w:color w:val="CF0A2C"/>
                <w:sz w:val="14"/>
                <w:szCs w:val="14"/>
              </w:rPr>
              <w:t>0</w:t>
            </w:r>
          </w:p>
        </w:tc>
        <w:tc>
          <w:tcPr>
            <w:tcW w:w="60" w:type="dxa"/>
            <w:vAlign w:val="bottom"/>
          </w:tcPr>
          <w:p w:rsidR="00CC2C66" w:rsidRDefault="00CC2C66">
            <w:pPr>
              <w:rPr>
                <w:sz w:val="15"/>
                <w:szCs w:val="15"/>
              </w:rPr>
            </w:pP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Delivery Sales Growth</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20%</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18%</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82%</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15%</w:t>
            </w:r>
          </w:p>
        </w:tc>
        <w:tc>
          <w:tcPr>
            <w:tcW w:w="1320" w:type="dxa"/>
            <w:gridSpan w:val="2"/>
            <w:vAlign w:val="bottom"/>
          </w:tcPr>
          <w:p w:rsidR="00CC2C66" w:rsidRDefault="00F80B74">
            <w:pPr>
              <w:ind w:right="60"/>
              <w:jc w:val="right"/>
              <w:rPr>
                <w:sz w:val="20"/>
                <w:szCs w:val="20"/>
              </w:rPr>
            </w:pPr>
            <w:r>
              <w:rPr>
                <w:rFonts w:ascii="Arial" w:eastAsia="Arial" w:hAnsi="Arial" w:cs="Arial"/>
                <w:color w:val="CF0A2C"/>
                <w:sz w:val="14"/>
                <w:szCs w:val="14"/>
              </w:rPr>
              <w:t>12</w:t>
            </w:r>
          </w:p>
        </w:tc>
      </w:tr>
      <w:tr w:rsidR="00CC2C66">
        <w:trPr>
          <w:trHeight w:val="179"/>
        </w:trPr>
        <w:tc>
          <w:tcPr>
            <w:tcW w:w="3240" w:type="dxa"/>
            <w:vAlign w:val="bottom"/>
          </w:tcPr>
          <w:p w:rsidR="00CC2C66" w:rsidRDefault="00F80B74">
            <w:pPr>
              <w:rPr>
                <w:sz w:val="20"/>
                <w:szCs w:val="20"/>
              </w:rPr>
            </w:pPr>
            <w:r>
              <w:rPr>
                <w:rFonts w:ascii="Arial" w:eastAsia="Arial" w:hAnsi="Arial" w:cs="Arial"/>
                <w:b/>
                <w:bCs/>
                <w:color w:val="CF0A2C"/>
                <w:sz w:val="15"/>
                <w:szCs w:val="15"/>
              </w:rPr>
              <w:t>System Gross New Builds</w:t>
            </w:r>
          </w:p>
        </w:tc>
        <w:tc>
          <w:tcPr>
            <w:tcW w:w="1500" w:type="dxa"/>
            <w:gridSpan w:val="2"/>
            <w:vAlign w:val="bottom"/>
          </w:tcPr>
          <w:p w:rsidR="00CC2C66" w:rsidRDefault="00F80B74">
            <w:pPr>
              <w:ind w:right="363"/>
              <w:jc w:val="right"/>
              <w:rPr>
                <w:sz w:val="20"/>
                <w:szCs w:val="20"/>
              </w:rPr>
            </w:pPr>
            <w:r>
              <w:rPr>
                <w:rFonts w:ascii="Arial" w:eastAsia="Arial" w:hAnsi="Arial" w:cs="Arial"/>
                <w:color w:val="CF0A2C"/>
                <w:sz w:val="14"/>
                <w:szCs w:val="14"/>
              </w:rPr>
              <w:t>1,100</w:t>
            </w:r>
          </w:p>
        </w:tc>
        <w:tc>
          <w:tcPr>
            <w:tcW w:w="1220" w:type="dxa"/>
            <w:vAlign w:val="bottom"/>
          </w:tcPr>
          <w:p w:rsidR="00CC2C66" w:rsidRDefault="00F80B74">
            <w:pPr>
              <w:ind w:right="371"/>
              <w:jc w:val="right"/>
              <w:rPr>
                <w:sz w:val="20"/>
                <w:szCs w:val="20"/>
              </w:rPr>
            </w:pPr>
            <w:r>
              <w:rPr>
                <w:rFonts w:ascii="Arial" w:eastAsia="Arial" w:hAnsi="Arial" w:cs="Arial"/>
                <w:color w:val="CF0A2C"/>
                <w:sz w:val="14"/>
                <w:szCs w:val="14"/>
              </w:rPr>
              <w:t>1,806</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200%</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20%</w:t>
            </w:r>
          </w:p>
        </w:tc>
        <w:tc>
          <w:tcPr>
            <w:tcW w:w="1320" w:type="dxa"/>
            <w:gridSpan w:val="2"/>
            <w:vAlign w:val="bottom"/>
          </w:tcPr>
          <w:p w:rsidR="00CC2C66" w:rsidRDefault="00F80B74">
            <w:pPr>
              <w:ind w:right="60"/>
              <w:jc w:val="right"/>
              <w:rPr>
                <w:sz w:val="20"/>
                <w:szCs w:val="20"/>
              </w:rPr>
            </w:pPr>
            <w:r>
              <w:rPr>
                <w:rFonts w:ascii="Arial" w:eastAsia="Arial" w:hAnsi="Arial" w:cs="Arial"/>
                <w:color w:val="CF0A2C"/>
                <w:sz w:val="14"/>
                <w:szCs w:val="14"/>
              </w:rPr>
              <w:t>40</w:t>
            </w:r>
          </w:p>
        </w:tc>
      </w:tr>
      <w:tr w:rsidR="00CC2C66">
        <w:trPr>
          <w:trHeight w:val="193"/>
        </w:trPr>
        <w:tc>
          <w:tcPr>
            <w:tcW w:w="3240" w:type="dxa"/>
            <w:vAlign w:val="bottom"/>
          </w:tcPr>
          <w:p w:rsidR="00CC2C66" w:rsidRDefault="00F80B74">
            <w:pPr>
              <w:rPr>
                <w:sz w:val="20"/>
                <w:szCs w:val="20"/>
              </w:rPr>
            </w:pPr>
            <w:r>
              <w:rPr>
                <w:rFonts w:ascii="Arial" w:eastAsia="Arial" w:hAnsi="Arial" w:cs="Arial"/>
                <w:b/>
                <w:bCs/>
                <w:color w:val="CF0A2C"/>
                <w:sz w:val="15"/>
                <w:szCs w:val="15"/>
              </w:rPr>
              <w:t>Member Sales***</w:t>
            </w:r>
          </w:p>
        </w:tc>
        <w:tc>
          <w:tcPr>
            <w:tcW w:w="1500" w:type="dxa"/>
            <w:gridSpan w:val="2"/>
            <w:vAlign w:val="bottom"/>
          </w:tcPr>
          <w:p w:rsidR="00CC2C66" w:rsidRDefault="00F80B74">
            <w:pPr>
              <w:ind w:right="243"/>
              <w:jc w:val="right"/>
              <w:rPr>
                <w:sz w:val="20"/>
                <w:szCs w:val="20"/>
              </w:rPr>
            </w:pPr>
            <w:r>
              <w:rPr>
                <w:rFonts w:ascii="Arial" w:eastAsia="Arial" w:hAnsi="Arial" w:cs="Arial"/>
                <w:color w:val="CF0A2C"/>
                <w:sz w:val="14"/>
                <w:szCs w:val="14"/>
              </w:rPr>
              <w:t>61.5%</w:t>
            </w:r>
          </w:p>
        </w:tc>
        <w:tc>
          <w:tcPr>
            <w:tcW w:w="1220" w:type="dxa"/>
            <w:vAlign w:val="bottom"/>
          </w:tcPr>
          <w:p w:rsidR="00CC2C66" w:rsidRDefault="00F80B74">
            <w:pPr>
              <w:ind w:right="251"/>
              <w:jc w:val="right"/>
              <w:rPr>
                <w:sz w:val="20"/>
                <w:szCs w:val="20"/>
              </w:rPr>
            </w:pPr>
            <w:r>
              <w:rPr>
                <w:rFonts w:ascii="Arial" w:eastAsia="Arial" w:hAnsi="Arial" w:cs="Arial"/>
                <w:color w:val="CF0A2C"/>
                <w:sz w:val="14"/>
                <w:szCs w:val="14"/>
              </w:rPr>
              <w:t>62.1%</w:t>
            </w:r>
          </w:p>
        </w:tc>
        <w:tc>
          <w:tcPr>
            <w:tcW w:w="1640" w:type="dxa"/>
            <w:vAlign w:val="bottom"/>
          </w:tcPr>
          <w:p w:rsidR="00CC2C66" w:rsidRDefault="00F80B74">
            <w:pPr>
              <w:ind w:right="250"/>
              <w:jc w:val="right"/>
              <w:rPr>
                <w:sz w:val="20"/>
                <w:szCs w:val="20"/>
              </w:rPr>
            </w:pPr>
            <w:r>
              <w:rPr>
                <w:rFonts w:ascii="Arial" w:eastAsia="Arial" w:hAnsi="Arial" w:cs="Arial"/>
                <w:color w:val="CF0A2C"/>
                <w:sz w:val="14"/>
                <w:szCs w:val="14"/>
              </w:rPr>
              <w:t>129%</w:t>
            </w:r>
          </w:p>
        </w:tc>
        <w:tc>
          <w:tcPr>
            <w:tcW w:w="1500" w:type="dxa"/>
            <w:vAlign w:val="bottom"/>
          </w:tcPr>
          <w:p w:rsidR="00CC2C66" w:rsidRDefault="00F80B74">
            <w:pPr>
              <w:ind w:right="251"/>
              <w:jc w:val="right"/>
              <w:rPr>
                <w:sz w:val="20"/>
                <w:szCs w:val="20"/>
              </w:rPr>
            </w:pPr>
            <w:r>
              <w:rPr>
                <w:rFonts w:ascii="Arial" w:eastAsia="Arial" w:hAnsi="Arial" w:cs="Arial"/>
                <w:color w:val="CF0A2C"/>
                <w:sz w:val="14"/>
                <w:szCs w:val="14"/>
              </w:rPr>
              <w:t>10%</w:t>
            </w:r>
          </w:p>
        </w:tc>
        <w:tc>
          <w:tcPr>
            <w:tcW w:w="1320" w:type="dxa"/>
            <w:gridSpan w:val="2"/>
            <w:vAlign w:val="bottom"/>
          </w:tcPr>
          <w:p w:rsidR="00CC2C66" w:rsidRDefault="00F80B74">
            <w:pPr>
              <w:ind w:right="60"/>
              <w:jc w:val="right"/>
              <w:rPr>
                <w:sz w:val="20"/>
                <w:szCs w:val="20"/>
              </w:rPr>
            </w:pPr>
            <w:r>
              <w:rPr>
                <w:rFonts w:ascii="Arial" w:eastAsia="Arial" w:hAnsi="Arial" w:cs="Arial"/>
                <w:color w:val="CF0A2C"/>
                <w:sz w:val="14"/>
                <w:szCs w:val="14"/>
              </w:rPr>
              <w:t>13</w:t>
            </w:r>
          </w:p>
        </w:tc>
      </w:tr>
      <w:tr w:rsidR="00CC2C66">
        <w:trPr>
          <w:trHeight w:val="184"/>
        </w:trPr>
        <w:tc>
          <w:tcPr>
            <w:tcW w:w="3240" w:type="dxa"/>
            <w:vAlign w:val="bottom"/>
          </w:tcPr>
          <w:p w:rsidR="00CC2C66" w:rsidRDefault="00F80B74">
            <w:pPr>
              <w:rPr>
                <w:sz w:val="20"/>
                <w:szCs w:val="20"/>
              </w:rPr>
            </w:pPr>
            <w:r>
              <w:rPr>
                <w:rFonts w:ascii="Arial" w:eastAsia="Arial" w:hAnsi="Arial" w:cs="Arial"/>
                <w:b/>
                <w:bCs/>
                <w:color w:val="CF0A2C"/>
                <w:sz w:val="15"/>
                <w:szCs w:val="15"/>
              </w:rPr>
              <w:t>FINAL COMPANY TEAM FACTOR</w:t>
            </w:r>
          </w:p>
        </w:tc>
        <w:tc>
          <w:tcPr>
            <w:tcW w:w="540" w:type="dxa"/>
            <w:vAlign w:val="bottom"/>
          </w:tcPr>
          <w:p w:rsidR="00CC2C66" w:rsidRDefault="00CC2C66">
            <w:pPr>
              <w:rPr>
                <w:sz w:val="16"/>
                <w:szCs w:val="16"/>
              </w:rPr>
            </w:pPr>
          </w:p>
        </w:tc>
        <w:tc>
          <w:tcPr>
            <w:tcW w:w="960" w:type="dxa"/>
            <w:tcBorders>
              <w:top w:val="single" w:sz="8" w:space="0" w:color="CF0A2C"/>
              <w:bottom w:val="single" w:sz="8" w:space="0" w:color="CF0A2C"/>
            </w:tcBorders>
            <w:vAlign w:val="bottom"/>
          </w:tcPr>
          <w:p w:rsidR="00CC2C66" w:rsidRDefault="00CC2C66">
            <w:pPr>
              <w:rPr>
                <w:sz w:val="16"/>
                <w:szCs w:val="16"/>
              </w:rPr>
            </w:pPr>
          </w:p>
        </w:tc>
        <w:tc>
          <w:tcPr>
            <w:tcW w:w="1220" w:type="dxa"/>
            <w:tcBorders>
              <w:top w:val="single" w:sz="8" w:space="0" w:color="CF0A2C"/>
              <w:bottom w:val="single" w:sz="8" w:space="0" w:color="CF0A2C"/>
            </w:tcBorders>
            <w:vAlign w:val="bottom"/>
          </w:tcPr>
          <w:p w:rsidR="00CC2C66" w:rsidRDefault="00CC2C66">
            <w:pPr>
              <w:rPr>
                <w:sz w:val="16"/>
                <w:szCs w:val="16"/>
              </w:rPr>
            </w:pPr>
          </w:p>
        </w:tc>
        <w:tc>
          <w:tcPr>
            <w:tcW w:w="1640" w:type="dxa"/>
            <w:tcBorders>
              <w:top w:val="single" w:sz="8" w:space="0" w:color="CF0A2C"/>
              <w:bottom w:val="single" w:sz="8" w:space="0" w:color="CF0A2C"/>
            </w:tcBorders>
            <w:vAlign w:val="bottom"/>
          </w:tcPr>
          <w:p w:rsidR="00CC2C66" w:rsidRDefault="00CC2C66">
            <w:pPr>
              <w:rPr>
                <w:sz w:val="16"/>
                <w:szCs w:val="16"/>
              </w:rPr>
            </w:pPr>
          </w:p>
        </w:tc>
        <w:tc>
          <w:tcPr>
            <w:tcW w:w="1500" w:type="dxa"/>
            <w:tcBorders>
              <w:top w:val="single" w:sz="8" w:space="0" w:color="CF0A2C"/>
              <w:bottom w:val="single" w:sz="8" w:space="0" w:color="CF0A2C"/>
            </w:tcBorders>
            <w:vAlign w:val="bottom"/>
          </w:tcPr>
          <w:p w:rsidR="00CC2C66" w:rsidRDefault="00CC2C66">
            <w:pPr>
              <w:rPr>
                <w:sz w:val="16"/>
                <w:szCs w:val="16"/>
              </w:rPr>
            </w:pPr>
          </w:p>
        </w:tc>
        <w:tc>
          <w:tcPr>
            <w:tcW w:w="1260" w:type="dxa"/>
            <w:tcBorders>
              <w:top w:val="single" w:sz="8" w:space="0" w:color="CF0A2C"/>
              <w:bottom w:val="single" w:sz="8" w:space="0" w:color="CF0A2C"/>
            </w:tcBorders>
            <w:vAlign w:val="bottom"/>
          </w:tcPr>
          <w:p w:rsidR="00CC2C66" w:rsidRDefault="00F80B74">
            <w:pPr>
              <w:jc w:val="right"/>
              <w:rPr>
                <w:sz w:val="20"/>
                <w:szCs w:val="20"/>
              </w:rPr>
            </w:pPr>
            <w:r>
              <w:rPr>
                <w:rFonts w:ascii="Arial" w:eastAsia="Arial" w:hAnsi="Arial" w:cs="Arial"/>
                <w:color w:val="CF0A2C"/>
                <w:sz w:val="14"/>
                <w:szCs w:val="14"/>
              </w:rPr>
              <w:t>112</w:t>
            </w:r>
          </w:p>
        </w:tc>
        <w:tc>
          <w:tcPr>
            <w:tcW w:w="60" w:type="dxa"/>
            <w:vAlign w:val="bottom"/>
          </w:tcPr>
          <w:p w:rsidR="00CC2C66" w:rsidRDefault="00CC2C66">
            <w:pPr>
              <w:rPr>
                <w:sz w:val="16"/>
                <w:szCs w:val="16"/>
              </w:rPr>
            </w:pPr>
          </w:p>
        </w:tc>
      </w:tr>
      <w:tr w:rsidR="00CC2C66">
        <w:trPr>
          <w:trHeight w:val="20"/>
        </w:trPr>
        <w:tc>
          <w:tcPr>
            <w:tcW w:w="3240" w:type="dxa"/>
            <w:vAlign w:val="bottom"/>
          </w:tcPr>
          <w:p w:rsidR="00CC2C66" w:rsidRDefault="00CC2C66">
            <w:pPr>
              <w:spacing w:line="20" w:lineRule="exact"/>
              <w:rPr>
                <w:sz w:val="1"/>
                <w:szCs w:val="1"/>
              </w:rPr>
            </w:pPr>
          </w:p>
        </w:tc>
        <w:tc>
          <w:tcPr>
            <w:tcW w:w="540" w:type="dxa"/>
            <w:vAlign w:val="bottom"/>
          </w:tcPr>
          <w:p w:rsidR="00CC2C66" w:rsidRDefault="00CC2C66">
            <w:pPr>
              <w:spacing w:line="20" w:lineRule="exact"/>
              <w:rPr>
                <w:sz w:val="1"/>
                <w:szCs w:val="1"/>
              </w:rPr>
            </w:pPr>
          </w:p>
        </w:tc>
        <w:tc>
          <w:tcPr>
            <w:tcW w:w="960" w:type="dxa"/>
            <w:tcBorders>
              <w:bottom w:val="single" w:sz="8" w:space="0" w:color="CF0A2C"/>
            </w:tcBorders>
            <w:vAlign w:val="bottom"/>
          </w:tcPr>
          <w:p w:rsidR="00CC2C66" w:rsidRDefault="00CC2C66">
            <w:pPr>
              <w:spacing w:line="20" w:lineRule="exact"/>
              <w:rPr>
                <w:sz w:val="1"/>
                <w:szCs w:val="1"/>
              </w:rPr>
            </w:pPr>
          </w:p>
        </w:tc>
        <w:tc>
          <w:tcPr>
            <w:tcW w:w="1220" w:type="dxa"/>
            <w:tcBorders>
              <w:bottom w:val="single" w:sz="8" w:space="0" w:color="CF0A2C"/>
            </w:tcBorders>
            <w:vAlign w:val="bottom"/>
          </w:tcPr>
          <w:p w:rsidR="00CC2C66" w:rsidRDefault="00CC2C66">
            <w:pPr>
              <w:spacing w:line="20" w:lineRule="exact"/>
              <w:rPr>
                <w:sz w:val="1"/>
                <w:szCs w:val="1"/>
              </w:rPr>
            </w:pPr>
          </w:p>
        </w:tc>
        <w:tc>
          <w:tcPr>
            <w:tcW w:w="1640" w:type="dxa"/>
            <w:tcBorders>
              <w:bottom w:val="single" w:sz="8" w:space="0" w:color="CF0A2C"/>
            </w:tcBorders>
            <w:vAlign w:val="bottom"/>
          </w:tcPr>
          <w:p w:rsidR="00CC2C66" w:rsidRDefault="00CC2C66">
            <w:pPr>
              <w:spacing w:line="20" w:lineRule="exact"/>
              <w:rPr>
                <w:sz w:val="1"/>
                <w:szCs w:val="1"/>
              </w:rPr>
            </w:pPr>
          </w:p>
        </w:tc>
        <w:tc>
          <w:tcPr>
            <w:tcW w:w="1500" w:type="dxa"/>
            <w:tcBorders>
              <w:bottom w:val="single" w:sz="8" w:space="0" w:color="CF0A2C"/>
            </w:tcBorders>
            <w:vAlign w:val="bottom"/>
          </w:tcPr>
          <w:p w:rsidR="00CC2C66" w:rsidRDefault="00CC2C66">
            <w:pPr>
              <w:spacing w:line="20" w:lineRule="exact"/>
              <w:rPr>
                <w:sz w:val="1"/>
                <w:szCs w:val="1"/>
              </w:rPr>
            </w:pPr>
          </w:p>
        </w:tc>
        <w:tc>
          <w:tcPr>
            <w:tcW w:w="1260" w:type="dxa"/>
            <w:tcBorders>
              <w:bottom w:val="single" w:sz="8" w:space="0" w:color="CF0A2C"/>
            </w:tcBorders>
            <w:vAlign w:val="bottom"/>
          </w:tcPr>
          <w:p w:rsidR="00CC2C66" w:rsidRDefault="00CC2C66">
            <w:pPr>
              <w:spacing w:line="20" w:lineRule="exact"/>
              <w:rPr>
                <w:sz w:val="1"/>
                <w:szCs w:val="1"/>
              </w:rPr>
            </w:pPr>
          </w:p>
        </w:tc>
        <w:tc>
          <w:tcPr>
            <w:tcW w:w="60" w:type="dxa"/>
            <w:vAlign w:val="bottom"/>
          </w:tcPr>
          <w:p w:rsidR="00CC2C66" w:rsidRDefault="00CC2C66">
            <w:pPr>
              <w:spacing w:line="20" w:lineRule="exact"/>
              <w:rPr>
                <w:sz w:val="1"/>
                <w:szCs w:val="1"/>
              </w:rPr>
            </w:pPr>
          </w:p>
        </w:tc>
      </w:tr>
    </w:tbl>
    <w:p w:rsidR="00CC2C66" w:rsidRDefault="00CC2C66">
      <w:pPr>
        <w:spacing w:line="273" w:lineRule="exact"/>
        <w:rPr>
          <w:sz w:val="20"/>
          <w:szCs w:val="20"/>
        </w:rPr>
      </w:pPr>
    </w:p>
    <w:p w:rsidR="00CC2C66" w:rsidRDefault="00F80B74">
      <w:pPr>
        <w:numPr>
          <w:ilvl w:val="0"/>
          <w:numId w:val="71"/>
        </w:numPr>
        <w:tabs>
          <w:tab w:val="left" w:pos="1020"/>
        </w:tabs>
        <w:spacing w:line="247" w:lineRule="auto"/>
        <w:ind w:left="1020" w:hanging="609"/>
        <w:jc w:val="both"/>
        <w:rPr>
          <w:rFonts w:eastAsia="Times New Roman"/>
          <w:color w:val="CF0A2C"/>
          <w:sz w:val="19"/>
          <w:szCs w:val="19"/>
        </w:rPr>
      </w:pPr>
      <w:r>
        <w:rPr>
          <w:rFonts w:eastAsia="Times New Roman"/>
          <w:sz w:val="19"/>
          <w:szCs w:val="19"/>
        </w:rPr>
        <w:t>Adjusted Operating Profit Growth as a team performance measure is the adjusted operating profit growth, excluding the effects of RMB to USD translations (either</w:t>
      </w:r>
      <w:r>
        <w:rPr>
          <w:rFonts w:eastAsia="Times New Roman"/>
          <w:sz w:val="19"/>
          <w:szCs w:val="19"/>
        </w:rPr>
        <w:t xml:space="preserve"> positive or negative) because we believe that changes in the foreign exchange rate can cause Operating Profit Growth to appear more or less favorable than business results indicate. If measured on a full-year basis, actual result would be -2%.</w:t>
      </w:r>
    </w:p>
    <w:p w:rsidR="00CC2C66" w:rsidRDefault="00CC2C66">
      <w:pPr>
        <w:spacing w:line="251" w:lineRule="exact"/>
        <w:rPr>
          <w:sz w:val="20"/>
          <w:szCs w:val="20"/>
        </w:rPr>
      </w:pPr>
    </w:p>
    <w:p w:rsidR="00CC2C66" w:rsidRDefault="00F80B74">
      <w:pPr>
        <w:numPr>
          <w:ilvl w:val="0"/>
          <w:numId w:val="72"/>
        </w:numPr>
        <w:tabs>
          <w:tab w:val="left" w:pos="1020"/>
        </w:tabs>
        <w:ind w:left="1020" w:hanging="609"/>
        <w:rPr>
          <w:rFonts w:eastAsia="Times New Roman"/>
          <w:color w:val="CF0A2C"/>
          <w:sz w:val="19"/>
          <w:szCs w:val="19"/>
        </w:rPr>
      </w:pPr>
      <w:r>
        <w:rPr>
          <w:rFonts w:eastAsia="Times New Roman"/>
          <w:sz w:val="19"/>
          <w:szCs w:val="19"/>
        </w:rPr>
        <w:t xml:space="preserve">If </w:t>
      </w:r>
      <w:r>
        <w:rPr>
          <w:rFonts w:eastAsia="Times New Roman"/>
          <w:sz w:val="19"/>
          <w:szCs w:val="19"/>
        </w:rPr>
        <w:t>measured on a full-year basis, actual result would be -0.9%.</w:t>
      </w:r>
    </w:p>
    <w:p w:rsidR="00CC2C66" w:rsidRDefault="00CC2C66">
      <w:pPr>
        <w:spacing w:line="279" w:lineRule="exact"/>
        <w:rPr>
          <w:rFonts w:eastAsia="Times New Roman"/>
          <w:color w:val="CF0A2C"/>
          <w:sz w:val="19"/>
          <w:szCs w:val="19"/>
        </w:rPr>
      </w:pPr>
    </w:p>
    <w:p w:rsidR="00CC2C66" w:rsidRDefault="00F80B74">
      <w:pPr>
        <w:numPr>
          <w:ilvl w:val="0"/>
          <w:numId w:val="73"/>
        </w:numPr>
        <w:tabs>
          <w:tab w:val="left" w:pos="1020"/>
        </w:tabs>
        <w:ind w:left="1020" w:hanging="609"/>
        <w:rPr>
          <w:rFonts w:eastAsia="Times New Roman"/>
          <w:color w:val="CF0A2C"/>
          <w:sz w:val="19"/>
          <w:szCs w:val="19"/>
        </w:rPr>
      </w:pPr>
      <w:r>
        <w:rPr>
          <w:rFonts w:eastAsia="Times New Roman"/>
          <w:sz w:val="19"/>
          <w:szCs w:val="19"/>
        </w:rPr>
        <w:t>Member Sales refers to member sales for the KFC and Pizza Hut brands as a percentage of total system sales.</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331" w:lineRule="exact"/>
        <w:rPr>
          <w:sz w:val="20"/>
          <w:szCs w:val="20"/>
        </w:rPr>
      </w:pPr>
    </w:p>
    <w:p w:rsidR="00CC2C66" w:rsidRDefault="00F80B74">
      <w:pPr>
        <w:spacing w:line="257" w:lineRule="auto"/>
        <w:ind w:left="420"/>
        <w:jc w:val="both"/>
        <w:rPr>
          <w:sz w:val="20"/>
          <w:szCs w:val="20"/>
        </w:rPr>
      </w:pPr>
      <w:r>
        <w:rPr>
          <w:rFonts w:eastAsia="Times New Roman"/>
          <w:sz w:val="18"/>
          <w:szCs w:val="18"/>
        </w:rPr>
        <w:t>As noted above, a team factor of 112% was achieved based on the</w:t>
      </w:r>
      <w:r>
        <w:rPr>
          <w:rFonts w:eastAsia="Times New Roman"/>
          <w:sz w:val="18"/>
          <w:szCs w:val="18"/>
        </w:rPr>
        <w:t xml:space="preserve"> five performance measures set out above with the performance periods for the performance measures of Adjusted Operating Profit Growth and Same Store Sales Growth being segregated into three distinct performance periods. With Adjusted Operating Profit Grow</w:t>
      </w:r>
      <w:r>
        <w:rPr>
          <w:rFonts w:eastAsia="Times New Roman"/>
          <w:sz w:val="18"/>
          <w:szCs w:val="18"/>
        </w:rPr>
        <w:t>th and Same Store Sales Growth measured on a full-year basis as established in early 2021, the team factor would have been 65% due to the volatility of COVID-19</w:t>
      </w:r>
    </w:p>
    <w:p w:rsidR="00CC2C66" w:rsidRDefault="00F80B74">
      <w:pPr>
        <w:spacing w:line="20" w:lineRule="exact"/>
        <w:rPr>
          <w:sz w:val="20"/>
          <w:szCs w:val="20"/>
        </w:rPr>
      </w:pPr>
      <w:r>
        <w:rPr>
          <w:sz w:val="20"/>
          <w:szCs w:val="20"/>
        </w:rPr>
        <w:br w:type="column"/>
      </w:r>
    </w:p>
    <w:p w:rsidR="00CC2C66" w:rsidRDefault="00CC2C66">
      <w:pPr>
        <w:spacing w:line="311" w:lineRule="exact"/>
        <w:rPr>
          <w:sz w:val="20"/>
          <w:szCs w:val="20"/>
        </w:rPr>
      </w:pPr>
    </w:p>
    <w:p w:rsidR="00CC2C66" w:rsidRDefault="00F80B74">
      <w:pPr>
        <w:spacing w:line="242" w:lineRule="auto"/>
        <w:jc w:val="both"/>
        <w:rPr>
          <w:sz w:val="20"/>
          <w:szCs w:val="20"/>
        </w:rPr>
      </w:pPr>
      <w:r>
        <w:rPr>
          <w:rFonts w:eastAsia="Times New Roman"/>
          <w:sz w:val="19"/>
          <w:szCs w:val="19"/>
        </w:rPr>
        <w:t xml:space="preserve">on the Company’s performance during 2021. Although the strong performance, particularly in </w:t>
      </w:r>
      <w:r>
        <w:rPr>
          <w:rFonts w:eastAsia="Times New Roman"/>
          <w:sz w:val="19"/>
          <w:szCs w:val="19"/>
        </w:rPr>
        <w:t>the first half of 2021, and the extraordinary effort of the management team in containing cost and delivering positive profit amid the severe impact of COVID-19 in the second half of 2021, would have resulted in a team factor of 112%, the Compensation Comm</w:t>
      </w:r>
      <w:r>
        <w:rPr>
          <w:rFonts w:eastAsia="Times New Roman"/>
          <w:sz w:val="19"/>
          <w:szCs w:val="19"/>
        </w:rPr>
        <w:t>ittee applied discretion to reduce the result from 112% and approved a final team factor of 105% for Company performance.</w:t>
      </w:r>
    </w:p>
    <w:p w:rsidR="00CC2C66" w:rsidRDefault="00CC2C66">
      <w:pPr>
        <w:spacing w:line="21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46" w:lineRule="exact"/>
        <w:rPr>
          <w:sz w:val="20"/>
          <w:szCs w:val="20"/>
        </w:rPr>
      </w:pPr>
    </w:p>
    <w:p w:rsidR="00CC2C66" w:rsidRDefault="00F80B74">
      <w:pPr>
        <w:numPr>
          <w:ilvl w:val="0"/>
          <w:numId w:val="74"/>
        </w:numPr>
        <w:tabs>
          <w:tab w:val="left" w:pos="940"/>
        </w:tabs>
        <w:ind w:left="940" w:hanging="385"/>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496570</wp:posOffset>
            </wp:positionH>
            <wp:positionV relativeFrom="paragraph">
              <wp:posOffset>-81915</wp:posOffset>
            </wp:positionV>
            <wp:extent cx="8255" cy="9715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45" w:name="page45"/>
      <w:bookmarkEnd w:id="45"/>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3" w:lineRule="exact"/>
        <w:rPr>
          <w:sz w:val="20"/>
          <w:szCs w:val="20"/>
        </w:rPr>
      </w:pPr>
    </w:p>
    <w:p w:rsidR="00CC2C66" w:rsidRDefault="00F80B74">
      <w:pPr>
        <w:ind w:left="420"/>
        <w:rPr>
          <w:sz w:val="20"/>
          <w:szCs w:val="20"/>
        </w:rPr>
      </w:pPr>
      <w:r>
        <w:rPr>
          <w:rFonts w:eastAsia="Times New Roman"/>
          <w:i/>
          <w:iCs/>
          <w:color w:val="CF0A2C"/>
          <w:sz w:val="19"/>
          <w:szCs w:val="19"/>
        </w:rPr>
        <w:t>Individual Performance Factors</w:t>
      </w:r>
    </w:p>
    <w:p w:rsidR="00CC2C66" w:rsidRDefault="00CC2C66">
      <w:pPr>
        <w:spacing w:line="245" w:lineRule="exact"/>
        <w:rPr>
          <w:sz w:val="20"/>
          <w:szCs w:val="20"/>
        </w:rPr>
      </w:pPr>
    </w:p>
    <w:p w:rsidR="00CC2C66" w:rsidRDefault="00F80B74">
      <w:pPr>
        <w:spacing w:line="255" w:lineRule="auto"/>
        <w:ind w:left="420"/>
        <w:jc w:val="both"/>
        <w:rPr>
          <w:sz w:val="20"/>
          <w:szCs w:val="20"/>
        </w:rPr>
      </w:pPr>
      <w:r>
        <w:rPr>
          <w:rFonts w:eastAsia="Times New Roman"/>
          <w:sz w:val="18"/>
          <w:szCs w:val="18"/>
        </w:rPr>
        <w:t xml:space="preserve">In February 2021, the Compensation Committee approved the performance goals that would be used to determine the Individual Performance Factor for the CEO and provided input on the performance goals recommended by the CEO for the other NEOs, which would </w:t>
      </w:r>
      <w:r>
        <w:rPr>
          <w:rFonts w:eastAsia="Times New Roman"/>
          <w:sz w:val="18"/>
          <w:szCs w:val="18"/>
        </w:rPr>
        <w:t xml:space="preserve">subsequently be used by the CEO to recommend to the Compensation Committee the Individual Performance Factor for each NEO. As part of the Company’s annual performance evaluation process, the CEO, after having received input from the Compensation Committee </w:t>
      </w:r>
      <w:r>
        <w:rPr>
          <w:rFonts w:eastAsia="Times New Roman"/>
          <w:sz w:val="18"/>
          <w:szCs w:val="18"/>
        </w:rPr>
        <w:t>and after consultation with each NEO, establishes that NEO’s performance objectives for the coming year, which are ultimately approved by the Compensation Committee. These performance objectives are not intended to be rigid or formulaic, but rather to serv</w:t>
      </w:r>
      <w:r>
        <w:rPr>
          <w:rFonts w:eastAsia="Times New Roman"/>
          <w:sz w:val="18"/>
          <w:szCs w:val="18"/>
        </w:rPr>
        <w:t>e as the framework upon which the CEO evaluates the NEO’s overall performance.</w:t>
      </w:r>
    </w:p>
    <w:p w:rsidR="00CC2C66" w:rsidRDefault="00CC2C66">
      <w:pPr>
        <w:spacing w:line="205" w:lineRule="exact"/>
        <w:rPr>
          <w:sz w:val="20"/>
          <w:szCs w:val="20"/>
        </w:rPr>
      </w:pPr>
    </w:p>
    <w:p w:rsidR="00CC2C66" w:rsidRDefault="00F80B74">
      <w:pPr>
        <w:ind w:left="420"/>
        <w:jc w:val="both"/>
        <w:rPr>
          <w:sz w:val="20"/>
          <w:szCs w:val="20"/>
        </w:rPr>
      </w:pPr>
      <w:r>
        <w:rPr>
          <w:rFonts w:eastAsia="Times New Roman"/>
          <w:sz w:val="19"/>
          <w:szCs w:val="19"/>
        </w:rPr>
        <w:t xml:space="preserve">These annual performance goals generally fell within the performance categories of mitigating the impact of the COVID-19 pandemic, increasing stockholder returns, accelerating </w:t>
      </w:r>
      <w:r>
        <w:rPr>
          <w:rFonts w:eastAsia="Times New Roman"/>
          <w:sz w:val="19"/>
          <w:szCs w:val="19"/>
        </w:rPr>
        <w:t>the growth of our brands, driving new business initiatives, and ESG objectives. Under each performance goal category, each NEO has a number of underlying pre-established goals against which the NEO’s performance is assessed to determine whether the NEO has</w:t>
      </w:r>
      <w:r>
        <w:rPr>
          <w:rFonts w:eastAsia="Times New Roman"/>
          <w:sz w:val="19"/>
          <w:szCs w:val="19"/>
        </w:rPr>
        <w:t xml:space="preserve"> achieved the overall performance goal. The evaluation of an executive’s performance relative to these goals is inherently subjective, involving a high degree of judgment based on the CEO’s observations of, and interactions with, the executive throughout t</w:t>
      </w:r>
      <w:r>
        <w:rPr>
          <w:rFonts w:eastAsia="Times New Roman"/>
          <w:sz w:val="19"/>
          <w:szCs w:val="19"/>
        </w:rPr>
        <w:t>he year. As an additional input to the evaluation of an executive’s performance, the CEO assesses the overall performance of the Company in light of the dynamics of the China market. As a result, no single performance goal or group of goals is determinativ</w:t>
      </w:r>
      <w:r>
        <w:rPr>
          <w:rFonts w:eastAsia="Times New Roman"/>
          <w:sz w:val="19"/>
          <w:szCs w:val="19"/>
        </w:rPr>
        <w:t>e for the CEO’s evaluation of the executive’s performance.</w:t>
      </w:r>
    </w:p>
    <w:p w:rsidR="00CC2C66" w:rsidRDefault="00CC2C66">
      <w:pPr>
        <w:spacing w:line="208" w:lineRule="exact"/>
        <w:rPr>
          <w:sz w:val="20"/>
          <w:szCs w:val="20"/>
        </w:rPr>
      </w:pPr>
    </w:p>
    <w:p w:rsidR="00CC2C66" w:rsidRDefault="00F80B74">
      <w:pPr>
        <w:spacing w:line="242" w:lineRule="auto"/>
        <w:ind w:left="420"/>
        <w:jc w:val="both"/>
        <w:rPr>
          <w:sz w:val="20"/>
          <w:szCs w:val="20"/>
        </w:rPr>
      </w:pPr>
      <w:r>
        <w:rPr>
          <w:rFonts w:eastAsia="Times New Roman"/>
          <w:sz w:val="19"/>
          <w:szCs w:val="19"/>
        </w:rPr>
        <w:t>The above evaluation provides the basis for the CEO’s recommendation to the Compensation Committee for the executive’s Individual Performance Factor. The Compensation Committee then meets with the</w:t>
      </w:r>
      <w:r>
        <w:rPr>
          <w:rFonts w:eastAsia="Times New Roman"/>
          <w:sz w:val="19"/>
          <w:szCs w:val="19"/>
        </w:rPr>
        <w:t xml:space="preserve"> CEO and discusses the CEO’s recommendations and meets separately in executive session to discuss the CEO’s recommendations and make a determination of the Individual Performance Factor for the NEOs, excluding the CEO.</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48000"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jc w:val="both"/>
        <w:rPr>
          <w:sz w:val="20"/>
          <w:szCs w:val="20"/>
        </w:rPr>
      </w:pPr>
      <w:r>
        <w:rPr>
          <w:rFonts w:eastAsia="Times New Roman"/>
          <w:sz w:val="19"/>
          <w:szCs w:val="19"/>
        </w:rPr>
        <w:t>The Co</w:t>
      </w:r>
      <w:r>
        <w:rPr>
          <w:rFonts w:eastAsia="Times New Roman"/>
          <w:sz w:val="19"/>
          <w:szCs w:val="19"/>
        </w:rPr>
        <w:t>mpensation Committee applies similar factors in determining the Individual Performance Factor for the CEO. The Compensation Committee meets in executive session to discuss the CEO’s individual performance and then consults with the Chairman of the Board fo</w:t>
      </w:r>
      <w:r>
        <w:rPr>
          <w:rFonts w:eastAsia="Times New Roman"/>
          <w:sz w:val="19"/>
          <w:szCs w:val="19"/>
        </w:rPr>
        <w:t>r their collective determination of the CEO’s Individual Performance Factor. The evaluation of the CEO’s overall performance relative to these factors is also inherently subjective, involving a high degree of judgment. The Compensation Committee and the ot</w:t>
      </w:r>
      <w:r>
        <w:rPr>
          <w:rFonts w:eastAsia="Times New Roman"/>
          <w:sz w:val="19"/>
          <w:szCs w:val="19"/>
        </w:rPr>
        <w:t>her independent directors assess the overall performance of the Company in light of the dynamics of the China market in which the Company operates. As a result, no single performance goal or group of goals is determinative for the evaluation of the CEO’s p</w:t>
      </w:r>
      <w:r>
        <w:rPr>
          <w:rFonts w:eastAsia="Times New Roman"/>
          <w:sz w:val="19"/>
          <w:szCs w:val="19"/>
        </w:rPr>
        <w:t>erformance.</w:t>
      </w:r>
    </w:p>
    <w:p w:rsidR="00CC2C66" w:rsidRDefault="00CC2C66">
      <w:pPr>
        <w:spacing w:line="226" w:lineRule="exact"/>
        <w:rPr>
          <w:sz w:val="20"/>
          <w:szCs w:val="20"/>
        </w:rPr>
      </w:pPr>
    </w:p>
    <w:p w:rsidR="00CC2C66" w:rsidRDefault="00F80B74">
      <w:pPr>
        <w:spacing w:line="245" w:lineRule="auto"/>
        <w:jc w:val="both"/>
        <w:rPr>
          <w:sz w:val="20"/>
          <w:szCs w:val="20"/>
        </w:rPr>
      </w:pPr>
      <w:r>
        <w:rPr>
          <w:rFonts w:eastAsia="Times New Roman"/>
          <w:sz w:val="19"/>
          <w:szCs w:val="19"/>
        </w:rPr>
        <w:t>The use of Individual Performance Factors provides the Company with a degree of flexibility (applied reasonably and in moderation by the Compensation Committee) to reward contributions to strategic business initiatives and the building of orga</w:t>
      </w:r>
      <w:r>
        <w:rPr>
          <w:rFonts w:eastAsia="Times New Roman"/>
          <w:sz w:val="19"/>
          <w:szCs w:val="19"/>
        </w:rPr>
        <w:t>nizational capabilities supportive of the creation of long-term value.</w:t>
      </w:r>
    </w:p>
    <w:p w:rsidR="00CC2C66" w:rsidRDefault="00CC2C66">
      <w:pPr>
        <w:spacing w:line="214" w:lineRule="exact"/>
        <w:rPr>
          <w:sz w:val="20"/>
          <w:szCs w:val="20"/>
        </w:rPr>
      </w:pPr>
    </w:p>
    <w:p w:rsidR="00CC2C66" w:rsidRDefault="00F80B74">
      <w:pPr>
        <w:spacing w:line="247" w:lineRule="auto"/>
        <w:ind w:right="20"/>
        <w:jc w:val="both"/>
        <w:rPr>
          <w:sz w:val="20"/>
          <w:szCs w:val="20"/>
        </w:rPr>
      </w:pPr>
      <w:r>
        <w:rPr>
          <w:rFonts w:eastAsia="Times New Roman"/>
          <w:sz w:val="19"/>
          <w:szCs w:val="19"/>
        </w:rPr>
        <w:t xml:space="preserve">Based on the foregoing, the Compensation Committee assigned 2021 Individual Performance Factors for the NEOs ranging from 100% to 130%, as described below under “2021 NEO Compensation </w:t>
      </w:r>
      <w:r>
        <w:rPr>
          <w:rFonts w:eastAsia="Times New Roman"/>
          <w:sz w:val="19"/>
          <w:szCs w:val="19"/>
        </w:rPr>
        <w:t>and Performance Summary.”</w:t>
      </w:r>
    </w:p>
    <w:p w:rsidR="00CC2C66" w:rsidRDefault="00CC2C66">
      <w:pPr>
        <w:spacing w:line="193" w:lineRule="exact"/>
        <w:rPr>
          <w:sz w:val="20"/>
          <w:szCs w:val="20"/>
        </w:rPr>
      </w:pPr>
    </w:p>
    <w:p w:rsidR="00CC2C66" w:rsidRDefault="00F80B74">
      <w:pPr>
        <w:rPr>
          <w:sz w:val="20"/>
          <w:szCs w:val="20"/>
        </w:rPr>
      </w:pPr>
      <w:r>
        <w:rPr>
          <w:rFonts w:eastAsia="Times New Roman"/>
          <w:b/>
          <w:bCs/>
          <w:i/>
          <w:iCs/>
          <w:color w:val="CF0A2C"/>
          <w:sz w:val="19"/>
          <w:szCs w:val="19"/>
        </w:rPr>
        <w:t>Long-Term Equity Incentives</w:t>
      </w:r>
    </w:p>
    <w:p w:rsidR="00CC2C66" w:rsidRDefault="00CC2C66">
      <w:pPr>
        <w:spacing w:line="247" w:lineRule="exact"/>
        <w:rPr>
          <w:sz w:val="20"/>
          <w:szCs w:val="20"/>
        </w:rPr>
      </w:pPr>
    </w:p>
    <w:p w:rsidR="00CC2C66" w:rsidRDefault="00F80B74">
      <w:pPr>
        <w:spacing w:line="245" w:lineRule="auto"/>
        <w:jc w:val="both"/>
        <w:rPr>
          <w:sz w:val="20"/>
          <w:szCs w:val="20"/>
        </w:rPr>
      </w:pPr>
      <w:r>
        <w:rPr>
          <w:rFonts w:eastAsia="Times New Roman"/>
          <w:sz w:val="19"/>
          <w:szCs w:val="19"/>
        </w:rPr>
        <w:t>The Company provides long-term equity compensation to its executives to encourage decision-making that creates long-term sustainable stockholder value. In determining the size of the annual equity awa</w:t>
      </w:r>
      <w:r>
        <w:rPr>
          <w:rFonts w:eastAsia="Times New Roman"/>
          <w:sz w:val="19"/>
          <w:szCs w:val="19"/>
        </w:rPr>
        <w:t>rds, the Compensation Committee considers the following:</w:t>
      </w:r>
    </w:p>
    <w:p w:rsidR="00CC2C66" w:rsidRDefault="00CC2C66">
      <w:pPr>
        <w:spacing w:line="252" w:lineRule="exact"/>
        <w:rPr>
          <w:sz w:val="20"/>
          <w:szCs w:val="20"/>
        </w:rPr>
      </w:pPr>
    </w:p>
    <w:p w:rsidR="00CC2C66" w:rsidRDefault="00F80B74">
      <w:pPr>
        <w:numPr>
          <w:ilvl w:val="0"/>
          <w:numId w:val="75"/>
        </w:numPr>
        <w:tabs>
          <w:tab w:val="left" w:pos="240"/>
        </w:tabs>
        <w:ind w:left="240" w:hanging="181"/>
        <w:rPr>
          <w:rFonts w:eastAsia="Times New Roman"/>
          <w:color w:val="CF0A2C"/>
          <w:sz w:val="19"/>
          <w:szCs w:val="19"/>
        </w:rPr>
      </w:pPr>
      <w:r>
        <w:rPr>
          <w:rFonts w:eastAsia="Times New Roman"/>
          <w:sz w:val="19"/>
          <w:szCs w:val="19"/>
        </w:rPr>
        <w:t>Prior year individual and team performance;</w:t>
      </w:r>
    </w:p>
    <w:p w:rsidR="00CC2C66" w:rsidRDefault="00CC2C66">
      <w:pPr>
        <w:spacing w:line="279" w:lineRule="exact"/>
        <w:rPr>
          <w:rFonts w:eastAsia="Times New Roman"/>
          <w:color w:val="CF0A2C"/>
          <w:sz w:val="19"/>
          <w:szCs w:val="19"/>
        </w:rPr>
      </w:pPr>
    </w:p>
    <w:p w:rsidR="00CC2C66" w:rsidRDefault="00F80B74">
      <w:pPr>
        <w:numPr>
          <w:ilvl w:val="0"/>
          <w:numId w:val="75"/>
        </w:numPr>
        <w:tabs>
          <w:tab w:val="left" w:pos="240"/>
        </w:tabs>
        <w:ind w:left="240" w:hanging="181"/>
        <w:rPr>
          <w:rFonts w:eastAsia="Times New Roman"/>
          <w:color w:val="CF0A2C"/>
          <w:sz w:val="19"/>
          <w:szCs w:val="19"/>
        </w:rPr>
      </w:pPr>
      <w:r>
        <w:rPr>
          <w:rFonts w:eastAsia="Times New Roman"/>
          <w:sz w:val="19"/>
          <w:szCs w:val="19"/>
        </w:rPr>
        <w:t>Expected contributions in future years;</w:t>
      </w:r>
    </w:p>
    <w:p w:rsidR="00CC2C66" w:rsidRDefault="00CC2C66">
      <w:pPr>
        <w:spacing w:line="279" w:lineRule="exact"/>
        <w:rPr>
          <w:rFonts w:eastAsia="Times New Roman"/>
          <w:color w:val="CF0A2C"/>
          <w:sz w:val="19"/>
          <w:szCs w:val="19"/>
        </w:rPr>
      </w:pPr>
    </w:p>
    <w:p w:rsidR="00CC2C66" w:rsidRDefault="00F80B74">
      <w:pPr>
        <w:numPr>
          <w:ilvl w:val="0"/>
          <w:numId w:val="75"/>
        </w:numPr>
        <w:tabs>
          <w:tab w:val="left" w:pos="240"/>
        </w:tabs>
        <w:spacing w:line="252" w:lineRule="auto"/>
        <w:ind w:left="240" w:right="20" w:hanging="181"/>
        <w:jc w:val="both"/>
        <w:rPr>
          <w:rFonts w:eastAsia="Times New Roman"/>
          <w:color w:val="CF0A2C"/>
          <w:sz w:val="19"/>
          <w:szCs w:val="19"/>
        </w:rPr>
      </w:pPr>
      <w:r>
        <w:rPr>
          <w:rFonts w:eastAsia="Times New Roman"/>
          <w:sz w:val="19"/>
          <w:szCs w:val="19"/>
        </w:rPr>
        <w:t xml:space="preserve">The market value of the executive’s role compared with similar roles in the Company’s peer group, based on </w:t>
      </w:r>
      <w:r>
        <w:rPr>
          <w:rFonts w:eastAsia="Times New Roman"/>
          <w:sz w:val="19"/>
          <w:szCs w:val="19"/>
        </w:rPr>
        <w:t>compensation survey data; and</w:t>
      </w:r>
    </w:p>
    <w:p w:rsidR="00CC2C66" w:rsidRDefault="00CC2C66">
      <w:pPr>
        <w:spacing w:line="244" w:lineRule="exact"/>
        <w:rPr>
          <w:rFonts w:eastAsia="Times New Roman"/>
          <w:color w:val="CF0A2C"/>
          <w:sz w:val="19"/>
          <w:szCs w:val="19"/>
        </w:rPr>
      </w:pPr>
    </w:p>
    <w:p w:rsidR="00CC2C66" w:rsidRDefault="00F80B74">
      <w:pPr>
        <w:numPr>
          <w:ilvl w:val="0"/>
          <w:numId w:val="75"/>
        </w:numPr>
        <w:tabs>
          <w:tab w:val="left" w:pos="240"/>
        </w:tabs>
        <w:ind w:left="240" w:hanging="181"/>
        <w:rPr>
          <w:rFonts w:eastAsia="Times New Roman"/>
          <w:color w:val="CF0A2C"/>
          <w:sz w:val="19"/>
          <w:szCs w:val="19"/>
        </w:rPr>
      </w:pPr>
      <w:r>
        <w:rPr>
          <w:rFonts w:eastAsia="Times New Roman"/>
          <w:sz w:val="19"/>
          <w:szCs w:val="19"/>
        </w:rPr>
        <w:t>Achievement of the Company’s stock ownership guidelines.</w:t>
      </w:r>
    </w:p>
    <w:p w:rsidR="00CC2C66" w:rsidRDefault="00CC2C66">
      <w:pPr>
        <w:spacing w:line="291"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39</w:t>
      </w:r>
    </w:p>
    <w:p w:rsidR="00CC2C66" w:rsidRDefault="00F80B74">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2989580</wp:posOffset>
            </wp:positionH>
            <wp:positionV relativeFrom="paragraph">
              <wp:posOffset>-95885</wp:posOffset>
            </wp:positionV>
            <wp:extent cx="8255" cy="9715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46" w:name="page46"/>
      <w:bookmarkEnd w:id="46"/>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41" w:lineRule="auto"/>
        <w:ind w:left="420"/>
        <w:jc w:val="both"/>
        <w:rPr>
          <w:sz w:val="20"/>
          <w:szCs w:val="20"/>
        </w:rPr>
      </w:pPr>
      <w:r>
        <w:rPr>
          <w:rFonts w:eastAsia="Times New Roman"/>
          <w:sz w:val="19"/>
          <w:szCs w:val="19"/>
        </w:rPr>
        <w:t>Consistent with the 2020 annual equity grants, the 2021 annual</w:t>
      </w:r>
      <w:r>
        <w:rPr>
          <w:rFonts w:eastAsia="Times New Roman"/>
          <w:sz w:val="19"/>
          <w:szCs w:val="19"/>
        </w:rPr>
        <w:t xml:space="preserve"> equity grants consisted of SARs and PSUs, equally weighted. The entire portion of the annual equity grant is considered by the Compensation Committee to be performance-based as the PSUs will vest based only on the Company’s achievement of performance goal</w:t>
      </w:r>
      <w:r>
        <w:rPr>
          <w:rFonts w:eastAsia="Times New Roman"/>
          <w:sz w:val="19"/>
          <w:szCs w:val="19"/>
        </w:rPr>
        <w:t>s relating to rTSR, Adjusted Total Revenue Growth and Adjusted Diluted Earnings Per Common Share Growth, and the SARs will realize value only to the extent the Company’s stock price increases from the date of grant.</w:t>
      </w:r>
    </w:p>
    <w:p w:rsidR="00CC2C66" w:rsidRDefault="00CC2C66">
      <w:pPr>
        <w:spacing w:line="223" w:lineRule="exact"/>
        <w:rPr>
          <w:sz w:val="20"/>
          <w:szCs w:val="20"/>
        </w:rPr>
      </w:pPr>
    </w:p>
    <w:p w:rsidR="00CC2C66" w:rsidRDefault="00F80B74">
      <w:pPr>
        <w:spacing w:line="245" w:lineRule="auto"/>
        <w:ind w:left="420"/>
        <w:jc w:val="both"/>
        <w:rPr>
          <w:sz w:val="20"/>
          <w:szCs w:val="20"/>
        </w:rPr>
      </w:pPr>
      <w:r>
        <w:rPr>
          <w:rFonts w:eastAsia="Times New Roman"/>
          <w:sz w:val="19"/>
          <w:szCs w:val="19"/>
        </w:rPr>
        <w:t xml:space="preserve">The SARs vest annually in equal </w:t>
      </w:r>
      <w:r>
        <w:rPr>
          <w:rFonts w:eastAsia="Times New Roman"/>
          <w:sz w:val="19"/>
          <w:szCs w:val="19"/>
        </w:rPr>
        <w:t>installments of 25%, beginning on the first anniversary of the grant date and generally subject to continued employment through the applicable vesting date. The exercise price of each SAR grant is based on the closing market price of the underlying Company</w:t>
      </w:r>
      <w:r>
        <w:rPr>
          <w:rFonts w:eastAsia="Times New Roman"/>
          <w:sz w:val="19"/>
          <w:szCs w:val="19"/>
        </w:rPr>
        <w:t xml:space="preserve"> stock on the date of grant.</w:t>
      </w:r>
    </w:p>
    <w:p w:rsidR="00CC2C66" w:rsidRDefault="00CC2C66">
      <w:pPr>
        <w:spacing w:line="214" w:lineRule="exact"/>
        <w:rPr>
          <w:sz w:val="20"/>
          <w:szCs w:val="20"/>
        </w:rPr>
      </w:pPr>
    </w:p>
    <w:p w:rsidR="00CC2C66" w:rsidRDefault="00F80B74">
      <w:pPr>
        <w:spacing w:line="239" w:lineRule="auto"/>
        <w:ind w:left="420"/>
        <w:jc w:val="both"/>
        <w:rPr>
          <w:sz w:val="20"/>
          <w:szCs w:val="20"/>
        </w:rPr>
      </w:pPr>
      <w:r>
        <w:rPr>
          <w:rFonts w:eastAsia="Times New Roman"/>
          <w:sz w:val="19"/>
          <w:szCs w:val="19"/>
        </w:rPr>
        <w:t>The Annual PSU Awards are designed to incentivize each NEO’s performance over the performance period from January 1, 2021 to December 31, 2023 and to further align their interests with the interests of our stockholders. In ear</w:t>
      </w:r>
      <w:r>
        <w:rPr>
          <w:rFonts w:eastAsia="Times New Roman"/>
          <w:sz w:val="19"/>
          <w:szCs w:val="19"/>
        </w:rPr>
        <w:t>ly 2021, in response to the challenges presented by the COVID-19 pandemic with respect to setting targets for the Annual PSU Awards, the Compensation Committee determined to grant the Annual PSU Awards in two equally weighted grants, with the first grant o</w:t>
      </w:r>
      <w:r>
        <w:rPr>
          <w:rFonts w:eastAsia="Times New Roman"/>
          <w:sz w:val="19"/>
          <w:szCs w:val="19"/>
        </w:rPr>
        <w:t xml:space="preserve">ccurring in February 2021 and to vest based on the Company’s achievement of rTSR performance goals and the second grant occurring three months later in May 2021 and to vest based on the Company’s achievement of performance goals relating to Adjusted Total </w:t>
      </w:r>
      <w:r>
        <w:rPr>
          <w:rFonts w:eastAsia="Times New Roman"/>
          <w:sz w:val="19"/>
          <w:szCs w:val="19"/>
        </w:rPr>
        <w:t>Revenue Growth (weighted 50%) and Adjusted Diluted Earnings Per Common Share Growth (weighted 50%). Given the uncertainty presented by the continuing COVID-19 pandemic, the Compensation Committee considered a number of options to design the Annual PSU Awar</w:t>
      </w:r>
      <w:r>
        <w:rPr>
          <w:rFonts w:eastAsia="Times New Roman"/>
          <w:sz w:val="19"/>
          <w:szCs w:val="19"/>
        </w:rPr>
        <w:t>ds in a manner that served as an appropriate incentive vehicle while also aligning the long-term interests of recipients with our stockholders, including the possibility of setting annual performance goals for each year in the three-year performance period</w:t>
      </w:r>
      <w:r>
        <w:rPr>
          <w:rFonts w:eastAsia="Times New Roman"/>
          <w:sz w:val="19"/>
          <w:szCs w:val="19"/>
        </w:rPr>
        <w:t xml:space="preserve"> with respect to the Adjusted Total Revenue Growth and Adjusted Diluted Earnings Per Common Share Growth performance goals. In order to align the Annual PSU Awards with the long-term interest of the stockholders, the Compensation Committee ultimately decid</w:t>
      </w:r>
      <w:r>
        <w:rPr>
          <w:rFonts w:eastAsia="Times New Roman"/>
          <w:sz w:val="19"/>
          <w:szCs w:val="19"/>
        </w:rPr>
        <w:t>ed to approve a three-year performance period from January 1, 2021 to</w:t>
      </w:r>
    </w:p>
    <w:p w:rsidR="00CC2C66" w:rsidRDefault="00CC2C66">
      <w:pPr>
        <w:spacing w:line="272" w:lineRule="exact"/>
        <w:rPr>
          <w:sz w:val="20"/>
          <w:szCs w:val="20"/>
        </w:rPr>
      </w:pPr>
    </w:p>
    <w:p w:rsidR="00CC2C66" w:rsidRDefault="00F80B74">
      <w:pPr>
        <w:numPr>
          <w:ilvl w:val="0"/>
          <w:numId w:val="76"/>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41" w:lineRule="auto"/>
        <w:jc w:val="both"/>
        <w:rPr>
          <w:sz w:val="20"/>
          <w:szCs w:val="20"/>
        </w:rPr>
      </w:pPr>
      <w:r>
        <w:rPr>
          <w:rFonts w:eastAsia="Times New Roman"/>
          <w:sz w:val="19"/>
          <w:szCs w:val="19"/>
        </w:rPr>
        <w:t>December 31, 2023, as compared to three annual performance periods. To obtain greater clarity on the operating environment and assess the rigor of th</w:t>
      </w:r>
      <w:r>
        <w:rPr>
          <w:rFonts w:eastAsia="Times New Roman"/>
          <w:sz w:val="19"/>
          <w:szCs w:val="19"/>
        </w:rPr>
        <w:t>ese three-year performance goals, the Compensation Committee delayed the grant date by three months until May 2021 for the Annual PSU Awards with vesting tied to these two performance goals. Consistent with the Company’s usual practice of granting annual L</w:t>
      </w:r>
      <w:r>
        <w:rPr>
          <w:rFonts w:eastAsia="Times New Roman"/>
          <w:sz w:val="19"/>
          <w:szCs w:val="19"/>
        </w:rPr>
        <w:t>TI awards in February, the number of shares subject to the May 2021 portion of the PSU grant was determined based on the February 2021 stock price rather than the stock price on the grant date in May 2021. This resulted in larger grant date fair value as c</w:t>
      </w:r>
      <w:r>
        <w:rPr>
          <w:rFonts w:eastAsia="Times New Roman"/>
          <w:sz w:val="19"/>
          <w:szCs w:val="19"/>
        </w:rPr>
        <w:t>ompared to the grant level approved in February 2021 due to higher stock price in May 2021.</w:t>
      </w:r>
    </w:p>
    <w:p w:rsidR="00CC2C66" w:rsidRDefault="00F80B74">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-3642995</wp:posOffset>
            </wp:positionH>
            <wp:positionV relativeFrom="paragraph">
              <wp:posOffset>-2485390</wp:posOffset>
            </wp:positionV>
            <wp:extent cx="7181215" cy="3683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197" w:lineRule="exact"/>
        <w:rPr>
          <w:sz w:val="20"/>
          <w:szCs w:val="20"/>
        </w:rPr>
      </w:pPr>
    </w:p>
    <w:p w:rsidR="00CC2C66" w:rsidRDefault="00F80B74">
      <w:pPr>
        <w:jc w:val="both"/>
        <w:rPr>
          <w:sz w:val="20"/>
          <w:szCs w:val="20"/>
        </w:rPr>
      </w:pPr>
      <w:r>
        <w:rPr>
          <w:rFonts w:eastAsia="Times New Roman"/>
          <w:sz w:val="19"/>
          <w:szCs w:val="19"/>
        </w:rPr>
        <w:t>The rTSR performance goal for the 3-year performance period from January 1, 2021 to December 31, 2023 is measured as achievement compared against constituents of</w:t>
      </w:r>
      <w:r>
        <w:rPr>
          <w:rFonts w:eastAsia="Times New Roman"/>
          <w:sz w:val="19"/>
          <w:szCs w:val="19"/>
        </w:rPr>
        <w:t xml:space="preserve"> the MSCI China Index. The vesting is capped at target if TSR performance is negative over the performance period. For Company performance at the 30th percentile, threshold shares (50% of target) would be earned, at the above median 55th percentile 100% of</w:t>
      </w:r>
      <w:r>
        <w:rPr>
          <w:rFonts w:eastAsia="Times New Roman"/>
          <w:sz w:val="19"/>
          <w:szCs w:val="19"/>
        </w:rPr>
        <w:t xml:space="preserve"> target shares would be earned, and at the 80th percentile or greater, maximum shares (200% of target) would be earned. The Adjusted Total Revenue Growth and Adjusted Diluted Earnings Per Share Growth goals use the 2020 results as a baseline from which to </w:t>
      </w:r>
      <w:r>
        <w:rPr>
          <w:rFonts w:eastAsia="Times New Roman"/>
          <w:sz w:val="19"/>
          <w:szCs w:val="19"/>
        </w:rPr>
        <w:t xml:space="preserve">measure growth. Given the Company’s performance in 2020 (and the first quarter of 2021 with respect to the Adjusted Total Revenue Growth and Adjusted Diluted Earnings Per Share Growth performance goals) and the Company’s operating plan over the three-year </w:t>
      </w:r>
      <w:r>
        <w:rPr>
          <w:rFonts w:eastAsia="Times New Roman"/>
          <w:sz w:val="19"/>
          <w:szCs w:val="19"/>
        </w:rPr>
        <w:t>performance period, the performance goals applicable to the Annual PSU Awards were designed to be challenging but achievable with strong management performance.</w:t>
      </w:r>
    </w:p>
    <w:p w:rsidR="00CC2C66" w:rsidRDefault="00CC2C66">
      <w:pPr>
        <w:spacing w:line="220" w:lineRule="exact"/>
        <w:rPr>
          <w:sz w:val="20"/>
          <w:szCs w:val="20"/>
        </w:rPr>
      </w:pPr>
    </w:p>
    <w:p w:rsidR="00CC2C66" w:rsidRDefault="00F80B74">
      <w:pPr>
        <w:spacing w:line="241" w:lineRule="auto"/>
        <w:jc w:val="both"/>
        <w:rPr>
          <w:sz w:val="20"/>
          <w:szCs w:val="20"/>
        </w:rPr>
      </w:pPr>
      <w:r>
        <w:rPr>
          <w:rFonts w:eastAsia="Times New Roman"/>
          <w:sz w:val="19"/>
          <w:szCs w:val="19"/>
        </w:rPr>
        <w:t xml:space="preserve">2021 represented the final year of the 2019-2021 performance period for PSUs granted in 2019. </w:t>
      </w:r>
      <w:r>
        <w:rPr>
          <w:rFonts w:eastAsia="Times New Roman"/>
          <w:sz w:val="19"/>
          <w:szCs w:val="19"/>
        </w:rPr>
        <w:t>Under the 2019 PSU program, Ms. Wat’s 2019 PSUs would be settled in shares of our common stock based on our rTSR performance over the 2019-2021 performance period relative to 143 of the 149 companies in the MSCI International China Index as of January 1, 2</w:t>
      </w:r>
      <w:r>
        <w:rPr>
          <w:rFonts w:eastAsia="Times New Roman"/>
          <w:sz w:val="19"/>
          <w:szCs w:val="19"/>
        </w:rPr>
        <w:t>019 and that were still active as of December 31, 2021. Under the program, payout would be capped at target if the Company’s TSR was negative over the three-year performance period.</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47" w:name="page47"/>
      <w:bookmarkEnd w:id="47"/>
      <w:r>
        <w:rPr>
          <w:rFonts w:eastAsia="Times New Roman"/>
          <w:b/>
          <w:bCs/>
          <w:noProof/>
          <w:color w:val="0000EE"/>
          <w:sz w:val="17"/>
          <w:szCs w:val="17"/>
          <w:u w:val="single"/>
        </w:rPr>
        <w:lastRenderedPageBreak/>
        <w:drawing>
          <wp:anchor distT="0" distB="0" distL="114300" distR="114300" simplePos="0" relativeHeight="25165312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CC2C66">
      <w:pPr>
        <w:spacing w:line="310"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0"/>
        <w:gridCol w:w="3900"/>
        <w:gridCol w:w="2360"/>
        <w:gridCol w:w="1600"/>
        <w:gridCol w:w="1320"/>
        <w:gridCol w:w="1220"/>
      </w:tblGrid>
      <w:tr w:rsidR="00CC2C66">
        <w:trPr>
          <w:trHeight w:val="287"/>
        </w:trPr>
        <w:tc>
          <w:tcPr>
            <w:tcW w:w="20" w:type="dxa"/>
            <w:vAlign w:val="bottom"/>
          </w:tcPr>
          <w:p w:rsidR="00CC2C66" w:rsidRDefault="00CC2C66">
            <w:pPr>
              <w:rPr>
                <w:sz w:val="24"/>
                <w:szCs w:val="24"/>
              </w:rPr>
            </w:pPr>
          </w:p>
        </w:tc>
        <w:tc>
          <w:tcPr>
            <w:tcW w:w="3900" w:type="dxa"/>
            <w:vAlign w:val="bottom"/>
          </w:tcPr>
          <w:p w:rsidR="00CC2C66" w:rsidRDefault="00CC2C66">
            <w:pPr>
              <w:rPr>
                <w:sz w:val="24"/>
                <w:szCs w:val="24"/>
              </w:rPr>
            </w:pPr>
          </w:p>
        </w:tc>
        <w:tc>
          <w:tcPr>
            <w:tcW w:w="2360" w:type="dxa"/>
            <w:vAlign w:val="bottom"/>
          </w:tcPr>
          <w:p w:rsidR="00CC2C66" w:rsidRDefault="00CC2C66">
            <w:pPr>
              <w:rPr>
                <w:sz w:val="24"/>
                <w:szCs w:val="24"/>
              </w:rPr>
            </w:pPr>
          </w:p>
        </w:tc>
        <w:tc>
          <w:tcPr>
            <w:tcW w:w="1600" w:type="dxa"/>
            <w:vAlign w:val="bottom"/>
          </w:tcPr>
          <w:p w:rsidR="00CC2C66" w:rsidRDefault="00CC2C66">
            <w:pPr>
              <w:rPr>
                <w:sz w:val="24"/>
                <w:szCs w:val="24"/>
              </w:rPr>
            </w:pPr>
          </w:p>
        </w:tc>
        <w:tc>
          <w:tcPr>
            <w:tcW w:w="2540" w:type="dxa"/>
            <w:gridSpan w:val="2"/>
            <w:tcBorders>
              <w:bottom w:val="single" w:sz="8" w:space="0" w:color="CF0A2C"/>
            </w:tcBorders>
            <w:shd w:val="clear" w:color="auto" w:fill="CF0A2C"/>
            <w:vAlign w:val="bottom"/>
          </w:tcPr>
          <w:p w:rsidR="00CC2C66" w:rsidRDefault="00F80B74">
            <w:pPr>
              <w:ind w:right="83"/>
              <w:jc w:val="right"/>
              <w:rPr>
                <w:sz w:val="20"/>
                <w:szCs w:val="20"/>
              </w:rPr>
            </w:pPr>
            <w:r>
              <w:rPr>
                <w:rFonts w:ascii="Arial" w:eastAsia="Arial" w:hAnsi="Arial" w:cs="Arial"/>
                <w:b/>
                <w:bCs/>
                <w:color w:val="FFFFFF"/>
                <w:sz w:val="15"/>
                <w:szCs w:val="15"/>
              </w:rPr>
              <w:t>EXECUTIVE COMPENSATION</w:t>
            </w:r>
          </w:p>
        </w:tc>
      </w:tr>
      <w:tr w:rsidR="00CC2C66">
        <w:trPr>
          <w:trHeight w:val="319"/>
        </w:trPr>
        <w:tc>
          <w:tcPr>
            <w:tcW w:w="20" w:type="dxa"/>
            <w:vAlign w:val="bottom"/>
          </w:tcPr>
          <w:p w:rsidR="00CC2C66" w:rsidRDefault="00CC2C66">
            <w:pPr>
              <w:rPr>
                <w:sz w:val="24"/>
                <w:szCs w:val="24"/>
              </w:rPr>
            </w:pPr>
          </w:p>
        </w:tc>
        <w:tc>
          <w:tcPr>
            <w:tcW w:w="3900" w:type="dxa"/>
            <w:tcBorders>
              <w:bottom w:val="single" w:sz="8" w:space="0" w:color="CF0A2C"/>
            </w:tcBorders>
            <w:vAlign w:val="bottom"/>
          </w:tcPr>
          <w:p w:rsidR="00CC2C66" w:rsidRDefault="00CC2C66">
            <w:pPr>
              <w:rPr>
                <w:sz w:val="24"/>
                <w:szCs w:val="24"/>
              </w:rPr>
            </w:pPr>
          </w:p>
        </w:tc>
        <w:tc>
          <w:tcPr>
            <w:tcW w:w="2360" w:type="dxa"/>
            <w:tcBorders>
              <w:bottom w:val="single" w:sz="8" w:space="0" w:color="CF0A2C"/>
            </w:tcBorders>
            <w:vAlign w:val="bottom"/>
          </w:tcPr>
          <w:p w:rsidR="00CC2C66" w:rsidRDefault="00CC2C66">
            <w:pPr>
              <w:rPr>
                <w:sz w:val="24"/>
                <w:szCs w:val="24"/>
              </w:rPr>
            </w:pPr>
          </w:p>
        </w:tc>
        <w:tc>
          <w:tcPr>
            <w:tcW w:w="1600" w:type="dxa"/>
            <w:tcBorders>
              <w:bottom w:val="single" w:sz="8" w:space="0" w:color="CF0A2C"/>
            </w:tcBorders>
            <w:vAlign w:val="bottom"/>
          </w:tcPr>
          <w:p w:rsidR="00CC2C66" w:rsidRDefault="00F80B74">
            <w:pPr>
              <w:ind w:right="283"/>
              <w:jc w:val="right"/>
              <w:rPr>
                <w:sz w:val="20"/>
                <w:szCs w:val="20"/>
              </w:rPr>
            </w:pPr>
            <w:r>
              <w:rPr>
                <w:rFonts w:ascii="Arial" w:eastAsia="Arial" w:hAnsi="Arial" w:cs="Arial"/>
                <w:b/>
                <w:bCs/>
                <w:color w:val="CF0A2C"/>
                <w:sz w:val="15"/>
                <w:szCs w:val="15"/>
              </w:rPr>
              <w:t>Threshold</w:t>
            </w:r>
          </w:p>
        </w:tc>
        <w:tc>
          <w:tcPr>
            <w:tcW w:w="1320" w:type="dxa"/>
            <w:tcBorders>
              <w:bottom w:val="single" w:sz="8" w:space="0" w:color="CF0A2C"/>
            </w:tcBorders>
            <w:vAlign w:val="bottom"/>
          </w:tcPr>
          <w:p w:rsidR="00CC2C66" w:rsidRDefault="00F80B74">
            <w:pPr>
              <w:ind w:right="383"/>
              <w:jc w:val="right"/>
              <w:rPr>
                <w:sz w:val="20"/>
                <w:szCs w:val="20"/>
              </w:rPr>
            </w:pPr>
            <w:r>
              <w:rPr>
                <w:rFonts w:ascii="Arial" w:eastAsia="Arial" w:hAnsi="Arial" w:cs="Arial"/>
                <w:b/>
                <w:bCs/>
                <w:color w:val="CF0A2C"/>
                <w:sz w:val="15"/>
                <w:szCs w:val="15"/>
              </w:rPr>
              <w:t>Target</w:t>
            </w:r>
          </w:p>
        </w:tc>
        <w:tc>
          <w:tcPr>
            <w:tcW w:w="1220" w:type="dxa"/>
            <w:tcBorders>
              <w:bottom w:val="single" w:sz="8" w:space="0" w:color="CF0A2C"/>
            </w:tcBorders>
            <w:vAlign w:val="bottom"/>
          </w:tcPr>
          <w:p w:rsidR="00CC2C66" w:rsidRDefault="00F80B74">
            <w:pPr>
              <w:ind w:right="123"/>
              <w:jc w:val="right"/>
              <w:rPr>
                <w:sz w:val="20"/>
                <w:szCs w:val="20"/>
              </w:rPr>
            </w:pPr>
            <w:r>
              <w:rPr>
                <w:rFonts w:ascii="Arial" w:eastAsia="Arial" w:hAnsi="Arial" w:cs="Arial"/>
                <w:b/>
                <w:bCs/>
                <w:color w:val="CF0A2C"/>
                <w:sz w:val="15"/>
                <w:szCs w:val="15"/>
              </w:rPr>
              <w:t>Maximum</w:t>
            </w:r>
          </w:p>
        </w:tc>
      </w:tr>
      <w:tr w:rsidR="00CC2C66">
        <w:trPr>
          <w:trHeight w:val="172"/>
        </w:trPr>
        <w:tc>
          <w:tcPr>
            <w:tcW w:w="20" w:type="dxa"/>
            <w:tcBorders>
              <w:bottom w:val="single" w:sz="8" w:space="0" w:color="CF0A2C"/>
            </w:tcBorders>
            <w:vAlign w:val="bottom"/>
          </w:tcPr>
          <w:p w:rsidR="00CC2C66" w:rsidRDefault="00CC2C66">
            <w:pPr>
              <w:rPr>
                <w:sz w:val="14"/>
                <w:szCs w:val="14"/>
              </w:rPr>
            </w:pPr>
          </w:p>
        </w:tc>
        <w:tc>
          <w:tcPr>
            <w:tcW w:w="3900" w:type="dxa"/>
            <w:tcBorders>
              <w:bottom w:val="single" w:sz="8" w:space="0" w:color="CF0A2C"/>
            </w:tcBorders>
            <w:vAlign w:val="bottom"/>
          </w:tcPr>
          <w:p w:rsidR="00CC2C66" w:rsidRDefault="00F80B74">
            <w:pPr>
              <w:rPr>
                <w:sz w:val="20"/>
                <w:szCs w:val="20"/>
              </w:rPr>
            </w:pPr>
            <w:r>
              <w:rPr>
                <w:rFonts w:ascii="Arial" w:eastAsia="Arial" w:hAnsi="Arial" w:cs="Arial"/>
                <w:color w:val="CF0A2C"/>
                <w:sz w:val="15"/>
                <w:szCs w:val="15"/>
              </w:rPr>
              <w:t>TSR Percentile Rank Achieved</w:t>
            </w:r>
          </w:p>
        </w:tc>
        <w:tc>
          <w:tcPr>
            <w:tcW w:w="2360" w:type="dxa"/>
            <w:tcBorders>
              <w:bottom w:val="single" w:sz="8" w:space="0" w:color="CF0A2C"/>
            </w:tcBorders>
            <w:vAlign w:val="bottom"/>
          </w:tcPr>
          <w:p w:rsidR="00CC2C66" w:rsidRDefault="00F80B74">
            <w:pPr>
              <w:ind w:right="403"/>
              <w:jc w:val="right"/>
              <w:rPr>
                <w:sz w:val="20"/>
                <w:szCs w:val="20"/>
              </w:rPr>
            </w:pPr>
            <w:r>
              <w:rPr>
                <w:rFonts w:ascii="Arial" w:eastAsia="Arial" w:hAnsi="Arial" w:cs="Arial"/>
                <w:sz w:val="15"/>
                <w:szCs w:val="15"/>
              </w:rPr>
              <w:t>&lt;30%</w:t>
            </w:r>
          </w:p>
        </w:tc>
        <w:tc>
          <w:tcPr>
            <w:tcW w:w="1600" w:type="dxa"/>
            <w:tcBorders>
              <w:bottom w:val="single" w:sz="8" w:space="0" w:color="CF0A2C"/>
            </w:tcBorders>
            <w:vAlign w:val="bottom"/>
          </w:tcPr>
          <w:p w:rsidR="00CC2C66" w:rsidRDefault="00F80B74">
            <w:pPr>
              <w:ind w:right="143"/>
              <w:jc w:val="right"/>
              <w:rPr>
                <w:sz w:val="20"/>
                <w:szCs w:val="20"/>
              </w:rPr>
            </w:pPr>
            <w:r>
              <w:rPr>
                <w:rFonts w:ascii="Arial" w:eastAsia="Arial" w:hAnsi="Arial" w:cs="Arial"/>
                <w:sz w:val="15"/>
                <w:szCs w:val="15"/>
              </w:rPr>
              <w:t>30%</w:t>
            </w:r>
          </w:p>
        </w:tc>
        <w:tc>
          <w:tcPr>
            <w:tcW w:w="1320" w:type="dxa"/>
            <w:tcBorders>
              <w:bottom w:val="single" w:sz="8" w:space="0" w:color="CF0A2C"/>
            </w:tcBorders>
            <w:vAlign w:val="bottom"/>
          </w:tcPr>
          <w:p w:rsidR="00CC2C66" w:rsidRDefault="00F80B74">
            <w:pPr>
              <w:ind w:right="243"/>
              <w:jc w:val="right"/>
              <w:rPr>
                <w:sz w:val="20"/>
                <w:szCs w:val="20"/>
              </w:rPr>
            </w:pPr>
            <w:r>
              <w:rPr>
                <w:rFonts w:ascii="Arial" w:eastAsia="Arial" w:hAnsi="Arial" w:cs="Arial"/>
                <w:sz w:val="15"/>
                <w:szCs w:val="15"/>
              </w:rPr>
              <w:t>55%</w:t>
            </w:r>
          </w:p>
        </w:tc>
        <w:tc>
          <w:tcPr>
            <w:tcW w:w="1220" w:type="dxa"/>
            <w:tcBorders>
              <w:bottom w:val="single" w:sz="8" w:space="0" w:color="CF0A2C"/>
            </w:tcBorders>
            <w:vAlign w:val="bottom"/>
          </w:tcPr>
          <w:p w:rsidR="00CC2C66" w:rsidRDefault="00F80B74">
            <w:pPr>
              <w:jc w:val="right"/>
              <w:rPr>
                <w:sz w:val="20"/>
                <w:szCs w:val="20"/>
              </w:rPr>
            </w:pPr>
            <w:r>
              <w:rPr>
                <w:rFonts w:ascii="Arial" w:eastAsia="Arial" w:hAnsi="Arial" w:cs="Arial"/>
                <w:sz w:val="15"/>
                <w:szCs w:val="15"/>
              </w:rPr>
              <w:t>85%</w:t>
            </w:r>
          </w:p>
        </w:tc>
      </w:tr>
      <w:tr w:rsidR="00CC2C66">
        <w:trPr>
          <w:trHeight w:val="172"/>
        </w:trPr>
        <w:tc>
          <w:tcPr>
            <w:tcW w:w="3920" w:type="dxa"/>
            <w:gridSpan w:val="2"/>
            <w:tcBorders>
              <w:bottom w:val="single" w:sz="8" w:space="0" w:color="CF0A2C"/>
            </w:tcBorders>
            <w:vAlign w:val="bottom"/>
          </w:tcPr>
          <w:p w:rsidR="00CC2C66" w:rsidRDefault="00F80B74">
            <w:pPr>
              <w:rPr>
                <w:sz w:val="20"/>
                <w:szCs w:val="20"/>
              </w:rPr>
            </w:pPr>
            <w:r>
              <w:rPr>
                <w:rFonts w:ascii="Arial" w:eastAsia="Arial" w:hAnsi="Arial" w:cs="Arial"/>
                <w:color w:val="CF0A2C"/>
                <w:sz w:val="15"/>
                <w:szCs w:val="15"/>
              </w:rPr>
              <w:t>Proportion of Target Award Vesting*</w:t>
            </w:r>
          </w:p>
        </w:tc>
        <w:tc>
          <w:tcPr>
            <w:tcW w:w="2360" w:type="dxa"/>
            <w:tcBorders>
              <w:bottom w:val="single" w:sz="8" w:space="0" w:color="CF0A2C"/>
            </w:tcBorders>
            <w:vAlign w:val="bottom"/>
          </w:tcPr>
          <w:p w:rsidR="00CC2C66" w:rsidRDefault="00F80B74">
            <w:pPr>
              <w:ind w:right="403"/>
              <w:jc w:val="right"/>
              <w:rPr>
                <w:sz w:val="20"/>
                <w:szCs w:val="20"/>
              </w:rPr>
            </w:pPr>
            <w:r>
              <w:rPr>
                <w:rFonts w:ascii="Arial" w:eastAsia="Arial" w:hAnsi="Arial" w:cs="Arial"/>
                <w:sz w:val="15"/>
                <w:szCs w:val="15"/>
              </w:rPr>
              <w:t>0%</w:t>
            </w:r>
          </w:p>
        </w:tc>
        <w:tc>
          <w:tcPr>
            <w:tcW w:w="1600" w:type="dxa"/>
            <w:tcBorders>
              <w:bottom w:val="single" w:sz="8" w:space="0" w:color="CF0A2C"/>
            </w:tcBorders>
            <w:vAlign w:val="bottom"/>
          </w:tcPr>
          <w:p w:rsidR="00CC2C66" w:rsidRDefault="00F80B74">
            <w:pPr>
              <w:ind w:right="143"/>
              <w:jc w:val="right"/>
              <w:rPr>
                <w:sz w:val="20"/>
                <w:szCs w:val="20"/>
              </w:rPr>
            </w:pPr>
            <w:r>
              <w:rPr>
                <w:rFonts w:ascii="Arial" w:eastAsia="Arial" w:hAnsi="Arial" w:cs="Arial"/>
                <w:sz w:val="15"/>
                <w:szCs w:val="15"/>
              </w:rPr>
              <w:t>35%</w:t>
            </w:r>
          </w:p>
        </w:tc>
        <w:tc>
          <w:tcPr>
            <w:tcW w:w="1320" w:type="dxa"/>
            <w:tcBorders>
              <w:bottom w:val="single" w:sz="8" w:space="0" w:color="CF0A2C"/>
            </w:tcBorders>
            <w:vAlign w:val="bottom"/>
          </w:tcPr>
          <w:p w:rsidR="00CC2C66" w:rsidRDefault="00F80B74">
            <w:pPr>
              <w:ind w:right="243"/>
              <w:jc w:val="right"/>
              <w:rPr>
                <w:sz w:val="20"/>
                <w:szCs w:val="20"/>
              </w:rPr>
            </w:pPr>
            <w:r>
              <w:rPr>
                <w:rFonts w:ascii="Arial" w:eastAsia="Arial" w:hAnsi="Arial" w:cs="Arial"/>
                <w:sz w:val="15"/>
                <w:szCs w:val="15"/>
              </w:rPr>
              <w:t>100%</w:t>
            </w:r>
          </w:p>
        </w:tc>
        <w:tc>
          <w:tcPr>
            <w:tcW w:w="1220" w:type="dxa"/>
            <w:tcBorders>
              <w:bottom w:val="single" w:sz="8" w:space="0" w:color="CF0A2C"/>
            </w:tcBorders>
            <w:vAlign w:val="bottom"/>
          </w:tcPr>
          <w:p w:rsidR="00CC2C66" w:rsidRDefault="00F80B74">
            <w:pPr>
              <w:jc w:val="right"/>
              <w:rPr>
                <w:sz w:val="20"/>
                <w:szCs w:val="20"/>
              </w:rPr>
            </w:pPr>
            <w:r>
              <w:rPr>
                <w:rFonts w:ascii="Arial" w:eastAsia="Arial" w:hAnsi="Arial" w:cs="Arial"/>
                <w:sz w:val="15"/>
                <w:szCs w:val="15"/>
              </w:rPr>
              <w:t>200%</w:t>
            </w:r>
          </w:p>
        </w:tc>
      </w:tr>
    </w:tbl>
    <w:p w:rsidR="00CC2C66" w:rsidRDefault="00CC2C66">
      <w:pPr>
        <w:spacing w:line="260" w:lineRule="exact"/>
        <w:rPr>
          <w:sz w:val="20"/>
          <w:szCs w:val="20"/>
        </w:rPr>
      </w:pPr>
    </w:p>
    <w:p w:rsidR="00CC2C66" w:rsidRDefault="00F80B74">
      <w:pPr>
        <w:numPr>
          <w:ilvl w:val="0"/>
          <w:numId w:val="77"/>
        </w:numPr>
        <w:tabs>
          <w:tab w:val="left" w:pos="1020"/>
        </w:tabs>
        <w:ind w:left="1020" w:hanging="609"/>
        <w:rPr>
          <w:rFonts w:eastAsia="Times New Roman"/>
          <w:color w:val="CF0A2C"/>
          <w:sz w:val="19"/>
          <w:szCs w:val="19"/>
        </w:rPr>
      </w:pPr>
      <w:r>
        <w:rPr>
          <w:rFonts w:eastAsia="Times New Roman"/>
          <w:sz w:val="19"/>
          <w:szCs w:val="19"/>
        </w:rPr>
        <w:t>Vesting proportion for performance between performance levels would be determined based on linear interpolation.</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331" w:lineRule="exact"/>
        <w:rPr>
          <w:sz w:val="20"/>
          <w:szCs w:val="20"/>
        </w:rPr>
      </w:pPr>
    </w:p>
    <w:p w:rsidR="00CC2C66" w:rsidRDefault="00F80B74">
      <w:pPr>
        <w:spacing w:line="243" w:lineRule="auto"/>
        <w:ind w:left="420"/>
        <w:jc w:val="both"/>
        <w:rPr>
          <w:sz w:val="20"/>
          <w:szCs w:val="20"/>
        </w:rPr>
      </w:pPr>
      <w:r>
        <w:rPr>
          <w:rFonts w:eastAsia="Times New Roman"/>
          <w:sz w:val="19"/>
          <w:szCs w:val="19"/>
        </w:rPr>
        <w:t>Based on the Company’s 45.71% TSR performance during the three-year performance period, the Company ranked at the 72nd percentile as compared to the TSR performance of the active constituents of the MSCI International China Index at t</w:t>
      </w:r>
      <w:r>
        <w:rPr>
          <w:rFonts w:eastAsia="Times New Roman"/>
          <w:sz w:val="19"/>
          <w:szCs w:val="19"/>
        </w:rPr>
        <w:t>he end of the performance period, resulting in 157.43% of the target PSUs and dividend equivalents vesting, or 67,686 shares of our common stock.</w:t>
      </w:r>
    </w:p>
    <w:p w:rsidR="00CC2C66" w:rsidRDefault="00CC2C66">
      <w:pPr>
        <w:spacing w:line="209" w:lineRule="exact"/>
        <w:rPr>
          <w:sz w:val="20"/>
          <w:szCs w:val="20"/>
        </w:rPr>
      </w:pPr>
    </w:p>
    <w:p w:rsidR="00CC2C66" w:rsidRDefault="00F80B74">
      <w:pPr>
        <w:ind w:left="420"/>
        <w:rPr>
          <w:sz w:val="20"/>
          <w:szCs w:val="20"/>
        </w:rPr>
      </w:pPr>
      <w:r>
        <w:rPr>
          <w:rFonts w:eastAsia="Times New Roman"/>
          <w:b/>
          <w:bCs/>
          <w:i/>
          <w:iCs/>
          <w:color w:val="CF0A2C"/>
          <w:sz w:val="19"/>
          <w:szCs w:val="19"/>
        </w:rPr>
        <w:t>2021 Chairman Grants</w:t>
      </w:r>
    </w:p>
    <w:p w:rsidR="00CC2C66" w:rsidRDefault="00CC2C66">
      <w:pPr>
        <w:spacing w:line="247" w:lineRule="exact"/>
        <w:rPr>
          <w:sz w:val="20"/>
          <w:szCs w:val="20"/>
        </w:rPr>
      </w:pPr>
    </w:p>
    <w:p w:rsidR="00CC2C66" w:rsidRDefault="00F80B74">
      <w:pPr>
        <w:spacing w:line="239" w:lineRule="auto"/>
        <w:ind w:left="420"/>
        <w:jc w:val="both"/>
        <w:rPr>
          <w:sz w:val="20"/>
          <w:szCs w:val="20"/>
        </w:rPr>
      </w:pPr>
      <w:r>
        <w:rPr>
          <w:rFonts w:eastAsia="Times New Roman"/>
          <w:sz w:val="19"/>
          <w:szCs w:val="19"/>
        </w:rPr>
        <w:t>In February 2021, the Compensation Committee awarded the 2021 Chairman Grants to select</w:t>
      </w:r>
      <w:r>
        <w:rPr>
          <w:rFonts w:eastAsia="Times New Roman"/>
          <w:sz w:val="19"/>
          <w:szCs w:val="19"/>
        </w:rPr>
        <w:t xml:space="preserve"> Company executive officers and employees. Among the NEOs, Ms. Wat and Messrs. Yeung and Chan were selected as recipients of the Chairman long-term equity grant. These awards are intended to provide recognition for exemplary individual leadership demonstra</w:t>
      </w:r>
      <w:r>
        <w:rPr>
          <w:rFonts w:eastAsia="Times New Roman"/>
          <w:sz w:val="19"/>
          <w:szCs w:val="19"/>
        </w:rPr>
        <w:t>ted by select executives and employees during 2020, in particular in resolving many novel and complex regulatory issues to execute the Company’s secondary listing on the Hong Kong Stock Exchange and navigating the Company through the COVID-19 crisis. The C</w:t>
      </w:r>
      <w:r>
        <w:rPr>
          <w:rFonts w:eastAsia="Times New Roman"/>
          <w:sz w:val="19"/>
          <w:szCs w:val="19"/>
        </w:rPr>
        <w:t xml:space="preserve">ompany considers it important to retain the flexibility to make long-term equity awards to specifically reward demonstrated individual leadership actions and behaviors that are not factored into the corporate performance goals underlying the equity awards </w:t>
      </w:r>
      <w:r>
        <w:rPr>
          <w:rFonts w:eastAsia="Times New Roman"/>
          <w:sz w:val="19"/>
          <w:szCs w:val="19"/>
        </w:rPr>
        <w:t>made to our entire management team, but which still recognize individual actions and behaviors that the Company wants to encourage and foster. While these awards were granted in recognition of the significant individual achievements and leadership displaye</w:t>
      </w:r>
      <w:r>
        <w:rPr>
          <w:rFonts w:eastAsia="Times New Roman"/>
          <w:sz w:val="19"/>
          <w:szCs w:val="19"/>
        </w:rPr>
        <w:t xml:space="preserve">d by recipients during 2020, the Compensation Committee elected to deliver the 2021 Chairman Grants as RSUs that cliff-vest on the third anniversary of the grant date to incentivize retention over this three-year period. Factors considered in awarding the </w:t>
      </w:r>
      <w:r>
        <w:rPr>
          <w:rFonts w:eastAsia="Times New Roman"/>
          <w:sz w:val="19"/>
          <w:szCs w:val="19"/>
        </w:rPr>
        <w:t>Chairman Awards included:</w:t>
      </w:r>
    </w:p>
    <w:p w:rsidR="00CC2C66" w:rsidRDefault="00CC2C66">
      <w:pPr>
        <w:spacing w:line="269" w:lineRule="exact"/>
        <w:rPr>
          <w:sz w:val="20"/>
          <w:szCs w:val="20"/>
        </w:rPr>
      </w:pPr>
    </w:p>
    <w:p w:rsidR="00CC2C66" w:rsidRDefault="00F80B74">
      <w:pPr>
        <w:numPr>
          <w:ilvl w:val="0"/>
          <w:numId w:val="78"/>
        </w:numPr>
        <w:tabs>
          <w:tab w:val="left" w:pos="640"/>
        </w:tabs>
        <w:spacing w:line="269" w:lineRule="auto"/>
        <w:ind w:left="640" w:right="20" w:hanging="178"/>
        <w:rPr>
          <w:rFonts w:eastAsia="Times New Roman"/>
          <w:color w:val="CF0A2C"/>
          <w:sz w:val="19"/>
          <w:szCs w:val="19"/>
        </w:rPr>
      </w:pPr>
      <w:r>
        <w:rPr>
          <w:rFonts w:eastAsia="Times New Roman"/>
          <w:i/>
          <w:iCs/>
          <w:sz w:val="19"/>
          <w:szCs w:val="19"/>
        </w:rPr>
        <w:t>Listing on the Stock Exchange of Hong Kong</w:t>
      </w:r>
      <w:r>
        <w:rPr>
          <w:rFonts w:eastAsia="Times New Roman"/>
          <w:sz w:val="19"/>
          <w:szCs w:val="19"/>
        </w:rPr>
        <w:t>—Management</w:t>
      </w:r>
      <w:r>
        <w:rPr>
          <w:rFonts w:eastAsia="Times New Roman"/>
          <w:i/>
          <w:iCs/>
          <w:sz w:val="19"/>
          <w:szCs w:val="19"/>
        </w:rPr>
        <w:t xml:space="preserve"> </w:t>
      </w:r>
      <w:r>
        <w:rPr>
          <w:rFonts w:eastAsia="Times New Roman"/>
          <w:sz w:val="19"/>
          <w:szCs w:val="19"/>
        </w:rPr>
        <w:t>assumed a significant amount of addi-</w:t>
      </w:r>
    </w:p>
    <w:p w:rsidR="00CC2C66" w:rsidRDefault="00F80B74">
      <w:pPr>
        <w:spacing w:line="20" w:lineRule="exact"/>
        <w:rPr>
          <w:sz w:val="20"/>
          <w:szCs w:val="20"/>
        </w:rPr>
      </w:pPr>
      <w:r>
        <w:rPr>
          <w:sz w:val="20"/>
          <w:szCs w:val="20"/>
        </w:rPr>
        <w:br w:type="column"/>
      </w:r>
    </w:p>
    <w:p w:rsidR="00CC2C66" w:rsidRDefault="00CC2C66">
      <w:pPr>
        <w:spacing w:line="311" w:lineRule="exact"/>
        <w:rPr>
          <w:sz w:val="20"/>
          <w:szCs w:val="20"/>
        </w:rPr>
      </w:pPr>
    </w:p>
    <w:p w:rsidR="00CC2C66" w:rsidRDefault="00F80B74">
      <w:pPr>
        <w:spacing w:line="241" w:lineRule="auto"/>
        <w:ind w:left="141" w:right="20"/>
        <w:jc w:val="both"/>
        <w:rPr>
          <w:sz w:val="20"/>
          <w:szCs w:val="20"/>
        </w:rPr>
      </w:pPr>
      <w:r>
        <w:rPr>
          <w:rFonts w:eastAsia="Times New Roman"/>
          <w:sz w:val="19"/>
          <w:szCs w:val="19"/>
        </w:rPr>
        <w:t xml:space="preserve">tional duties to resolve many novel and complex regulatory issues to execute the Company’s secondary listing on the Hong Kong Stock </w:t>
      </w:r>
      <w:r>
        <w:rPr>
          <w:rFonts w:eastAsia="Times New Roman"/>
          <w:sz w:val="19"/>
          <w:szCs w:val="19"/>
        </w:rPr>
        <w:t>Exchange on an accelerated timeframe in the midst of the global pandemic to become the first Delaware and non-TMT company to qualify as an innovative company and successfully list on the exchange. The secondary listing on the Hong Kong Stock Exchange raise</w:t>
      </w:r>
      <w:r>
        <w:rPr>
          <w:rFonts w:eastAsia="Times New Roman"/>
          <w:sz w:val="19"/>
          <w:szCs w:val="19"/>
        </w:rPr>
        <w:t>d net proceeds of $2.2 billion and expanded the Company’s stockholder base in China and Asia.</w:t>
      </w:r>
    </w:p>
    <w:p w:rsidR="00CC2C66" w:rsidRDefault="00CC2C66">
      <w:pPr>
        <w:spacing w:line="257" w:lineRule="exact"/>
        <w:rPr>
          <w:sz w:val="20"/>
          <w:szCs w:val="20"/>
        </w:rPr>
      </w:pPr>
    </w:p>
    <w:p w:rsidR="00CC2C66" w:rsidRDefault="00F80B74">
      <w:pPr>
        <w:numPr>
          <w:ilvl w:val="0"/>
          <w:numId w:val="79"/>
        </w:numPr>
        <w:tabs>
          <w:tab w:val="left" w:pos="181"/>
        </w:tabs>
        <w:spacing w:line="253" w:lineRule="auto"/>
        <w:ind w:left="181" w:right="20" w:hanging="181"/>
        <w:jc w:val="both"/>
        <w:rPr>
          <w:rFonts w:eastAsia="Times New Roman"/>
          <w:color w:val="CF0A2C"/>
          <w:sz w:val="18"/>
          <w:szCs w:val="18"/>
        </w:rPr>
      </w:pPr>
      <w:r>
        <w:rPr>
          <w:rFonts w:eastAsia="Times New Roman"/>
          <w:i/>
          <w:iCs/>
          <w:sz w:val="18"/>
          <w:szCs w:val="18"/>
        </w:rPr>
        <w:t>COVID-19 Responsiveness</w:t>
      </w:r>
      <w:r>
        <w:rPr>
          <w:rFonts w:eastAsia="Times New Roman"/>
          <w:sz w:val="18"/>
          <w:szCs w:val="18"/>
        </w:rPr>
        <w:t>—The management team led the</w:t>
      </w:r>
      <w:r>
        <w:rPr>
          <w:rFonts w:eastAsia="Times New Roman"/>
          <w:i/>
          <w:iCs/>
          <w:sz w:val="18"/>
          <w:szCs w:val="18"/>
        </w:rPr>
        <w:t xml:space="preserve"> </w:t>
      </w:r>
      <w:r>
        <w:rPr>
          <w:rFonts w:eastAsia="Times New Roman"/>
          <w:sz w:val="18"/>
          <w:szCs w:val="18"/>
        </w:rPr>
        <w:t>implementation of key actions that we undertook to protect our employees, serve our customers, drive stockhol</w:t>
      </w:r>
      <w:r>
        <w:rPr>
          <w:rFonts w:eastAsia="Times New Roman"/>
          <w:sz w:val="18"/>
          <w:szCs w:val="18"/>
        </w:rPr>
        <w:t>der value-creation and give back to the community in connection with the COVID-19 pandemic, all of which we believe have contributed to our ability to navigate the pandemic in 2020. These actions included: implementing stringent health measures at our rest</w:t>
      </w:r>
      <w:r>
        <w:rPr>
          <w:rFonts w:eastAsia="Times New Roman"/>
          <w:sz w:val="18"/>
          <w:szCs w:val="18"/>
        </w:rPr>
        <w:t xml:space="preserve">aurants and workplaces and providing extended healthcare and other support to employees; keeping majority of our stores open even at the peak of the outbreak; launching contactless delivery, takeaway and corporate catering to support businesses during the </w:t>
      </w:r>
      <w:r>
        <w:rPr>
          <w:rFonts w:eastAsia="Times New Roman"/>
          <w:sz w:val="18"/>
          <w:szCs w:val="18"/>
        </w:rPr>
        <w:t xml:space="preserve">time of reduced dine-in traffic; and addressing operational complexities and challenges in response to changes in regulatory requirements imposed by governmental authorities. Throughout the pandemic in 2020, management demonstrated their commitment to our </w:t>
      </w:r>
      <w:r>
        <w:rPr>
          <w:rFonts w:eastAsia="Times New Roman"/>
          <w:sz w:val="18"/>
          <w:szCs w:val="18"/>
        </w:rPr>
        <w:t>long-term success by taking actions that were key to the Company’s ability to effectively navigate the pandemic and emerge even stronger, even if such actions entail certain additional costs. For example, while many of our competitors elected to lay-off em</w:t>
      </w:r>
      <w:r>
        <w:rPr>
          <w:rFonts w:eastAsia="Times New Roman"/>
          <w:sz w:val="18"/>
          <w:szCs w:val="18"/>
        </w:rPr>
        <w:t>ployees during the pandemic, we kept employees on our payroll to allow us to recall employees as soon as possible once restrictions eased and it was appropriate to open stores. Actions such as this allowed us to nimbly respond to changing circumstances and</w:t>
      </w:r>
      <w:r>
        <w:rPr>
          <w:rFonts w:eastAsia="Times New Roman"/>
          <w:sz w:val="18"/>
          <w:szCs w:val="18"/>
        </w:rPr>
        <w:t xml:space="preserve"> foster goodwill among our employees. During 2020, sales and traffic recovered</w:t>
      </w:r>
    </w:p>
    <w:p w:rsidR="00CC2C66" w:rsidRDefault="00CC2C66">
      <w:pPr>
        <w:spacing w:line="498"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59"/>
            <w:col w:w="5061"/>
          </w:cols>
        </w:sectPr>
      </w:pPr>
    </w:p>
    <w:p w:rsidR="00CC2C66" w:rsidRDefault="00CC2C66">
      <w:pPr>
        <w:spacing w:line="28"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41</w:t>
      </w:r>
    </w:p>
    <w:p w:rsidR="00CC2C66" w:rsidRDefault="00F80B74">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48" w:name="page48"/>
      <w:bookmarkEnd w:id="48"/>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52" w:lineRule="auto"/>
        <w:ind w:left="600" w:right="20"/>
        <w:jc w:val="both"/>
        <w:rPr>
          <w:sz w:val="20"/>
          <w:szCs w:val="20"/>
        </w:rPr>
      </w:pPr>
      <w:r>
        <w:rPr>
          <w:rFonts w:eastAsia="Times New Roman"/>
          <w:sz w:val="19"/>
          <w:szCs w:val="19"/>
        </w:rPr>
        <w:t xml:space="preserve">sequentially since the first quarter of 2020. </w:t>
      </w:r>
      <w:r>
        <w:rPr>
          <w:rFonts w:eastAsia="Times New Roman"/>
          <w:sz w:val="19"/>
          <w:szCs w:val="19"/>
        </w:rPr>
        <w:t>The Company also served over 170,000 free meals to 1,450 hospitals and medical centers.</w:t>
      </w:r>
    </w:p>
    <w:p w:rsidR="00CC2C66" w:rsidRDefault="00CC2C66">
      <w:pPr>
        <w:spacing w:line="241" w:lineRule="exact"/>
        <w:rPr>
          <w:sz w:val="20"/>
          <w:szCs w:val="20"/>
        </w:rPr>
      </w:pPr>
    </w:p>
    <w:p w:rsidR="00CC2C66" w:rsidRDefault="00F80B74">
      <w:pPr>
        <w:numPr>
          <w:ilvl w:val="0"/>
          <w:numId w:val="80"/>
        </w:numPr>
        <w:tabs>
          <w:tab w:val="left" w:pos="640"/>
        </w:tabs>
        <w:spacing w:line="241" w:lineRule="auto"/>
        <w:ind w:left="640" w:right="20" w:hanging="178"/>
        <w:jc w:val="both"/>
        <w:rPr>
          <w:rFonts w:eastAsia="Times New Roman"/>
          <w:color w:val="CF0A2C"/>
          <w:sz w:val="19"/>
          <w:szCs w:val="19"/>
        </w:rPr>
      </w:pPr>
      <w:r>
        <w:rPr>
          <w:rFonts w:eastAsia="Times New Roman"/>
          <w:i/>
          <w:iCs/>
          <w:sz w:val="19"/>
          <w:szCs w:val="19"/>
        </w:rPr>
        <w:t>Strong Execution Against the Company’s Strategic Operating Plan</w:t>
      </w:r>
      <w:r>
        <w:rPr>
          <w:rFonts w:eastAsia="Times New Roman"/>
          <w:sz w:val="19"/>
          <w:szCs w:val="19"/>
        </w:rPr>
        <w:t>—In the context of a challenging year without precedent,</w:t>
      </w:r>
      <w:r>
        <w:rPr>
          <w:rFonts w:eastAsia="Times New Roman"/>
          <w:i/>
          <w:iCs/>
          <w:sz w:val="19"/>
          <w:szCs w:val="19"/>
        </w:rPr>
        <w:t xml:space="preserve"> </w:t>
      </w:r>
      <w:r>
        <w:rPr>
          <w:rFonts w:eastAsia="Times New Roman"/>
          <w:sz w:val="19"/>
          <w:szCs w:val="19"/>
        </w:rPr>
        <w:t>the Company delivered strong results, including</w:t>
      </w:r>
      <w:r>
        <w:rPr>
          <w:rFonts w:eastAsia="Times New Roman"/>
          <w:sz w:val="19"/>
          <w:szCs w:val="19"/>
        </w:rPr>
        <w:t xml:space="preserve"> the opening of 1,165 new stores, bringing total store count to over 10,500 across more than 1,500 cities in China. The KFC and Pizza Hut loyalty programs exceeded 300 million members combined, with member sales accounted for approximately 60% of system sa</w:t>
      </w:r>
      <w:r>
        <w:rPr>
          <w:rFonts w:eastAsia="Times New Roman"/>
          <w:sz w:val="19"/>
          <w:szCs w:val="19"/>
        </w:rPr>
        <w:t>les in 2020. Leveraging its digital and delivery capabilities, the Company continued to capture dine-in and off-premise opportunities. These priorities were aligned with the Company’s strategic operating plan in order to position the Company as a strong ma</w:t>
      </w:r>
      <w:r>
        <w:rPr>
          <w:rFonts w:eastAsia="Times New Roman"/>
          <w:sz w:val="19"/>
          <w:szCs w:val="19"/>
        </w:rPr>
        <w:t>rket leader.</w:t>
      </w:r>
    </w:p>
    <w:p w:rsidR="00CC2C66" w:rsidRDefault="00CC2C66">
      <w:pPr>
        <w:spacing w:line="221" w:lineRule="exact"/>
        <w:rPr>
          <w:sz w:val="20"/>
          <w:szCs w:val="20"/>
        </w:rPr>
      </w:pPr>
    </w:p>
    <w:p w:rsidR="00CC2C66" w:rsidRDefault="00F80B74">
      <w:pPr>
        <w:ind w:left="420"/>
        <w:jc w:val="both"/>
        <w:rPr>
          <w:sz w:val="20"/>
          <w:szCs w:val="20"/>
        </w:rPr>
      </w:pPr>
      <w:r>
        <w:rPr>
          <w:rFonts w:eastAsia="Times New Roman"/>
          <w:sz w:val="19"/>
          <w:szCs w:val="19"/>
        </w:rPr>
        <w:t>The grants to Ms. Wat and Messrs. Yeung and Chan have a grant date fair value of $2,500,000, $1,600,000 and $1,500,000, respectively, and will cliff-vest on the three-year anniversary of the grant date based on continued service through the v</w:t>
      </w:r>
      <w:r>
        <w:rPr>
          <w:rFonts w:eastAsia="Times New Roman"/>
          <w:sz w:val="19"/>
          <w:szCs w:val="19"/>
        </w:rPr>
        <w:t>esting date. The Compensation Committee elected to deliver the 2021 Chairman Grants as RSUs rather than as cash bonuses in order to further incentivize the retention of these key contributors over the applicable vesting period and to further align their in</w:t>
      </w:r>
      <w:r>
        <w:rPr>
          <w:rFonts w:eastAsia="Times New Roman"/>
          <w:sz w:val="19"/>
          <w:szCs w:val="19"/>
        </w:rPr>
        <w:t xml:space="preserve">terests with the interests of our stockholders. While these awards are not a component of the Company’s annual executive compensation program, the Compensation Committee determined that the 2021 Chairman Grants were appropriate to recognize the listing on </w:t>
      </w:r>
      <w:r>
        <w:rPr>
          <w:rFonts w:eastAsia="Times New Roman"/>
          <w:sz w:val="19"/>
          <w:szCs w:val="19"/>
        </w:rPr>
        <w:t>the Hong Kong Stock Exchange and to incentivize similar actions that required significant efforts and innovativeness by our select executives.</w:t>
      </w:r>
    </w:p>
    <w:p w:rsidR="00CC2C66" w:rsidRDefault="00CC2C66">
      <w:pPr>
        <w:spacing w:line="218" w:lineRule="exact"/>
        <w:rPr>
          <w:sz w:val="20"/>
          <w:szCs w:val="20"/>
        </w:rPr>
      </w:pPr>
    </w:p>
    <w:p w:rsidR="00CC2C66" w:rsidRDefault="00F80B74">
      <w:pPr>
        <w:ind w:left="420"/>
        <w:rPr>
          <w:sz w:val="20"/>
          <w:szCs w:val="20"/>
        </w:rPr>
      </w:pPr>
      <w:r>
        <w:rPr>
          <w:rFonts w:eastAsia="Times New Roman"/>
          <w:b/>
          <w:bCs/>
          <w:i/>
          <w:iCs/>
          <w:color w:val="CF0A2C"/>
          <w:sz w:val="19"/>
          <w:szCs w:val="19"/>
        </w:rPr>
        <w:t>2022 Lavazza ESOP Grants</w:t>
      </w:r>
    </w:p>
    <w:p w:rsidR="00CC2C66" w:rsidRDefault="00CC2C66">
      <w:pPr>
        <w:spacing w:line="235"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As previously disclosed, the Company and Lavazza Group established the Lavazza Joint </w:t>
      </w:r>
      <w:r>
        <w:rPr>
          <w:rFonts w:eastAsia="Times New Roman"/>
          <w:sz w:val="19"/>
          <w:szCs w:val="19"/>
        </w:rPr>
        <w:t xml:space="preserve">Venture to explore and develop the Lavazza coffee business in China. In order to incentivize the efforts of employees of the Company, Lavazza Group and the Lavazza Joint Venture to execute on the Lavazza Joint Venture’s business plan, including the target </w:t>
      </w:r>
      <w:r>
        <w:rPr>
          <w:rFonts w:eastAsia="Times New Roman"/>
          <w:sz w:val="19"/>
          <w:szCs w:val="19"/>
        </w:rPr>
        <w:t>to open 1,000 Lavazza stores in China by 2025, the Lavazza Joint Venture established the JV</w:t>
      </w:r>
    </w:p>
    <w:p w:rsidR="00CC2C66" w:rsidRDefault="00CC2C66">
      <w:pPr>
        <w:spacing w:line="266" w:lineRule="exact"/>
        <w:rPr>
          <w:sz w:val="20"/>
          <w:szCs w:val="20"/>
        </w:rPr>
      </w:pPr>
    </w:p>
    <w:p w:rsidR="00CC2C66" w:rsidRDefault="00F80B74">
      <w:pPr>
        <w:numPr>
          <w:ilvl w:val="0"/>
          <w:numId w:val="81"/>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39" w:lineRule="auto"/>
        <w:jc w:val="both"/>
        <w:rPr>
          <w:sz w:val="20"/>
          <w:szCs w:val="20"/>
        </w:rPr>
      </w:pPr>
      <w:r>
        <w:rPr>
          <w:rFonts w:eastAsia="Times New Roman"/>
          <w:sz w:val="19"/>
          <w:szCs w:val="19"/>
        </w:rPr>
        <w:t xml:space="preserve">Equity Plans allowing for the grant of equity awards with respect to the Lavazza Joint Venture to key employees of the Lavazza </w:t>
      </w:r>
      <w:r>
        <w:rPr>
          <w:rFonts w:eastAsia="Times New Roman"/>
          <w:sz w:val="19"/>
          <w:szCs w:val="19"/>
        </w:rPr>
        <w:t>Joint Venture, as well as select employees of Lavazza Group and the Company. Under the JV Equity Plans, up to 15% of the equity in the Lavazza Joint Venture may be granted as equity awards under the JV Equity Plans, with employees and other eligible partic</w:t>
      </w:r>
      <w:r>
        <w:rPr>
          <w:rFonts w:eastAsia="Times New Roman"/>
          <w:sz w:val="19"/>
          <w:szCs w:val="19"/>
        </w:rPr>
        <w:t>ipants of the Lavazza Joint Venture, including general restaurant managers, eligible to receive up to 80% of the JV Equity Plan shares, or 12% of the equity in the Lavazza Joint Venture. The remaining JV Equity Plan shares will be allocated to the employee</w:t>
      </w:r>
      <w:r>
        <w:rPr>
          <w:rFonts w:eastAsia="Times New Roman"/>
          <w:sz w:val="19"/>
          <w:szCs w:val="19"/>
        </w:rPr>
        <w:t>s of the Company and Lavazza Group in accordance with their respective equity interest in the Lavazza Joint Venture, or up to 2% and 1%, respectively, of the equity in the Lavazza Joint Venture. The Compensation Committee has discretion to award the portio</w:t>
      </w:r>
      <w:r>
        <w:rPr>
          <w:rFonts w:eastAsia="Times New Roman"/>
          <w:sz w:val="19"/>
          <w:szCs w:val="19"/>
        </w:rPr>
        <w:t>n of the JV equity pool allocated to the Company to employees of the Company who have been key contributors to the efforts of the Lavazza Joint Venture and are deemed to be essential to the successful execution of the Lavazza Joint Venture’s business plan.</w:t>
      </w:r>
      <w:r>
        <w:rPr>
          <w:rFonts w:eastAsia="Times New Roman"/>
          <w:sz w:val="19"/>
          <w:szCs w:val="19"/>
        </w:rPr>
        <w:t xml:space="preserve"> The JV Equity Plans and related grants were adopted in order to support entrepreneurial and innovative thinking and leadership through a compensation structure linked to brand expansion and our long-term strategy.</w:t>
      </w:r>
    </w:p>
    <w:p w:rsidR="00CC2C66" w:rsidRDefault="00F80B74">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-3642995</wp:posOffset>
            </wp:positionH>
            <wp:positionV relativeFrom="paragraph">
              <wp:posOffset>-3853180</wp:posOffset>
            </wp:positionV>
            <wp:extent cx="7181215" cy="3683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15" w:lineRule="exact"/>
        <w:rPr>
          <w:sz w:val="20"/>
          <w:szCs w:val="20"/>
        </w:rPr>
      </w:pPr>
    </w:p>
    <w:p w:rsidR="00CC2C66" w:rsidRDefault="00F80B74">
      <w:pPr>
        <w:spacing w:line="254" w:lineRule="auto"/>
        <w:jc w:val="both"/>
        <w:rPr>
          <w:sz w:val="20"/>
          <w:szCs w:val="20"/>
        </w:rPr>
      </w:pPr>
      <w:r>
        <w:rPr>
          <w:rFonts w:eastAsia="Times New Roman"/>
          <w:sz w:val="18"/>
          <w:szCs w:val="18"/>
        </w:rPr>
        <w:t>After considering the input of the Com</w:t>
      </w:r>
      <w:r>
        <w:rPr>
          <w:rFonts w:eastAsia="Times New Roman"/>
          <w:sz w:val="18"/>
          <w:szCs w:val="18"/>
        </w:rPr>
        <w:t>pensation Committee’s compensation consultant with respect to form and amount of equity awards to be granted to Company employees, on February 10, 2022, the Lavazza Joint Venture and the Compensation Committee approved equity awards under the applicable JV</w:t>
      </w:r>
      <w:r>
        <w:rPr>
          <w:rFonts w:eastAsia="Times New Roman"/>
          <w:sz w:val="18"/>
          <w:szCs w:val="18"/>
        </w:rPr>
        <w:t xml:space="preserve"> Equity Plan to certain employees of the Company, including the continuing NEOs, in the form of PSUs. The PSUs are subject to both performance-based vesting conditions and the occurrence of a liquidity event. The performance-based vesting conditions relate</w:t>
      </w:r>
      <w:r>
        <w:rPr>
          <w:rFonts w:eastAsia="Times New Roman"/>
          <w:sz w:val="18"/>
          <w:szCs w:val="18"/>
        </w:rPr>
        <w:t xml:space="preserve"> to the Lavazza Joint Venture’s performance with respect to revenue, store-level profitability, brand-level profitability and store count, each equally weighted, with performance to be measured on a rolling four-consecutive quarter basis over a four-year p</w:t>
      </w:r>
      <w:r>
        <w:rPr>
          <w:rFonts w:eastAsia="Times New Roman"/>
          <w:sz w:val="18"/>
          <w:szCs w:val="18"/>
        </w:rPr>
        <w:t>erformance period. The liquidity event vesting condition, which includes the occurrence of an initial public offering of the Lavazza Joint Venture, must occur within seven years of the grant date. Any portion of the award that does not vest, either based o</w:t>
      </w:r>
      <w:r>
        <w:rPr>
          <w:rFonts w:eastAsia="Times New Roman"/>
          <w:sz w:val="18"/>
          <w:szCs w:val="18"/>
        </w:rPr>
        <w:t>n the achievement of the applicable performance-based vesting conditions or the non-occurrence of</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49" w:name="page49"/>
      <w:bookmarkEnd w:id="49"/>
      <w:r>
        <w:rPr>
          <w:rFonts w:eastAsia="Times New Roman"/>
          <w:b/>
          <w:bCs/>
          <w:color w:val="0000EE"/>
          <w:sz w:val="17"/>
          <w:szCs w:val="17"/>
          <w:u w:val="single"/>
        </w:rPr>
        <w:lastRenderedPageBreak/>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42" w:lineRule="auto"/>
        <w:ind w:left="420"/>
        <w:jc w:val="both"/>
        <w:rPr>
          <w:sz w:val="20"/>
          <w:szCs w:val="20"/>
        </w:rPr>
      </w:pPr>
      <w:r>
        <w:rPr>
          <w:rFonts w:eastAsia="Times New Roman"/>
          <w:sz w:val="19"/>
          <w:szCs w:val="19"/>
        </w:rPr>
        <w:t>the liquidity event, will be forfeited in their entirety. To recognize the efforts of each of the continuing N</w:t>
      </w:r>
      <w:r>
        <w:rPr>
          <w:rFonts w:eastAsia="Times New Roman"/>
          <w:sz w:val="19"/>
          <w:szCs w:val="19"/>
        </w:rPr>
        <w:t>EOs with respect to the Lavazza Joint Venture and to incentivize and galvanize their continued focus on the success of the Lavazza Joint Venture, the Compensation Committee granted PSUs with the following grant date fair values to each of the continuing NE</w:t>
      </w:r>
      <w:r>
        <w:rPr>
          <w:rFonts w:eastAsia="Times New Roman"/>
          <w:sz w:val="19"/>
          <w:szCs w:val="19"/>
        </w:rPr>
        <w:t>Os: Ms. Wat, $1,000,000; Mr. Yeung, $200,000; Mr. Chan, $200,000; Mr. Huang, $200,000 and Mr. Yuen, $200,000.</w:t>
      </w:r>
    </w:p>
    <w:p w:rsidR="00CC2C66" w:rsidRDefault="00CC2C66">
      <w:pPr>
        <w:spacing w:line="212" w:lineRule="exact"/>
        <w:rPr>
          <w:sz w:val="20"/>
          <w:szCs w:val="20"/>
        </w:rPr>
      </w:pPr>
    </w:p>
    <w:p w:rsidR="00CC2C66" w:rsidRDefault="00F80B74">
      <w:pPr>
        <w:ind w:left="420"/>
        <w:rPr>
          <w:sz w:val="20"/>
          <w:szCs w:val="20"/>
        </w:rPr>
      </w:pPr>
      <w:r>
        <w:rPr>
          <w:rFonts w:eastAsia="Times New Roman"/>
          <w:b/>
          <w:bCs/>
          <w:i/>
          <w:iCs/>
          <w:color w:val="CF0A2C"/>
          <w:sz w:val="19"/>
          <w:szCs w:val="19"/>
        </w:rPr>
        <w:t>Other Elements of Executive Compensation Program</w:t>
      </w:r>
    </w:p>
    <w:p w:rsidR="00CC2C66" w:rsidRDefault="00CC2C66">
      <w:pPr>
        <w:spacing w:line="247"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As with all Company employees, Company executive officers receive certain employment benefits. </w:t>
      </w:r>
      <w:r>
        <w:rPr>
          <w:rFonts w:eastAsia="Times New Roman"/>
          <w:sz w:val="19"/>
          <w:szCs w:val="19"/>
        </w:rPr>
        <w:t>We believe the benefits we offer are an important part of retention and capital preservation for all levels of employees. Our benefits are designed to protect against unexpected catastrophic losses of health and earnings potential and provide a means to sa</w:t>
      </w:r>
      <w:r>
        <w:rPr>
          <w:rFonts w:eastAsia="Times New Roman"/>
          <w:sz w:val="19"/>
          <w:szCs w:val="19"/>
        </w:rPr>
        <w:t>ve and accumulate assets for retirement.</w:t>
      </w:r>
    </w:p>
    <w:p w:rsidR="00CC2C66" w:rsidRDefault="00CC2C66">
      <w:pPr>
        <w:spacing w:line="198" w:lineRule="exact"/>
        <w:rPr>
          <w:sz w:val="20"/>
          <w:szCs w:val="20"/>
        </w:rPr>
      </w:pPr>
    </w:p>
    <w:p w:rsidR="00CC2C66" w:rsidRDefault="00F80B74">
      <w:pPr>
        <w:ind w:left="420"/>
        <w:rPr>
          <w:sz w:val="20"/>
          <w:szCs w:val="20"/>
        </w:rPr>
      </w:pPr>
      <w:r>
        <w:rPr>
          <w:rFonts w:eastAsia="Times New Roman"/>
          <w:i/>
          <w:iCs/>
          <w:color w:val="CF0A2C"/>
          <w:sz w:val="19"/>
          <w:szCs w:val="19"/>
        </w:rPr>
        <w:t>Post-Termination and Change in Control Compensation.</w:t>
      </w:r>
    </w:p>
    <w:p w:rsidR="00CC2C66" w:rsidRDefault="00CC2C66">
      <w:pPr>
        <w:spacing w:line="245" w:lineRule="exact"/>
        <w:rPr>
          <w:sz w:val="20"/>
          <w:szCs w:val="20"/>
        </w:rPr>
      </w:pPr>
    </w:p>
    <w:p w:rsidR="00CC2C66" w:rsidRDefault="00F80B74">
      <w:pPr>
        <w:spacing w:line="247" w:lineRule="auto"/>
        <w:ind w:left="420"/>
        <w:jc w:val="both"/>
        <w:rPr>
          <w:sz w:val="20"/>
          <w:szCs w:val="20"/>
        </w:rPr>
      </w:pPr>
      <w:r>
        <w:rPr>
          <w:rFonts w:eastAsia="Times New Roman"/>
          <w:sz w:val="19"/>
          <w:szCs w:val="19"/>
        </w:rPr>
        <w:t xml:space="preserve">The Company provides certain post-termination and change in control compensation to help accomplish the Company’s compensation philosophy of attracting and </w:t>
      </w:r>
      <w:r>
        <w:rPr>
          <w:rFonts w:eastAsia="Times New Roman"/>
          <w:sz w:val="19"/>
          <w:szCs w:val="19"/>
        </w:rPr>
        <w:t>retaining executive talent.</w:t>
      </w:r>
    </w:p>
    <w:p w:rsidR="00CC2C66" w:rsidRDefault="00CC2C66">
      <w:pPr>
        <w:spacing w:line="208" w:lineRule="exact"/>
        <w:rPr>
          <w:sz w:val="20"/>
          <w:szCs w:val="20"/>
        </w:rPr>
      </w:pPr>
    </w:p>
    <w:p w:rsidR="00CC2C66" w:rsidRDefault="00F80B74">
      <w:pPr>
        <w:spacing w:line="242" w:lineRule="auto"/>
        <w:ind w:left="420"/>
        <w:jc w:val="both"/>
        <w:rPr>
          <w:sz w:val="20"/>
          <w:szCs w:val="20"/>
        </w:rPr>
      </w:pPr>
      <w:r>
        <w:rPr>
          <w:rFonts w:eastAsia="Times New Roman"/>
          <w:i/>
          <w:iCs/>
          <w:color w:val="CF0A2C"/>
          <w:sz w:val="19"/>
          <w:szCs w:val="19"/>
        </w:rPr>
        <w:t xml:space="preserve">Change in Control Severance Plan. </w:t>
      </w:r>
      <w:r>
        <w:rPr>
          <w:rFonts w:eastAsia="Times New Roman"/>
          <w:color w:val="000000"/>
          <w:sz w:val="19"/>
          <w:szCs w:val="19"/>
        </w:rPr>
        <w:t>The Company maintains a</w:t>
      </w:r>
      <w:r>
        <w:rPr>
          <w:rFonts w:eastAsia="Times New Roman"/>
          <w:i/>
          <w:iCs/>
          <w:color w:val="CF0A2C"/>
          <w:sz w:val="19"/>
          <w:szCs w:val="19"/>
        </w:rPr>
        <w:t xml:space="preserve"> </w:t>
      </w:r>
      <w:r>
        <w:rPr>
          <w:rFonts w:eastAsia="Times New Roman"/>
          <w:color w:val="000000"/>
          <w:sz w:val="19"/>
          <w:szCs w:val="19"/>
        </w:rPr>
        <w:t>change in control severance plan that covers all NEOs. Severance benefits are payable only upon a qualifying termination, which is defined as a termination by the Compan</w:t>
      </w:r>
      <w:r>
        <w:rPr>
          <w:rFonts w:eastAsia="Times New Roman"/>
          <w:color w:val="000000"/>
          <w:sz w:val="19"/>
          <w:szCs w:val="19"/>
        </w:rPr>
        <w:t>y without cause or by the participant due to good reason, within 24 months following the consummation of a change in control of the Company. The Compensation Committee believes change in control compensation promotes management independence and helps retai</w:t>
      </w:r>
      <w:r>
        <w:rPr>
          <w:rFonts w:eastAsia="Times New Roman"/>
          <w:color w:val="000000"/>
          <w:sz w:val="19"/>
          <w:szCs w:val="19"/>
        </w:rPr>
        <w:t>n, stabilize, and focus the executive officers in the event of a change in control.</w:t>
      </w:r>
    </w:p>
    <w:p w:rsidR="00CC2C66" w:rsidRDefault="00CC2C66">
      <w:pPr>
        <w:spacing w:line="199" w:lineRule="exact"/>
        <w:rPr>
          <w:sz w:val="20"/>
          <w:szCs w:val="20"/>
        </w:rPr>
      </w:pPr>
    </w:p>
    <w:p w:rsidR="00CC2C66" w:rsidRDefault="00F80B74">
      <w:pPr>
        <w:spacing w:line="244" w:lineRule="auto"/>
        <w:ind w:left="420"/>
        <w:jc w:val="both"/>
        <w:rPr>
          <w:sz w:val="20"/>
          <w:szCs w:val="20"/>
        </w:rPr>
      </w:pPr>
      <w:r>
        <w:rPr>
          <w:rFonts w:eastAsia="Times New Roman"/>
          <w:i/>
          <w:iCs/>
          <w:color w:val="CF0A2C"/>
          <w:sz w:val="19"/>
          <w:szCs w:val="19"/>
        </w:rPr>
        <w:t xml:space="preserve">Executive Severance Plan. </w:t>
      </w:r>
      <w:r>
        <w:rPr>
          <w:rFonts w:eastAsia="Times New Roman"/>
          <w:color w:val="000000"/>
          <w:sz w:val="19"/>
          <w:szCs w:val="19"/>
        </w:rPr>
        <w:t>As noted above, in September 2021,</w:t>
      </w:r>
      <w:r>
        <w:rPr>
          <w:rFonts w:eastAsia="Times New Roman"/>
          <w:i/>
          <w:iCs/>
          <w:color w:val="CF0A2C"/>
          <w:sz w:val="19"/>
          <w:szCs w:val="19"/>
        </w:rPr>
        <w:t xml:space="preserve"> </w:t>
      </w:r>
      <w:r>
        <w:rPr>
          <w:rFonts w:eastAsia="Times New Roman"/>
          <w:color w:val="000000"/>
          <w:sz w:val="19"/>
          <w:szCs w:val="19"/>
        </w:rPr>
        <w:t>the Compensation Committee adopted the Executive Severance Plan to provide severance benefits to certain key m</w:t>
      </w:r>
      <w:r>
        <w:rPr>
          <w:rFonts w:eastAsia="Times New Roman"/>
          <w:color w:val="000000"/>
          <w:sz w:val="19"/>
          <w:szCs w:val="19"/>
        </w:rPr>
        <w:t>anagement employees of the Company and its affiliates who are selected by the Compensation Committee to participate in the plan, including each of the NEOs.</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55" w:lineRule="auto"/>
        <w:jc w:val="both"/>
        <w:rPr>
          <w:sz w:val="20"/>
          <w:szCs w:val="20"/>
        </w:rPr>
      </w:pPr>
      <w:r>
        <w:rPr>
          <w:rFonts w:eastAsia="Times New Roman"/>
          <w:sz w:val="18"/>
          <w:szCs w:val="18"/>
        </w:rPr>
        <w:t>The Executive Severance Plan aids in recruitment and retention and p</w:t>
      </w:r>
      <w:r>
        <w:rPr>
          <w:rFonts w:eastAsia="Times New Roman"/>
          <w:sz w:val="18"/>
          <w:szCs w:val="18"/>
        </w:rPr>
        <w:t>romotes smooth succession planning, while providing transitional pay for a limited period of time to executives whose employment is involuntarily terminated. Payments are conditioned upon the executive’s execution of a release of claims in favor of the Com</w:t>
      </w:r>
      <w:r>
        <w:rPr>
          <w:rFonts w:eastAsia="Times New Roman"/>
          <w:sz w:val="18"/>
          <w:szCs w:val="18"/>
        </w:rPr>
        <w:t>pany and compliance with restrictive covenants. Severance benefits payable under the Executive Severance Plan are equal to two times the sum of annual base salary plus annual target bonus for the CEO and one time the sum of annual base salary plus target a</w:t>
      </w:r>
      <w:r>
        <w:rPr>
          <w:rFonts w:eastAsia="Times New Roman"/>
          <w:sz w:val="18"/>
          <w:szCs w:val="18"/>
        </w:rPr>
        <w:t>nnual bonus for the other NEOs, will be in lieu of any cash severance benefits under any other arrangement with the participant and are subject to recoupment in the event the executive violates his or her restrictive covenants with the Company.</w:t>
      </w:r>
    </w:p>
    <w:p w:rsidR="00CC2C66" w:rsidRDefault="00CC2C66">
      <w:pPr>
        <w:spacing w:line="207" w:lineRule="exact"/>
        <w:rPr>
          <w:sz w:val="20"/>
          <w:szCs w:val="20"/>
        </w:rPr>
      </w:pPr>
    </w:p>
    <w:p w:rsidR="00CC2C66" w:rsidRDefault="00F80B74">
      <w:pPr>
        <w:spacing w:line="243" w:lineRule="auto"/>
        <w:jc w:val="both"/>
        <w:rPr>
          <w:sz w:val="20"/>
          <w:szCs w:val="20"/>
        </w:rPr>
      </w:pPr>
      <w:r>
        <w:rPr>
          <w:rFonts w:eastAsia="Times New Roman"/>
          <w:sz w:val="19"/>
          <w:szCs w:val="19"/>
        </w:rPr>
        <w:t xml:space="preserve">The terms </w:t>
      </w:r>
      <w:r>
        <w:rPr>
          <w:rFonts w:eastAsia="Times New Roman"/>
          <w:sz w:val="19"/>
          <w:szCs w:val="19"/>
        </w:rPr>
        <w:t>of the Change in Control Severance Plan and Executive Severance Plan were determined after considering market data and the input of the compensation consultant. The award agreements with respect to the Company’s outstanding equity awards also provide for p</w:t>
      </w:r>
      <w:r>
        <w:rPr>
          <w:rFonts w:eastAsia="Times New Roman"/>
          <w:sz w:val="19"/>
          <w:szCs w:val="19"/>
        </w:rPr>
        <w:t>ro-rata vesting in the event of certain qualifying terminations of employment, as described below.</w:t>
      </w:r>
    </w:p>
    <w:p w:rsidR="00CC2C66" w:rsidRDefault="00CC2C66">
      <w:pPr>
        <w:spacing w:line="219" w:lineRule="exact"/>
        <w:rPr>
          <w:sz w:val="20"/>
          <w:szCs w:val="20"/>
        </w:rPr>
      </w:pPr>
    </w:p>
    <w:p w:rsidR="00CC2C66" w:rsidRDefault="00F80B74">
      <w:pPr>
        <w:spacing w:line="245" w:lineRule="auto"/>
        <w:jc w:val="both"/>
        <w:rPr>
          <w:sz w:val="20"/>
          <w:szCs w:val="20"/>
        </w:rPr>
      </w:pPr>
      <w:r>
        <w:rPr>
          <w:rFonts w:eastAsia="Times New Roman"/>
          <w:sz w:val="19"/>
          <w:szCs w:val="19"/>
        </w:rPr>
        <w:t xml:space="preserve">Please see the “Potential Payments upon a Termination or a Change in Control” section below for a quantification of the amounts that would be payable to </w:t>
      </w:r>
      <w:r>
        <w:rPr>
          <w:rFonts w:eastAsia="Times New Roman"/>
          <w:sz w:val="19"/>
          <w:szCs w:val="19"/>
        </w:rPr>
        <w:t>each of the continuing NEOs in connection with a termination of employment or change in control as of December 31, 2021.</w:t>
      </w:r>
    </w:p>
    <w:p w:rsidR="00CC2C66" w:rsidRDefault="00CC2C66">
      <w:pPr>
        <w:spacing w:line="197" w:lineRule="exact"/>
        <w:rPr>
          <w:sz w:val="20"/>
          <w:szCs w:val="20"/>
        </w:rPr>
      </w:pPr>
    </w:p>
    <w:p w:rsidR="00CC2C66" w:rsidRDefault="00F80B74">
      <w:pPr>
        <w:spacing w:line="258" w:lineRule="auto"/>
        <w:jc w:val="both"/>
        <w:rPr>
          <w:sz w:val="20"/>
          <w:szCs w:val="20"/>
        </w:rPr>
      </w:pPr>
      <w:r>
        <w:rPr>
          <w:rFonts w:eastAsia="Times New Roman"/>
          <w:i/>
          <w:iCs/>
          <w:color w:val="CF0A2C"/>
          <w:sz w:val="18"/>
          <w:szCs w:val="18"/>
        </w:rPr>
        <w:t xml:space="preserve">Retirement Plans. </w:t>
      </w:r>
      <w:r>
        <w:rPr>
          <w:rFonts w:eastAsia="Times New Roman"/>
          <w:color w:val="000000"/>
          <w:sz w:val="18"/>
          <w:szCs w:val="18"/>
        </w:rPr>
        <w:t>The Company offers certain executives working</w:t>
      </w:r>
      <w:r>
        <w:rPr>
          <w:rFonts w:eastAsia="Times New Roman"/>
          <w:i/>
          <w:iCs/>
          <w:color w:val="CF0A2C"/>
          <w:sz w:val="18"/>
          <w:szCs w:val="18"/>
        </w:rPr>
        <w:t xml:space="preserve"> </w:t>
      </w:r>
      <w:r>
        <w:rPr>
          <w:rFonts w:eastAsia="Times New Roman"/>
          <w:color w:val="000000"/>
          <w:sz w:val="18"/>
          <w:szCs w:val="18"/>
        </w:rPr>
        <w:t>in China retirement benefits under the Bai Sheng Restaurants China Hol</w:t>
      </w:r>
      <w:r>
        <w:rPr>
          <w:rFonts w:eastAsia="Times New Roman"/>
          <w:color w:val="000000"/>
          <w:sz w:val="18"/>
          <w:szCs w:val="18"/>
        </w:rPr>
        <w:t>dings Limited Retirement Scheme (“</w:t>
      </w:r>
      <w:r>
        <w:rPr>
          <w:rFonts w:eastAsia="Times New Roman"/>
          <w:b/>
          <w:bCs/>
          <w:i/>
          <w:iCs/>
          <w:color w:val="000000"/>
          <w:sz w:val="18"/>
          <w:szCs w:val="18"/>
        </w:rPr>
        <w:t>BSRCHLRS</w:t>
      </w:r>
      <w:r>
        <w:rPr>
          <w:rFonts w:eastAsia="Times New Roman"/>
          <w:color w:val="000000"/>
          <w:sz w:val="18"/>
          <w:szCs w:val="18"/>
        </w:rPr>
        <w:t xml:space="preserve">”). Under the BSRCHLRS, executives may make personal contributions, and the Company provides a company-funded contribution ranging from 5% to 10% of a participating executive’s base salary. During 2021, all of our </w:t>
      </w:r>
      <w:r>
        <w:rPr>
          <w:rFonts w:eastAsia="Times New Roman"/>
          <w:color w:val="000000"/>
          <w:sz w:val="18"/>
          <w:szCs w:val="18"/>
        </w:rPr>
        <w:t>NEOs were participants in the BSRCHLRS, and each NEO received a company-funded contribution.</w:t>
      </w:r>
    </w:p>
    <w:p w:rsidR="00CC2C66" w:rsidRDefault="00CC2C66">
      <w:pPr>
        <w:spacing w:line="200" w:lineRule="exact"/>
        <w:rPr>
          <w:sz w:val="20"/>
          <w:szCs w:val="20"/>
        </w:rPr>
      </w:pPr>
    </w:p>
    <w:p w:rsidR="00CC2C66" w:rsidRDefault="00F80B74">
      <w:pPr>
        <w:spacing w:line="246" w:lineRule="auto"/>
        <w:jc w:val="both"/>
        <w:rPr>
          <w:sz w:val="20"/>
          <w:szCs w:val="20"/>
        </w:rPr>
      </w:pPr>
      <w:r>
        <w:rPr>
          <w:rFonts w:eastAsia="Times New Roman"/>
          <w:i/>
          <w:iCs/>
          <w:color w:val="CF0A2C"/>
          <w:sz w:val="19"/>
          <w:szCs w:val="19"/>
        </w:rPr>
        <w:t xml:space="preserve">Medical, Dental, and Life Insurance and Disability Coverage. </w:t>
      </w:r>
      <w:r>
        <w:rPr>
          <w:rFonts w:eastAsia="Times New Roman"/>
          <w:color w:val="000000"/>
          <w:sz w:val="19"/>
          <w:szCs w:val="19"/>
        </w:rPr>
        <w:t>The</w:t>
      </w:r>
      <w:r>
        <w:rPr>
          <w:rFonts w:eastAsia="Times New Roman"/>
          <w:i/>
          <w:iCs/>
          <w:color w:val="CF0A2C"/>
          <w:sz w:val="19"/>
          <w:szCs w:val="19"/>
        </w:rPr>
        <w:t xml:space="preserve"> </w:t>
      </w:r>
      <w:r>
        <w:rPr>
          <w:rFonts w:eastAsia="Times New Roman"/>
          <w:color w:val="000000"/>
          <w:sz w:val="19"/>
          <w:szCs w:val="19"/>
        </w:rPr>
        <w:t xml:space="preserve">Company provides benefits such as medical, dental, and life insurance and disability coverage to </w:t>
      </w:r>
      <w:r>
        <w:rPr>
          <w:rFonts w:eastAsia="Times New Roman"/>
          <w:color w:val="000000"/>
          <w:sz w:val="19"/>
          <w:szCs w:val="19"/>
        </w:rPr>
        <w:t>its executive officers through the same benefit plans that are provided to all eligible China-based employees.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35"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43</w:t>
      </w:r>
    </w:p>
    <w:p w:rsidR="00CC2C66" w:rsidRDefault="00F80B74">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2989580</wp:posOffset>
            </wp:positionH>
            <wp:positionV relativeFrom="paragraph">
              <wp:posOffset>-95885</wp:posOffset>
            </wp:positionV>
            <wp:extent cx="8255" cy="9715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50" w:name="page50"/>
      <w:bookmarkEnd w:id="50"/>
      <w:r>
        <w:rPr>
          <w:rFonts w:eastAsia="Times New Roman"/>
          <w:b/>
          <w:bCs/>
          <w:color w:val="0000EE"/>
          <w:sz w:val="17"/>
          <w:szCs w:val="17"/>
          <w:u w:val="single"/>
        </w:rPr>
        <w:lastRenderedPageBreak/>
        <w:t>Table of Contents</w:t>
      </w:r>
    </w:p>
    <w:p w:rsidR="00CC2C66" w:rsidRDefault="00F80B74">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39" w:lineRule="exact"/>
        <w:rPr>
          <w:sz w:val="20"/>
          <w:szCs w:val="20"/>
        </w:rPr>
      </w:pPr>
    </w:p>
    <w:p w:rsidR="00CC2C66" w:rsidRDefault="00F80B74">
      <w:pPr>
        <w:ind w:left="420"/>
        <w:jc w:val="both"/>
        <w:rPr>
          <w:sz w:val="20"/>
          <w:szCs w:val="20"/>
        </w:rPr>
      </w:pPr>
      <w:r>
        <w:rPr>
          <w:rFonts w:eastAsia="Times New Roman"/>
          <w:i/>
          <w:iCs/>
          <w:color w:val="CF0A2C"/>
          <w:sz w:val="19"/>
          <w:szCs w:val="19"/>
        </w:rPr>
        <w:t xml:space="preserve">Perquisites. </w:t>
      </w:r>
      <w:r>
        <w:rPr>
          <w:rFonts w:eastAsia="Times New Roman"/>
          <w:color w:val="000000"/>
          <w:sz w:val="19"/>
          <w:szCs w:val="19"/>
        </w:rPr>
        <w:t xml:space="preserve">Certain perquisites are </w:t>
      </w:r>
      <w:r>
        <w:rPr>
          <w:rFonts w:eastAsia="Times New Roman"/>
          <w:color w:val="000000"/>
          <w:sz w:val="19"/>
          <w:szCs w:val="19"/>
        </w:rPr>
        <w:t>provided to certain Company</w:t>
      </w:r>
      <w:r>
        <w:rPr>
          <w:rFonts w:eastAsia="Times New Roman"/>
          <w:i/>
          <w:iCs/>
          <w:color w:val="CF0A2C"/>
          <w:sz w:val="19"/>
          <w:szCs w:val="19"/>
        </w:rPr>
        <w:t xml:space="preserve"> </w:t>
      </w:r>
      <w:r>
        <w:rPr>
          <w:rFonts w:eastAsia="Times New Roman"/>
          <w:color w:val="000000"/>
          <w:sz w:val="19"/>
          <w:szCs w:val="19"/>
        </w:rPr>
        <w:t>executive officers relating to overseas assignments. These perquisites are governed by the Company’s formal mobility policy, are offered on a case-by-case basis and reflect each executive’s particular circumstances while also ge</w:t>
      </w:r>
      <w:r>
        <w:rPr>
          <w:rFonts w:eastAsia="Times New Roman"/>
          <w:color w:val="000000"/>
          <w:sz w:val="19"/>
          <w:szCs w:val="19"/>
        </w:rPr>
        <w:t xml:space="preserve">nerally reflecting market practices for similarly situated, globally mobile executives working in international companies based in mainland China. For example, the Company may offer perquisites such as housing cost subsidies, dependent education, and home </w:t>
      </w:r>
      <w:r>
        <w:rPr>
          <w:rFonts w:eastAsia="Times New Roman"/>
          <w:color w:val="000000"/>
          <w:sz w:val="19"/>
          <w:szCs w:val="19"/>
        </w:rPr>
        <w:t>leave payments to executives performing services in China. These perquisites are considered to be a necessary component of the Company’s executive compensation program in order to attract and retain high-performing executives from different countries who h</w:t>
      </w:r>
      <w:r>
        <w:rPr>
          <w:rFonts w:eastAsia="Times New Roman"/>
          <w:color w:val="000000"/>
          <w:sz w:val="19"/>
          <w:szCs w:val="19"/>
        </w:rPr>
        <w:t>ave the skill sets and experience to successfully manage and lead the Company in mainland China.</w:t>
      </w:r>
    </w:p>
    <w:p w:rsidR="00CC2C66" w:rsidRDefault="00CC2C66">
      <w:pPr>
        <w:spacing w:line="279" w:lineRule="exact"/>
        <w:rPr>
          <w:sz w:val="20"/>
          <w:szCs w:val="20"/>
        </w:rPr>
      </w:pPr>
    </w:p>
    <w:p w:rsidR="00CC2C66" w:rsidRDefault="00F80B74">
      <w:pPr>
        <w:numPr>
          <w:ilvl w:val="0"/>
          <w:numId w:val="82"/>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43" w:lineRule="auto"/>
        <w:jc w:val="both"/>
        <w:rPr>
          <w:sz w:val="20"/>
          <w:szCs w:val="20"/>
        </w:rPr>
      </w:pPr>
      <w:r>
        <w:rPr>
          <w:rFonts w:eastAsia="Times New Roman"/>
          <w:sz w:val="19"/>
          <w:szCs w:val="19"/>
        </w:rPr>
        <w:t xml:space="preserve">Prior to our spin-off from YUM, certain of our NEOs were offered tax equalization benefits as an element of their </w:t>
      </w:r>
      <w:r>
        <w:rPr>
          <w:rFonts w:eastAsia="Times New Roman"/>
          <w:sz w:val="19"/>
          <w:szCs w:val="19"/>
        </w:rPr>
        <w:t>compensation. These tax equalization benefits represent legacy compensation arrangements entered into with our former parent. After the spin-off, the Compensation Committee began to phase out tax equalization benefits for the NEOs (other than certain grand</w:t>
      </w:r>
      <w:r>
        <w:rPr>
          <w:rFonts w:eastAsia="Times New Roman"/>
          <w:sz w:val="19"/>
          <w:szCs w:val="19"/>
        </w:rPr>
        <w:t>fathered benefits pursuant to the legacy arrangements).</w:t>
      </w:r>
    </w:p>
    <w:p w:rsidR="00CC2C66" w:rsidRDefault="00F80B74">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-3642995</wp:posOffset>
            </wp:positionH>
            <wp:positionV relativeFrom="paragraph">
              <wp:posOffset>-1797050</wp:posOffset>
            </wp:positionV>
            <wp:extent cx="7181215" cy="3683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195" w:lineRule="exact"/>
        <w:rPr>
          <w:sz w:val="20"/>
          <w:szCs w:val="20"/>
        </w:rPr>
      </w:pPr>
    </w:p>
    <w:p w:rsidR="00CC2C66" w:rsidRDefault="00F80B74">
      <w:pPr>
        <w:spacing w:line="293" w:lineRule="auto"/>
        <w:jc w:val="both"/>
        <w:rPr>
          <w:sz w:val="20"/>
          <w:szCs w:val="20"/>
        </w:rPr>
      </w:pPr>
      <w:r>
        <w:rPr>
          <w:rFonts w:eastAsia="Times New Roman"/>
          <w:sz w:val="18"/>
          <w:szCs w:val="18"/>
        </w:rPr>
        <w:t>See the 2021 All Other Compensation Table in this CD&amp;A for details regarding the perquisites received by our NEOs during 2021.</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51" w:name="page51"/>
      <w:bookmarkEnd w:id="51"/>
      <w:r>
        <w:rPr>
          <w:rFonts w:eastAsia="Times New Roman"/>
          <w:b/>
          <w:bCs/>
          <w:noProof/>
          <w:color w:val="0000EE"/>
          <w:sz w:val="17"/>
          <w:szCs w:val="17"/>
          <w:u w:val="single"/>
        </w:rPr>
        <w:drawing>
          <wp:anchor distT="0" distB="0" distL="114300" distR="114300" simplePos="0" relativeHeight="25166438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right="160"/>
        <w:jc w:val="right"/>
        <w:rPr>
          <w:sz w:val="20"/>
          <w:szCs w:val="20"/>
        </w:rPr>
      </w:pPr>
      <w:r>
        <w:rPr>
          <w:rFonts w:ascii="Arial" w:eastAsia="Arial" w:hAnsi="Arial" w:cs="Arial"/>
          <w:b/>
          <w:bCs/>
          <w:color w:val="FFFFFF"/>
          <w:sz w:val="15"/>
          <w:szCs w:val="15"/>
        </w:rPr>
        <w:t xml:space="preserve">EXECUTIVE </w:t>
      </w:r>
      <w:r>
        <w:rPr>
          <w:rFonts w:ascii="Arial" w:eastAsia="Arial" w:hAnsi="Arial" w:cs="Arial"/>
          <w:b/>
          <w:bCs/>
          <w:color w:val="FFFFFF"/>
          <w:sz w:val="15"/>
          <w:szCs w:val="15"/>
        </w:rPr>
        <w:t>COMPENSATION</w:t>
      </w:r>
    </w:p>
    <w:p w:rsidR="00CC2C66" w:rsidRDefault="00CC2C66">
      <w:pPr>
        <w:spacing w:line="190" w:lineRule="exact"/>
        <w:rPr>
          <w:sz w:val="20"/>
          <w:szCs w:val="20"/>
        </w:rPr>
      </w:pPr>
    </w:p>
    <w:p w:rsidR="00CC2C66" w:rsidRDefault="00F80B74">
      <w:pPr>
        <w:ind w:left="420"/>
        <w:rPr>
          <w:sz w:val="20"/>
          <w:szCs w:val="20"/>
        </w:rPr>
      </w:pPr>
      <w:r>
        <w:rPr>
          <w:rFonts w:ascii="Arial" w:eastAsia="Arial" w:hAnsi="Arial" w:cs="Arial"/>
          <w:b/>
          <w:bCs/>
          <w:color w:val="CF0A2C"/>
          <w:sz w:val="24"/>
          <w:szCs w:val="24"/>
        </w:rPr>
        <w:t>2021 NEO Compensation and Performance Summary</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339" w:lineRule="exact"/>
        <w:rPr>
          <w:sz w:val="20"/>
          <w:szCs w:val="20"/>
        </w:rPr>
      </w:pPr>
    </w:p>
    <w:p w:rsidR="00CC2C66" w:rsidRDefault="00F80B74">
      <w:pPr>
        <w:spacing w:line="265" w:lineRule="auto"/>
        <w:ind w:left="420"/>
        <w:rPr>
          <w:sz w:val="20"/>
          <w:szCs w:val="20"/>
        </w:rPr>
      </w:pPr>
      <w:r>
        <w:rPr>
          <w:rFonts w:eastAsia="Times New Roman"/>
          <w:sz w:val="19"/>
          <w:szCs w:val="19"/>
        </w:rPr>
        <w:t>Below is a summary of our NEOs’ 2021 compensation—which includes base salary, annual cash bonus, and equity</w:t>
      </w:r>
    </w:p>
    <w:p w:rsidR="00CC2C66" w:rsidRDefault="00F80B74">
      <w:pPr>
        <w:spacing w:line="20" w:lineRule="exact"/>
        <w:rPr>
          <w:sz w:val="20"/>
          <w:szCs w:val="20"/>
        </w:rPr>
      </w:pPr>
      <w:r>
        <w:rPr>
          <w:sz w:val="20"/>
          <w:szCs w:val="20"/>
        </w:rPr>
        <w:br w:type="column"/>
      </w:r>
    </w:p>
    <w:p w:rsidR="00CC2C66" w:rsidRDefault="00CC2C66">
      <w:pPr>
        <w:spacing w:line="319" w:lineRule="exact"/>
        <w:rPr>
          <w:sz w:val="20"/>
          <w:szCs w:val="20"/>
        </w:rPr>
      </w:pPr>
    </w:p>
    <w:p w:rsidR="00CC2C66" w:rsidRDefault="00F80B74">
      <w:pPr>
        <w:spacing w:line="265" w:lineRule="auto"/>
        <w:rPr>
          <w:sz w:val="20"/>
          <w:szCs w:val="20"/>
        </w:rPr>
      </w:pPr>
      <w:r>
        <w:rPr>
          <w:rFonts w:eastAsia="Times New Roman"/>
          <w:sz w:val="19"/>
          <w:szCs w:val="19"/>
        </w:rPr>
        <w:t>awards—and an overview of our NEOs’ 2021 performance relative to</w:t>
      </w:r>
      <w:r>
        <w:rPr>
          <w:rFonts w:eastAsia="Times New Roman"/>
          <w:sz w:val="19"/>
          <w:szCs w:val="19"/>
        </w:rPr>
        <w:t xml:space="preserve"> the annual performance goals.</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00" w:space="320"/>
            <w:col w:w="5120"/>
          </w:cols>
        </w:sectPr>
      </w:pPr>
    </w:p>
    <w:p w:rsidR="00CC2C66" w:rsidRDefault="00CC2C66">
      <w:pPr>
        <w:spacing w:line="182" w:lineRule="exact"/>
        <w:rPr>
          <w:sz w:val="20"/>
          <w:szCs w:val="20"/>
        </w:rPr>
      </w:pPr>
    </w:p>
    <w:p w:rsidR="00CC2C66" w:rsidRDefault="00F80B74">
      <w:pPr>
        <w:ind w:left="460"/>
        <w:rPr>
          <w:sz w:val="20"/>
          <w:szCs w:val="20"/>
        </w:rPr>
      </w:pPr>
      <w:r>
        <w:rPr>
          <w:rFonts w:eastAsia="Times New Roman"/>
          <w:b/>
          <w:bCs/>
          <w:color w:val="CF0A2C"/>
          <w:sz w:val="19"/>
          <w:szCs w:val="19"/>
        </w:rPr>
        <w:t>Joey Wat</w:t>
      </w:r>
    </w:p>
    <w:p w:rsidR="00CC2C66" w:rsidRDefault="00F80B74">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260985</wp:posOffset>
            </wp:positionH>
            <wp:positionV relativeFrom="paragraph">
              <wp:posOffset>-130175</wp:posOffset>
            </wp:positionV>
            <wp:extent cx="6620510" cy="34861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0">
                      <a:extLst/>
                    </a:blip>
                    <a:srcRect/>
                    <a:stretch>
                      <a:fillRect/>
                    </a:stretch>
                  </pic:blipFill>
                  <pic:spPr bwMode="auto">
                    <a:xfrm>
                      <a:off x="0" y="0"/>
                      <a:ext cx="6620510" cy="348615"/>
                    </a:xfrm>
                    <a:prstGeom prst="rect">
                      <a:avLst/>
                    </a:prstGeom>
                    <a:noFill/>
                  </pic:spPr>
                </pic:pic>
              </a:graphicData>
            </a:graphic>
          </wp:anchor>
        </w:drawing>
      </w:r>
    </w:p>
    <w:p w:rsidR="00CC2C66" w:rsidRDefault="00CC2C66">
      <w:pPr>
        <w:spacing w:line="3" w:lineRule="exact"/>
        <w:rPr>
          <w:sz w:val="20"/>
          <w:szCs w:val="20"/>
        </w:rPr>
      </w:pPr>
    </w:p>
    <w:p w:rsidR="00CC2C66" w:rsidRDefault="00F80B74">
      <w:pPr>
        <w:ind w:left="460"/>
        <w:rPr>
          <w:sz w:val="20"/>
          <w:szCs w:val="20"/>
        </w:rPr>
      </w:pPr>
      <w:r>
        <w:rPr>
          <w:rFonts w:eastAsia="Times New Roman"/>
          <w:i/>
          <w:iCs/>
          <w:sz w:val="18"/>
          <w:szCs w:val="18"/>
        </w:rPr>
        <w:t>Chief Executive Officer</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21" w:lineRule="exact"/>
        <w:rPr>
          <w:sz w:val="20"/>
          <w:szCs w:val="20"/>
        </w:rPr>
      </w:pPr>
    </w:p>
    <w:p w:rsidR="00CC2C66" w:rsidRDefault="00F80B74">
      <w:pPr>
        <w:spacing w:line="243" w:lineRule="auto"/>
        <w:ind w:left="420"/>
        <w:jc w:val="both"/>
        <w:rPr>
          <w:sz w:val="20"/>
          <w:szCs w:val="20"/>
        </w:rPr>
      </w:pPr>
      <w:r>
        <w:rPr>
          <w:rFonts w:eastAsia="Times New Roman"/>
          <w:i/>
          <w:iCs/>
          <w:color w:val="CF0A2C"/>
          <w:sz w:val="19"/>
          <w:szCs w:val="19"/>
        </w:rPr>
        <w:t>2021 Performance Summary</w:t>
      </w:r>
      <w:r>
        <w:rPr>
          <w:rFonts w:eastAsia="Times New Roman"/>
          <w:i/>
          <w:iCs/>
          <w:color w:val="000000"/>
          <w:sz w:val="19"/>
          <w:szCs w:val="19"/>
        </w:rPr>
        <w:t>.</w:t>
      </w:r>
      <w:r>
        <w:rPr>
          <w:rFonts w:eastAsia="Times New Roman"/>
          <w:i/>
          <w:iCs/>
          <w:color w:val="CF0A2C"/>
          <w:sz w:val="19"/>
          <w:szCs w:val="19"/>
        </w:rPr>
        <w:t xml:space="preserve"> </w:t>
      </w:r>
      <w:r>
        <w:rPr>
          <w:rFonts w:eastAsia="Times New Roman"/>
          <w:color w:val="000000"/>
          <w:sz w:val="19"/>
          <w:szCs w:val="19"/>
        </w:rPr>
        <w:t>The Compensation Committee</w:t>
      </w:r>
      <w:r>
        <w:rPr>
          <w:rFonts w:eastAsia="Times New Roman"/>
          <w:i/>
          <w:iCs/>
          <w:color w:val="CF0A2C"/>
          <w:sz w:val="19"/>
          <w:szCs w:val="19"/>
        </w:rPr>
        <w:t xml:space="preserve"> </w:t>
      </w:r>
      <w:r>
        <w:rPr>
          <w:rFonts w:eastAsia="Times New Roman"/>
          <w:color w:val="000000"/>
          <w:sz w:val="19"/>
          <w:szCs w:val="19"/>
        </w:rPr>
        <w:t xml:space="preserve">determined Ms. Wat’s performance to be above target with an Individual </w:t>
      </w:r>
      <w:r>
        <w:rPr>
          <w:rFonts w:eastAsia="Times New Roman"/>
          <w:color w:val="000000"/>
          <w:sz w:val="19"/>
          <w:szCs w:val="19"/>
        </w:rPr>
        <w:t>Performance Factor of 130%. At the beginning of the year, the Compensation Committee set individual performance goals for Ms. Wat covering five pre-defined performance areas:</w:t>
      </w:r>
    </w:p>
    <w:p w:rsidR="00CC2C66" w:rsidRDefault="00CC2C66">
      <w:pPr>
        <w:spacing w:line="3" w:lineRule="exact"/>
        <w:rPr>
          <w:sz w:val="20"/>
          <w:szCs w:val="20"/>
        </w:rPr>
      </w:pPr>
    </w:p>
    <w:p w:rsidR="00CC2C66" w:rsidRDefault="00F80B74">
      <w:pPr>
        <w:numPr>
          <w:ilvl w:val="0"/>
          <w:numId w:val="83"/>
        </w:numPr>
        <w:tabs>
          <w:tab w:val="left" w:pos="680"/>
        </w:tabs>
        <w:ind w:left="680" w:hanging="269"/>
        <w:rPr>
          <w:rFonts w:eastAsia="Times New Roman"/>
          <w:sz w:val="19"/>
          <w:szCs w:val="19"/>
        </w:rPr>
      </w:pPr>
      <w:r>
        <w:rPr>
          <w:rFonts w:eastAsia="Times New Roman"/>
          <w:sz w:val="19"/>
          <w:szCs w:val="19"/>
        </w:rPr>
        <w:t>financial performance as measured by sales and profit growth;</w:t>
      </w:r>
    </w:p>
    <w:p w:rsidR="00CC2C66" w:rsidRDefault="00F80B74">
      <w:pPr>
        <w:numPr>
          <w:ilvl w:val="0"/>
          <w:numId w:val="83"/>
        </w:numPr>
        <w:tabs>
          <w:tab w:val="left" w:pos="708"/>
        </w:tabs>
        <w:spacing w:line="241" w:lineRule="auto"/>
        <w:ind w:left="420" w:hanging="9"/>
        <w:jc w:val="both"/>
        <w:rPr>
          <w:rFonts w:eastAsia="Times New Roman"/>
          <w:sz w:val="19"/>
          <w:szCs w:val="19"/>
        </w:rPr>
      </w:pPr>
      <w:r>
        <w:rPr>
          <w:rFonts w:eastAsia="Times New Roman"/>
          <w:sz w:val="19"/>
          <w:szCs w:val="19"/>
        </w:rPr>
        <w:t xml:space="preserve">ESG; (3) </w:t>
      </w:r>
      <w:r>
        <w:rPr>
          <w:rFonts w:eastAsia="Times New Roman"/>
          <w:sz w:val="19"/>
          <w:szCs w:val="19"/>
        </w:rPr>
        <w:t>accelerating growth of leading brands; (4) growing new business initiatives and (5) building people, culture and organization.</w:t>
      </w:r>
    </w:p>
    <w:p w:rsidR="00CC2C66" w:rsidRDefault="00CC2C66">
      <w:pPr>
        <w:spacing w:line="216" w:lineRule="exact"/>
        <w:rPr>
          <w:sz w:val="20"/>
          <w:szCs w:val="20"/>
        </w:rPr>
      </w:pPr>
    </w:p>
    <w:p w:rsidR="00CC2C66" w:rsidRDefault="00F80B74">
      <w:pPr>
        <w:spacing w:line="253" w:lineRule="auto"/>
        <w:ind w:left="420"/>
        <w:jc w:val="both"/>
        <w:rPr>
          <w:sz w:val="20"/>
          <w:szCs w:val="20"/>
        </w:rPr>
      </w:pPr>
      <w:r>
        <w:rPr>
          <w:rFonts w:eastAsia="Times New Roman"/>
          <w:sz w:val="18"/>
          <w:szCs w:val="18"/>
        </w:rPr>
        <w:t xml:space="preserve">Further, Ms. Wat was recognized for leading the Company’s crisis management team in tackling many challenges arising out of the </w:t>
      </w:r>
      <w:r>
        <w:rPr>
          <w:rFonts w:eastAsia="Times New Roman"/>
          <w:sz w:val="18"/>
          <w:szCs w:val="18"/>
        </w:rPr>
        <w:t>COVID-19 pandemic in 2021 and continuing to execute the Company’s business plan through a disciplined review process. While the COVID-19 pandemic heavily impacted the Company’s business in the second half of 2021, Ms. Wat led the Company in delivering syst</w:t>
      </w:r>
      <w:r>
        <w:rPr>
          <w:rFonts w:eastAsia="Times New Roman"/>
          <w:sz w:val="18"/>
          <w:szCs w:val="18"/>
        </w:rPr>
        <w:t>em sales growth of 10% and achieving delivery sales growth of 20% for KFC and 14% for Pizza Hut. Under Ms. Wat’s leadership, Pizza Hut’s revitalization program, which started in 2017, has significantly improved fundamentals, and Pizza Hut achieved remarkab</w:t>
      </w:r>
      <w:r>
        <w:rPr>
          <w:rFonts w:eastAsia="Times New Roman"/>
          <w:sz w:val="18"/>
          <w:szCs w:val="18"/>
        </w:rPr>
        <w:t>le growth in both sales and profit in 2021. The Company achieved record openings of 1,806 gross new stores with diversified store models and healthy unit economics. Since Ms. Wat’s appointment as CEO in early 2018, the Company’s TSR consistently outperform</w:t>
      </w:r>
      <w:r>
        <w:rPr>
          <w:rFonts w:eastAsia="Times New Roman"/>
          <w:sz w:val="18"/>
          <w:szCs w:val="18"/>
        </w:rPr>
        <w:t xml:space="preserve">ed that of the MSCI China Index. The Compensation Committee also attached importance to Ms. Wat’s management of the Company’s talent base. Under her direction, the Company initiated the building of a digital research and development center in three cities </w:t>
      </w:r>
      <w:r>
        <w:rPr>
          <w:rFonts w:eastAsia="Times New Roman"/>
          <w:sz w:val="18"/>
          <w:szCs w:val="18"/>
        </w:rPr>
        <w:t>to support the multi-year end-to-end digitalization initiative. Ms. Wat also took an active role in guiding the Company’s ESG efforts. The Company’s 2021 ESG achievements included phasing-out disposable plastic cutlery, as well as gradually replacing non-d</w:t>
      </w:r>
      <w:r>
        <w:rPr>
          <w:rFonts w:eastAsia="Times New Roman"/>
          <w:sz w:val="18"/>
          <w:szCs w:val="18"/>
        </w:rPr>
        <w:t>egradable plastic bags with paper or biodegradable plastic bags. Ms. Wat also assembled a</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5" w:lineRule="exact"/>
        <w:rPr>
          <w:sz w:val="20"/>
          <w:szCs w:val="20"/>
        </w:rPr>
      </w:pPr>
    </w:p>
    <w:p w:rsidR="00CC2C66" w:rsidRDefault="00F80B74">
      <w:pPr>
        <w:spacing w:line="247" w:lineRule="auto"/>
        <w:jc w:val="both"/>
        <w:rPr>
          <w:sz w:val="20"/>
          <w:szCs w:val="20"/>
        </w:rPr>
      </w:pPr>
      <w:r>
        <w:rPr>
          <w:rFonts w:eastAsia="Times New Roman"/>
          <w:sz w:val="19"/>
          <w:szCs w:val="19"/>
        </w:rPr>
        <w:t>project team supported by external advisors to develop a long-term greenhouse gas emissions strategy leading to the Company’s announcement of its commitment to se</w:t>
      </w:r>
      <w:r>
        <w:rPr>
          <w:rFonts w:eastAsia="Times New Roman"/>
          <w:sz w:val="19"/>
          <w:szCs w:val="19"/>
        </w:rPr>
        <w:t>tting the Science Based Targets.</w:t>
      </w:r>
    </w:p>
    <w:p w:rsidR="00CC2C66" w:rsidRDefault="00CC2C66">
      <w:pPr>
        <w:spacing w:line="208" w:lineRule="exact"/>
        <w:rPr>
          <w:sz w:val="20"/>
          <w:szCs w:val="20"/>
        </w:rPr>
      </w:pPr>
    </w:p>
    <w:p w:rsidR="00CC2C66" w:rsidRDefault="00F80B74">
      <w:pPr>
        <w:spacing w:line="241" w:lineRule="auto"/>
        <w:jc w:val="both"/>
        <w:rPr>
          <w:sz w:val="20"/>
          <w:szCs w:val="20"/>
        </w:rPr>
      </w:pPr>
      <w:r>
        <w:rPr>
          <w:rFonts w:eastAsia="Times New Roman"/>
          <w:i/>
          <w:iCs/>
          <w:color w:val="CF0A2C"/>
          <w:sz w:val="19"/>
          <w:szCs w:val="19"/>
        </w:rPr>
        <w:t>2021 Compensation Decisions</w:t>
      </w:r>
      <w:r>
        <w:rPr>
          <w:rFonts w:eastAsia="Times New Roman"/>
          <w:i/>
          <w:iCs/>
          <w:color w:val="000000"/>
          <w:sz w:val="19"/>
          <w:szCs w:val="19"/>
        </w:rPr>
        <w:t>.</w:t>
      </w:r>
      <w:r>
        <w:rPr>
          <w:rFonts w:eastAsia="Times New Roman"/>
          <w:i/>
          <w:iCs/>
          <w:color w:val="CF0A2C"/>
          <w:sz w:val="19"/>
          <w:szCs w:val="19"/>
        </w:rPr>
        <w:t xml:space="preserve"> </w:t>
      </w:r>
      <w:r>
        <w:rPr>
          <w:rFonts w:eastAsia="Times New Roman"/>
          <w:color w:val="000000"/>
          <w:sz w:val="19"/>
          <w:szCs w:val="19"/>
        </w:rPr>
        <w:t>Effective February 1, 2021, the</w:t>
      </w:r>
      <w:r>
        <w:rPr>
          <w:rFonts w:eastAsia="Times New Roman"/>
          <w:i/>
          <w:iCs/>
          <w:color w:val="CF0A2C"/>
          <w:sz w:val="19"/>
          <w:szCs w:val="19"/>
        </w:rPr>
        <w:t xml:space="preserve"> </w:t>
      </w:r>
      <w:r>
        <w:rPr>
          <w:rFonts w:eastAsia="Times New Roman"/>
          <w:color w:val="000000"/>
          <w:sz w:val="19"/>
          <w:szCs w:val="19"/>
        </w:rPr>
        <w:t xml:space="preserve">Compensation Committee decided to bring Ms. Wat’s 2021 target compensation levels closer in line with the median of the Company’s compensation peer group, after </w:t>
      </w:r>
      <w:r>
        <w:rPr>
          <w:rFonts w:eastAsia="Times New Roman"/>
          <w:color w:val="000000"/>
          <w:sz w:val="19"/>
          <w:szCs w:val="19"/>
        </w:rPr>
        <w:t>taking into account Ms. Wat’s experience in and knowledge of the China consumer market and global expertise. These decisions positioned Ms. Wat’s total target direct compensation at the 42nd percentile of the Company’s 2021 compensation peer group. After c</w:t>
      </w:r>
      <w:r>
        <w:rPr>
          <w:rFonts w:eastAsia="Times New Roman"/>
          <w:color w:val="000000"/>
          <w:sz w:val="19"/>
          <w:szCs w:val="19"/>
        </w:rPr>
        <w:t>onsidering the advice of its compensation consultant, market practices, and Ms. Wat’s individual performance, the Compensation Committee made the following compensation decisions.</w:t>
      </w:r>
    </w:p>
    <w:p w:rsidR="00CC2C66" w:rsidRDefault="00CC2C66">
      <w:pPr>
        <w:spacing w:line="257" w:lineRule="exact"/>
        <w:rPr>
          <w:sz w:val="20"/>
          <w:szCs w:val="20"/>
        </w:rPr>
      </w:pPr>
    </w:p>
    <w:p w:rsidR="00CC2C66" w:rsidRDefault="00F80B74">
      <w:pPr>
        <w:numPr>
          <w:ilvl w:val="0"/>
          <w:numId w:val="84"/>
        </w:numPr>
        <w:tabs>
          <w:tab w:val="left" w:pos="240"/>
        </w:tabs>
        <w:spacing w:line="269" w:lineRule="auto"/>
        <w:ind w:left="240" w:right="20" w:hanging="181"/>
        <w:rPr>
          <w:rFonts w:eastAsia="Times New Roman"/>
          <w:color w:val="CF0A2C"/>
          <w:sz w:val="19"/>
          <w:szCs w:val="19"/>
        </w:rPr>
      </w:pPr>
      <w:r>
        <w:rPr>
          <w:rFonts w:eastAsia="Times New Roman"/>
          <w:i/>
          <w:iCs/>
          <w:sz w:val="19"/>
          <w:szCs w:val="19"/>
        </w:rPr>
        <w:t>Base Salary</w:t>
      </w:r>
      <w:r>
        <w:rPr>
          <w:rFonts w:eastAsia="Times New Roman"/>
          <w:sz w:val="19"/>
          <w:szCs w:val="19"/>
        </w:rPr>
        <w:t>. Ms. Wat’s base salary was increased from</w:t>
      </w:r>
      <w:r>
        <w:rPr>
          <w:rFonts w:eastAsia="Times New Roman"/>
          <w:i/>
          <w:iCs/>
          <w:sz w:val="19"/>
          <w:szCs w:val="19"/>
        </w:rPr>
        <w:t xml:space="preserve"> </w:t>
      </w:r>
      <w:r>
        <w:rPr>
          <w:rFonts w:eastAsia="Times New Roman"/>
          <w:sz w:val="19"/>
          <w:szCs w:val="19"/>
        </w:rPr>
        <w:t>$1,250,000 to $1,350,</w:t>
      </w:r>
      <w:r>
        <w:rPr>
          <w:rFonts w:eastAsia="Times New Roman"/>
          <w:sz w:val="19"/>
          <w:szCs w:val="19"/>
        </w:rPr>
        <w:t>000, an increase of 8%.</w:t>
      </w:r>
    </w:p>
    <w:p w:rsidR="00CC2C66" w:rsidRDefault="00CC2C66">
      <w:pPr>
        <w:spacing w:line="225" w:lineRule="exact"/>
        <w:rPr>
          <w:rFonts w:eastAsia="Times New Roman"/>
          <w:color w:val="CF0A2C"/>
          <w:sz w:val="19"/>
          <w:szCs w:val="19"/>
        </w:rPr>
      </w:pPr>
    </w:p>
    <w:p w:rsidR="00CC2C66" w:rsidRDefault="00F80B74">
      <w:pPr>
        <w:numPr>
          <w:ilvl w:val="0"/>
          <w:numId w:val="84"/>
        </w:numPr>
        <w:tabs>
          <w:tab w:val="left" w:pos="240"/>
        </w:tabs>
        <w:spacing w:line="243" w:lineRule="auto"/>
        <w:ind w:left="240" w:right="20" w:hanging="181"/>
        <w:jc w:val="both"/>
        <w:rPr>
          <w:rFonts w:eastAsia="Times New Roman"/>
          <w:color w:val="CF0A2C"/>
          <w:sz w:val="19"/>
          <w:szCs w:val="19"/>
        </w:rPr>
      </w:pPr>
      <w:r>
        <w:rPr>
          <w:rFonts w:eastAsia="Times New Roman"/>
          <w:i/>
          <w:iCs/>
          <w:sz w:val="19"/>
          <w:szCs w:val="19"/>
        </w:rPr>
        <w:t>Annual Incentive Plan Target and Payout Level</w:t>
      </w:r>
      <w:r>
        <w:rPr>
          <w:rFonts w:eastAsia="Times New Roman"/>
          <w:sz w:val="19"/>
          <w:szCs w:val="19"/>
        </w:rPr>
        <w:t>. Ms. Wat’s</w:t>
      </w:r>
      <w:r>
        <w:rPr>
          <w:rFonts w:eastAsia="Times New Roman"/>
          <w:i/>
          <w:iCs/>
          <w:sz w:val="19"/>
          <w:szCs w:val="19"/>
        </w:rPr>
        <w:t xml:space="preserve"> </w:t>
      </w:r>
      <w:r>
        <w:rPr>
          <w:rFonts w:eastAsia="Times New Roman"/>
          <w:sz w:val="19"/>
          <w:szCs w:val="19"/>
        </w:rPr>
        <w:t>annual cash bonus target increased from 150% to 200% of her base salary, resulting in a blended bonus target for the year of $2,642,671. Ms. Wat’s 2021 annual cash bonus awar</w:t>
      </w:r>
      <w:r>
        <w:rPr>
          <w:rFonts w:eastAsia="Times New Roman"/>
          <w:sz w:val="19"/>
          <w:szCs w:val="19"/>
        </w:rPr>
        <w:t>d payout was $3,607,246, reflecting a total payout of 137% of target based on the Team Performance Factor of 105% and Individual Performance Factor of 130%.</w:t>
      </w:r>
    </w:p>
    <w:p w:rsidR="00CC2C66" w:rsidRDefault="00CC2C66">
      <w:pPr>
        <w:spacing w:line="253" w:lineRule="exact"/>
        <w:rPr>
          <w:rFonts w:eastAsia="Times New Roman"/>
          <w:color w:val="CF0A2C"/>
          <w:sz w:val="19"/>
          <w:szCs w:val="19"/>
        </w:rPr>
      </w:pPr>
    </w:p>
    <w:p w:rsidR="00CC2C66" w:rsidRDefault="00F80B74">
      <w:pPr>
        <w:numPr>
          <w:ilvl w:val="0"/>
          <w:numId w:val="84"/>
        </w:numPr>
        <w:tabs>
          <w:tab w:val="left" w:pos="240"/>
        </w:tabs>
        <w:spacing w:line="243" w:lineRule="auto"/>
        <w:ind w:left="240" w:right="20" w:hanging="181"/>
        <w:jc w:val="both"/>
        <w:rPr>
          <w:rFonts w:eastAsia="Times New Roman"/>
          <w:color w:val="CF0A2C"/>
          <w:sz w:val="19"/>
          <w:szCs w:val="19"/>
        </w:rPr>
      </w:pPr>
      <w:r>
        <w:rPr>
          <w:rFonts w:eastAsia="Times New Roman"/>
          <w:i/>
          <w:iCs/>
          <w:sz w:val="19"/>
          <w:szCs w:val="19"/>
        </w:rPr>
        <w:t>Long-Term Incentive Award</w:t>
      </w:r>
      <w:r>
        <w:rPr>
          <w:rFonts w:eastAsia="Times New Roman"/>
          <w:sz w:val="19"/>
          <w:szCs w:val="19"/>
        </w:rPr>
        <w:t>. The Compensation Committee</w:t>
      </w:r>
      <w:r>
        <w:rPr>
          <w:rFonts w:eastAsia="Times New Roman"/>
          <w:i/>
          <w:iCs/>
          <w:sz w:val="19"/>
          <w:szCs w:val="19"/>
        </w:rPr>
        <w:t xml:space="preserve"> </w:t>
      </w:r>
      <w:r>
        <w:rPr>
          <w:rFonts w:eastAsia="Times New Roman"/>
          <w:sz w:val="19"/>
          <w:szCs w:val="19"/>
        </w:rPr>
        <w:t>approved an annual long-term incentive award</w:t>
      </w:r>
      <w:r>
        <w:rPr>
          <w:rFonts w:eastAsia="Times New Roman"/>
          <w:sz w:val="19"/>
          <w:szCs w:val="19"/>
        </w:rPr>
        <w:t xml:space="preserve"> of $6,000,000 to Ms. Wat in February 2021, delivered equally in SARs and PSUs, which was increased from an annual long-term incentive award of $5,000,000 in 2020. Consistent with the Company’s usual practice of granting annual LTI awards in February, the </w:t>
      </w:r>
      <w:r>
        <w:rPr>
          <w:rFonts w:eastAsia="Times New Roman"/>
          <w:sz w:val="19"/>
          <w:szCs w:val="19"/>
        </w:rPr>
        <w:t>number of shares subject to the May 2021 portion of Ms. Wat’s</w:t>
      </w:r>
    </w:p>
    <w:p w:rsidR="00CC2C66" w:rsidRDefault="00CC2C66">
      <w:pPr>
        <w:spacing w:line="20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56"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45</w:t>
      </w:r>
    </w:p>
    <w:p w:rsidR="00CC2C66" w:rsidRDefault="00F80B74">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52" w:name="page52"/>
      <w:bookmarkEnd w:id="52"/>
      <w:r>
        <w:rPr>
          <w:rFonts w:eastAsia="Times New Roman"/>
          <w:b/>
          <w:bCs/>
          <w:noProof/>
          <w:color w:val="0000EE"/>
          <w:sz w:val="17"/>
          <w:szCs w:val="17"/>
          <w:u w:val="single"/>
        </w:rPr>
        <w:drawing>
          <wp:anchor distT="0" distB="0" distL="114300" distR="114300" simplePos="0" relativeHeight="25166848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43" w:lineRule="auto"/>
        <w:ind w:left="560"/>
        <w:jc w:val="both"/>
        <w:rPr>
          <w:sz w:val="20"/>
          <w:szCs w:val="20"/>
        </w:rPr>
      </w:pPr>
      <w:r>
        <w:rPr>
          <w:rFonts w:eastAsia="Times New Roman"/>
          <w:sz w:val="19"/>
          <w:szCs w:val="19"/>
        </w:rPr>
        <w:t xml:space="preserve">PSU grant was determined based on the February 2021 stock </w:t>
      </w:r>
      <w:r>
        <w:rPr>
          <w:rFonts w:eastAsia="Times New Roman"/>
          <w:sz w:val="19"/>
          <w:szCs w:val="19"/>
        </w:rPr>
        <w:t>price rather than the stock price on the grant date in May 2021, which resulted in larger grant date fair value of $6,203,901 as compared to the grant level approved in February 2021 due to higher stock price in May 2021. Ms. Wat also received a 2021 Chair</w:t>
      </w:r>
      <w:r>
        <w:rPr>
          <w:rFonts w:eastAsia="Times New Roman"/>
          <w:sz w:val="19"/>
          <w:szCs w:val="19"/>
        </w:rPr>
        <w:t>man</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spacing w:line="247" w:lineRule="auto"/>
        <w:jc w:val="both"/>
        <w:rPr>
          <w:sz w:val="20"/>
          <w:szCs w:val="20"/>
        </w:rPr>
      </w:pPr>
      <w:r>
        <w:rPr>
          <w:rFonts w:eastAsia="Times New Roman"/>
          <w:sz w:val="19"/>
          <w:szCs w:val="19"/>
        </w:rPr>
        <w:t>Grant with a grant date fair value of $2,500,000. Inclusive of the Chairman Grant, target total direct compensation awarded in 2021 was positioned at the 56th percentile of the Company’s 2021 compensation peer group.</w:t>
      </w:r>
    </w:p>
    <w:p w:rsidR="00CC2C66" w:rsidRDefault="00CC2C66">
      <w:pPr>
        <w:spacing w:line="627" w:lineRule="exact"/>
        <w:rPr>
          <w:sz w:val="20"/>
          <w:szCs w:val="20"/>
        </w:rPr>
      </w:pPr>
    </w:p>
    <w:p w:rsidR="00CC2C66" w:rsidRDefault="00CC2C66">
      <w:pPr>
        <w:sectPr w:rsidR="00CC2C66">
          <w:pgSz w:w="11900" w:h="16838"/>
          <w:pgMar w:top="439" w:right="759" w:bottom="1440" w:left="320" w:header="0" w:footer="0" w:gutter="0"/>
          <w:cols w:num="2" w:space="720" w:equalWidth="0">
            <w:col w:w="5400" w:space="520"/>
            <w:col w:w="4900"/>
          </w:cols>
        </w:sectPr>
      </w:pPr>
    </w:p>
    <w:p w:rsidR="00CC2C66" w:rsidRDefault="00CC2C66">
      <w:pPr>
        <w:spacing w:line="206" w:lineRule="exact"/>
        <w:rPr>
          <w:sz w:val="20"/>
          <w:szCs w:val="20"/>
        </w:rPr>
      </w:pPr>
    </w:p>
    <w:p w:rsidR="00CC2C66" w:rsidRDefault="00F80B74">
      <w:pPr>
        <w:ind w:left="460"/>
        <w:rPr>
          <w:sz w:val="20"/>
          <w:szCs w:val="20"/>
        </w:rPr>
      </w:pPr>
      <w:r>
        <w:rPr>
          <w:rFonts w:eastAsia="Times New Roman"/>
          <w:b/>
          <w:bCs/>
          <w:color w:val="CF0A2C"/>
          <w:sz w:val="19"/>
          <w:szCs w:val="19"/>
        </w:rPr>
        <w:t>Andy Yeung</w:t>
      </w:r>
    </w:p>
    <w:p w:rsidR="00CC2C66" w:rsidRDefault="00F80B74">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260985</wp:posOffset>
            </wp:positionH>
            <wp:positionV relativeFrom="paragraph">
              <wp:posOffset>-130175</wp:posOffset>
            </wp:positionV>
            <wp:extent cx="6620510" cy="34861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
                      <a:extLst/>
                    </a:blip>
                    <a:srcRect/>
                    <a:stretch>
                      <a:fillRect/>
                    </a:stretch>
                  </pic:blipFill>
                  <pic:spPr bwMode="auto">
                    <a:xfrm>
                      <a:off x="0" y="0"/>
                      <a:ext cx="6620510" cy="348615"/>
                    </a:xfrm>
                    <a:prstGeom prst="rect">
                      <a:avLst/>
                    </a:prstGeom>
                    <a:noFill/>
                  </pic:spPr>
                </pic:pic>
              </a:graphicData>
            </a:graphic>
          </wp:anchor>
        </w:drawing>
      </w:r>
    </w:p>
    <w:p w:rsidR="00CC2C66" w:rsidRDefault="00CC2C66">
      <w:pPr>
        <w:spacing w:line="3" w:lineRule="exact"/>
        <w:rPr>
          <w:sz w:val="20"/>
          <w:szCs w:val="20"/>
        </w:rPr>
      </w:pPr>
    </w:p>
    <w:p w:rsidR="00CC2C66" w:rsidRDefault="00F80B74">
      <w:pPr>
        <w:ind w:left="460"/>
        <w:rPr>
          <w:sz w:val="20"/>
          <w:szCs w:val="20"/>
        </w:rPr>
      </w:pPr>
      <w:r>
        <w:rPr>
          <w:rFonts w:eastAsia="Times New Roman"/>
          <w:i/>
          <w:iCs/>
          <w:sz w:val="18"/>
          <w:szCs w:val="18"/>
        </w:rPr>
        <w:t>Chief Financial Officer</w:t>
      </w:r>
    </w:p>
    <w:p w:rsidR="00CC2C66" w:rsidRDefault="00CC2C66">
      <w:pPr>
        <w:sectPr w:rsidR="00CC2C66">
          <w:type w:val="continuous"/>
          <w:pgSz w:w="11900" w:h="16838"/>
          <w:pgMar w:top="439" w:right="759" w:bottom="1440" w:left="320" w:header="0" w:footer="0" w:gutter="0"/>
          <w:cols w:space="720" w:equalWidth="0">
            <w:col w:w="10820"/>
          </w:cols>
        </w:sectPr>
      </w:pPr>
    </w:p>
    <w:p w:rsidR="00CC2C66" w:rsidRDefault="00CC2C66">
      <w:pPr>
        <w:spacing w:line="200" w:lineRule="exact"/>
        <w:rPr>
          <w:sz w:val="20"/>
          <w:szCs w:val="20"/>
        </w:rPr>
      </w:pPr>
    </w:p>
    <w:p w:rsidR="00CC2C66" w:rsidRDefault="00CC2C66">
      <w:pPr>
        <w:spacing w:line="221" w:lineRule="exact"/>
        <w:rPr>
          <w:sz w:val="20"/>
          <w:szCs w:val="20"/>
        </w:rPr>
      </w:pPr>
    </w:p>
    <w:p w:rsidR="00CC2C66" w:rsidRDefault="00F80B74">
      <w:pPr>
        <w:spacing w:line="254" w:lineRule="auto"/>
        <w:ind w:left="420"/>
        <w:jc w:val="both"/>
        <w:rPr>
          <w:sz w:val="20"/>
          <w:szCs w:val="20"/>
        </w:rPr>
      </w:pPr>
      <w:r>
        <w:rPr>
          <w:rFonts w:eastAsia="Times New Roman"/>
          <w:i/>
          <w:iCs/>
          <w:color w:val="CF0A2C"/>
          <w:sz w:val="18"/>
          <w:szCs w:val="18"/>
        </w:rPr>
        <w:t xml:space="preserve">2021 Performance Summary. </w:t>
      </w:r>
      <w:r>
        <w:rPr>
          <w:rFonts w:eastAsia="Times New Roman"/>
          <w:color w:val="000000"/>
          <w:sz w:val="18"/>
          <w:szCs w:val="18"/>
        </w:rPr>
        <w:t>The Compensation Committee</w:t>
      </w:r>
      <w:r>
        <w:rPr>
          <w:rFonts w:eastAsia="Times New Roman"/>
          <w:i/>
          <w:iCs/>
          <w:color w:val="CF0A2C"/>
          <w:sz w:val="18"/>
          <w:szCs w:val="18"/>
        </w:rPr>
        <w:t xml:space="preserve"> </w:t>
      </w:r>
      <w:r>
        <w:rPr>
          <w:rFonts w:eastAsia="Times New Roman"/>
          <w:color w:val="000000"/>
          <w:sz w:val="18"/>
          <w:szCs w:val="18"/>
        </w:rPr>
        <w:t xml:space="preserve">determined Mr. Yeung’s performance to be above target with an Individual Performance Factor of 125%. Mr. Yeung was recognized for driving </w:t>
      </w:r>
      <w:r>
        <w:rPr>
          <w:rFonts w:eastAsia="Times New Roman"/>
          <w:color w:val="000000"/>
          <w:sz w:val="18"/>
          <w:szCs w:val="18"/>
        </w:rPr>
        <w:t>disciplined financial planning and vigorous cost management measures, achieving a year-over-year increase in Operating Profit despite the significant impact due to the resurgence of COVID-19 in the second half of 2021. He also led the development of the Co</w:t>
      </w:r>
      <w:r>
        <w:rPr>
          <w:rFonts w:eastAsia="Times New Roman"/>
          <w:color w:val="000000"/>
          <w:sz w:val="18"/>
          <w:szCs w:val="18"/>
        </w:rPr>
        <w:t>mpany’s multi-year capital allocation strategy. With the Company becoming newly listed on the Hong Kong Stock Exchange in September 2020, he led the efforts for the Company’s compliance with the rules of the SEC and Hong Kong Stock Exchange. Mr. Yeung play</w:t>
      </w:r>
      <w:r>
        <w:rPr>
          <w:rFonts w:eastAsia="Times New Roman"/>
          <w:color w:val="000000"/>
          <w:sz w:val="18"/>
          <w:szCs w:val="18"/>
        </w:rPr>
        <w:t>ed an active role in ESG, including the Company’s strategy and roadmap relating to setting Science Based Targets. For new growth initiatives, Mr. Yeung was instrumental in formulating the long-term joint venture agreement with Lavazza Group. He also devise</w:t>
      </w:r>
      <w:r>
        <w:rPr>
          <w:rFonts w:eastAsia="Times New Roman"/>
          <w:color w:val="000000"/>
          <w:sz w:val="18"/>
          <w:szCs w:val="18"/>
        </w:rPr>
        <w:t>d and implemented robust monthly financial reviews on all new growth initiatives, including the Lavazza Joint Venture, to complement the leadership team’s comprehensive business reviews on these growth initiatives and support disciplined, accelerated growt</w:t>
      </w:r>
      <w:r>
        <w:rPr>
          <w:rFonts w:eastAsia="Times New Roman"/>
          <w:color w:val="000000"/>
          <w:sz w:val="18"/>
          <w:szCs w:val="18"/>
        </w:rPr>
        <w:t>h.</w:t>
      </w:r>
    </w:p>
    <w:p w:rsidR="00CC2C66" w:rsidRDefault="00CC2C66">
      <w:pPr>
        <w:spacing w:line="206" w:lineRule="exact"/>
        <w:rPr>
          <w:sz w:val="20"/>
          <w:szCs w:val="20"/>
        </w:rPr>
      </w:pPr>
    </w:p>
    <w:p w:rsidR="00CC2C66" w:rsidRDefault="00F80B74">
      <w:pPr>
        <w:spacing w:line="243" w:lineRule="auto"/>
        <w:ind w:left="420"/>
        <w:jc w:val="both"/>
        <w:rPr>
          <w:sz w:val="20"/>
          <w:szCs w:val="20"/>
        </w:rPr>
      </w:pPr>
      <w:r>
        <w:rPr>
          <w:rFonts w:eastAsia="Times New Roman"/>
          <w:i/>
          <w:iCs/>
          <w:color w:val="CF0A2C"/>
          <w:sz w:val="19"/>
          <w:szCs w:val="19"/>
        </w:rPr>
        <w:t xml:space="preserve">2021 Compensation Decisions. </w:t>
      </w:r>
      <w:r>
        <w:rPr>
          <w:rFonts w:eastAsia="Times New Roman"/>
          <w:color w:val="000000"/>
          <w:sz w:val="19"/>
          <w:szCs w:val="19"/>
        </w:rPr>
        <w:t>Effective February 1, 2021, the</w:t>
      </w:r>
      <w:r>
        <w:rPr>
          <w:rFonts w:eastAsia="Times New Roman"/>
          <w:i/>
          <w:iCs/>
          <w:color w:val="CF0A2C"/>
          <w:sz w:val="19"/>
          <w:szCs w:val="19"/>
        </w:rPr>
        <w:t xml:space="preserve"> </w:t>
      </w:r>
      <w:r>
        <w:rPr>
          <w:rFonts w:eastAsia="Times New Roman"/>
          <w:color w:val="000000"/>
          <w:sz w:val="19"/>
          <w:szCs w:val="19"/>
        </w:rPr>
        <w:t>Compensation Committee set Mr. Yeung’s 2021 compensation levels after considering the advice of its compensation consultant, market practices and Mr. Yeung’s individual performance. Specifica</w:t>
      </w:r>
      <w:r>
        <w:rPr>
          <w:rFonts w:eastAsia="Times New Roman"/>
          <w:color w:val="000000"/>
          <w:sz w:val="19"/>
          <w:szCs w:val="19"/>
        </w:rPr>
        <w:t>lly, the compensation adjustments for Mr. Yeung were made to bring the components of his annual target total direct compensation closer in line with that of the median of the compensation peer group.</w:t>
      </w:r>
    </w:p>
    <w:p w:rsidR="00CC2C66" w:rsidRDefault="00CC2C66">
      <w:pPr>
        <w:spacing w:line="369" w:lineRule="exact"/>
        <w:rPr>
          <w:sz w:val="20"/>
          <w:szCs w:val="20"/>
        </w:rPr>
      </w:pPr>
    </w:p>
    <w:p w:rsidR="00CC2C66" w:rsidRDefault="00F80B74">
      <w:pPr>
        <w:numPr>
          <w:ilvl w:val="0"/>
          <w:numId w:val="85"/>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1" w:lineRule="exact"/>
        <w:rPr>
          <w:sz w:val="20"/>
          <w:szCs w:val="20"/>
        </w:rPr>
      </w:pPr>
    </w:p>
    <w:p w:rsidR="00CC2C66" w:rsidRDefault="00F80B74">
      <w:pPr>
        <w:numPr>
          <w:ilvl w:val="0"/>
          <w:numId w:val="86"/>
        </w:numPr>
        <w:tabs>
          <w:tab w:val="left" w:pos="181"/>
        </w:tabs>
        <w:spacing w:line="269" w:lineRule="auto"/>
        <w:ind w:left="181" w:hanging="181"/>
        <w:rPr>
          <w:rFonts w:eastAsia="Times New Roman"/>
          <w:color w:val="CF0A2C"/>
          <w:sz w:val="19"/>
          <w:szCs w:val="19"/>
        </w:rPr>
      </w:pPr>
      <w:r>
        <w:rPr>
          <w:rFonts w:eastAsia="Times New Roman"/>
          <w:i/>
          <w:iCs/>
          <w:sz w:val="19"/>
          <w:szCs w:val="19"/>
        </w:rPr>
        <w:t>Base Salary</w:t>
      </w:r>
      <w:r>
        <w:rPr>
          <w:rFonts w:eastAsia="Times New Roman"/>
          <w:sz w:val="19"/>
          <w:szCs w:val="19"/>
        </w:rPr>
        <w:t xml:space="preserve">. Mr. </w:t>
      </w:r>
      <w:r>
        <w:rPr>
          <w:rFonts w:eastAsia="Times New Roman"/>
          <w:sz w:val="19"/>
          <w:szCs w:val="19"/>
        </w:rPr>
        <w:t>Yeung’s base salary was increased from</w:t>
      </w:r>
      <w:r>
        <w:rPr>
          <w:rFonts w:eastAsia="Times New Roman"/>
          <w:i/>
          <w:iCs/>
          <w:sz w:val="19"/>
          <w:szCs w:val="19"/>
        </w:rPr>
        <w:t xml:space="preserve"> </w:t>
      </w:r>
      <w:r>
        <w:rPr>
          <w:rFonts w:eastAsia="Times New Roman"/>
          <w:sz w:val="19"/>
          <w:szCs w:val="19"/>
        </w:rPr>
        <w:t>$700,000 to $800,000.</w:t>
      </w:r>
    </w:p>
    <w:p w:rsidR="00CC2C66" w:rsidRDefault="00CC2C66">
      <w:pPr>
        <w:spacing w:line="225" w:lineRule="exact"/>
        <w:rPr>
          <w:rFonts w:eastAsia="Times New Roman"/>
          <w:color w:val="CF0A2C"/>
          <w:sz w:val="19"/>
          <w:szCs w:val="19"/>
        </w:rPr>
      </w:pPr>
    </w:p>
    <w:p w:rsidR="00CC2C66" w:rsidRDefault="00F80B74">
      <w:pPr>
        <w:numPr>
          <w:ilvl w:val="0"/>
          <w:numId w:val="86"/>
        </w:numPr>
        <w:tabs>
          <w:tab w:val="left" w:pos="181"/>
        </w:tabs>
        <w:spacing w:line="243" w:lineRule="auto"/>
        <w:ind w:left="181" w:hanging="181"/>
        <w:jc w:val="both"/>
        <w:rPr>
          <w:rFonts w:eastAsia="Times New Roman"/>
          <w:color w:val="CF0A2C"/>
          <w:sz w:val="19"/>
          <w:szCs w:val="19"/>
        </w:rPr>
      </w:pPr>
      <w:r>
        <w:rPr>
          <w:rFonts w:eastAsia="Times New Roman"/>
          <w:i/>
          <w:iCs/>
          <w:sz w:val="19"/>
          <w:szCs w:val="19"/>
        </w:rPr>
        <w:t>Annual Incentive Plan Target and Payout Level</w:t>
      </w:r>
      <w:r>
        <w:rPr>
          <w:rFonts w:eastAsia="Times New Roman"/>
          <w:sz w:val="19"/>
          <w:szCs w:val="19"/>
        </w:rPr>
        <w:t>. Mr. Yeung’s</w:t>
      </w:r>
      <w:r>
        <w:rPr>
          <w:rFonts w:eastAsia="Times New Roman"/>
          <w:i/>
          <w:iCs/>
          <w:sz w:val="19"/>
          <w:szCs w:val="19"/>
        </w:rPr>
        <w:t xml:space="preserve"> </w:t>
      </w:r>
      <w:r>
        <w:rPr>
          <w:rFonts w:eastAsia="Times New Roman"/>
          <w:sz w:val="19"/>
          <w:szCs w:val="19"/>
        </w:rPr>
        <w:t>annual cash bonus target increased from 80% to 100% of his base salary, resulting in a blended bonus target for the year of $786,411. M</w:t>
      </w:r>
      <w:r>
        <w:rPr>
          <w:rFonts w:eastAsia="Times New Roman"/>
          <w:sz w:val="19"/>
          <w:szCs w:val="19"/>
        </w:rPr>
        <w:t>r. Yeung’s 2021 annual cash bonus award payout was $ 1,032,164, reflecting a total payout of 131% of target based on the Team Performance Factor of 105% and Individual Performance Factor of 125%.</w:t>
      </w:r>
    </w:p>
    <w:p w:rsidR="00CC2C66" w:rsidRDefault="00CC2C66">
      <w:pPr>
        <w:spacing w:line="253" w:lineRule="exact"/>
        <w:rPr>
          <w:rFonts w:eastAsia="Times New Roman"/>
          <w:color w:val="CF0A2C"/>
          <w:sz w:val="19"/>
          <w:szCs w:val="19"/>
        </w:rPr>
      </w:pPr>
    </w:p>
    <w:p w:rsidR="00CC2C66" w:rsidRDefault="00F80B74">
      <w:pPr>
        <w:numPr>
          <w:ilvl w:val="0"/>
          <w:numId w:val="86"/>
        </w:numPr>
        <w:tabs>
          <w:tab w:val="left" w:pos="181"/>
        </w:tabs>
        <w:spacing w:line="245" w:lineRule="auto"/>
        <w:ind w:left="181" w:hanging="181"/>
        <w:jc w:val="both"/>
        <w:rPr>
          <w:rFonts w:eastAsia="Times New Roman"/>
          <w:color w:val="CF0A2C"/>
          <w:sz w:val="19"/>
          <w:szCs w:val="19"/>
        </w:rPr>
      </w:pPr>
      <w:r>
        <w:rPr>
          <w:rFonts w:eastAsia="Times New Roman"/>
          <w:i/>
          <w:iCs/>
          <w:sz w:val="19"/>
          <w:szCs w:val="19"/>
        </w:rPr>
        <w:t>Long-Term Incentive Award</w:t>
      </w:r>
      <w:r>
        <w:rPr>
          <w:rFonts w:eastAsia="Times New Roman"/>
          <w:sz w:val="19"/>
          <w:szCs w:val="19"/>
        </w:rPr>
        <w:t>. The Compensation Committee</w:t>
      </w:r>
      <w:r>
        <w:rPr>
          <w:rFonts w:eastAsia="Times New Roman"/>
          <w:i/>
          <w:iCs/>
          <w:sz w:val="19"/>
          <w:szCs w:val="19"/>
        </w:rPr>
        <w:t xml:space="preserve"> </w:t>
      </w:r>
      <w:r>
        <w:rPr>
          <w:rFonts w:eastAsia="Times New Roman"/>
          <w:sz w:val="19"/>
          <w:szCs w:val="19"/>
        </w:rPr>
        <w:t>appro</w:t>
      </w:r>
      <w:r>
        <w:rPr>
          <w:rFonts w:eastAsia="Times New Roman"/>
          <w:sz w:val="19"/>
          <w:szCs w:val="19"/>
        </w:rPr>
        <w:t>ved an annual long-term incentive award of $1,500,000 to Mr. Yeung in February 2021, delivered equally in SARs and PSUs, which was increased from an annual long-term incentive</w:t>
      </w:r>
    </w:p>
    <w:p w:rsidR="00CC2C66" w:rsidRDefault="00CC2C66">
      <w:pPr>
        <w:spacing w:line="1" w:lineRule="exact"/>
        <w:rPr>
          <w:sz w:val="20"/>
          <w:szCs w:val="20"/>
        </w:rPr>
      </w:pPr>
    </w:p>
    <w:p w:rsidR="00CC2C66" w:rsidRDefault="00F80B74">
      <w:pPr>
        <w:spacing w:line="253" w:lineRule="auto"/>
        <w:ind w:left="181"/>
        <w:jc w:val="both"/>
        <w:rPr>
          <w:sz w:val="20"/>
          <w:szCs w:val="20"/>
        </w:rPr>
      </w:pPr>
      <w:r>
        <w:rPr>
          <w:rFonts w:eastAsia="Times New Roman"/>
          <w:sz w:val="18"/>
          <w:szCs w:val="18"/>
        </w:rPr>
        <w:t>award of $1,200,000 in 2020, which positioned Mr. Yeung’s annual target total d</w:t>
      </w:r>
      <w:r>
        <w:rPr>
          <w:rFonts w:eastAsia="Times New Roman"/>
          <w:sz w:val="18"/>
          <w:szCs w:val="18"/>
        </w:rPr>
        <w:t>irect compensation at the 41st percentile of the compensation peer group. Consistent with the Company’s usual practice of granting annual LTI awards in February, the number of shares subject to the May 2021 portion of Mr. Yeung’s PSU grant was determined b</w:t>
      </w:r>
      <w:r>
        <w:rPr>
          <w:rFonts w:eastAsia="Times New Roman"/>
          <w:sz w:val="18"/>
          <w:szCs w:val="18"/>
        </w:rPr>
        <w:t>ased on the February 2021 stock price rather than the stock price on the grant date in May 2021, which resulted in larger grant date fair value of $1,551,056 as compared to the grant level approved in February 2021 due to higher stock price in May 2021. Mr</w:t>
      </w:r>
      <w:r>
        <w:rPr>
          <w:rFonts w:eastAsia="Times New Roman"/>
          <w:sz w:val="18"/>
          <w:szCs w:val="18"/>
        </w:rPr>
        <w:t>. Yeung also received a 2021 Chairman Grant with a grant date fair value of $1,600,000. Inclusive of the Chairman Grant, target total direct compensation awarded in 2021 was positioned between the median and the upper quartile of the compensation peer grou</w:t>
      </w:r>
      <w:r>
        <w:rPr>
          <w:rFonts w:eastAsia="Times New Roman"/>
          <w:sz w:val="18"/>
          <w:szCs w:val="18"/>
        </w:rPr>
        <w:t>p.</w:t>
      </w:r>
    </w:p>
    <w:p w:rsidR="00CC2C66" w:rsidRDefault="00CC2C66">
      <w:pPr>
        <w:sectPr w:rsidR="00CC2C66">
          <w:type w:val="continuous"/>
          <w:pgSz w:w="11900" w:h="16838"/>
          <w:pgMar w:top="439" w:right="759" w:bottom="1440" w:left="320" w:header="0" w:footer="0" w:gutter="0"/>
          <w:cols w:num="2" w:space="720" w:equalWidth="0">
            <w:col w:w="5420" w:space="359"/>
            <w:col w:w="5041"/>
          </w:cols>
        </w:sectPr>
      </w:pPr>
    </w:p>
    <w:p w:rsidR="00CC2C66" w:rsidRDefault="00F80B74">
      <w:pPr>
        <w:rPr>
          <w:sz w:val="20"/>
          <w:szCs w:val="20"/>
        </w:rPr>
      </w:pPr>
      <w:bookmarkStart w:id="53" w:name="page53"/>
      <w:bookmarkEnd w:id="53"/>
      <w:r>
        <w:rPr>
          <w:rFonts w:eastAsia="Times New Roman"/>
          <w:b/>
          <w:bCs/>
          <w:noProof/>
          <w:color w:val="0000EE"/>
          <w:sz w:val="17"/>
          <w:szCs w:val="17"/>
          <w:u w:val="single"/>
        </w:rPr>
        <w:drawing>
          <wp:anchor distT="0" distB="0" distL="114300" distR="114300" simplePos="0" relativeHeight="25167257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right="160"/>
        <w:jc w:val="right"/>
        <w:rPr>
          <w:sz w:val="20"/>
          <w:szCs w:val="20"/>
        </w:rPr>
      </w:pPr>
      <w:r>
        <w:rPr>
          <w:rFonts w:ascii="Arial" w:eastAsia="Arial" w:hAnsi="Arial" w:cs="Arial"/>
          <w:b/>
          <w:bCs/>
          <w:color w:val="FFFFFF"/>
          <w:sz w:val="15"/>
          <w:szCs w:val="15"/>
        </w:rPr>
        <w:t>EXECUTIVE COMPENSATION</w:t>
      </w:r>
    </w:p>
    <w:p w:rsidR="00CC2C66" w:rsidRDefault="00CC2C66">
      <w:pPr>
        <w:spacing w:line="200" w:lineRule="exact"/>
        <w:rPr>
          <w:sz w:val="20"/>
          <w:szCs w:val="20"/>
        </w:rPr>
      </w:pPr>
    </w:p>
    <w:p w:rsidR="00CC2C66" w:rsidRDefault="00F80B74">
      <w:pPr>
        <w:ind w:left="460"/>
        <w:rPr>
          <w:sz w:val="20"/>
          <w:szCs w:val="20"/>
        </w:rPr>
      </w:pPr>
      <w:r>
        <w:rPr>
          <w:rFonts w:eastAsia="Times New Roman"/>
          <w:b/>
          <w:bCs/>
          <w:color w:val="CF0A2C"/>
          <w:sz w:val="19"/>
          <w:szCs w:val="19"/>
        </w:rPr>
        <w:t>Joseph Chan</w:t>
      </w:r>
    </w:p>
    <w:p w:rsidR="00CC2C66" w:rsidRDefault="00F80B74">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260985</wp:posOffset>
            </wp:positionH>
            <wp:positionV relativeFrom="paragraph">
              <wp:posOffset>-130175</wp:posOffset>
            </wp:positionV>
            <wp:extent cx="6620510" cy="34861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a:extLst/>
                    </a:blip>
                    <a:srcRect/>
                    <a:stretch>
                      <a:fillRect/>
                    </a:stretch>
                  </pic:blipFill>
                  <pic:spPr bwMode="auto">
                    <a:xfrm>
                      <a:off x="0" y="0"/>
                      <a:ext cx="6620510" cy="348615"/>
                    </a:xfrm>
                    <a:prstGeom prst="rect">
                      <a:avLst/>
                    </a:prstGeom>
                    <a:noFill/>
                  </pic:spPr>
                </pic:pic>
              </a:graphicData>
            </a:graphic>
          </wp:anchor>
        </w:drawing>
      </w:r>
    </w:p>
    <w:p w:rsidR="00CC2C66" w:rsidRDefault="00CC2C66">
      <w:pPr>
        <w:spacing w:line="3" w:lineRule="exact"/>
        <w:rPr>
          <w:sz w:val="20"/>
          <w:szCs w:val="20"/>
        </w:rPr>
      </w:pPr>
    </w:p>
    <w:p w:rsidR="00CC2C66" w:rsidRDefault="00F80B74">
      <w:pPr>
        <w:ind w:left="460"/>
        <w:rPr>
          <w:sz w:val="20"/>
          <w:szCs w:val="20"/>
        </w:rPr>
      </w:pPr>
      <w:r>
        <w:rPr>
          <w:rFonts w:eastAsia="Times New Roman"/>
          <w:i/>
          <w:iCs/>
          <w:sz w:val="19"/>
          <w:szCs w:val="19"/>
        </w:rPr>
        <w:t>Chief Legal Officer</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9" w:lineRule="exact"/>
        <w:rPr>
          <w:sz w:val="20"/>
          <w:szCs w:val="20"/>
        </w:rPr>
      </w:pPr>
    </w:p>
    <w:p w:rsidR="00CC2C66" w:rsidRDefault="00F80B74">
      <w:pPr>
        <w:spacing w:line="254" w:lineRule="auto"/>
        <w:ind w:left="420"/>
        <w:jc w:val="both"/>
        <w:rPr>
          <w:sz w:val="20"/>
          <w:szCs w:val="20"/>
        </w:rPr>
      </w:pPr>
      <w:r>
        <w:rPr>
          <w:rFonts w:eastAsia="Times New Roman"/>
          <w:i/>
          <w:iCs/>
          <w:color w:val="CF0A2C"/>
          <w:sz w:val="18"/>
          <w:szCs w:val="18"/>
        </w:rPr>
        <w:t xml:space="preserve">2021 Performance Summary. </w:t>
      </w:r>
      <w:r>
        <w:rPr>
          <w:rFonts w:eastAsia="Times New Roman"/>
          <w:color w:val="000000"/>
          <w:sz w:val="18"/>
          <w:szCs w:val="18"/>
        </w:rPr>
        <w:t>The Compensation Committee</w:t>
      </w:r>
      <w:r>
        <w:rPr>
          <w:rFonts w:eastAsia="Times New Roman"/>
          <w:i/>
          <w:iCs/>
          <w:color w:val="CF0A2C"/>
          <w:sz w:val="18"/>
          <w:szCs w:val="18"/>
        </w:rPr>
        <w:t xml:space="preserve"> </w:t>
      </w:r>
      <w:r>
        <w:rPr>
          <w:rFonts w:eastAsia="Times New Roman"/>
          <w:color w:val="000000"/>
          <w:sz w:val="18"/>
          <w:szCs w:val="18"/>
        </w:rPr>
        <w:t xml:space="preserve">determined Mr. Chan’s performance to be above target with an </w:t>
      </w:r>
      <w:r>
        <w:rPr>
          <w:rFonts w:eastAsia="Times New Roman"/>
          <w:color w:val="000000"/>
          <w:sz w:val="18"/>
          <w:szCs w:val="18"/>
        </w:rPr>
        <w:t>Individual Performance Factor of 125%. Mr. Chan also contributed significantly to the building and updating of the Company’s compliance and governance framework especially following its secondary listing on the Hong Kong Stock Exchange in September 2020. M</w:t>
      </w:r>
      <w:r>
        <w:rPr>
          <w:rFonts w:eastAsia="Times New Roman"/>
          <w:color w:val="000000"/>
          <w:sz w:val="18"/>
          <w:szCs w:val="18"/>
        </w:rPr>
        <w:t>r. Chan also played an instrumental role in supporting the execution of strategic investments including transaction structuring, due diligence, definitive agreement drafting and negotiation and regulatory approvals. Mr. Chan also further enhanced the Compa</w:t>
      </w:r>
      <w:r>
        <w:rPr>
          <w:rFonts w:eastAsia="Times New Roman"/>
          <w:color w:val="000000"/>
          <w:sz w:val="18"/>
          <w:szCs w:val="18"/>
        </w:rPr>
        <w:t xml:space="preserve">ny’s capability to manage and mitigate emerging risks such as cybersecurity and intellectual property protection. Mr. Chan was recognized for serving as a core member of the Company’s Sustainability Committee to lead and guide the Company’s sustainability </w:t>
      </w:r>
      <w:r>
        <w:rPr>
          <w:rFonts w:eastAsia="Times New Roman"/>
          <w:color w:val="000000"/>
          <w:sz w:val="18"/>
          <w:szCs w:val="18"/>
        </w:rPr>
        <w:t>disclosures to follow evolving regulatory requirements and market practices. He made significant contributions in the ESG strategy and roadmap formulation, including the Company’s commitment to setting Science Based Targets.</w:t>
      </w:r>
    </w:p>
    <w:p w:rsidR="00CC2C66" w:rsidRDefault="00CC2C66">
      <w:pPr>
        <w:spacing w:line="200" w:lineRule="exact"/>
        <w:rPr>
          <w:sz w:val="20"/>
          <w:szCs w:val="20"/>
        </w:rPr>
      </w:pPr>
    </w:p>
    <w:p w:rsidR="00CC2C66" w:rsidRDefault="00CC2C66">
      <w:pPr>
        <w:spacing w:line="227" w:lineRule="exact"/>
        <w:rPr>
          <w:sz w:val="20"/>
          <w:szCs w:val="20"/>
        </w:rPr>
      </w:pPr>
    </w:p>
    <w:p w:rsidR="00CC2C66" w:rsidRDefault="00F80B74">
      <w:pPr>
        <w:spacing w:line="267" w:lineRule="auto"/>
        <w:ind w:left="420"/>
        <w:jc w:val="both"/>
        <w:rPr>
          <w:sz w:val="20"/>
          <w:szCs w:val="20"/>
        </w:rPr>
      </w:pPr>
      <w:r>
        <w:rPr>
          <w:rFonts w:eastAsia="Times New Roman"/>
          <w:i/>
          <w:iCs/>
          <w:color w:val="CF0A2C"/>
          <w:sz w:val="18"/>
          <w:szCs w:val="18"/>
        </w:rPr>
        <w:t xml:space="preserve">2021 Compensation Decisions. </w:t>
      </w:r>
      <w:r>
        <w:rPr>
          <w:rFonts w:eastAsia="Times New Roman"/>
          <w:color w:val="000000"/>
          <w:sz w:val="18"/>
          <w:szCs w:val="18"/>
        </w:rPr>
        <w:t>Effective February 1, 2021, the</w:t>
      </w:r>
      <w:r>
        <w:rPr>
          <w:rFonts w:eastAsia="Times New Roman"/>
          <w:i/>
          <w:iCs/>
          <w:color w:val="CF0A2C"/>
          <w:sz w:val="18"/>
          <w:szCs w:val="18"/>
        </w:rPr>
        <w:t xml:space="preserve"> </w:t>
      </w:r>
      <w:r>
        <w:rPr>
          <w:rFonts w:eastAsia="Times New Roman"/>
          <w:color w:val="000000"/>
          <w:sz w:val="18"/>
          <w:szCs w:val="18"/>
        </w:rPr>
        <w:t>Compensation Committee set Mr. Chan’s 2021 compensation levels after considering the advice of its compensation consultant, market practices and Mr. Chan’s individual performance.</w:t>
      </w:r>
    </w:p>
    <w:p w:rsidR="00CC2C66" w:rsidRDefault="00F80B74">
      <w:pPr>
        <w:spacing w:line="20" w:lineRule="exact"/>
        <w:rPr>
          <w:sz w:val="20"/>
          <w:szCs w:val="20"/>
        </w:rPr>
      </w:pPr>
      <w:r>
        <w:rPr>
          <w:sz w:val="20"/>
          <w:szCs w:val="20"/>
        </w:rPr>
        <w:br w:type="column"/>
      </w:r>
    </w:p>
    <w:p w:rsidR="00CC2C66" w:rsidRDefault="00CC2C66">
      <w:pPr>
        <w:spacing w:line="389" w:lineRule="exact"/>
        <w:rPr>
          <w:sz w:val="20"/>
          <w:szCs w:val="20"/>
        </w:rPr>
      </w:pPr>
    </w:p>
    <w:p w:rsidR="00CC2C66" w:rsidRDefault="00F80B74">
      <w:pPr>
        <w:numPr>
          <w:ilvl w:val="0"/>
          <w:numId w:val="87"/>
        </w:numPr>
        <w:tabs>
          <w:tab w:val="left" w:pos="181"/>
        </w:tabs>
        <w:spacing w:line="269" w:lineRule="auto"/>
        <w:ind w:left="181" w:right="20" w:hanging="181"/>
        <w:rPr>
          <w:rFonts w:eastAsia="Times New Roman"/>
          <w:color w:val="CF0A2C"/>
          <w:sz w:val="19"/>
          <w:szCs w:val="19"/>
        </w:rPr>
      </w:pPr>
      <w:r>
        <w:rPr>
          <w:rFonts w:eastAsia="Times New Roman"/>
          <w:i/>
          <w:iCs/>
          <w:sz w:val="19"/>
          <w:szCs w:val="19"/>
        </w:rPr>
        <w:t>Base Salary</w:t>
      </w:r>
      <w:r>
        <w:rPr>
          <w:rFonts w:eastAsia="Times New Roman"/>
          <w:sz w:val="19"/>
          <w:szCs w:val="19"/>
        </w:rPr>
        <w:t>. Mr. Chan’s base salary was i</w:t>
      </w:r>
      <w:r>
        <w:rPr>
          <w:rFonts w:eastAsia="Times New Roman"/>
          <w:sz w:val="19"/>
          <w:szCs w:val="19"/>
        </w:rPr>
        <w:t>ncreased from</w:t>
      </w:r>
      <w:r>
        <w:rPr>
          <w:rFonts w:eastAsia="Times New Roman"/>
          <w:i/>
          <w:iCs/>
          <w:sz w:val="19"/>
          <w:szCs w:val="19"/>
        </w:rPr>
        <w:t xml:space="preserve"> </w:t>
      </w:r>
      <w:r>
        <w:rPr>
          <w:rFonts w:eastAsia="Times New Roman"/>
          <w:sz w:val="19"/>
          <w:szCs w:val="19"/>
        </w:rPr>
        <w:t>$540,000 to $600,000.</w:t>
      </w:r>
    </w:p>
    <w:p w:rsidR="00CC2C66" w:rsidRDefault="00CC2C66">
      <w:pPr>
        <w:spacing w:line="225" w:lineRule="exact"/>
        <w:rPr>
          <w:rFonts w:eastAsia="Times New Roman"/>
          <w:color w:val="CF0A2C"/>
          <w:sz w:val="19"/>
          <w:szCs w:val="19"/>
        </w:rPr>
      </w:pPr>
    </w:p>
    <w:p w:rsidR="00CC2C66" w:rsidRDefault="00F80B74">
      <w:pPr>
        <w:numPr>
          <w:ilvl w:val="0"/>
          <w:numId w:val="87"/>
        </w:numPr>
        <w:tabs>
          <w:tab w:val="left" w:pos="181"/>
        </w:tabs>
        <w:spacing w:line="243" w:lineRule="auto"/>
        <w:ind w:left="181" w:right="20" w:hanging="181"/>
        <w:jc w:val="both"/>
        <w:rPr>
          <w:rFonts w:eastAsia="Times New Roman"/>
          <w:color w:val="CF0A2C"/>
          <w:sz w:val="19"/>
          <w:szCs w:val="19"/>
        </w:rPr>
      </w:pPr>
      <w:r>
        <w:rPr>
          <w:rFonts w:eastAsia="Times New Roman"/>
          <w:i/>
          <w:iCs/>
          <w:sz w:val="19"/>
          <w:szCs w:val="19"/>
        </w:rPr>
        <w:t>Annual Incentive Plan Target and Payout Level</w:t>
      </w:r>
      <w:r>
        <w:rPr>
          <w:rFonts w:eastAsia="Times New Roman"/>
          <w:sz w:val="19"/>
          <w:szCs w:val="19"/>
        </w:rPr>
        <w:t>. Mr. Chan’s</w:t>
      </w:r>
      <w:r>
        <w:rPr>
          <w:rFonts w:eastAsia="Times New Roman"/>
          <w:i/>
          <w:iCs/>
          <w:sz w:val="19"/>
          <w:szCs w:val="19"/>
        </w:rPr>
        <w:t xml:space="preserve"> </w:t>
      </w:r>
      <w:r>
        <w:rPr>
          <w:rFonts w:eastAsia="Times New Roman"/>
          <w:sz w:val="19"/>
          <w:szCs w:val="19"/>
        </w:rPr>
        <w:t xml:space="preserve">annual cash bonus target increased from 65% to 80% of his base salary, resulting in a blended bonus target for the year of $472,356. Mr. Chan’s 2021 annual cash </w:t>
      </w:r>
      <w:r>
        <w:rPr>
          <w:rFonts w:eastAsia="Times New Roman"/>
          <w:sz w:val="19"/>
          <w:szCs w:val="19"/>
        </w:rPr>
        <w:t>bonus award payout was $619,967, reflecting a total payout of 131% of target based on the Team Performance Factor of 105% and Individual Performance Factor of 125%.</w:t>
      </w:r>
    </w:p>
    <w:p w:rsidR="00CC2C66" w:rsidRDefault="00CC2C66">
      <w:pPr>
        <w:spacing w:line="253" w:lineRule="exact"/>
        <w:rPr>
          <w:rFonts w:eastAsia="Times New Roman"/>
          <w:color w:val="CF0A2C"/>
          <w:sz w:val="19"/>
          <w:szCs w:val="19"/>
        </w:rPr>
      </w:pPr>
    </w:p>
    <w:p w:rsidR="00CC2C66" w:rsidRDefault="00F80B74">
      <w:pPr>
        <w:numPr>
          <w:ilvl w:val="0"/>
          <w:numId w:val="87"/>
        </w:numPr>
        <w:tabs>
          <w:tab w:val="left" w:pos="181"/>
        </w:tabs>
        <w:spacing w:line="241" w:lineRule="auto"/>
        <w:ind w:left="181" w:right="20" w:hanging="181"/>
        <w:jc w:val="both"/>
        <w:rPr>
          <w:rFonts w:eastAsia="Times New Roman"/>
          <w:color w:val="CF0A2C"/>
          <w:sz w:val="19"/>
          <w:szCs w:val="19"/>
        </w:rPr>
      </w:pPr>
      <w:r>
        <w:rPr>
          <w:rFonts w:eastAsia="Times New Roman"/>
          <w:i/>
          <w:iCs/>
          <w:sz w:val="19"/>
          <w:szCs w:val="19"/>
        </w:rPr>
        <w:t>Long-Term Incentive Award</w:t>
      </w:r>
      <w:r>
        <w:rPr>
          <w:rFonts w:eastAsia="Times New Roman"/>
          <w:sz w:val="19"/>
          <w:szCs w:val="19"/>
        </w:rPr>
        <w:t>. The Compensation Committee</w:t>
      </w:r>
      <w:r>
        <w:rPr>
          <w:rFonts w:eastAsia="Times New Roman"/>
          <w:i/>
          <w:iCs/>
          <w:sz w:val="19"/>
          <w:szCs w:val="19"/>
        </w:rPr>
        <w:t xml:space="preserve"> </w:t>
      </w:r>
      <w:r>
        <w:rPr>
          <w:rFonts w:eastAsia="Times New Roman"/>
          <w:sz w:val="19"/>
          <w:szCs w:val="19"/>
        </w:rPr>
        <w:t>approved a long-term incentive award</w:t>
      </w:r>
      <w:r>
        <w:rPr>
          <w:rFonts w:eastAsia="Times New Roman"/>
          <w:sz w:val="19"/>
          <w:szCs w:val="19"/>
        </w:rPr>
        <w:t xml:space="preserve"> of $1,125,000 to Mr. Chan in February 2021, to be delivered equally in SARs and PSUs. Consistent with the Company’s usual practice of granting annual LTI awards in February, the number of shares subject to the May 2021 portion of Mr. Chan’s PSU grant was </w:t>
      </w:r>
      <w:r>
        <w:rPr>
          <w:rFonts w:eastAsia="Times New Roman"/>
          <w:sz w:val="19"/>
          <w:szCs w:val="19"/>
        </w:rPr>
        <w:t xml:space="preserve">determined based on the February 2021 stock price rather than the stock price on the grant date in May 2021, which resulted in larger grant date fair value of $1,163,248 as compared to the grant level approved in February 2021 due to higher stock price in </w:t>
      </w:r>
      <w:r>
        <w:rPr>
          <w:rFonts w:eastAsia="Times New Roman"/>
          <w:sz w:val="19"/>
          <w:szCs w:val="19"/>
        </w:rPr>
        <w:t>May 2021. Mr. Chan also received a 2021 Chairman Grant with a grant date fair value of $1,500,000.</w:t>
      </w:r>
    </w:p>
    <w:p w:rsidR="00CC2C66" w:rsidRDefault="00CC2C66">
      <w:pPr>
        <w:spacing w:line="341"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59"/>
            <w:col w:w="5061"/>
          </w:cols>
        </w:sectPr>
      </w:pPr>
    </w:p>
    <w:p w:rsidR="00CC2C66" w:rsidRDefault="00CC2C66">
      <w:pPr>
        <w:spacing w:line="182" w:lineRule="exact"/>
        <w:rPr>
          <w:sz w:val="20"/>
          <w:szCs w:val="20"/>
        </w:rPr>
      </w:pPr>
    </w:p>
    <w:p w:rsidR="00CC2C66" w:rsidRDefault="00F80B74">
      <w:pPr>
        <w:ind w:left="460"/>
        <w:rPr>
          <w:sz w:val="20"/>
          <w:szCs w:val="20"/>
        </w:rPr>
      </w:pPr>
      <w:r>
        <w:rPr>
          <w:rFonts w:eastAsia="Times New Roman"/>
          <w:b/>
          <w:bCs/>
          <w:color w:val="CF0A2C"/>
          <w:sz w:val="19"/>
          <w:szCs w:val="19"/>
        </w:rPr>
        <w:t>Johnson Huang</w:t>
      </w:r>
    </w:p>
    <w:p w:rsidR="00CC2C66" w:rsidRDefault="00F80B74">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260985</wp:posOffset>
            </wp:positionH>
            <wp:positionV relativeFrom="paragraph">
              <wp:posOffset>-130175</wp:posOffset>
            </wp:positionV>
            <wp:extent cx="6620510" cy="34861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0">
                      <a:extLst/>
                    </a:blip>
                    <a:srcRect/>
                    <a:stretch>
                      <a:fillRect/>
                    </a:stretch>
                  </pic:blipFill>
                  <pic:spPr bwMode="auto">
                    <a:xfrm>
                      <a:off x="0" y="0"/>
                      <a:ext cx="6620510" cy="348615"/>
                    </a:xfrm>
                    <a:prstGeom prst="rect">
                      <a:avLst/>
                    </a:prstGeom>
                    <a:noFill/>
                  </pic:spPr>
                </pic:pic>
              </a:graphicData>
            </a:graphic>
          </wp:anchor>
        </w:drawing>
      </w:r>
    </w:p>
    <w:p w:rsidR="00CC2C66" w:rsidRDefault="00CC2C66">
      <w:pPr>
        <w:spacing w:line="3" w:lineRule="exact"/>
        <w:rPr>
          <w:sz w:val="20"/>
          <w:szCs w:val="20"/>
        </w:rPr>
      </w:pPr>
    </w:p>
    <w:p w:rsidR="00CC2C66" w:rsidRDefault="00F80B74">
      <w:pPr>
        <w:ind w:left="460"/>
        <w:rPr>
          <w:sz w:val="20"/>
          <w:szCs w:val="20"/>
        </w:rPr>
      </w:pPr>
      <w:r>
        <w:rPr>
          <w:rFonts w:eastAsia="Times New Roman"/>
          <w:i/>
          <w:iCs/>
          <w:sz w:val="18"/>
          <w:szCs w:val="18"/>
        </w:rPr>
        <w:t>General Manager, KFC</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21" w:lineRule="exact"/>
        <w:rPr>
          <w:sz w:val="20"/>
          <w:szCs w:val="20"/>
        </w:rPr>
      </w:pPr>
    </w:p>
    <w:p w:rsidR="00CC2C66" w:rsidRDefault="00F80B74">
      <w:pPr>
        <w:spacing w:line="241" w:lineRule="auto"/>
        <w:ind w:left="420"/>
        <w:jc w:val="both"/>
        <w:rPr>
          <w:sz w:val="20"/>
          <w:szCs w:val="20"/>
        </w:rPr>
      </w:pPr>
      <w:r>
        <w:rPr>
          <w:rFonts w:eastAsia="Times New Roman"/>
          <w:i/>
          <w:iCs/>
          <w:color w:val="CF0A2C"/>
          <w:sz w:val="19"/>
          <w:szCs w:val="19"/>
        </w:rPr>
        <w:t xml:space="preserve">2021 Performance Summary. </w:t>
      </w:r>
      <w:r>
        <w:rPr>
          <w:rFonts w:eastAsia="Times New Roman"/>
          <w:color w:val="000000"/>
          <w:sz w:val="19"/>
          <w:szCs w:val="19"/>
        </w:rPr>
        <w:t>During 2021, Mr. Huang served as</w:t>
      </w:r>
      <w:r>
        <w:rPr>
          <w:rFonts w:eastAsia="Times New Roman"/>
          <w:i/>
          <w:iCs/>
          <w:color w:val="CF0A2C"/>
          <w:sz w:val="19"/>
          <w:szCs w:val="19"/>
        </w:rPr>
        <w:t xml:space="preserve"> </w:t>
      </w:r>
      <w:r>
        <w:rPr>
          <w:rFonts w:eastAsia="Times New Roman"/>
          <w:color w:val="000000"/>
          <w:sz w:val="19"/>
          <w:szCs w:val="19"/>
        </w:rPr>
        <w:t>General Manager, KFC, after returning from medical leave of absence during 2020. The Compensation Committee determined that Mr. Huang’s 2021 performance was on target with an Individual Performance Factor of 110%. Mr. Huang was recognized for driving KFC’s</w:t>
      </w:r>
      <w:r>
        <w:rPr>
          <w:rFonts w:eastAsia="Times New Roman"/>
          <w:color w:val="000000"/>
          <w:sz w:val="19"/>
          <w:szCs w:val="19"/>
        </w:rPr>
        <w:t xml:space="preserve"> prompt actions in response to the disruptions due to the multiple waves of the COVID-19 outbreaks especially in the second half of 2021. The KFC Brand, under Mr. Huang’s leadership, delivered an 8% increase in system sales growth, and achieved delivery sa</w:t>
      </w:r>
      <w:r>
        <w:rPr>
          <w:rFonts w:eastAsia="Times New Roman"/>
          <w:color w:val="000000"/>
          <w:sz w:val="19"/>
          <w:szCs w:val="19"/>
        </w:rPr>
        <w:t>les growth of 20%, openings of 1,232 gross new stores and new member acquisition of 55 million. Mr. Huang made significant</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5" w:lineRule="exact"/>
        <w:rPr>
          <w:sz w:val="20"/>
          <w:szCs w:val="20"/>
        </w:rPr>
      </w:pPr>
    </w:p>
    <w:p w:rsidR="00CC2C66" w:rsidRDefault="00F80B74">
      <w:pPr>
        <w:spacing w:line="241" w:lineRule="auto"/>
        <w:jc w:val="both"/>
        <w:rPr>
          <w:sz w:val="20"/>
          <w:szCs w:val="20"/>
        </w:rPr>
      </w:pPr>
      <w:r>
        <w:rPr>
          <w:rFonts w:eastAsia="Times New Roman"/>
          <w:sz w:val="19"/>
          <w:szCs w:val="19"/>
        </w:rPr>
        <w:t xml:space="preserve">progress in implementing KFC’s strategy in both expanding regionally-inspired menu items and adopting diversified store models. </w:t>
      </w:r>
      <w:r>
        <w:rPr>
          <w:rFonts w:eastAsia="Times New Roman"/>
          <w:sz w:val="19"/>
          <w:szCs w:val="19"/>
        </w:rPr>
        <w:t>He also led the efforts to improve restaurant productivity through the use of digital technologies and automation, leading to labor productivity improvement and wastage reduction. Mr. Huang supported the Company’s ESG strategy by launching the first carbon</w:t>
      </w:r>
      <w:r>
        <w:rPr>
          <w:rFonts w:eastAsia="Times New Roman"/>
          <w:sz w:val="19"/>
          <w:szCs w:val="19"/>
        </w:rPr>
        <w:t xml:space="preserve"> neutral product and replacing disposable plastic straws, cutlery and bags, representing savings of over 7,000 tons of plastic in 2021. He supported the continued expansion of the KFC food bank project to 27 cities at the end of 2021.</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92"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Proxy </w:t>
      </w:r>
      <w:r>
        <w:rPr>
          <w:rFonts w:ascii="Arial" w:eastAsia="Arial" w:hAnsi="Arial" w:cs="Arial"/>
          <w:i/>
          <w:iCs/>
          <w:color w:val="4C4C4C"/>
          <w:sz w:val="14"/>
          <w:szCs w:val="14"/>
        </w:rPr>
        <w:t>Statement</w:t>
      </w:r>
      <w:r>
        <w:rPr>
          <w:sz w:val="20"/>
          <w:szCs w:val="20"/>
        </w:rPr>
        <w:tab/>
      </w:r>
      <w:r>
        <w:rPr>
          <w:rFonts w:ascii="Arial" w:eastAsia="Arial" w:hAnsi="Arial" w:cs="Arial"/>
          <w:color w:val="CF0A2C"/>
          <w:sz w:val="14"/>
          <w:szCs w:val="14"/>
        </w:rPr>
        <w:t>47</w:t>
      </w:r>
    </w:p>
    <w:p w:rsidR="00CC2C66" w:rsidRDefault="00F80B74">
      <w:pPr>
        <w:spacing w:line="2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54" w:name="page54"/>
      <w:bookmarkEnd w:id="54"/>
      <w:r>
        <w:rPr>
          <w:rFonts w:eastAsia="Times New Roman"/>
          <w:b/>
          <w:bCs/>
          <w:noProof/>
          <w:color w:val="0000EE"/>
          <w:sz w:val="17"/>
          <w:szCs w:val="17"/>
          <w:u w:val="single"/>
        </w:rPr>
        <w:drawing>
          <wp:anchor distT="0" distB="0" distL="114300" distR="114300" simplePos="0" relativeHeight="25167769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right="8200"/>
        <w:jc w:val="right"/>
        <w:rPr>
          <w:sz w:val="20"/>
          <w:szCs w:val="20"/>
        </w:rPr>
      </w:pPr>
      <w:r>
        <w:rPr>
          <w:rFonts w:ascii="Arial" w:eastAsia="Arial" w:hAnsi="Arial" w:cs="Arial"/>
          <w:b/>
          <w:bCs/>
          <w:color w:val="FFFFFF"/>
          <w:sz w:val="15"/>
          <w:szCs w:val="15"/>
        </w:rPr>
        <w:t>EXECUTIVE COMPENSATION</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39" w:lineRule="exact"/>
        <w:rPr>
          <w:sz w:val="20"/>
          <w:szCs w:val="20"/>
        </w:rPr>
      </w:pPr>
    </w:p>
    <w:p w:rsidR="00CC2C66" w:rsidRDefault="00F80B74">
      <w:pPr>
        <w:spacing w:line="246" w:lineRule="auto"/>
        <w:ind w:left="420"/>
        <w:jc w:val="both"/>
        <w:rPr>
          <w:sz w:val="20"/>
          <w:szCs w:val="20"/>
        </w:rPr>
      </w:pPr>
      <w:r>
        <w:rPr>
          <w:rFonts w:eastAsia="Times New Roman"/>
          <w:i/>
          <w:iCs/>
          <w:color w:val="CF0A2C"/>
          <w:sz w:val="19"/>
          <w:szCs w:val="19"/>
        </w:rPr>
        <w:t>2021 Compensation Decisions</w:t>
      </w:r>
      <w:r>
        <w:rPr>
          <w:rFonts w:eastAsia="Times New Roman"/>
          <w:i/>
          <w:iCs/>
          <w:color w:val="000000"/>
          <w:sz w:val="19"/>
          <w:szCs w:val="19"/>
        </w:rPr>
        <w:t>.</w:t>
      </w:r>
      <w:r>
        <w:rPr>
          <w:rFonts w:eastAsia="Times New Roman"/>
          <w:i/>
          <w:iCs/>
          <w:color w:val="CF0A2C"/>
          <w:sz w:val="19"/>
          <w:szCs w:val="19"/>
        </w:rPr>
        <w:t xml:space="preserve"> </w:t>
      </w:r>
      <w:r>
        <w:rPr>
          <w:rFonts w:eastAsia="Times New Roman"/>
          <w:color w:val="000000"/>
          <w:sz w:val="19"/>
          <w:szCs w:val="19"/>
        </w:rPr>
        <w:t>Effective February 1, 2021, the</w:t>
      </w:r>
      <w:r>
        <w:rPr>
          <w:rFonts w:eastAsia="Times New Roman"/>
          <w:i/>
          <w:iCs/>
          <w:color w:val="CF0A2C"/>
          <w:sz w:val="19"/>
          <w:szCs w:val="19"/>
        </w:rPr>
        <w:t xml:space="preserve"> </w:t>
      </w:r>
      <w:r>
        <w:rPr>
          <w:rFonts w:eastAsia="Times New Roman"/>
          <w:color w:val="000000"/>
          <w:sz w:val="19"/>
          <w:szCs w:val="19"/>
        </w:rPr>
        <w:t>Compensation Committee set Mr. Huang’s 2021 compensation levels after considering the</w:t>
      </w:r>
      <w:r>
        <w:rPr>
          <w:rFonts w:eastAsia="Times New Roman"/>
          <w:color w:val="000000"/>
          <w:sz w:val="19"/>
          <w:szCs w:val="19"/>
        </w:rPr>
        <w:t xml:space="preserve"> advice of its compensation consultant, market practices, Mr. Huang’s individual performance and the strong performance of KFC.</w:t>
      </w:r>
    </w:p>
    <w:p w:rsidR="00CC2C66" w:rsidRDefault="00CC2C66">
      <w:pPr>
        <w:spacing w:line="247" w:lineRule="exact"/>
        <w:rPr>
          <w:sz w:val="20"/>
          <w:szCs w:val="20"/>
        </w:rPr>
      </w:pPr>
    </w:p>
    <w:p w:rsidR="00CC2C66" w:rsidRDefault="00F80B74">
      <w:pPr>
        <w:numPr>
          <w:ilvl w:val="0"/>
          <w:numId w:val="88"/>
        </w:numPr>
        <w:tabs>
          <w:tab w:val="left" w:pos="640"/>
        </w:tabs>
        <w:spacing w:line="269" w:lineRule="auto"/>
        <w:ind w:left="640" w:right="20" w:hanging="178"/>
        <w:rPr>
          <w:rFonts w:eastAsia="Times New Roman"/>
          <w:color w:val="CF0A2C"/>
          <w:sz w:val="19"/>
          <w:szCs w:val="19"/>
        </w:rPr>
      </w:pPr>
      <w:r>
        <w:rPr>
          <w:rFonts w:eastAsia="Times New Roman"/>
          <w:i/>
          <w:iCs/>
          <w:sz w:val="19"/>
          <w:szCs w:val="19"/>
        </w:rPr>
        <w:t>Base Salary</w:t>
      </w:r>
      <w:r>
        <w:rPr>
          <w:rFonts w:eastAsia="Times New Roman"/>
          <w:sz w:val="19"/>
          <w:szCs w:val="19"/>
        </w:rPr>
        <w:t>. Mr. Huang’s base salary remains unchanged at</w:t>
      </w:r>
      <w:r>
        <w:rPr>
          <w:rFonts w:eastAsia="Times New Roman"/>
          <w:i/>
          <w:iCs/>
          <w:sz w:val="19"/>
          <w:szCs w:val="19"/>
        </w:rPr>
        <w:t xml:space="preserve"> </w:t>
      </w:r>
      <w:r>
        <w:rPr>
          <w:rFonts w:eastAsia="Times New Roman"/>
          <w:sz w:val="19"/>
          <w:szCs w:val="19"/>
        </w:rPr>
        <w:t>$740,000.</w:t>
      </w:r>
    </w:p>
    <w:p w:rsidR="00CC2C66" w:rsidRDefault="00CC2C66">
      <w:pPr>
        <w:spacing w:line="225" w:lineRule="exact"/>
        <w:rPr>
          <w:rFonts w:eastAsia="Times New Roman"/>
          <w:color w:val="CF0A2C"/>
          <w:sz w:val="19"/>
          <w:szCs w:val="19"/>
        </w:rPr>
      </w:pPr>
    </w:p>
    <w:p w:rsidR="00CC2C66" w:rsidRDefault="00F80B74">
      <w:pPr>
        <w:numPr>
          <w:ilvl w:val="0"/>
          <w:numId w:val="88"/>
        </w:numPr>
        <w:tabs>
          <w:tab w:val="left" w:pos="640"/>
        </w:tabs>
        <w:spacing w:line="243" w:lineRule="auto"/>
        <w:ind w:left="640" w:right="20" w:hanging="178"/>
        <w:jc w:val="both"/>
        <w:rPr>
          <w:rFonts w:eastAsia="Times New Roman"/>
          <w:color w:val="CF0A2C"/>
          <w:sz w:val="19"/>
          <w:szCs w:val="19"/>
        </w:rPr>
      </w:pPr>
      <w:r>
        <w:rPr>
          <w:rFonts w:eastAsia="Times New Roman"/>
          <w:i/>
          <w:iCs/>
          <w:sz w:val="19"/>
          <w:szCs w:val="19"/>
        </w:rPr>
        <w:t>Annual Incentive Plan Target and Payout Level</w:t>
      </w:r>
      <w:r>
        <w:rPr>
          <w:rFonts w:eastAsia="Times New Roman"/>
          <w:sz w:val="19"/>
          <w:szCs w:val="19"/>
        </w:rPr>
        <w:t>. Mr. Huang’s</w:t>
      </w:r>
      <w:r>
        <w:rPr>
          <w:rFonts w:eastAsia="Times New Roman"/>
          <w:i/>
          <w:iCs/>
          <w:sz w:val="19"/>
          <w:szCs w:val="19"/>
        </w:rPr>
        <w:t xml:space="preserve"> </w:t>
      </w:r>
      <w:r>
        <w:rPr>
          <w:rFonts w:eastAsia="Times New Roman"/>
          <w:sz w:val="19"/>
          <w:szCs w:val="19"/>
        </w:rPr>
        <w:t>annual cash bonus target was increased from 90% to 100% of his base salary, resulting in a blended bonus target for the year of $733,715. Mr. Huang’s 2021 annual cash bonus award payout was $847,441, reflecting a total payout of 116% of target based on th</w:t>
      </w:r>
      <w:r>
        <w:rPr>
          <w:rFonts w:eastAsia="Times New Roman"/>
          <w:sz w:val="19"/>
          <w:szCs w:val="19"/>
        </w:rPr>
        <w:t>e blended Team Performance Factor of 105% and Individual Performance Factor of 110%.</w:t>
      </w:r>
    </w:p>
    <w:p w:rsidR="00CC2C66" w:rsidRDefault="00F80B74">
      <w:pPr>
        <w:spacing w:line="20" w:lineRule="exact"/>
        <w:rPr>
          <w:sz w:val="20"/>
          <w:szCs w:val="20"/>
        </w:rPr>
      </w:pPr>
      <w:r>
        <w:rPr>
          <w:sz w:val="20"/>
          <w:szCs w:val="20"/>
        </w:rPr>
        <w:br w:type="column"/>
      </w:r>
    </w:p>
    <w:p w:rsidR="00CC2C66" w:rsidRDefault="00CC2C66">
      <w:pPr>
        <w:spacing w:line="219" w:lineRule="exact"/>
        <w:rPr>
          <w:sz w:val="20"/>
          <w:szCs w:val="20"/>
        </w:rPr>
      </w:pPr>
    </w:p>
    <w:p w:rsidR="00CC2C66" w:rsidRDefault="00F80B74">
      <w:pPr>
        <w:numPr>
          <w:ilvl w:val="0"/>
          <w:numId w:val="89"/>
        </w:numPr>
        <w:tabs>
          <w:tab w:val="left" w:pos="181"/>
        </w:tabs>
        <w:spacing w:line="241" w:lineRule="auto"/>
        <w:ind w:left="181" w:right="20" w:hanging="181"/>
        <w:jc w:val="both"/>
        <w:rPr>
          <w:rFonts w:eastAsia="Times New Roman"/>
          <w:color w:val="CF0A2C"/>
          <w:sz w:val="19"/>
          <w:szCs w:val="19"/>
        </w:rPr>
      </w:pPr>
      <w:r>
        <w:rPr>
          <w:rFonts w:eastAsia="Times New Roman"/>
          <w:i/>
          <w:iCs/>
          <w:sz w:val="19"/>
          <w:szCs w:val="19"/>
        </w:rPr>
        <w:t>Long-Term Incentive Award</w:t>
      </w:r>
      <w:r>
        <w:rPr>
          <w:rFonts w:eastAsia="Times New Roman"/>
          <w:sz w:val="19"/>
          <w:szCs w:val="19"/>
        </w:rPr>
        <w:t>. The Compensation Committee</w:t>
      </w:r>
      <w:r>
        <w:rPr>
          <w:rFonts w:eastAsia="Times New Roman"/>
          <w:i/>
          <w:iCs/>
          <w:sz w:val="19"/>
          <w:szCs w:val="19"/>
        </w:rPr>
        <w:t xml:space="preserve"> </w:t>
      </w:r>
      <w:r>
        <w:rPr>
          <w:rFonts w:eastAsia="Times New Roman"/>
          <w:sz w:val="19"/>
          <w:szCs w:val="19"/>
        </w:rPr>
        <w:t xml:space="preserve">approved a long-term incentive award of $1,250,000 to Mr. Huang in February 2021, to be delivered equally in SARs </w:t>
      </w:r>
      <w:r>
        <w:rPr>
          <w:rFonts w:eastAsia="Times New Roman"/>
          <w:sz w:val="19"/>
          <w:szCs w:val="19"/>
        </w:rPr>
        <w:t>and PSUs, as the compensation review showed that the prior year award size, which had remained unchanged from that of the year before last, was under-competitive. Consistent with the Company’s usual practice of granting annual LTI awards in February, the n</w:t>
      </w:r>
      <w:r>
        <w:rPr>
          <w:rFonts w:eastAsia="Times New Roman"/>
          <w:sz w:val="19"/>
          <w:szCs w:val="19"/>
        </w:rPr>
        <w:t>umber of shares subject to the May 2021 portion of Mr. Huang’s PSU grant was determined based on the February 2021 stock price rather than the stock price on the grant date in May 2021, which resulted in larger grant date fair value of $1,292,558 as compar</w:t>
      </w:r>
      <w:r>
        <w:rPr>
          <w:rFonts w:eastAsia="Times New Roman"/>
          <w:sz w:val="19"/>
          <w:szCs w:val="19"/>
        </w:rPr>
        <w:t>ed to the grant level approved in February 2021 due to higher stock price in May 2021.</w:t>
      </w:r>
    </w:p>
    <w:p w:rsidR="00CC2C66" w:rsidRDefault="00CC2C66">
      <w:pPr>
        <w:spacing w:line="979"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59"/>
            <w:col w:w="5061"/>
          </w:cols>
        </w:sectPr>
      </w:pPr>
    </w:p>
    <w:p w:rsidR="00CC2C66" w:rsidRDefault="00CC2C66">
      <w:pPr>
        <w:spacing w:line="206" w:lineRule="exact"/>
        <w:rPr>
          <w:sz w:val="20"/>
          <w:szCs w:val="20"/>
        </w:rPr>
      </w:pPr>
    </w:p>
    <w:p w:rsidR="00CC2C66" w:rsidRDefault="00F80B74">
      <w:pPr>
        <w:ind w:left="460"/>
        <w:rPr>
          <w:sz w:val="20"/>
          <w:szCs w:val="20"/>
        </w:rPr>
      </w:pPr>
      <w:r>
        <w:rPr>
          <w:rFonts w:eastAsia="Times New Roman"/>
          <w:b/>
          <w:bCs/>
          <w:color w:val="CF0A2C"/>
          <w:sz w:val="19"/>
          <w:szCs w:val="19"/>
        </w:rPr>
        <w:t>Aiken Yuen</w:t>
      </w:r>
    </w:p>
    <w:p w:rsidR="00CC2C66" w:rsidRDefault="00F80B74">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260985</wp:posOffset>
            </wp:positionH>
            <wp:positionV relativeFrom="paragraph">
              <wp:posOffset>-130175</wp:posOffset>
            </wp:positionV>
            <wp:extent cx="6620510" cy="34861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0">
                      <a:extLst/>
                    </a:blip>
                    <a:srcRect/>
                    <a:stretch>
                      <a:fillRect/>
                    </a:stretch>
                  </pic:blipFill>
                  <pic:spPr bwMode="auto">
                    <a:xfrm>
                      <a:off x="0" y="0"/>
                      <a:ext cx="6620510" cy="348615"/>
                    </a:xfrm>
                    <a:prstGeom prst="rect">
                      <a:avLst/>
                    </a:prstGeom>
                    <a:noFill/>
                  </pic:spPr>
                </pic:pic>
              </a:graphicData>
            </a:graphic>
          </wp:anchor>
        </w:drawing>
      </w:r>
    </w:p>
    <w:p w:rsidR="00CC2C66" w:rsidRDefault="00CC2C66">
      <w:pPr>
        <w:spacing w:line="3" w:lineRule="exact"/>
        <w:rPr>
          <w:sz w:val="20"/>
          <w:szCs w:val="20"/>
        </w:rPr>
      </w:pPr>
    </w:p>
    <w:p w:rsidR="00CC2C66" w:rsidRDefault="00F80B74">
      <w:pPr>
        <w:ind w:left="460"/>
        <w:rPr>
          <w:sz w:val="20"/>
          <w:szCs w:val="20"/>
        </w:rPr>
      </w:pPr>
      <w:r>
        <w:rPr>
          <w:rFonts w:eastAsia="Times New Roman"/>
          <w:i/>
          <w:iCs/>
          <w:sz w:val="18"/>
          <w:szCs w:val="18"/>
        </w:rPr>
        <w:t>Chief People Officer</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21" w:lineRule="exact"/>
        <w:rPr>
          <w:sz w:val="20"/>
          <w:szCs w:val="20"/>
        </w:rPr>
      </w:pPr>
    </w:p>
    <w:p w:rsidR="00CC2C66" w:rsidRDefault="00F80B74">
      <w:pPr>
        <w:ind w:left="420"/>
        <w:jc w:val="both"/>
        <w:rPr>
          <w:sz w:val="20"/>
          <w:szCs w:val="20"/>
        </w:rPr>
      </w:pPr>
      <w:r>
        <w:rPr>
          <w:rFonts w:eastAsia="Times New Roman"/>
          <w:i/>
          <w:iCs/>
          <w:color w:val="CF0A2C"/>
          <w:sz w:val="19"/>
          <w:szCs w:val="19"/>
        </w:rPr>
        <w:t xml:space="preserve">2021 Performance Summary. </w:t>
      </w:r>
      <w:r>
        <w:rPr>
          <w:rFonts w:eastAsia="Times New Roman"/>
          <w:color w:val="000000"/>
          <w:sz w:val="19"/>
          <w:szCs w:val="19"/>
        </w:rPr>
        <w:t>The Compensation Committee</w:t>
      </w:r>
      <w:r>
        <w:rPr>
          <w:rFonts w:eastAsia="Times New Roman"/>
          <w:i/>
          <w:iCs/>
          <w:color w:val="CF0A2C"/>
          <w:sz w:val="19"/>
          <w:szCs w:val="19"/>
        </w:rPr>
        <w:t xml:space="preserve"> </w:t>
      </w:r>
      <w:r>
        <w:rPr>
          <w:rFonts w:eastAsia="Times New Roman"/>
          <w:color w:val="000000"/>
          <w:sz w:val="19"/>
          <w:szCs w:val="19"/>
        </w:rPr>
        <w:t>determined Mr. Yuen’s perf</w:t>
      </w:r>
      <w:r>
        <w:rPr>
          <w:rFonts w:eastAsia="Times New Roman"/>
          <w:color w:val="000000"/>
          <w:sz w:val="19"/>
          <w:szCs w:val="19"/>
        </w:rPr>
        <w:t>ormance to be above target with an Individual Performance Factor of 125%. Mr. Yuen was recognized for his instrumental role in guiding and coordinating employees’ health and safety measures against the multiple waves of the COVID-19 outbreaks especially in</w:t>
      </w:r>
      <w:r>
        <w:rPr>
          <w:rFonts w:eastAsia="Times New Roman"/>
          <w:color w:val="000000"/>
          <w:sz w:val="19"/>
          <w:szCs w:val="19"/>
        </w:rPr>
        <w:t xml:space="preserve"> the second half of 2021. In 2021, the Company upgraded the medical insurance coverage of our restaurant general managers, restaurant management teams and supervisors. To build organizational capability, he contributed significantly in building the Company</w:t>
      </w:r>
      <w:r>
        <w:rPr>
          <w:rFonts w:eastAsia="Times New Roman"/>
          <w:color w:val="000000"/>
          <w:sz w:val="19"/>
          <w:szCs w:val="19"/>
        </w:rPr>
        <w:t>’s digital research and development center and the Lavazza Joint Venture team from scratch. Mr. Yuen also served as a core member of the Company’s Sustainability Committee. He provided valuable guidance and input in enhancing the Company’s disclosures on h</w:t>
      </w:r>
      <w:r>
        <w:rPr>
          <w:rFonts w:eastAsia="Times New Roman"/>
          <w:color w:val="000000"/>
          <w:sz w:val="19"/>
          <w:szCs w:val="19"/>
        </w:rPr>
        <w:t>uman capital management in the Company’s Annual Report and Sustainability Report. In 2021, the Company was named to the Bloomberg Gender-Equality Index and was certified as a Top Employer 2021 in China by the Top Employers Institute, both for the third con</w:t>
      </w:r>
      <w:r>
        <w:rPr>
          <w:rFonts w:eastAsia="Times New Roman"/>
          <w:color w:val="000000"/>
          <w:sz w:val="19"/>
          <w:szCs w:val="19"/>
        </w:rPr>
        <w:t>secutive year.</w:t>
      </w:r>
    </w:p>
    <w:p w:rsidR="00CC2C66" w:rsidRDefault="00CC2C66">
      <w:pPr>
        <w:spacing w:line="219" w:lineRule="exact"/>
        <w:rPr>
          <w:sz w:val="20"/>
          <w:szCs w:val="20"/>
        </w:rPr>
      </w:pPr>
    </w:p>
    <w:p w:rsidR="00CC2C66" w:rsidRDefault="00F80B74">
      <w:pPr>
        <w:spacing w:line="269" w:lineRule="auto"/>
        <w:ind w:left="420"/>
        <w:jc w:val="both"/>
        <w:rPr>
          <w:sz w:val="20"/>
          <w:szCs w:val="20"/>
        </w:rPr>
      </w:pPr>
      <w:r>
        <w:rPr>
          <w:rFonts w:eastAsia="Times New Roman"/>
          <w:i/>
          <w:iCs/>
          <w:color w:val="CF0A2C"/>
          <w:sz w:val="19"/>
          <w:szCs w:val="19"/>
        </w:rPr>
        <w:t xml:space="preserve">2021 Compensation Decisions. </w:t>
      </w:r>
      <w:r>
        <w:rPr>
          <w:rFonts w:eastAsia="Times New Roman"/>
          <w:color w:val="000000"/>
          <w:sz w:val="19"/>
          <w:szCs w:val="19"/>
        </w:rPr>
        <w:t>Effective February 1, 2021, the</w:t>
      </w:r>
      <w:r>
        <w:rPr>
          <w:rFonts w:eastAsia="Times New Roman"/>
          <w:i/>
          <w:iCs/>
          <w:color w:val="CF0A2C"/>
          <w:sz w:val="19"/>
          <w:szCs w:val="19"/>
        </w:rPr>
        <w:t xml:space="preserve"> </w:t>
      </w:r>
      <w:r>
        <w:rPr>
          <w:rFonts w:eastAsia="Times New Roman"/>
          <w:color w:val="000000"/>
          <w:sz w:val="19"/>
          <w:szCs w:val="19"/>
        </w:rPr>
        <w:t>Compensation Committee set Mr. Yuen’s 2021</w:t>
      </w:r>
    </w:p>
    <w:p w:rsidR="00CC2C66" w:rsidRDefault="00CC2C66">
      <w:pPr>
        <w:spacing w:line="200" w:lineRule="exact"/>
        <w:rPr>
          <w:sz w:val="20"/>
          <w:szCs w:val="20"/>
        </w:rPr>
      </w:pPr>
    </w:p>
    <w:p w:rsidR="00CC2C66" w:rsidRDefault="00CC2C66">
      <w:pPr>
        <w:spacing w:line="209" w:lineRule="exact"/>
        <w:rPr>
          <w:sz w:val="20"/>
          <w:szCs w:val="20"/>
        </w:rPr>
      </w:pPr>
    </w:p>
    <w:p w:rsidR="00CC2C66" w:rsidRDefault="00F80B74">
      <w:pPr>
        <w:numPr>
          <w:ilvl w:val="0"/>
          <w:numId w:val="90"/>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5" w:lineRule="exact"/>
        <w:rPr>
          <w:sz w:val="20"/>
          <w:szCs w:val="20"/>
        </w:rPr>
      </w:pPr>
    </w:p>
    <w:p w:rsidR="00CC2C66" w:rsidRDefault="00F80B74">
      <w:pPr>
        <w:spacing w:line="252" w:lineRule="auto"/>
        <w:jc w:val="both"/>
        <w:rPr>
          <w:sz w:val="20"/>
          <w:szCs w:val="20"/>
        </w:rPr>
      </w:pPr>
      <w:r>
        <w:rPr>
          <w:rFonts w:eastAsia="Times New Roman"/>
          <w:sz w:val="19"/>
          <w:szCs w:val="19"/>
        </w:rPr>
        <w:t xml:space="preserve">compensation levels after considering the advice of its compensation consultant, market practices </w:t>
      </w:r>
      <w:r>
        <w:rPr>
          <w:rFonts w:eastAsia="Times New Roman"/>
          <w:sz w:val="19"/>
          <w:szCs w:val="19"/>
        </w:rPr>
        <w:t>and Mr. Yuen’s individual performance.</w:t>
      </w:r>
    </w:p>
    <w:p w:rsidR="00CC2C66" w:rsidRDefault="00CC2C66">
      <w:pPr>
        <w:spacing w:line="241" w:lineRule="exact"/>
        <w:rPr>
          <w:sz w:val="20"/>
          <w:szCs w:val="20"/>
        </w:rPr>
      </w:pPr>
    </w:p>
    <w:p w:rsidR="00CC2C66" w:rsidRDefault="00F80B74">
      <w:pPr>
        <w:numPr>
          <w:ilvl w:val="0"/>
          <w:numId w:val="91"/>
        </w:numPr>
        <w:tabs>
          <w:tab w:val="left" w:pos="240"/>
        </w:tabs>
        <w:spacing w:line="269" w:lineRule="auto"/>
        <w:ind w:left="240" w:right="20" w:hanging="181"/>
        <w:rPr>
          <w:rFonts w:eastAsia="Times New Roman"/>
          <w:color w:val="CF0A2C"/>
          <w:sz w:val="19"/>
          <w:szCs w:val="19"/>
        </w:rPr>
      </w:pPr>
      <w:r>
        <w:rPr>
          <w:rFonts w:eastAsia="Times New Roman"/>
          <w:i/>
          <w:iCs/>
          <w:sz w:val="19"/>
          <w:szCs w:val="19"/>
        </w:rPr>
        <w:t>Base Salary</w:t>
      </w:r>
      <w:r>
        <w:rPr>
          <w:rFonts w:eastAsia="Times New Roman"/>
          <w:sz w:val="19"/>
          <w:szCs w:val="19"/>
        </w:rPr>
        <w:t>. Mr. Yuen’s base salary was increased from</w:t>
      </w:r>
      <w:r>
        <w:rPr>
          <w:rFonts w:eastAsia="Times New Roman"/>
          <w:i/>
          <w:iCs/>
          <w:sz w:val="19"/>
          <w:szCs w:val="19"/>
        </w:rPr>
        <w:t xml:space="preserve"> </w:t>
      </w:r>
      <w:r>
        <w:rPr>
          <w:rFonts w:eastAsia="Times New Roman"/>
          <w:sz w:val="19"/>
          <w:szCs w:val="19"/>
        </w:rPr>
        <w:t>$560,000 to $600,000.</w:t>
      </w:r>
    </w:p>
    <w:p w:rsidR="00CC2C66" w:rsidRDefault="00CC2C66">
      <w:pPr>
        <w:spacing w:line="225" w:lineRule="exact"/>
        <w:rPr>
          <w:rFonts w:eastAsia="Times New Roman"/>
          <w:color w:val="CF0A2C"/>
          <w:sz w:val="19"/>
          <w:szCs w:val="19"/>
        </w:rPr>
      </w:pPr>
    </w:p>
    <w:p w:rsidR="00CC2C66" w:rsidRDefault="00F80B74">
      <w:pPr>
        <w:numPr>
          <w:ilvl w:val="0"/>
          <w:numId w:val="91"/>
        </w:numPr>
        <w:tabs>
          <w:tab w:val="left" w:pos="240"/>
        </w:tabs>
        <w:spacing w:line="243" w:lineRule="auto"/>
        <w:ind w:left="240" w:right="20" w:hanging="181"/>
        <w:jc w:val="both"/>
        <w:rPr>
          <w:rFonts w:eastAsia="Times New Roman"/>
          <w:color w:val="CF0A2C"/>
          <w:sz w:val="19"/>
          <w:szCs w:val="19"/>
        </w:rPr>
      </w:pPr>
      <w:r>
        <w:rPr>
          <w:rFonts w:eastAsia="Times New Roman"/>
          <w:i/>
          <w:iCs/>
          <w:sz w:val="19"/>
          <w:szCs w:val="19"/>
        </w:rPr>
        <w:t>Annual Incentive Plan Target and Payout Level</w:t>
      </w:r>
      <w:r>
        <w:rPr>
          <w:rFonts w:eastAsia="Times New Roman"/>
          <w:sz w:val="19"/>
          <w:szCs w:val="19"/>
        </w:rPr>
        <w:t>. Mr. Yuen’s</w:t>
      </w:r>
      <w:r>
        <w:rPr>
          <w:rFonts w:eastAsia="Times New Roman"/>
          <w:i/>
          <w:iCs/>
          <w:sz w:val="19"/>
          <w:szCs w:val="19"/>
        </w:rPr>
        <w:t xml:space="preserve"> </w:t>
      </w:r>
      <w:r>
        <w:rPr>
          <w:rFonts w:eastAsia="Times New Roman"/>
          <w:sz w:val="19"/>
          <w:szCs w:val="19"/>
        </w:rPr>
        <w:t>annual cash bonus target increased from 65% to 70% of his base salary, resulting</w:t>
      </w:r>
      <w:r>
        <w:rPr>
          <w:rFonts w:eastAsia="Times New Roman"/>
          <w:sz w:val="19"/>
          <w:szCs w:val="19"/>
        </w:rPr>
        <w:t xml:space="preserve"> in a blended bonus target for the year of $417,452. Mr. Yuen’s 2021 annual cash bonus award payout was $547,906, reflecting a total payout of 131% of target based on the Team Performance Factor of 105% and Individual Performance Factor of 125%.</w:t>
      </w:r>
    </w:p>
    <w:p w:rsidR="00CC2C66" w:rsidRDefault="00CC2C66">
      <w:pPr>
        <w:spacing w:line="253" w:lineRule="exact"/>
        <w:rPr>
          <w:rFonts w:eastAsia="Times New Roman"/>
          <w:color w:val="CF0A2C"/>
          <w:sz w:val="19"/>
          <w:szCs w:val="19"/>
        </w:rPr>
      </w:pPr>
    </w:p>
    <w:p w:rsidR="00CC2C66" w:rsidRDefault="00F80B74">
      <w:pPr>
        <w:numPr>
          <w:ilvl w:val="0"/>
          <w:numId w:val="91"/>
        </w:numPr>
        <w:tabs>
          <w:tab w:val="left" w:pos="240"/>
        </w:tabs>
        <w:spacing w:line="243" w:lineRule="auto"/>
        <w:ind w:left="240" w:right="20" w:hanging="181"/>
        <w:jc w:val="both"/>
        <w:rPr>
          <w:rFonts w:eastAsia="Times New Roman"/>
          <w:color w:val="CF0A2C"/>
          <w:sz w:val="19"/>
          <w:szCs w:val="19"/>
        </w:rPr>
      </w:pPr>
      <w:r>
        <w:rPr>
          <w:rFonts w:eastAsia="Times New Roman"/>
          <w:i/>
          <w:iCs/>
          <w:sz w:val="19"/>
          <w:szCs w:val="19"/>
        </w:rPr>
        <w:t>Long-Term</w:t>
      </w:r>
      <w:r>
        <w:rPr>
          <w:rFonts w:eastAsia="Times New Roman"/>
          <w:i/>
          <w:iCs/>
          <w:sz w:val="19"/>
          <w:szCs w:val="19"/>
        </w:rPr>
        <w:t xml:space="preserve"> Incentive Award</w:t>
      </w:r>
      <w:r>
        <w:rPr>
          <w:rFonts w:eastAsia="Times New Roman"/>
          <w:sz w:val="19"/>
          <w:szCs w:val="19"/>
        </w:rPr>
        <w:t>. The Compensation Committee</w:t>
      </w:r>
      <w:r>
        <w:rPr>
          <w:rFonts w:eastAsia="Times New Roman"/>
          <w:i/>
          <w:iCs/>
          <w:sz w:val="19"/>
          <w:szCs w:val="19"/>
        </w:rPr>
        <w:t xml:space="preserve"> </w:t>
      </w:r>
      <w:r>
        <w:rPr>
          <w:rFonts w:eastAsia="Times New Roman"/>
          <w:sz w:val="19"/>
          <w:szCs w:val="19"/>
        </w:rPr>
        <w:t>approved a long-term incentive award of $700,000 to Mr. Yuen in February 2021, to be delivered equally in SARs and PSUs, as the compensation review showed that the prior year annual long-term incentive award was</w:t>
      </w:r>
      <w:r>
        <w:rPr>
          <w:rFonts w:eastAsia="Times New Roman"/>
          <w:sz w:val="19"/>
          <w:szCs w:val="19"/>
        </w:rPr>
        <w:t xml:space="preserve"> under-competitive. Consistent with the Company’s usual practice of granting annual LTI awards in February, the number of shares subject to the</w:t>
      </w: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55" w:name="page55"/>
      <w:bookmarkEnd w:id="55"/>
      <w:r>
        <w:rPr>
          <w:rFonts w:eastAsia="Times New Roman"/>
          <w:b/>
          <w:bCs/>
          <w:noProof/>
          <w:color w:val="0000EE"/>
          <w:sz w:val="17"/>
          <w:szCs w:val="17"/>
          <w:u w:val="single"/>
        </w:rPr>
        <w:drawing>
          <wp:anchor distT="0" distB="0" distL="114300" distR="114300" simplePos="0" relativeHeight="25168179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52" w:lineRule="auto"/>
        <w:ind w:left="600"/>
        <w:jc w:val="both"/>
        <w:rPr>
          <w:sz w:val="20"/>
          <w:szCs w:val="20"/>
        </w:rPr>
      </w:pPr>
      <w:r>
        <w:rPr>
          <w:rFonts w:eastAsia="Times New Roman"/>
          <w:sz w:val="19"/>
          <w:szCs w:val="19"/>
        </w:rPr>
        <w:t>May 2021 portion of Mr. Yuen’s PSU grant was determined based</w:t>
      </w:r>
      <w:r>
        <w:rPr>
          <w:rFonts w:eastAsia="Times New Roman"/>
          <w:sz w:val="19"/>
          <w:szCs w:val="19"/>
        </w:rPr>
        <w:t xml:space="preserve"> on the February 2021 stock price rather than the stock price on the grant date in May 2021,</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6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1507490</wp:posOffset>
            </wp:positionH>
            <wp:positionV relativeFrom="paragraph">
              <wp:posOffset>-148590</wp:posOffset>
            </wp:positionV>
            <wp:extent cx="1614805" cy="19494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52" w:lineRule="auto"/>
        <w:ind w:right="20"/>
        <w:jc w:val="both"/>
        <w:rPr>
          <w:sz w:val="20"/>
          <w:szCs w:val="20"/>
        </w:rPr>
      </w:pPr>
      <w:r>
        <w:rPr>
          <w:rFonts w:eastAsia="Times New Roman"/>
          <w:sz w:val="19"/>
          <w:szCs w:val="19"/>
        </w:rPr>
        <w:t xml:space="preserve">which resulted in larger grant date fair value of $723,892 as compared to the grant level approved in February 2021 due to higher </w:t>
      </w:r>
      <w:r>
        <w:rPr>
          <w:rFonts w:eastAsia="Times New Roman"/>
          <w:sz w:val="19"/>
          <w:szCs w:val="19"/>
        </w:rPr>
        <w:t>stock price in May 2021.</w:t>
      </w:r>
    </w:p>
    <w:p w:rsidR="00CC2C66" w:rsidRDefault="00CC2C66">
      <w:pPr>
        <w:spacing w:line="200" w:lineRule="exact"/>
        <w:rPr>
          <w:sz w:val="20"/>
          <w:szCs w:val="20"/>
        </w:rPr>
      </w:pPr>
    </w:p>
    <w:p w:rsidR="00CC2C66" w:rsidRDefault="00CC2C66">
      <w:pPr>
        <w:sectPr w:rsidR="00CC2C66">
          <w:pgSz w:w="11900" w:h="16838"/>
          <w:pgMar w:top="439" w:right="739" w:bottom="1440" w:left="320" w:header="0" w:footer="0" w:gutter="0"/>
          <w:cols w:num="2" w:space="720" w:equalWidth="0">
            <w:col w:w="5400" w:space="520"/>
            <w:col w:w="4920"/>
          </w:cols>
        </w:sectPr>
      </w:pPr>
    </w:p>
    <w:p w:rsidR="00CC2C66" w:rsidRDefault="00CC2C66">
      <w:pPr>
        <w:spacing w:line="194" w:lineRule="exact"/>
        <w:rPr>
          <w:sz w:val="20"/>
          <w:szCs w:val="20"/>
        </w:rPr>
      </w:pPr>
    </w:p>
    <w:p w:rsidR="00CC2C66" w:rsidRDefault="00F80B74">
      <w:pPr>
        <w:ind w:left="460"/>
        <w:rPr>
          <w:sz w:val="20"/>
          <w:szCs w:val="20"/>
        </w:rPr>
      </w:pPr>
      <w:r>
        <w:rPr>
          <w:rFonts w:eastAsia="Times New Roman"/>
          <w:b/>
          <w:bCs/>
          <w:color w:val="CF0A2C"/>
          <w:sz w:val="19"/>
          <w:szCs w:val="19"/>
        </w:rPr>
        <w:t>Danny Tan</w:t>
      </w:r>
    </w:p>
    <w:p w:rsidR="00CC2C66" w:rsidRDefault="00F80B74">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column">
              <wp:posOffset>260985</wp:posOffset>
            </wp:positionH>
            <wp:positionV relativeFrom="paragraph">
              <wp:posOffset>-130175</wp:posOffset>
            </wp:positionV>
            <wp:extent cx="6620510" cy="48704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a:extLst/>
                    </a:blip>
                    <a:srcRect/>
                    <a:stretch>
                      <a:fillRect/>
                    </a:stretch>
                  </pic:blipFill>
                  <pic:spPr bwMode="auto">
                    <a:xfrm>
                      <a:off x="0" y="0"/>
                      <a:ext cx="6620510" cy="487045"/>
                    </a:xfrm>
                    <a:prstGeom prst="rect">
                      <a:avLst/>
                    </a:prstGeom>
                    <a:noFill/>
                  </pic:spPr>
                </pic:pic>
              </a:graphicData>
            </a:graphic>
          </wp:anchor>
        </w:drawing>
      </w:r>
    </w:p>
    <w:p w:rsidR="00CC2C66" w:rsidRDefault="00CC2C66">
      <w:pPr>
        <w:spacing w:line="3" w:lineRule="exact"/>
        <w:rPr>
          <w:sz w:val="20"/>
          <w:szCs w:val="20"/>
        </w:rPr>
      </w:pPr>
    </w:p>
    <w:p w:rsidR="00CC2C66" w:rsidRDefault="00F80B74">
      <w:pPr>
        <w:spacing w:line="243" w:lineRule="auto"/>
        <w:ind w:left="460" w:right="60"/>
        <w:rPr>
          <w:sz w:val="20"/>
          <w:szCs w:val="20"/>
        </w:rPr>
      </w:pPr>
      <w:r>
        <w:rPr>
          <w:rFonts w:eastAsia="Times New Roman"/>
          <w:i/>
          <w:iCs/>
          <w:sz w:val="19"/>
          <w:szCs w:val="19"/>
        </w:rPr>
        <w:t>Former Chief Supply Chain Officer(through November 8, 2021) and Senior Advisor to the CEO (from November 9, 2021 to February 10, 2022)</w:t>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2" w:lineRule="exact"/>
        <w:rPr>
          <w:sz w:val="20"/>
          <w:szCs w:val="20"/>
        </w:rPr>
      </w:pPr>
    </w:p>
    <w:p w:rsidR="00CC2C66" w:rsidRDefault="00F80B74">
      <w:pPr>
        <w:ind w:left="420"/>
        <w:jc w:val="both"/>
        <w:rPr>
          <w:sz w:val="20"/>
          <w:szCs w:val="20"/>
        </w:rPr>
      </w:pPr>
      <w:r>
        <w:rPr>
          <w:rFonts w:eastAsia="Times New Roman"/>
          <w:i/>
          <w:iCs/>
          <w:color w:val="CF0A2C"/>
          <w:sz w:val="19"/>
          <w:szCs w:val="19"/>
        </w:rPr>
        <w:t xml:space="preserve">2021 Performance Summary. </w:t>
      </w:r>
      <w:r>
        <w:rPr>
          <w:rFonts w:eastAsia="Times New Roman"/>
          <w:color w:val="000000"/>
          <w:sz w:val="19"/>
          <w:szCs w:val="19"/>
        </w:rPr>
        <w:t xml:space="preserve">The </w:t>
      </w:r>
      <w:r>
        <w:rPr>
          <w:rFonts w:eastAsia="Times New Roman"/>
          <w:color w:val="000000"/>
          <w:sz w:val="19"/>
          <w:szCs w:val="19"/>
        </w:rPr>
        <w:t>Compensation Committee</w:t>
      </w:r>
      <w:r>
        <w:rPr>
          <w:rFonts w:eastAsia="Times New Roman"/>
          <w:i/>
          <w:iCs/>
          <w:color w:val="CF0A2C"/>
          <w:sz w:val="19"/>
          <w:szCs w:val="19"/>
        </w:rPr>
        <w:t xml:space="preserve"> </w:t>
      </w:r>
      <w:r>
        <w:rPr>
          <w:rFonts w:eastAsia="Times New Roman"/>
          <w:color w:val="000000"/>
          <w:sz w:val="19"/>
          <w:szCs w:val="19"/>
        </w:rPr>
        <w:t>determined Mr. Tan’s performance to be on target with an Individual Performance Factor of 100%. Mr. Tan was recognized for his contribution in managing and optimizing cost of sales, leading to significant savings for raw materials an</w:t>
      </w:r>
      <w:r>
        <w:rPr>
          <w:rFonts w:eastAsia="Times New Roman"/>
          <w:color w:val="000000"/>
          <w:sz w:val="19"/>
          <w:szCs w:val="19"/>
        </w:rPr>
        <w:t>d logistics cost. He also provided valuable input in planning for the expansion of the Company’s logistics center network. In 2021, the Company acquired land for three logistics centers, of which the Company started greenfield construction for two. When se</w:t>
      </w:r>
      <w:r>
        <w:rPr>
          <w:rFonts w:eastAsia="Times New Roman"/>
          <w:color w:val="000000"/>
          <w:sz w:val="19"/>
          <w:szCs w:val="19"/>
        </w:rPr>
        <w:t>rving as the chairperson of the Sustainability Committee, he was instrumental in formulating the Company’s ESG strategy and roadmap, including the Company’s commitment to setting Science Based Targets, and seeking alignment from key stakeholders. Under his</w:t>
      </w:r>
      <w:r>
        <w:rPr>
          <w:rFonts w:eastAsia="Times New Roman"/>
          <w:color w:val="000000"/>
          <w:sz w:val="19"/>
          <w:szCs w:val="19"/>
        </w:rPr>
        <w:t xml:space="preserve"> leadership, the Company’s ESG efforts achieved progressive improvements, as demonstrated by the assessment results from third-party agencies, including DJSI, ISS and MSCI.</w:t>
      </w:r>
    </w:p>
    <w:p w:rsidR="00CC2C66" w:rsidRDefault="00CC2C66">
      <w:pPr>
        <w:spacing w:line="222" w:lineRule="exact"/>
        <w:rPr>
          <w:sz w:val="20"/>
          <w:szCs w:val="20"/>
        </w:rPr>
      </w:pPr>
    </w:p>
    <w:p w:rsidR="00CC2C66" w:rsidRDefault="00F80B74">
      <w:pPr>
        <w:spacing w:line="267" w:lineRule="auto"/>
        <w:ind w:left="420"/>
        <w:jc w:val="both"/>
        <w:rPr>
          <w:sz w:val="20"/>
          <w:szCs w:val="20"/>
        </w:rPr>
      </w:pPr>
      <w:r>
        <w:rPr>
          <w:rFonts w:eastAsia="Times New Roman"/>
          <w:i/>
          <w:iCs/>
          <w:color w:val="CF0A2C"/>
          <w:sz w:val="18"/>
          <w:szCs w:val="18"/>
        </w:rPr>
        <w:t xml:space="preserve">2021 Compensation Decisions. </w:t>
      </w:r>
      <w:r>
        <w:rPr>
          <w:rFonts w:eastAsia="Times New Roman"/>
          <w:color w:val="000000"/>
          <w:sz w:val="18"/>
          <w:szCs w:val="18"/>
        </w:rPr>
        <w:t>Effective February 1, 2021, the</w:t>
      </w:r>
      <w:r>
        <w:rPr>
          <w:rFonts w:eastAsia="Times New Roman"/>
          <w:i/>
          <w:iCs/>
          <w:color w:val="CF0A2C"/>
          <w:sz w:val="18"/>
          <w:szCs w:val="18"/>
        </w:rPr>
        <w:t xml:space="preserve"> </w:t>
      </w:r>
      <w:r>
        <w:rPr>
          <w:rFonts w:eastAsia="Times New Roman"/>
          <w:color w:val="000000"/>
          <w:sz w:val="18"/>
          <w:szCs w:val="18"/>
        </w:rPr>
        <w:t>Compensation Committe</w:t>
      </w:r>
      <w:r>
        <w:rPr>
          <w:rFonts w:eastAsia="Times New Roman"/>
          <w:color w:val="000000"/>
          <w:sz w:val="18"/>
          <w:szCs w:val="18"/>
        </w:rPr>
        <w:t>e set Mr. Tan’s 2021 compensation levels after considering the advice of its compensation consultant, market practices and Mr. Tan’s individual performance.</w:t>
      </w:r>
    </w:p>
    <w:p w:rsidR="00CC2C66" w:rsidRDefault="00CC2C66">
      <w:pPr>
        <w:spacing w:line="229" w:lineRule="exact"/>
        <w:rPr>
          <w:sz w:val="20"/>
          <w:szCs w:val="20"/>
        </w:rPr>
      </w:pPr>
    </w:p>
    <w:p w:rsidR="00CC2C66" w:rsidRDefault="00F80B74">
      <w:pPr>
        <w:numPr>
          <w:ilvl w:val="0"/>
          <w:numId w:val="92"/>
        </w:numPr>
        <w:tabs>
          <w:tab w:val="left" w:pos="640"/>
        </w:tabs>
        <w:spacing w:line="269" w:lineRule="auto"/>
        <w:ind w:left="640" w:right="20" w:hanging="178"/>
        <w:rPr>
          <w:rFonts w:eastAsia="Times New Roman"/>
          <w:color w:val="CF0A2C"/>
          <w:sz w:val="19"/>
          <w:szCs w:val="19"/>
        </w:rPr>
      </w:pPr>
      <w:r>
        <w:rPr>
          <w:rFonts w:eastAsia="Times New Roman"/>
          <w:i/>
          <w:iCs/>
          <w:sz w:val="19"/>
          <w:szCs w:val="19"/>
        </w:rPr>
        <w:t>Base Salary</w:t>
      </w:r>
      <w:r>
        <w:rPr>
          <w:rFonts w:eastAsia="Times New Roman"/>
          <w:sz w:val="19"/>
          <w:szCs w:val="19"/>
        </w:rPr>
        <w:t>. Mr. Tan’s base salary was increased from</w:t>
      </w:r>
      <w:r>
        <w:rPr>
          <w:rFonts w:eastAsia="Times New Roman"/>
          <w:i/>
          <w:iCs/>
          <w:sz w:val="19"/>
          <w:szCs w:val="19"/>
        </w:rPr>
        <w:t xml:space="preserve"> </w:t>
      </w:r>
      <w:r>
        <w:rPr>
          <w:rFonts w:eastAsia="Times New Roman"/>
          <w:sz w:val="19"/>
          <w:szCs w:val="19"/>
        </w:rPr>
        <w:t>$670,000 to $700,000.</w:t>
      </w:r>
    </w:p>
    <w:p w:rsidR="00CC2C66" w:rsidRDefault="00CC2C66">
      <w:pPr>
        <w:spacing w:line="225" w:lineRule="exact"/>
        <w:rPr>
          <w:rFonts w:eastAsia="Times New Roman"/>
          <w:color w:val="CF0A2C"/>
          <w:sz w:val="19"/>
          <w:szCs w:val="19"/>
        </w:rPr>
      </w:pPr>
    </w:p>
    <w:p w:rsidR="00CC2C66" w:rsidRDefault="00F80B74">
      <w:pPr>
        <w:numPr>
          <w:ilvl w:val="0"/>
          <w:numId w:val="92"/>
        </w:numPr>
        <w:tabs>
          <w:tab w:val="left" w:pos="640"/>
        </w:tabs>
        <w:spacing w:line="269" w:lineRule="auto"/>
        <w:ind w:left="640" w:right="20" w:hanging="178"/>
        <w:rPr>
          <w:rFonts w:eastAsia="Times New Roman"/>
          <w:color w:val="CF0A2C"/>
          <w:sz w:val="19"/>
          <w:szCs w:val="19"/>
        </w:rPr>
      </w:pPr>
      <w:r>
        <w:rPr>
          <w:rFonts w:eastAsia="Times New Roman"/>
          <w:i/>
          <w:iCs/>
          <w:sz w:val="19"/>
          <w:szCs w:val="19"/>
        </w:rPr>
        <w:t>Annual Incentive Plan</w:t>
      </w:r>
      <w:r>
        <w:rPr>
          <w:rFonts w:eastAsia="Times New Roman"/>
          <w:i/>
          <w:iCs/>
          <w:sz w:val="19"/>
          <w:szCs w:val="19"/>
        </w:rPr>
        <w:t xml:space="preserve"> Target and Payout Level</w:t>
      </w:r>
      <w:r>
        <w:rPr>
          <w:rFonts w:eastAsia="Times New Roman"/>
          <w:sz w:val="19"/>
          <w:szCs w:val="19"/>
        </w:rPr>
        <w:t>. Mr. Tan’s</w:t>
      </w:r>
      <w:r>
        <w:rPr>
          <w:rFonts w:eastAsia="Times New Roman"/>
          <w:i/>
          <w:iCs/>
          <w:sz w:val="19"/>
          <w:szCs w:val="19"/>
        </w:rPr>
        <w:t xml:space="preserve"> </w:t>
      </w:r>
      <w:r>
        <w:rPr>
          <w:rFonts w:eastAsia="Times New Roman"/>
          <w:sz w:val="19"/>
          <w:szCs w:val="19"/>
        </w:rPr>
        <w:t>annual cash bonus target was set at 80% of</w:t>
      </w:r>
    </w:p>
    <w:p w:rsidR="00CC2C66" w:rsidRDefault="00F80B74">
      <w:pPr>
        <w:spacing w:line="20" w:lineRule="exact"/>
        <w:rPr>
          <w:sz w:val="20"/>
          <w:szCs w:val="20"/>
        </w:rPr>
      </w:pPr>
      <w:r>
        <w:rPr>
          <w:sz w:val="20"/>
          <w:szCs w:val="20"/>
        </w:rPr>
        <w:br w:type="column"/>
      </w:r>
    </w:p>
    <w:p w:rsidR="00CC2C66" w:rsidRDefault="00CC2C66">
      <w:pPr>
        <w:spacing w:line="386" w:lineRule="exact"/>
        <w:rPr>
          <w:sz w:val="20"/>
          <w:szCs w:val="20"/>
        </w:rPr>
      </w:pPr>
    </w:p>
    <w:p w:rsidR="00CC2C66" w:rsidRDefault="00F80B74">
      <w:pPr>
        <w:spacing w:line="245" w:lineRule="auto"/>
        <w:ind w:left="200" w:right="20"/>
        <w:jc w:val="both"/>
        <w:rPr>
          <w:sz w:val="20"/>
          <w:szCs w:val="20"/>
        </w:rPr>
      </w:pPr>
      <w:r>
        <w:rPr>
          <w:rFonts w:eastAsia="Times New Roman"/>
          <w:sz w:val="19"/>
          <w:szCs w:val="19"/>
        </w:rPr>
        <w:t xml:space="preserve">his base salary, unchanged from the prior year, resulting in a bonus target for the year of $ 560,000. Mr. Tan’s 2021 annual cash bonus award payout was $588,000, reflecting </w:t>
      </w:r>
      <w:r>
        <w:rPr>
          <w:rFonts w:eastAsia="Times New Roman"/>
          <w:sz w:val="19"/>
          <w:szCs w:val="19"/>
        </w:rPr>
        <w:t>a total payout of 105% of target based on the Team Performance Factor of 105% and Individual Performance Factor of 100%.</w:t>
      </w:r>
    </w:p>
    <w:p w:rsidR="00CC2C66" w:rsidRDefault="00CC2C66">
      <w:pPr>
        <w:spacing w:line="248" w:lineRule="exact"/>
        <w:rPr>
          <w:sz w:val="20"/>
          <w:szCs w:val="20"/>
        </w:rPr>
      </w:pPr>
    </w:p>
    <w:p w:rsidR="00CC2C66" w:rsidRDefault="00F80B74">
      <w:pPr>
        <w:numPr>
          <w:ilvl w:val="0"/>
          <w:numId w:val="93"/>
        </w:numPr>
        <w:tabs>
          <w:tab w:val="left" w:pos="240"/>
        </w:tabs>
        <w:spacing w:line="241" w:lineRule="auto"/>
        <w:ind w:left="240" w:right="20" w:hanging="181"/>
        <w:jc w:val="both"/>
        <w:rPr>
          <w:rFonts w:eastAsia="Times New Roman"/>
          <w:color w:val="CF0A2C"/>
          <w:sz w:val="19"/>
          <w:szCs w:val="19"/>
        </w:rPr>
      </w:pPr>
      <w:r>
        <w:rPr>
          <w:rFonts w:eastAsia="Times New Roman"/>
          <w:i/>
          <w:iCs/>
          <w:sz w:val="19"/>
          <w:szCs w:val="19"/>
        </w:rPr>
        <w:t>Long-Term Incentive Award</w:t>
      </w:r>
      <w:r>
        <w:rPr>
          <w:rFonts w:eastAsia="Times New Roman"/>
          <w:sz w:val="19"/>
          <w:szCs w:val="19"/>
        </w:rPr>
        <w:t>. The Compensation Committee</w:t>
      </w:r>
      <w:r>
        <w:rPr>
          <w:rFonts w:eastAsia="Times New Roman"/>
          <w:i/>
          <w:iCs/>
          <w:sz w:val="19"/>
          <w:szCs w:val="19"/>
        </w:rPr>
        <w:t xml:space="preserve"> </w:t>
      </w:r>
      <w:r>
        <w:rPr>
          <w:rFonts w:eastAsia="Times New Roman"/>
          <w:sz w:val="19"/>
          <w:szCs w:val="19"/>
        </w:rPr>
        <w:t xml:space="preserve">approved a long-term incentive award of $1,000,000 to Mr. Tan in February 2021, </w:t>
      </w:r>
      <w:r>
        <w:rPr>
          <w:rFonts w:eastAsia="Times New Roman"/>
          <w:sz w:val="19"/>
          <w:szCs w:val="19"/>
        </w:rPr>
        <w:t>to be delivered equally in SARs and PSUs, as the compensation review shows that the prior year long-term incentive award, which had remained unchanged from the prior year, was under-competitive. Consistent with the Company’s usual practice of granting annu</w:t>
      </w:r>
      <w:r>
        <w:rPr>
          <w:rFonts w:eastAsia="Times New Roman"/>
          <w:sz w:val="19"/>
          <w:szCs w:val="19"/>
        </w:rPr>
        <w:t>al LTI awards in February, the number of shares subject to the May 2021 portion of Mr. Tan’s PSU grant was determined based on the February 2021 stock price rather than the stock price on the grant date in May 2021, which resulted in larger grant date fair</w:t>
      </w:r>
      <w:r>
        <w:rPr>
          <w:rFonts w:eastAsia="Times New Roman"/>
          <w:sz w:val="19"/>
          <w:szCs w:val="19"/>
        </w:rPr>
        <w:t xml:space="preserve"> value of $1,034,078 as compared to the grant level approved in February 2021 due to higher stock price in May 2021.</w:t>
      </w:r>
    </w:p>
    <w:p w:rsidR="00CC2C66" w:rsidRDefault="00CC2C66">
      <w:pPr>
        <w:spacing w:line="218" w:lineRule="exact"/>
        <w:rPr>
          <w:sz w:val="20"/>
          <w:szCs w:val="20"/>
        </w:rPr>
      </w:pPr>
    </w:p>
    <w:p w:rsidR="00CC2C66" w:rsidRDefault="00F80B74">
      <w:pPr>
        <w:spacing w:line="252" w:lineRule="auto"/>
        <w:jc w:val="both"/>
        <w:rPr>
          <w:sz w:val="20"/>
          <w:szCs w:val="20"/>
        </w:rPr>
      </w:pPr>
      <w:r>
        <w:rPr>
          <w:rFonts w:eastAsia="Times New Roman"/>
          <w:sz w:val="19"/>
          <w:szCs w:val="19"/>
        </w:rPr>
        <w:t>Please see the “Potential Payments upon a Termination or a Change in Control” section below for a quantification of the amounts Mr. Tan re</w:t>
      </w:r>
      <w:r>
        <w:rPr>
          <w:rFonts w:eastAsia="Times New Roman"/>
          <w:sz w:val="19"/>
          <w:szCs w:val="19"/>
        </w:rPr>
        <w:t>ceived in connection with his separation.</w:t>
      </w:r>
    </w:p>
    <w:p w:rsidR="00CC2C66" w:rsidRDefault="00CC2C66">
      <w:pPr>
        <w:spacing w:line="1147"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28"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49</w:t>
      </w:r>
    </w:p>
    <w:p w:rsidR="00CC2C66" w:rsidRDefault="00F80B74">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56" w:name="page56"/>
      <w:bookmarkEnd w:id="56"/>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190" w:lineRule="exact"/>
        <w:rPr>
          <w:sz w:val="20"/>
          <w:szCs w:val="20"/>
        </w:rPr>
      </w:pPr>
    </w:p>
    <w:p w:rsidR="00CC2C66" w:rsidRDefault="00F80B74">
      <w:pPr>
        <w:ind w:left="420"/>
        <w:rPr>
          <w:sz w:val="20"/>
          <w:szCs w:val="20"/>
        </w:rPr>
      </w:pPr>
      <w:r>
        <w:rPr>
          <w:rFonts w:ascii="Arial" w:eastAsia="Arial" w:hAnsi="Arial" w:cs="Arial"/>
          <w:b/>
          <w:bCs/>
          <w:color w:val="CF0A2C"/>
          <w:sz w:val="24"/>
          <w:szCs w:val="24"/>
        </w:rPr>
        <w:t>How Compensation Decisions Are Made</w:t>
      </w:r>
    </w:p>
    <w:p w:rsidR="00CC2C66" w:rsidRDefault="00CC2C66">
      <w:pPr>
        <w:spacing w:line="335" w:lineRule="exact"/>
        <w:rPr>
          <w:sz w:val="20"/>
          <w:szCs w:val="20"/>
        </w:rPr>
      </w:pPr>
    </w:p>
    <w:p w:rsidR="00CC2C66" w:rsidRDefault="00F80B74">
      <w:pPr>
        <w:ind w:left="420"/>
        <w:rPr>
          <w:sz w:val="20"/>
          <w:szCs w:val="20"/>
        </w:rPr>
      </w:pPr>
      <w:r>
        <w:rPr>
          <w:rFonts w:eastAsia="Times New Roman"/>
          <w:i/>
          <w:iCs/>
          <w:color w:val="CF0A2C"/>
          <w:sz w:val="19"/>
          <w:szCs w:val="19"/>
        </w:rPr>
        <w:t>Executive Compensation Philosophy</w:t>
      </w:r>
    </w:p>
    <w:p w:rsidR="00CC2C66" w:rsidRDefault="00CC2C66">
      <w:pPr>
        <w:spacing w:line="245" w:lineRule="exact"/>
        <w:rPr>
          <w:sz w:val="20"/>
          <w:szCs w:val="20"/>
        </w:rPr>
      </w:pPr>
    </w:p>
    <w:p w:rsidR="00CC2C66" w:rsidRDefault="00F80B74">
      <w:pPr>
        <w:spacing w:line="243" w:lineRule="auto"/>
        <w:ind w:left="420"/>
        <w:jc w:val="both"/>
        <w:rPr>
          <w:sz w:val="20"/>
          <w:szCs w:val="20"/>
        </w:rPr>
      </w:pPr>
      <w:r>
        <w:rPr>
          <w:rFonts w:eastAsia="Times New Roman"/>
          <w:sz w:val="19"/>
          <w:szCs w:val="19"/>
        </w:rPr>
        <w:t xml:space="preserve">A unique </w:t>
      </w:r>
      <w:r>
        <w:rPr>
          <w:rFonts w:eastAsia="Times New Roman"/>
          <w:sz w:val="19"/>
          <w:szCs w:val="19"/>
        </w:rPr>
        <w:t xml:space="preserve">feature of the Company is that while incorporated in Delaware and listed on the NYSE and Hong Kong Stock Exchange, substantially all of its operations are located in China. As a result, knowledge and expertise of both U.S. and China regulatory regimes and </w:t>
      </w:r>
      <w:r>
        <w:rPr>
          <w:rFonts w:eastAsia="Times New Roman"/>
          <w:sz w:val="19"/>
          <w:szCs w:val="19"/>
        </w:rPr>
        <w:t>business practices are required for many of the Company’s executive officers.</w:t>
      </w:r>
    </w:p>
    <w:p w:rsidR="00CC2C66" w:rsidRDefault="00CC2C66">
      <w:pPr>
        <w:spacing w:line="219" w:lineRule="exact"/>
        <w:rPr>
          <w:sz w:val="20"/>
          <w:szCs w:val="20"/>
        </w:rPr>
      </w:pPr>
    </w:p>
    <w:p w:rsidR="00CC2C66" w:rsidRDefault="00F80B74">
      <w:pPr>
        <w:spacing w:line="242" w:lineRule="auto"/>
        <w:ind w:left="420"/>
        <w:jc w:val="both"/>
        <w:rPr>
          <w:sz w:val="20"/>
          <w:szCs w:val="20"/>
        </w:rPr>
      </w:pPr>
      <w:r>
        <w:rPr>
          <w:rFonts w:eastAsia="Times New Roman"/>
          <w:sz w:val="19"/>
          <w:szCs w:val="19"/>
        </w:rPr>
        <w:t>The Company’s executive compensation program has been designed to attract and retain the talent necessary to achieve superior stockholder results and support the long-term susta</w:t>
      </w:r>
      <w:r>
        <w:rPr>
          <w:rFonts w:eastAsia="Times New Roman"/>
          <w:sz w:val="19"/>
          <w:szCs w:val="19"/>
        </w:rPr>
        <w:t>inable growth of the Company while simultaneously holding our executives accountable to continuously achieve results year after year. In addition, the program has been designed to reward performance, emphasize long-term value creation and drive an ownershi</w:t>
      </w:r>
      <w:r>
        <w:rPr>
          <w:rFonts w:eastAsia="Times New Roman"/>
          <w:sz w:val="19"/>
          <w:szCs w:val="19"/>
        </w:rPr>
        <w:t>p mentality.</w:t>
      </w:r>
    </w:p>
    <w:p w:rsidR="00CC2C66" w:rsidRDefault="00CC2C66">
      <w:pPr>
        <w:spacing w:line="201" w:lineRule="exact"/>
        <w:rPr>
          <w:sz w:val="20"/>
          <w:szCs w:val="20"/>
        </w:rPr>
      </w:pPr>
    </w:p>
    <w:p w:rsidR="00CC2C66" w:rsidRDefault="00F80B74">
      <w:pPr>
        <w:ind w:left="420"/>
        <w:rPr>
          <w:sz w:val="20"/>
          <w:szCs w:val="20"/>
        </w:rPr>
      </w:pPr>
      <w:r>
        <w:rPr>
          <w:rFonts w:eastAsia="Times New Roman"/>
          <w:i/>
          <w:iCs/>
          <w:color w:val="CF0A2C"/>
          <w:sz w:val="19"/>
          <w:szCs w:val="19"/>
        </w:rPr>
        <w:t>Role of the Compensation Committee</w:t>
      </w:r>
    </w:p>
    <w:p w:rsidR="00CC2C66" w:rsidRDefault="00CC2C66">
      <w:pPr>
        <w:spacing w:line="245" w:lineRule="exact"/>
        <w:rPr>
          <w:sz w:val="20"/>
          <w:szCs w:val="20"/>
        </w:rPr>
      </w:pPr>
    </w:p>
    <w:p w:rsidR="00CC2C66" w:rsidRDefault="00F80B74">
      <w:pPr>
        <w:ind w:left="420"/>
        <w:jc w:val="both"/>
        <w:rPr>
          <w:sz w:val="20"/>
          <w:szCs w:val="20"/>
        </w:rPr>
      </w:pPr>
      <w:r>
        <w:rPr>
          <w:rFonts w:eastAsia="Times New Roman"/>
          <w:sz w:val="19"/>
          <w:szCs w:val="19"/>
        </w:rPr>
        <w:t>The Compensation Committee reviews and approves goals and objectives relevant to the compensation of the CEO and other executive officers, sets the compensation levels of each of the executive officers, and</w:t>
      </w:r>
      <w:r>
        <w:rPr>
          <w:rFonts w:eastAsia="Times New Roman"/>
          <w:sz w:val="19"/>
          <w:szCs w:val="19"/>
        </w:rPr>
        <w:t xml:space="preserve"> together with the other independent directors of the Board, approves the compensation of the CEO. While not members of the Compensation Committee, the CEO, the CFO, the Chief People Officer, and the Chief Legal Officer, when necessary, also attended meeti</w:t>
      </w:r>
      <w:r>
        <w:rPr>
          <w:rFonts w:eastAsia="Times New Roman"/>
          <w:sz w:val="19"/>
          <w:szCs w:val="19"/>
        </w:rPr>
        <w:t>ngs of the Compensation Committee in 2021 to contribute to and understand the Compensation Committee’s oversight of, and decisions relating to, executive compensation. The CEO, the CFO, the Chief People Officer, and the Chief Legal Officer did not attend p</w:t>
      </w:r>
      <w:r>
        <w:rPr>
          <w:rFonts w:eastAsia="Times New Roman"/>
          <w:sz w:val="19"/>
          <w:szCs w:val="19"/>
        </w:rPr>
        <w:t>ortions of the meetings relating to their own compensation. The Compensation Committee regularly conducts executive sessions without management present. The Compensation Committee also engages in an ongoing dialogue with its compensation consultant, the CE</w:t>
      </w:r>
      <w:r>
        <w:rPr>
          <w:rFonts w:eastAsia="Times New Roman"/>
          <w:sz w:val="19"/>
          <w:szCs w:val="19"/>
        </w:rPr>
        <w:t>O, and the Chief People Officer for the evaluation and establishment of the elements of our executive compensation program.</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05" w:lineRule="exact"/>
        <w:rPr>
          <w:sz w:val="20"/>
          <w:szCs w:val="20"/>
        </w:rPr>
      </w:pPr>
    </w:p>
    <w:p w:rsidR="00CC2C66" w:rsidRDefault="00F80B74">
      <w:pPr>
        <w:numPr>
          <w:ilvl w:val="0"/>
          <w:numId w:val="94"/>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21" w:lineRule="exact"/>
        <w:rPr>
          <w:sz w:val="20"/>
          <w:szCs w:val="20"/>
        </w:rPr>
      </w:pPr>
    </w:p>
    <w:p w:rsidR="00CC2C66" w:rsidRDefault="00F80B74">
      <w:pPr>
        <w:rPr>
          <w:sz w:val="20"/>
          <w:szCs w:val="20"/>
        </w:rPr>
      </w:pPr>
      <w:r>
        <w:rPr>
          <w:rFonts w:eastAsia="Times New Roman"/>
          <w:i/>
          <w:iCs/>
          <w:color w:val="CF0A2C"/>
          <w:sz w:val="19"/>
          <w:szCs w:val="19"/>
        </w:rPr>
        <w:t>Role of the Independent Consultant</w:t>
      </w:r>
    </w:p>
    <w:p w:rsidR="00CC2C66" w:rsidRDefault="00F80B74">
      <w:pPr>
        <w:spacing w:line="20" w:lineRule="exact"/>
        <w:rPr>
          <w:sz w:val="20"/>
          <w:szCs w:val="20"/>
        </w:rPr>
      </w:pPr>
      <w:r>
        <w:rPr>
          <w:noProof/>
          <w:sz w:val="20"/>
          <w:szCs w:val="20"/>
        </w:rPr>
        <w:drawing>
          <wp:anchor distT="0" distB="0" distL="114300" distR="114300" simplePos="0" relativeHeight="251687936" behindDoc="1" locked="0" layoutInCell="0" allowOverlap="1">
            <wp:simplePos x="0" y="0"/>
            <wp:positionH relativeFrom="column">
              <wp:posOffset>-3642995</wp:posOffset>
            </wp:positionH>
            <wp:positionV relativeFrom="paragraph">
              <wp:posOffset>-1306830</wp:posOffset>
            </wp:positionV>
            <wp:extent cx="7181215" cy="3683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25" w:lineRule="exact"/>
        <w:rPr>
          <w:sz w:val="20"/>
          <w:szCs w:val="20"/>
        </w:rPr>
      </w:pPr>
    </w:p>
    <w:p w:rsidR="00CC2C66" w:rsidRDefault="00F80B74">
      <w:pPr>
        <w:spacing w:line="254" w:lineRule="auto"/>
        <w:jc w:val="both"/>
        <w:rPr>
          <w:sz w:val="20"/>
          <w:szCs w:val="20"/>
        </w:rPr>
      </w:pPr>
      <w:r>
        <w:rPr>
          <w:rFonts w:eastAsia="Times New Roman"/>
          <w:sz w:val="18"/>
          <w:szCs w:val="18"/>
        </w:rPr>
        <w:t xml:space="preserve">During 2021, the Compensation Committee retained </w:t>
      </w:r>
      <w:r>
        <w:rPr>
          <w:rFonts w:eastAsia="Times New Roman"/>
          <w:sz w:val="18"/>
          <w:szCs w:val="18"/>
        </w:rPr>
        <w:t>Mercer (Hong Kong) Limited (“</w:t>
      </w:r>
      <w:r>
        <w:rPr>
          <w:rFonts w:eastAsia="Times New Roman"/>
          <w:b/>
          <w:bCs/>
          <w:i/>
          <w:iCs/>
          <w:sz w:val="18"/>
          <w:szCs w:val="18"/>
        </w:rPr>
        <w:t>Mercer</w:t>
      </w:r>
      <w:r>
        <w:rPr>
          <w:rFonts w:eastAsia="Times New Roman"/>
          <w:sz w:val="18"/>
          <w:szCs w:val="18"/>
        </w:rPr>
        <w:t>”) as its independent consultant to advise it on executive compensation matters. Mercer attended Compensation Committee meetings in 2021 and provided advice and guidance to the Compensation Committee on (i) the market com</w:t>
      </w:r>
      <w:r>
        <w:rPr>
          <w:rFonts w:eastAsia="Times New Roman"/>
          <w:sz w:val="18"/>
          <w:szCs w:val="18"/>
        </w:rPr>
        <w:t>petitiveness of the Company’s executive pay practices and levels; (ii) incentive compensation plan design market practice, including regulatory developments, and institutional shareholder views, and in relation to equity awards under the applicable JV Equi</w:t>
      </w:r>
      <w:r>
        <w:rPr>
          <w:rFonts w:eastAsia="Times New Roman"/>
          <w:sz w:val="18"/>
          <w:szCs w:val="18"/>
        </w:rPr>
        <w:t>ty Plan;</w:t>
      </w:r>
    </w:p>
    <w:p w:rsidR="00CC2C66" w:rsidRDefault="00CC2C66">
      <w:pPr>
        <w:spacing w:line="3" w:lineRule="exact"/>
        <w:rPr>
          <w:sz w:val="20"/>
          <w:szCs w:val="20"/>
        </w:rPr>
      </w:pPr>
    </w:p>
    <w:p w:rsidR="00CC2C66" w:rsidRDefault="00F80B74">
      <w:pPr>
        <w:numPr>
          <w:ilvl w:val="0"/>
          <w:numId w:val="95"/>
        </w:numPr>
        <w:tabs>
          <w:tab w:val="left" w:pos="371"/>
        </w:tabs>
        <w:spacing w:line="238" w:lineRule="auto"/>
        <w:ind w:firstLine="8"/>
        <w:jc w:val="both"/>
        <w:rPr>
          <w:rFonts w:eastAsia="Times New Roman"/>
          <w:sz w:val="19"/>
          <w:szCs w:val="19"/>
        </w:rPr>
      </w:pPr>
      <w:r>
        <w:rPr>
          <w:rFonts w:eastAsia="Times New Roman"/>
          <w:sz w:val="19"/>
          <w:szCs w:val="19"/>
        </w:rPr>
        <w:t>executive severance plan design benchmarks; (iv) the 2022 compensation peer group; (v) the results of equity compensation analytics and award valuations; (vi) the 2021 Chairman Grants;</w:t>
      </w:r>
    </w:p>
    <w:p w:rsidR="00CC2C66" w:rsidRDefault="00CC2C66">
      <w:pPr>
        <w:spacing w:line="1" w:lineRule="exact"/>
        <w:rPr>
          <w:rFonts w:eastAsia="Times New Roman"/>
          <w:sz w:val="19"/>
          <w:szCs w:val="19"/>
        </w:rPr>
      </w:pPr>
    </w:p>
    <w:p w:rsidR="00CC2C66" w:rsidRDefault="00F80B74">
      <w:pPr>
        <w:numPr>
          <w:ilvl w:val="0"/>
          <w:numId w:val="96"/>
        </w:numPr>
        <w:tabs>
          <w:tab w:val="left" w:pos="439"/>
        </w:tabs>
        <w:spacing w:line="239" w:lineRule="auto"/>
        <w:ind w:firstLine="8"/>
        <w:jc w:val="both"/>
        <w:rPr>
          <w:rFonts w:eastAsia="Times New Roman"/>
          <w:sz w:val="19"/>
          <w:szCs w:val="19"/>
        </w:rPr>
      </w:pPr>
      <w:r>
        <w:rPr>
          <w:rFonts w:eastAsia="Times New Roman"/>
          <w:sz w:val="19"/>
          <w:szCs w:val="19"/>
        </w:rPr>
        <w:t>the Company’s stock ownership guidelines and retention polic</w:t>
      </w:r>
      <w:r>
        <w:rPr>
          <w:rFonts w:eastAsia="Times New Roman"/>
          <w:sz w:val="19"/>
          <w:szCs w:val="19"/>
        </w:rPr>
        <w:t>ies; and (viii) pay disclosures, including this CD&amp;A. The Compensation Committee has assessed the independence of Mercer pursuant to NYSE rules and conflicts of interest specifically enumerated by the SEC’s six factors, and the Company has concluded that M</w:t>
      </w:r>
      <w:r>
        <w:rPr>
          <w:rFonts w:eastAsia="Times New Roman"/>
          <w:sz w:val="19"/>
          <w:szCs w:val="19"/>
        </w:rPr>
        <w:t xml:space="preserve">ercer’s work for the Compensation Committee does not raise any conflicts of interest. The Compensation Committee annually reviews its relationship with Mercer and determines whether to renew the engagement. Only the Compensation Committee has the right to </w:t>
      </w:r>
      <w:r>
        <w:rPr>
          <w:rFonts w:eastAsia="Times New Roman"/>
          <w:sz w:val="19"/>
          <w:szCs w:val="19"/>
        </w:rPr>
        <w:t>approve the services to be provided by, or to terminate the services of, its compensation consultant.</w:t>
      </w:r>
    </w:p>
    <w:p w:rsidR="00CC2C66" w:rsidRDefault="00CC2C66">
      <w:pPr>
        <w:spacing w:line="214" w:lineRule="exact"/>
        <w:rPr>
          <w:sz w:val="20"/>
          <w:szCs w:val="20"/>
        </w:rPr>
      </w:pPr>
    </w:p>
    <w:p w:rsidR="00CC2C66" w:rsidRDefault="00F80B74">
      <w:pPr>
        <w:rPr>
          <w:sz w:val="20"/>
          <w:szCs w:val="20"/>
        </w:rPr>
      </w:pPr>
      <w:r>
        <w:rPr>
          <w:rFonts w:eastAsia="Times New Roman"/>
          <w:i/>
          <w:iCs/>
          <w:color w:val="CF0A2C"/>
          <w:sz w:val="19"/>
          <w:szCs w:val="19"/>
        </w:rPr>
        <w:t>Executive Compensation Peer Group</w:t>
      </w:r>
    </w:p>
    <w:p w:rsidR="00CC2C66" w:rsidRDefault="00CC2C66">
      <w:pPr>
        <w:spacing w:line="233" w:lineRule="exact"/>
        <w:rPr>
          <w:sz w:val="20"/>
          <w:szCs w:val="20"/>
        </w:rPr>
      </w:pPr>
    </w:p>
    <w:p w:rsidR="00CC2C66" w:rsidRDefault="00F80B74">
      <w:pPr>
        <w:spacing w:line="243" w:lineRule="auto"/>
        <w:ind w:right="20"/>
        <w:jc w:val="both"/>
        <w:rPr>
          <w:sz w:val="20"/>
          <w:szCs w:val="20"/>
        </w:rPr>
      </w:pPr>
      <w:r>
        <w:rPr>
          <w:rFonts w:eastAsia="Times New Roman"/>
          <w:sz w:val="19"/>
          <w:szCs w:val="19"/>
        </w:rPr>
        <w:t xml:space="preserve">One of the key objectives of our executive compensation program is to retain and reward the right talent by providing </w:t>
      </w:r>
      <w:r>
        <w:rPr>
          <w:rFonts w:eastAsia="Times New Roman"/>
          <w:sz w:val="19"/>
          <w:szCs w:val="19"/>
        </w:rPr>
        <w:t>reasonable and competitive compensation. One method that the Compensation Committee utilizes to attain this objective is by establishing a group of peer companies for comparison of executive compensation practices.</w:t>
      </w:r>
    </w:p>
    <w:p w:rsidR="00CC2C66" w:rsidRDefault="00CC2C66">
      <w:pPr>
        <w:spacing w:line="219" w:lineRule="exact"/>
        <w:rPr>
          <w:sz w:val="20"/>
          <w:szCs w:val="20"/>
        </w:rPr>
      </w:pPr>
    </w:p>
    <w:p w:rsidR="00CC2C66" w:rsidRDefault="00F80B74">
      <w:pPr>
        <w:spacing w:line="245" w:lineRule="auto"/>
        <w:jc w:val="both"/>
        <w:rPr>
          <w:sz w:val="20"/>
          <w:szCs w:val="20"/>
        </w:rPr>
      </w:pPr>
      <w:r>
        <w:rPr>
          <w:rFonts w:eastAsia="Times New Roman"/>
          <w:sz w:val="19"/>
          <w:szCs w:val="19"/>
        </w:rPr>
        <w:t xml:space="preserve">The peer group approved by the </w:t>
      </w:r>
      <w:r>
        <w:rPr>
          <w:rFonts w:eastAsia="Times New Roman"/>
          <w:sz w:val="19"/>
          <w:szCs w:val="19"/>
        </w:rPr>
        <w:t>Compensation Committee based on the recommendations of Mercer consisted of companies in the restaurant, food and consumer services industries in the United States, Greater China and Europe, as these represent the sectors with which the Company</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57" w:name="page57"/>
      <w:bookmarkEnd w:id="57"/>
      <w:r>
        <w:rPr>
          <w:rFonts w:eastAsia="Times New Roman"/>
          <w:b/>
          <w:bCs/>
          <w:color w:val="0000EE"/>
          <w:sz w:val="17"/>
          <w:szCs w:val="17"/>
          <w:u w:val="single"/>
        </w:rPr>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43" w:lineRule="auto"/>
        <w:ind w:left="420"/>
        <w:jc w:val="both"/>
        <w:rPr>
          <w:sz w:val="20"/>
          <w:szCs w:val="20"/>
        </w:rPr>
      </w:pPr>
      <w:r>
        <w:rPr>
          <w:rFonts w:eastAsia="Times New Roman"/>
          <w:sz w:val="19"/>
          <w:szCs w:val="19"/>
        </w:rPr>
        <w:t>competes for executive talent. In addition, Mercer suggested that, for purposes of benchmarking compensation levels for NEOs other than the CEO, the peer group data be supplemented with compensation survey d</w:t>
      </w:r>
      <w:r>
        <w:rPr>
          <w:rFonts w:eastAsia="Times New Roman"/>
          <w:sz w:val="19"/>
          <w:szCs w:val="19"/>
        </w:rPr>
        <w:t>ata to provide a broader perspective on market practices. References in this CD&amp;A to market data refer to the peer group or survey data, as appropriate.</w:t>
      </w:r>
    </w:p>
    <w:p w:rsidR="00CC2C66" w:rsidRDefault="00CC2C66">
      <w:pPr>
        <w:spacing w:line="219" w:lineRule="exact"/>
        <w:rPr>
          <w:sz w:val="20"/>
          <w:szCs w:val="20"/>
        </w:rPr>
      </w:pPr>
    </w:p>
    <w:p w:rsidR="00CC2C66" w:rsidRDefault="00F80B74">
      <w:pPr>
        <w:spacing w:line="243" w:lineRule="auto"/>
        <w:ind w:left="420"/>
        <w:jc w:val="both"/>
        <w:rPr>
          <w:sz w:val="20"/>
          <w:szCs w:val="20"/>
        </w:rPr>
      </w:pPr>
      <w:r>
        <w:rPr>
          <w:rFonts w:eastAsia="Times New Roman"/>
          <w:sz w:val="19"/>
          <w:szCs w:val="19"/>
        </w:rPr>
        <w:t>After considering the advice of Mercer, the Compensation Committee approved a revised peer group for e</w:t>
      </w:r>
      <w:r>
        <w:rPr>
          <w:rFonts w:eastAsia="Times New Roman"/>
          <w:sz w:val="19"/>
          <w:szCs w:val="19"/>
        </w:rPr>
        <w:t>valuating 2021 compensation decisions for the NEOs, which consisted of the companies below. As part of these revisions, the Compensation Committee added Beyond Meat, Inc., China Mengniu Dairy, eBay Inc., Expedia Group,</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689984"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jc w:val="both"/>
        <w:rPr>
          <w:sz w:val="20"/>
          <w:szCs w:val="20"/>
        </w:rPr>
      </w:pPr>
      <w:r>
        <w:rPr>
          <w:rFonts w:eastAsia="Times New Roman"/>
          <w:sz w:val="19"/>
          <w:szCs w:val="19"/>
        </w:rPr>
        <w:t xml:space="preserve">Inc., </w:t>
      </w:r>
      <w:r>
        <w:rPr>
          <w:rFonts w:eastAsia="Times New Roman"/>
          <w:sz w:val="19"/>
          <w:szCs w:val="19"/>
        </w:rPr>
        <w:t>Kellogg Company, Marriott International, Inc., and McCormick &amp; Company, Incorporated and removed Hyatt Hotels Corporation, Melco International Development Limited, US Foods Holding Corp., Whitbread PLC, Wm Morrison Supermarkets PLC, Wynn Macau, Limited and</w:t>
      </w:r>
      <w:r>
        <w:rPr>
          <w:rFonts w:eastAsia="Times New Roman"/>
          <w:sz w:val="19"/>
          <w:szCs w:val="19"/>
        </w:rPr>
        <w:t xml:space="preserve"> X5 Retail Group N.V. These changes were made in order to further align the peer group with the Company’s size and operations. Founder CEOs at Beyond Meat, Inc., Haidilao International Holdings Ltd., and Want Want China Holdings Limited were excluded from </w:t>
      </w:r>
      <w:r>
        <w:rPr>
          <w:rFonts w:eastAsia="Times New Roman"/>
          <w:sz w:val="19"/>
          <w:szCs w:val="19"/>
        </w:rPr>
        <w:t>the competitive market review. Our peer group reflects a median market capitalization of $23.6 billion and median annual revenues of $11.2 billion, both as of June 30, 2021, and consists of 17 U.S. and 10 non-U.S. companies.</w:t>
      </w:r>
    </w:p>
    <w:p w:rsidR="00CC2C66" w:rsidRDefault="00CC2C66">
      <w:pPr>
        <w:spacing w:line="233" w:lineRule="exact"/>
        <w:rPr>
          <w:sz w:val="20"/>
          <w:szCs w:val="20"/>
        </w:rPr>
      </w:pP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CC2C66">
      <w:pPr>
        <w:spacing w:line="217" w:lineRule="exact"/>
        <w:rPr>
          <w:sz w:val="20"/>
          <w:szCs w:val="20"/>
        </w:rPr>
      </w:pPr>
    </w:p>
    <w:p w:rsidR="00CC2C66" w:rsidRDefault="00F80B74">
      <w:pPr>
        <w:ind w:left="460"/>
        <w:rPr>
          <w:sz w:val="20"/>
          <w:szCs w:val="20"/>
        </w:rPr>
      </w:pPr>
      <w:r>
        <w:rPr>
          <w:rFonts w:ascii="Arial" w:eastAsia="Arial" w:hAnsi="Arial" w:cs="Arial"/>
          <w:b/>
          <w:bCs/>
          <w:color w:val="CF0A2C"/>
          <w:sz w:val="15"/>
          <w:szCs w:val="15"/>
        </w:rPr>
        <w:t>2021 Executive Compensation Peer Group</w:t>
      </w:r>
    </w:p>
    <w:p w:rsidR="00CC2C66" w:rsidRDefault="00F80B74">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260985</wp:posOffset>
            </wp:positionH>
            <wp:positionV relativeFrom="paragraph">
              <wp:posOffset>-107950</wp:posOffset>
            </wp:positionV>
            <wp:extent cx="6620510" cy="12954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2">
                      <a:extLst/>
                    </a:blip>
                    <a:srcRect/>
                    <a:stretch>
                      <a:fillRect/>
                    </a:stretch>
                  </pic:blipFill>
                  <pic:spPr bwMode="auto">
                    <a:xfrm>
                      <a:off x="0" y="0"/>
                      <a:ext cx="6620510" cy="129540"/>
                    </a:xfrm>
                    <a:prstGeom prst="rect">
                      <a:avLst/>
                    </a:prstGeom>
                    <a:noFill/>
                  </pic:spPr>
                </pic:pic>
              </a:graphicData>
            </a:graphic>
          </wp:anchor>
        </w:drawing>
      </w:r>
      <w:r>
        <w:rPr>
          <w:noProof/>
          <w:sz w:val="20"/>
          <w:szCs w:val="20"/>
        </w:rPr>
        <w:drawing>
          <wp:anchor distT="0" distB="0" distL="114300" distR="114300" simplePos="0" relativeHeight="251692032" behindDoc="1" locked="0" layoutInCell="0" allowOverlap="1">
            <wp:simplePos x="0" y="0"/>
            <wp:positionH relativeFrom="column">
              <wp:posOffset>877570</wp:posOffset>
            </wp:positionH>
            <wp:positionV relativeFrom="paragraph">
              <wp:posOffset>200025</wp:posOffset>
            </wp:positionV>
            <wp:extent cx="5395595" cy="150114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3">
                      <a:extLst/>
                    </a:blip>
                    <a:srcRect/>
                    <a:stretch>
                      <a:fillRect/>
                    </a:stretch>
                  </pic:blipFill>
                  <pic:spPr bwMode="auto">
                    <a:xfrm>
                      <a:off x="0" y="0"/>
                      <a:ext cx="5395595" cy="1501140"/>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90" w:lineRule="exact"/>
        <w:rPr>
          <w:sz w:val="20"/>
          <w:szCs w:val="20"/>
        </w:rPr>
      </w:pPr>
    </w:p>
    <w:p w:rsidR="00CC2C66" w:rsidRDefault="00F80B74">
      <w:pPr>
        <w:ind w:left="420"/>
        <w:jc w:val="both"/>
        <w:rPr>
          <w:sz w:val="20"/>
          <w:szCs w:val="20"/>
        </w:rPr>
      </w:pPr>
      <w:r>
        <w:rPr>
          <w:rFonts w:eastAsia="Times New Roman"/>
          <w:sz w:val="19"/>
          <w:szCs w:val="19"/>
        </w:rPr>
        <w:t>Data from our 2021 peer group was supplemented by data from companies included in three executive compensation surveys conducted by Mercer in China, Hong Kong, and the U.S., size</w:t>
      </w:r>
      <w:r>
        <w:rPr>
          <w:rFonts w:eastAsia="Times New Roman"/>
          <w:sz w:val="19"/>
          <w:szCs w:val="19"/>
        </w:rPr>
        <w:t xml:space="preserve"> adjusted to reflect the Company’s revenue. During 2021, the Compensation Committee reviewed a report summarizing compensation levels at the 25th, 50th and 75th percentiles of the peer group and, as applicable, of the survey data for positions comparable t</w:t>
      </w:r>
      <w:r>
        <w:rPr>
          <w:rFonts w:eastAsia="Times New Roman"/>
          <w:sz w:val="19"/>
          <w:szCs w:val="19"/>
        </w:rPr>
        <w:t>o our NEOs. The report compared target and actual total cash compensation (base salary and annual incentives) and total direct compensation (base salary plus annual incentives plus long-term incentives) for each of the NEOs against these benchmarks. The Co</w:t>
      </w:r>
      <w:r>
        <w:rPr>
          <w:rFonts w:eastAsia="Times New Roman"/>
          <w:sz w:val="19"/>
          <w:szCs w:val="19"/>
        </w:rPr>
        <w:t>mpensation Committee also reviewed detailed tally sheets that captured comprehensive compensation, benefits and stock ownership details, and comparisons of the CEO’s realized total direct compensation and realizable equity vis-à-vis that of the peer group.</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70" w:lineRule="exact"/>
        <w:rPr>
          <w:sz w:val="20"/>
          <w:szCs w:val="20"/>
        </w:rPr>
      </w:pPr>
    </w:p>
    <w:p w:rsidR="00CC2C66" w:rsidRDefault="00F80B74">
      <w:pPr>
        <w:spacing w:line="249" w:lineRule="auto"/>
        <w:rPr>
          <w:sz w:val="20"/>
          <w:szCs w:val="20"/>
        </w:rPr>
      </w:pPr>
      <w:r>
        <w:rPr>
          <w:rFonts w:eastAsia="Times New Roman"/>
          <w:sz w:val="19"/>
          <w:szCs w:val="19"/>
        </w:rPr>
        <w:t>In September 2021, the Compensation Committee revised the Company’s compensation peer group and decided to remove four</w:t>
      </w:r>
    </w:p>
    <w:p w:rsidR="00CC2C66" w:rsidRDefault="00CC2C66">
      <w:pPr>
        <w:spacing w:line="1" w:lineRule="exact"/>
        <w:rPr>
          <w:sz w:val="20"/>
          <w:szCs w:val="20"/>
        </w:rPr>
      </w:pPr>
    </w:p>
    <w:p w:rsidR="00CC2C66" w:rsidRDefault="00F80B74">
      <w:pPr>
        <w:numPr>
          <w:ilvl w:val="0"/>
          <w:numId w:val="97"/>
        </w:numPr>
        <w:tabs>
          <w:tab w:val="left" w:pos="278"/>
        </w:tabs>
        <w:spacing w:line="239" w:lineRule="auto"/>
        <w:ind w:firstLine="8"/>
        <w:jc w:val="both"/>
        <w:rPr>
          <w:rFonts w:eastAsia="Times New Roman"/>
          <w:sz w:val="19"/>
          <w:szCs w:val="19"/>
        </w:rPr>
      </w:pPr>
      <w:r>
        <w:rPr>
          <w:rFonts w:eastAsia="Times New Roman"/>
          <w:sz w:val="19"/>
          <w:szCs w:val="19"/>
        </w:rPr>
        <w:t xml:space="preserve">companies and add three (3) companies for reasons of industry appropriateness and disclosed data availability. The </w:t>
      </w:r>
      <w:r>
        <w:rPr>
          <w:rFonts w:eastAsia="Times New Roman"/>
          <w:sz w:val="19"/>
          <w:szCs w:val="19"/>
        </w:rPr>
        <w:t xml:space="preserve">Compensation Committee removed Beyond Meat, Inc., eBay Inc., WH Group Limited and Want China Holdings Limited, and added DoorDash, Inc., General Mills, Inc. and Chow Tai Fook Jewellery Group Limited. The new compensation peer group consists of 17 U.S. and </w:t>
      </w:r>
      <w:r>
        <w:rPr>
          <w:rFonts w:eastAsia="Times New Roman"/>
          <w:sz w:val="19"/>
          <w:szCs w:val="19"/>
        </w:rPr>
        <w:t>nine non-U.S. peers. These changes were made in order to further align the peer group with the Company’s size and operations. This revised peer group will be used to evaluate 2022 compensation decisions. The founder CEOs at DoorDash, Inc. and Haidilao Inte</w:t>
      </w:r>
      <w:r>
        <w:rPr>
          <w:rFonts w:eastAsia="Times New Roman"/>
          <w:sz w:val="19"/>
          <w:szCs w:val="19"/>
        </w:rPr>
        <w:t>rnational Holdings Ltd. are expected to be excluded from the CEO’s competitive market review.</w:t>
      </w:r>
    </w:p>
    <w:p w:rsidR="00CC2C66" w:rsidRDefault="00CC2C66">
      <w:pPr>
        <w:spacing w:line="630"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59"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51</w:t>
      </w:r>
    </w:p>
    <w:p w:rsidR="00CC2C66" w:rsidRDefault="00F80B74">
      <w:pPr>
        <w:spacing w:line="20" w:lineRule="exact"/>
        <w:rPr>
          <w:sz w:val="20"/>
          <w:szCs w:val="20"/>
        </w:rPr>
      </w:pPr>
      <w:r>
        <w:rPr>
          <w:noProof/>
          <w:sz w:val="20"/>
          <w:szCs w:val="20"/>
        </w:rPr>
        <w:drawing>
          <wp:anchor distT="0" distB="0" distL="114300" distR="114300" simplePos="0" relativeHeight="251693056"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58" w:name="page58"/>
      <w:bookmarkEnd w:id="58"/>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94080"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39" w:lineRule="exact"/>
        <w:rPr>
          <w:sz w:val="20"/>
          <w:szCs w:val="20"/>
        </w:rPr>
      </w:pPr>
    </w:p>
    <w:p w:rsidR="00CC2C66" w:rsidRDefault="00F80B74">
      <w:pPr>
        <w:ind w:left="420"/>
        <w:rPr>
          <w:sz w:val="20"/>
          <w:szCs w:val="20"/>
        </w:rPr>
      </w:pPr>
      <w:r>
        <w:rPr>
          <w:rFonts w:eastAsia="Times New Roman"/>
          <w:i/>
          <w:iCs/>
          <w:color w:val="CF0A2C"/>
          <w:sz w:val="19"/>
          <w:szCs w:val="19"/>
        </w:rPr>
        <w:t xml:space="preserve">Competitive Positioning and </w:t>
      </w:r>
      <w:r>
        <w:rPr>
          <w:rFonts w:eastAsia="Times New Roman"/>
          <w:i/>
          <w:iCs/>
          <w:color w:val="CF0A2C"/>
          <w:sz w:val="19"/>
          <w:szCs w:val="19"/>
        </w:rPr>
        <w:t>Setting Compensation</w:t>
      </w:r>
    </w:p>
    <w:p w:rsidR="00CC2C66" w:rsidRDefault="00CC2C66">
      <w:pPr>
        <w:spacing w:line="245" w:lineRule="exact"/>
        <w:rPr>
          <w:sz w:val="20"/>
          <w:szCs w:val="20"/>
        </w:rPr>
      </w:pPr>
    </w:p>
    <w:p w:rsidR="00CC2C66" w:rsidRDefault="00F80B74">
      <w:pPr>
        <w:spacing w:line="241" w:lineRule="auto"/>
        <w:ind w:left="420"/>
        <w:jc w:val="both"/>
        <w:rPr>
          <w:sz w:val="20"/>
          <w:szCs w:val="20"/>
        </w:rPr>
      </w:pPr>
      <w:r>
        <w:rPr>
          <w:rFonts w:eastAsia="Times New Roman"/>
          <w:sz w:val="19"/>
          <w:szCs w:val="19"/>
        </w:rPr>
        <w:t>At the beginning of 2021, the Compensation Committee considered executive compensation peer group data as a frame of reference for establishing target compensation levels for base salary and annual and long-term incentive awards for e</w:t>
      </w:r>
      <w:r>
        <w:rPr>
          <w:rFonts w:eastAsia="Times New Roman"/>
          <w:sz w:val="19"/>
          <w:szCs w:val="19"/>
        </w:rPr>
        <w:t>ach NEO. The Compensation Committee conducted an extensive review of market data and made the decision to position target total direct compensation close to the market median, with variation based on the marketability, performance and potential of each NEO</w:t>
      </w:r>
      <w:r>
        <w:rPr>
          <w:rFonts w:eastAsia="Times New Roman"/>
          <w:sz w:val="19"/>
          <w:szCs w:val="19"/>
        </w:rPr>
        <w:t xml:space="preserve"> and the criticality of the role on the organization.</w:t>
      </w:r>
    </w:p>
    <w:p w:rsidR="00CC2C66" w:rsidRDefault="00CC2C66">
      <w:pPr>
        <w:spacing w:line="221" w:lineRule="exact"/>
        <w:rPr>
          <w:sz w:val="20"/>
          <w:szCs w:val="20"/>
        </w:rPr>
      </w:pPr>
    </w:p>
    <w:p w:rsidR="00CC2C66" w:rsidRDefault="00F80B74">
      <w:pPr>
        <w:ind w:left="420"/>
        <w:rPr>
          <w:sz w:val="20"/>
          <w:szCs w:val="20"/>
        </w:rPr>
      </w:pPr>
      <w:r>
        <w:rPr>
          <w:rFonts w:ascii="Arial" w:eastAsia="Arial" w:hAnsi="Arial" w:cs="Arial"/>
          <w:b/>
          <w:bCs/>
          <w:color w:val="CF0A2C"/>
          <w:sz w:val="24"/>
          <w:szCs w:val="24"/>
        </w:rPr>
        <w:t>Compensation Policies</w:t>
      </w:r>
    </w:p>
    <w:p w:rsidR="00CC2C66" w:rsidRDefault="00CC2C66">
      <w:pPr>
        <w:spacing w:line="233" w:lineRule="exact"/>
        <w:rPr>
          <w:sz w:val="20"/>
          <w:szCs w:val="20"/>
        </w:rPr>
      </w:pPr>
    </w:p>
    <w:p w:rsidR="00CC2C66" w:rsidRDefault="00F80B74">
      <w:pPr>
        <w:ind w:left="420"/>
        <w:rPr>
          <w:sz w:val="20"/>
          <w:szCs w:val="20"/>
        </w:rPr>
      </w:pPr>
      <w:r>
        <w:rPr>
          <w:rFonts w:eastAsia="Times New Roman"/>
          <w:i/>
          <w:iCs/>
          <w:color w:val="CF0A2C"/>
          <w:sz w:val="19"/>
          <w:szCs w:val="19"/>
        </w:rPr>
        <w:t>Compensation Recovery Policy</w:t>
      </w:r>
    </w:p>
    <w:p w:rsidR="00CC2C66" w:rsidRDefault="00CC2C66">
      <w:pPr>
        <w:spacing w:line="245" w:lineRule="exact"/>
        <w:rPr>
          <w:sz w:val="20"/>
          <w:szCs w:val="20"/>
        </w:rPr>
      </w:pPr>
    </w:p>
    <w:p w:rsidR="00CC2C66" w:rsidRDefault="00F80B74">
      <w:pPr>
        <w:spacing w:line="254" w:lineRule="auto"/>
        <w:ind w:left="420"/>
        <w:jc w:val="both"/>
        <w:rPr>
          <w:sz w:val="20"/>
          <w:szCs w:val="20"/>
        </w:rPr>
      </w:pPr>
      <w:r>
        <w:rPr>
          <w:rFonts w:eastAsia="Times New Roman"/>
          <w:sz w:val="18"/>
          <w:szCs w:val="18"/>
        </w:rPr>
        <w:t>Pursuant to the Company’s Compensation Recovery Policy, in the event of any restatement of the Company’s financial statements due to material noncom</w:t>
      </w:r>
      <w:r>
        <w:rPr>
          <w:rFonts w:eastAsia="Times New Roman"/>
          <w:sz w:val="18"/>
          <w:szCs w:val="18"/>
        </w:rPr>
        <w:t>pliance with any financial reporting requirement under the securities laws, the Compensation Committee will recover or cancel any performance awards that were awarded to a current or former executive officer as a result of achieving performance targets tha</w:t>
      </w:r>
      <w:r>
        <w:rPr>
          <w:rFonts w:eastAsia="Times New Roman"/>
          <w:sz w:val="18"/>
          <w:szCs w:val="18"/>
        </w:rPr>
        <w:t>t would not have been met under the restated results. The Company’s recovery authority applies to any performance award received by a current or former executive officer during the three most-recently completed fiscal years immediately preceding the date o</w:t>
      </w:r>
      <w:r>
        <w:rPr>
          <w:rFonts w:eastAsia="Times New Roman"/>
          <w:sz w:val="18"/>
          <w:szCs w:val="18"/>
        </w:rPr>
        <w:t>n which the Company is required to prepare the restatement. Under the terms of the policy, a performance award means any cash or equity-based award that is made, vests or is payable based wholly or in part on the results of a financial reporting measure.</w:t>
      </w:r>
    </w:p>
    <w:p w:rsidR="00CC2C66" w:rsidRDefault="00CC2C66">
      <w:pPr>
        <w:spacing w:line="200" w:lineRule="exact"/>
        <w:rPr>
          <w:sz w:val="20"/>
          <w:szCs w:val="20"/>
        </w:rPr>
      </w:pPr>
    </w:p>
    <w:p w:rsidR="00CC2C66" w:rsidRDefault="00CC2C66">
      <w:pPr>
        <w:spacing w:line="230" w:lineRule="exact"/>
        <w:rPr>
          <w:sz w:val="20"/>
          <w:szCs w:val="20"/>
        </w:rPr>
      </w:pPr>
    </w:p>
    <w:p w:rsidR="00CC2C66" w:rsidRDefault="00F80B74">
      <w:pPr>
        <w:ind w:left="420"/>
        <w:rPr>
          <w:sz w:val="20"/>
          <w:szCs w:val="20"/>
        </w:rPr>
      </w:pPr>
      <w:r>
        <w:rPr>
          <w:rFonts w:eastAsia="Times New Roman"/>
          <w:i/>
          <w:iCs/>
          <w:color w:val="CF0A2C"/>
          <w:sz w:val="19"/>
          <w:szCs w:val="19"/>
        </w:rPr>
        <w:t>Equity-Based Awards Grant Policy</w:t>
      </w:r>
    </w:p>
    <w:p w:rsidR="00CC2C66" w:rsidRDefault="00CC2C66">
      <w:pPr>
        <w:spacing w:line="233" w:lineRule="exact"/>
        <w:rPr>
          <w:sz w:val="20"/>
          <w:szCs w:val="20"/>
        </w:rPr>
      </w:pPr>
    </w:p>
    <w:p w:rsidR="00CC2C66" w:rsidRDefault="00F80B74">
      <w:pPr>
        <w:spacing w:line="241" w:lineRule="auto"/>
        <w:ind w:left="420"/>
        <w:jc w:val="both"/>
        <w:rPr>
          <w:sz w:val="20"/>
          <w:szCs w:val="20"/>
        </w:rPr>
      </w:pPr>
      <w:r>
        <w:rPr>
          <w:rFonts w:eastAsia="Times New Roman"/>
          <w:sz w:val="19"/>
          <w:szCs w:val="19"/>
        </w:rPr>
        <w:t>The Company’s Equity-Based Awards Grant Policy provides for certain procedures with respect to the granting of equity awards, including specifying pre-determined dates for annual and off-cycle grants and specifying that t</w:t>
      </w:r>
      <w:r>
        <w:rPr>
          <w:rFonts w:eastAsia="Times New Roman"/>
          <w:sz w:val="19"/>
          <w:szCs w:val="19"/>
        </w:rPr>
        <w:t>he Company will not purposely accelerate or delay the public release of material information in consideration of pending equity grants. Generally, annual equity grants are effective as of the date that is two business days after the Company publicly disclo</w:t>
      </w:r>
      <w:r>
        <w:rPr>
          <w:rFonts w:eastAsia="Times New Roman"/>
          <w:sz w:val="19"/>
          <w:szCs w:val="19"/>
        </w:rPr>
        <w:t>ses its results for the previous fiscal year.</w:t>
      </w:r>
    </w:p>
    <w:p w:rsidR="00CC2C66" w:rsidRDefault="00CC2C66">
      <w:pPr>
        <w:spacing w:line="200" w:lineRule="exact"/>
        <w:rPr>
          <w:sz w:val="20"/>
          <w:szCs w:val="20"/>
        </w:rPr>
      </w:pPr>
    </w:p>
    <w:p w:rsidR="00CC2C66" w:rsidRDefault="00CC2C66">
      <w:pPr>
        <w:spacing w:line="203" w:lineRule="exact"/>
        <w:rPr>
          <w:sz w:val="20"/>
          <w:szCs w:val="20"/>
        </w:rPr>
      </w:pPr>
    </w:p>
    <w:p w:rsidR="00CC2C66" w:rsidRDefault="00F80B74">
      <w:pPr>
        <w:numPr>
          <w:ilvl w:val="0"/>
          <w:numId w:val="98"/>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59" w:lineRule="exact"/>
        <w:rPr>
          <w:sz w:val="20"/>
          <w:szCs w:val="20"/>
        </w:rPr>
      </w:pPr>
    </w:p>
    <w:p w:rsidR="00CC2C66" w:rsidRDefault="00F80B74">
      <w:pPr>
        <w:rPr>
          <w:sz w:val="20"/>
          <w:szCs w:val="20"/>
        </w:rPr>
      </w:pPr>
      <w:r>
        <w:rPr>
          <w:rFonts w:eastAsia="Times New Roman"/>
          <w:i/>
          <w:iCs/>
          <w:color w:val="CF0A2C"/>
          <w:sz w:val="19"/>
          <w:szCs w:val="19"/>
        </w:rPr>
        <w:t>Stock Ownership Guidelines and Retention Policy</w:t>
      </w:r>
    </w:p>
    <w:p w:rsidR="00CC2C66" w:rsidRDefault="00F80B74">
      <w:pPr>
        <w:spacing w:line="20" w:lineRule="exact"/>
        <w:rPr>
          <w:sz w:val="20"/>
          <w:szCs w:val="20"/>
        </w:rPr>
      </w:pPr>
      <w:r>
        <w:rPr>
          <w:noProof/>
          <w:sz w:val="20"/>
          <w:szCs w:val="20"/>
        </w:rPr>
        <w:drawing>
          <wp:anchor distT="0" distB="0" distL="114300" distR="114300" simplePos="0" relativeHeight="251696128" behindDoc="1" locked="0" layoutInCell="0" allowOverlap="1">
            <wp:simplePos x="0" y="0"/>
            <wp:positionH relativeFrom="column">
              <wp:posOffset>-3642995</wp:posOffset>
            </wp:positionH>
            <wp:positionV relativeFrom="paragraph">
              <wp:posOffset>-949960</wp:posOffset>
            </wp:positionV>
            <wp:extent cx="7181215" cy="3683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25" w:lineRule="exact"/>
        <w:rPr>
          <w:sz w:val="20"/>
          <w:szCs w:val="20"/>
        </w:rPr>
      </w:pPr>
    </w:p>
    <w:p w:rsidR="00CC2C66" w:rsidRDefault="00F80B74">
      <w:pPr>
        <w:jc w:val="both"/>
        <w:rPr>
          <w:sz w:val="20"/>
          <w:szCs w:val="20"/>
        </w:rPr>
      </w:pPr>
      <w:r>
        <w:rPr>
          <w:rFonts w:eastAsia="Times New Roman"/>
          <w:sz w:val="19"/>
          <w:szCs w:val="19"/>
        </w:rPr>
        <w:t>To align the efforts of our executives with the long-term interests of our stockholders and to reinforce their commitment</w:t>
      </w:r>
      <w:r>
        <w:rPr>
          <w:rFonts w:eastAsia="Times New Roman"/>
          <w:sz w:val="19"/>
          <w:szCs w:val="19"/>
        </w:rPr>
        <w:t xml:space="preserve"> to the Company’s long-term objectives, the Compensation Committee established a stock ownership and retention policy that applies to our Section 16 Officers and all members of our Leadership Team. Under the stock ownership and retention policy, the execut</w:t>
      </w:r>
      <w:r>
        <w:rPr>
          <w:rFonts w:eastAsia="Times New Roman"/>
          <w:sz w:val="19"/>
          <w:szCs w:val="19"/>
        </w:rPr>
        <w:t>ives have a five-year period from July 1, 2017 or, if later, the date of appointment to a covered position to attain the required ownership level. During the five-year phase-in period, the executives must retain, until the required ownership guideline leve</w:t>
      </w:r>
      <w:r>
        <w:rPr>
          <w:rFonts w:eastAsia="Times New Roman"/>
          <w:sz w:val="19"/>
          <w:szCs w:val="19"/>
        </w:rPr>
        <w:t>ls have been achieved, at least 50% of the after-tax shares resulting from the vesting or exercise of equity awards, including PSUs. If the guideline is not achieved after such five-year compliance period, the executive officer will be required to retain 1</w:t>
      </w:r>
      <w:r>
        <w:rPr>
          <w:rFonts w:eastAsia="Times New Roman"/>
          <w:sz w:val="19"/>
          <w:szCs w:val="19"/>
        </w:rPr>
        <w:t>00% of after-tax shares resulting from the vesting or exercise of equity awards until the guideline is achieved.</w:t>
      </w:r>
    </w:p>
    <w:p w:rsidR="00CC2C66" w:rsidRDefault="00CC2C66">
      <w:pPr>
        <w:spacing w:line="222" w:lineRule="exact"/>
        <w:rPr>
          <w:sz w:val="20"/>
          <w:szCs w:val="20"/>
        </w:rPr>
      </w:pPr>
    </w:p>
    <w:p w:rsidR="00CC2C66" w:rsidRDefault="00F80B74">
      <w:pPr>
        <w:spacing w:line="247" w:lineRule="auto"/>
        <w:jc w:val="both"/>
        <w:rPr>
          <w:sz w:val="20"/>
          <w:szCs w:val="20"/>
        </w:rPr>
      </w:pPr>
      <w:r>
        <w:rPr>
          <w:rFonts w:eastAsia="Times New Roman"/>
          <w:sz w:val="19"/>
          <w:szCs w:val="19"/>
        </w:rPr>
        <w:t xml:space="preserve">The chart below shows stock ownership requirements as a multiple of annual base salary for our continuing NEOs. As of the record date, each </w:t>
      </w:r>
      <w:r>
        <w:rPr>
          <w:rFonts w:eastAsia="Times New Roman"/>
          <w:sz w:val="19"/>
          <w:szCs w:val="19"/>
        </w:rPr>
        <w:t>continuing NEO is in compliance with the Company’s stock ownership requirements and retention policy.</w:t>
      </w:r>
    </w:p>
    <w:p w:rsidR="00CC2C66" w:rsidRDefault="00CC2C66">
      <w:pPr>
        <w:spacing w:line="257"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500"/>
        <w:gridCol w:w="2540"/>
        <w:gridCol w:w="60"/>
      </w:tblGrid>
      <w:tr w:rsidR="00CC2C66">
        <w:trPr>
          <w:trHeight w:val="179"/>
        </w:trPr>
        <w:tc>
          <w:tcPr>
            <w:tcW w:w="2500" w:type="dxa"/>
            <w:vAlign w:val="bottom"/>
          </w:tcPr>
          <w:p w:rsidR="00CC2C66" w:rsidRDefault="00CC2C66">
            <w:pPr>
              <w:rPr>
                <w:sz w:val="15"/>
                <w:szCs w:val="15"/>
              </w:rPr>
            </w:pPr>
          </w:p>
        </w:tc>
        <w:tc>
          <w:tcPr>
            <w:tcW w:w="2540" w:type="dxa"/>
            <w:vAlign w:val="bottom"/>
          </w:tcPr>
          <w:p w:rsidR="00CC2C66" w:rsidRDefault="00F80B74">
            <w:pPr>
              <w:jc w:val="right"/>
              <w:rPr>
                <w:sz w:val="20"/>
                <w:szCs w:val="20"/>
              </w:rPr>
            </w:pPr>
            <w:r>
              <w:rPr>
                <w:rFonts w:ascii="Arial" w:eastAsia="Arial" w:hAnsi="Arial" w:cs="Arial"/>
                <w:b/>
                <w:bCs/>
                <w:color w:val="CF0A2C"/>
                <w:sz w:val="15"/>
                <w:szCs w:val="15"/>
              </w:rPr>
              <w:t>Stock Ownership as a</w:t>
            </w:r>
          </w:p>
        </w:tc>
        <w:tc>
          <w:tcPr>
            <w:tcW w:w="60" w:type="dxa"/>
            <w:vAlign w:val="bottom"/>
          </w:tcPr>
          <w:p w:rsidR="00CC2C66" w:rsidRDefault="00CC2C66">
            <w:pPr>
              <w:rPr>
                <w:sz w:val="15"/>
                <w:szCs w:val="15"/>
              </w:rPr>
            </w:pPr>
          </w:p>
        </w:tc>
      </w:tr>
      <w:tr w:rsidR="00CC2C66">
        <w:trPr>
          <w:trHeight w:val="179"/>
        </w:trPr>
        <w:tc>
          <w:tcPr>
            <w:tcW w:w="2500" w:type="dxa"/>
            <w:vAlign w:val="bottom"/>
          </w:tcPr>
          <w:p w:rsidR="00CC2C66" w:rsidRDefault="00CC2C66">
            <w:pPr>
              <w:rPr>
                <w:sz w:val="15"/>
                <w:szCs w:val="15"/>
              </w:rPr>
            </w:pPr>
          </w:p>
        </w:tc>
        <w:tc>
          <w:tcPr>
            <w:tcW w:w="2540" w:type="dxa"/>
            <w:vAlign w:val="bottom"/>
          </w:tcPr>
          <w:p w:rsidR="00CC2C66" w:rsidRDefault="00F80B74">
            <w:pPr>
              <w:ind w:right="63"/>
              <w:jc w:val="right"/>
              <w:rPr>
                <w:sz w:val="20"/>
                <w:szCs w:val="20"/>
              </w:rPr>
            </w:pPr>
            <w:r>
              <w:rPr>
                <w:rFonts w:ascii="Arial" w:eastAsia="Arial" w:hAnsi="Arial" w:cs="Arial"/>
                <w:b/>
                <w:bCs/>
                <w:color w:val="CF0A2C"/>
                <w:sz w:val="15"/>
                <w:szCs w:val="15"/>
              </w:rPr>
              <w:t>Multiple of Annual</w:t>
            </w:r>
          </w:p>
        </w:tc>
        <w:tc>
          <w:tcPr>
            <w:tcW w:w="60" w:type="dxa"/>
            <w:vAlign w:val="bottom"/>
          </w:tcPr>
          <w:p w:rsidR="00CC2C66" w:rsidRDefault="00CC2C66">
            <w:pPr>
              <w:rPr>
                <w:sz w:val="15"/>
                <w:szCs w:val="15"/>
              </w:rPr>
            </w:pPr>
          </w:p>
        </w:tc>
      </w:tr>
      <w:tr w:rsidR="00CC2C66">
        <w:trPr>
          <w:trHeight w:val="193"/>
        </w:trPr>
        <w:tc>
          <w:tcPr>
            <w:tcW w:w="2500" w:type="dxa"/>
            <w:tcBorders>
              <w:bottom w:val="single" w:sz="8" w:space="0" w:color="CF0A2C"/>
            </w:tcBorders>
            <w:vAlign w:val="bottom"/>
          </w:tcPr>
          <w:p w:rsidR="00CC2C66" w:rsidRDefault="00F80B74">
            <w:pPr>
              <w:rPr>
                <w:sz w:val="20"/>
                <w:szCs w:val="20"/>
              </w:rPr>
            </w:pPr>
            <w:r>
              <w:rPr>
                <w:rFonts w:ascii="Arial" w:eastAsia="Arial" w:hAnsi="Arial" w:cs="Arial"/>
                <w:b/>
                <w:bCs/>
                <w:color w:val="CF0A2C"/>
                <w:sz w:val="15"/>
                <w:szCs w:val="15"/>
              </w:rPr>
              <w:t>NEO</w:t>
            </w:r>
          </w:p>
        </w:tc>
        <w:tc>
          <w:tcPr>
            <w:tcW w:w="2540" w:type="dxa"/>
            <w:tcBorders>
              <w:bottom w:val="single" w:sz="8" w:space="0" w:color="CF0A2C"/>
            </w:tcBorders>
            <w:vAlign w:val="bottom"/>
          </w:tcPr>
          <w:p w:rsidR="00CC2C66" w:rsidRDefault="00F80B74">
            <w:pPr>
              <w:ind w:right="283"/>
              <w:jc w:val="right"/>
              <w:rPr>
                <w:sz w:val="20"/>
                <w:szCs w:val="20"/>
              </w:rPr>
            </w:pPr>
            <w:r>
              <w:rPr>
                <w:rFonts w:ascii="Arial" w:eastAsia="Arial" w:hAnsi="Arial" w:cs="Arial"/>
                <w:b/>
                <w:bCs/>
                <w:color w:val="CF0A2C"/>
                <w:sz w:val="15"/>
                <w:szCs w:val="15"/>
              </w:rPr>
              <w:t>Base Salary</w:t>
            </w:r>
          </w:p>
        </w:tc>
        <w:tc>
          <w:tcPr>
            <w:tcW w:w="60" w:type="dxa"/>
            <w:tcBorders>
              <w:bottom w:val="single" w:sz="8" w:space="0" w:color="CF0A2C"/>
            </w:tcBorders>
            <w:vAlign w:val="bottom"/>
          </w:tcPr>
          <w:p w:rsidR="00CC2C66" w:rsidRDefault="00CC2C66">
            <w:pPr>
              <w:rPr>
                <w:sz w:val="16"/>
                <w:szCs w:val="16"/>
              </w:rPr>
            </w:pPr>
          </w:p>
        </w:tc>
      </w:tr>
      <w:tr w:rsidR="00CC2C66">
        <w:trPr>
          <w:trHeight w:val="159"/>
        </w:trPr>
        <w:tc>
          <w:tcPr>
            <w:tcW w:w="2500" w:type="dxa"/>
            <w:vAlign w:val="bottom"/>
          </w:tcPr>
          <w:p w:rsidR="00CC2C66" w:rsidRDefault="00F80B74">
            <w:pPr>
              <w:spacing w:line="159" w:lineRule="exact"/>
              <w:rPr>
                <w:sz w:val="20"/>
                <w:szCs w:val="20"/>
              </w:rPr>
            </w:pPr>
            <w:r>
              <w:rPr>
                <w:rFonts w:ascii="Arial" w:eastAsia="Arial" w:hAnsi="Arial" w:cs="Arial"/>
                <w:color w:val="CF0A2C"/>
                <w:sz w:val="15"/>
                <w:szCs w:val="15"/>
              </w:rPr>
              <w:t>CEO</w:t>
            </w:r>
          </w:p>
        </w:tc>
        <w:tc>
          <w:tcPr>
            <w:tcW w:w="2540" w:type="dxa"/>
            <w:vAlign w:val="bottom"/>
          </w:tcPr>
          <w:p w:rsidR="00CC2C66" w:rsidRDefault="00F80B74">
            <w:pPr>
              <w:spacing w:line="159" w:lineRule="exact"/>
              <w:jc w:val="right"/>
              <w:rPr>
                <w:sz w:val="20"/>
                <w:szCs w:val="20"/>
              </w:rPr>
            </w:pPr>
            <w:r>
              <w:rPr>
                <w:rFonts w:ascii="Arial" w:eastAsia="Arial" w:hAnsi="Arial" w:cs="Arial"/>
                <w:color w:val="CF0A2C"/>
                <w:sz w:val="15"/>
                <w:szCs w:val="15"/>
              </w:rPr>
              <w:t>6X</w:t>
            </w:r>
          </w:p>
        </w:tc>
        <w:tc>
          <w:tcPr>
            <w:tcW w:w="60" w:type="dxa"/>
            <w:vAlign w:val="bottom"/>
          </w:tcPr>
          <w:p w:rsidR="00CC2C66" w:rsidRDefault="00CC2C66">
            <w:pPr>
              <w:rPr>
                <w:sz w:val="13"/>
                <w:szCs w:val="13"/>
              </w:rPr>
            </w:pPr>
          </w:p>
        </w:tc>
      </w:tr>
      <w:tr w:rsidR="00CC2C66">
        <w:trPr>
          <w:trHeight w:val="179"/>
        </w:trPr>
        <w:tc>
          <w:tcPr>
            <w:tcW w:w="2500" w:type="dxa"/>
            <w:vAlign w:val="bottom"/>
          </w:tcPr>
          <w:p w:rsidR="00CC2C66" w:rsidRDefault="00F80B74">
            <w:pPr>
              <w:rPr>
                <w:sz w:val="20"/>
                <w:szCs w:val="20"/>
              </w:rPr>
            </w:pPr>
            <w:r>
              <w:rPr>
                <w:rFonts w:ascii="Arial" w:eastAsia="Arial" w:hAnsi="Arial" w:cs="Arial"/>
                <w:color w:val="CF0A2C"/>
                <w:sz w:val="15"/>
                <w:szCs w:val="15"/>
              </w:rPr>
              <w:t>CFO</w:t>
            </w:r>
          </w:p>
        </w:tc>
        <w:tc>
          <w:tcPr>
            <w:tcW w:w="2540" w:type="dxa"/>
            <w:vAlign w:val="bottom"/>
          </w:tcPr>
          <w:p w:rsidR="00CC2C66" w:rsidRDefault="00F80B74">
            <w:pPr>
              <w:jc w:val="right"/>
              <w:rPr>
                <w:sz w:val="20"/>
                <w:szCs w:val="20"/>
              </w:rPr>
            </w:pPr>
            <w:r>
              <w:rPr>
                <w:rFonts w:ascii="Arial" w:eastAsia="Arial" w:hAnsi="Arial" w:cs="Arial"/>
                <w:color w:val="CF0A2C"/>
                <w:sz w:val="15"/>
                <w:szCs w:val="15"/>
              </w:rPr>
              <w:t>3X</w:t>
            </w:r>
          </w:p>
        </w:tc>
        <w:tc>
          <w:tcPr>
            <w:tcW w:w="60" w:type="dxa"/>
            <w:vAlign w:val="bottom"/>
          </w:tcPr>
          <w:p w:rsidR="00CC2C66" w:rsidRDefault="00CC2C66">
            <w:pPr>
              <w:rPr>
                <w:sz w:val="15"/>
                <w:szCs w:val="15"/>
              </w:rPr>
            </w:pPr>
          </w:p>
        </w:tc>
      </w:tr>
      <w:tr w:rsidR="00CC2C66">
        <w:trPr>
          <w:trHeight w:val="179"/>
        </w:trPr>
        <w:tc>
          <w:tcPr>
            <w:tcW w:w="2500" w:type="dxa"/>
            <w:vAlign w:val="bottom"/>
          </w:tcPr>
          <w:p w:rsidR="00CC2C66" w:rsidRDefault="00F80B74">
            <w:pPr>
              <w:rPr>
                <w:sz w:val="20"/>
                <w:szCs w:val="20"/>
              </w:rPr>
            </w:pPr>
            <w:r>
              <w:rPr>
                <w:rFonts w:ascii="Arial" w:eastAsia="Arial" w:hAnsi="Arial" w:cs="Arial"/>
                <w:color w:val="CF0A2C"/>
                <w:sz w:val="15"/>
                <w:szCs w:val="15"/>
              </w:rPr>
              <w:t>Chief Legal Officer</w:t>
            </w:r>
          </w:p>
        </w:tc>
        <w:tc>
          <w:tcPr>
            <w:tcW w:w="2540" w:type="dxa"/>
            <w:vAlign w:val="bottom"/>
          </w:tcPr>
          <w:p w:rsidR="00CC2C66" w:rsidRDefault="00F80B74">
            <w:pPr>
              <w:jc w:val="right"/>
              <w:rPr>
                <w:sz w:val="20"/>
                <w:szCs w:val="20"/>
              </w:rPr>
            </w:pPr>
            <w:r>
              <w:rPr>
                <w:rFonts w:ascii="Arial" w:eastAsia="Arial" w:hAnsi="Arial" w:cs="Arial"/>
                <w:color w:val="CF0A2C"/>
                <w:sz w:val="15"/>
                <w:szCs w:val="15"/>
              </w:rPr>
              <w:t>2X</w:t>
            </w:r>
          </w:p>
        </w:tc>
        <w:tc>
          <w:tcPr>
            <w:tcW w:w="60" w:type="dxa"/>
            <w:vAlign w:val="bottom"/>
          </w:tcPr>
          <w:p w:rsidR="00CC2C66" w:rsidRDefault="00CC2C66">
            <w:pPr>
              <w:rPr>
                <w:sz w:val="15"/>
                <w:szCs w:val="15"/>
              </w:rPr>
            </w:pPr>
          </w:p>
        </w:tc>
      </w:tr>
      <w:tr w:rsidR="00CC2C66">
        <w:trPr>
          <w:trHeight w:val="179"/>
        </w:trPr>
        <w:tc>
          <w:tcPr>
            <w:tcW w:w="2500" w:type="dxa"/>
            <w:vAlign w:val="bottom"/>
          </w:tcPr>
          <w:p w:rsidR="00CC2C66" w:rsidRDefault="00F80B74">
            <w:pPr>
              <w:rPr>
                <w:sz w:val="20"/>
                <w:szCs w:val="20"/>
              </w:rPr>
            </w:pPr>
            <w:r>
              <w:rPr>
                <w:rFonts w:ascii="Arial" w:eastAsia="Arial" w:hAnsi="Arial" w:cs="Arial"/>
                <w:color w:val="CF0A2C"/>
                <w:sz w:val="15"/>
                <w:szCs w:val="15"/>
              </w:rPr>
              <w:t>General Manager, KFC</w:t>
            </w:r>
          </w:p>
        </w:tc>
        <w:tc>
          <w:tcPr>
            <w:tcW w:w="2540" w:type="dxa"/>
            <w:vAlign w:val="bottom"/>
          </w:tcPr>
          <w:p w:rsidR="00CC2C66" w:rsidRDefault="00F80B74">
            <w:pPr>
              <w:jc w:val="right"/>
              <w:rPr>
                <w:sz w:val="20"/>
                <w:szCs w:val="20"/>
              </w:rPr>
            </w:pPr>
            <w:r>
              <w:rPr>
                <w:rFonts w:ascii="Arial" w:eastAsia="Arial" w:hAnsi="Arial" w:cs="Arial"/>
                <w:color w:val="CF0A2C"/>
                <w:sz w:val="15"/>
                <w:szCs w:val="15"/>
              </w:rPr>
              <w:t>2X</w:t>
            </w:r>
          </w:p>
        </w:tc>
        <w:tc>
          <w:tcPr>
            <w:tcW w:w="60" w:type="dxa"/>
            <w:vAlign w:val="bottom"/>
          </w:tcPr>
          <w:p w:rsidR="00CC2C66" w:rsidRDefault="00CC2C66">
            <w:pPr>
              <w:rPr>
                <w:sz w:val="15"/>
                <w:szCs w:val="15"/>
              </w:rPr>
            </w:pPr>
          </w:p>
        </w:tc>
      </w:tr>
      <w:tr w:rsidR="00CC2C66">
        <w:trPr>
          <w:trHeight w:val="191"/>
        </w:trPr>
        <w:tc>
          <w:tcPr>
            <w:tcW w:w="2500" w:type="dxa"/>
            <w:tcBorders>
              <w:bottom w:val="single" w:sz="8" w:space="0" w:color="CF0A2C"/>
            </w:tcBorders>
            <w:vAlign w:val="bottom"/>
          </w:tcPr>
          <w:p w:rsidR="00CC2C66" w:rsidRDefault="00F80B74">
            <w:pPr>
              <w:rPr>
                <w:sz w:val="20"/>
                <w:szCs w:val="20"/>
              </w:rPr>
            </w:pPr>
            <w:r>
              <w:rPr>
                <w:rFonts w:ascii="Arial" w:eastAsia="Arial" w:hAnsi="Arial" w:cs="Arial"/>
                <w:color w:val="CF0A2C"/>
                <w:sz w:val="15"/>
                <w:szCs w:val="15"/>
              </w:rPr>
              <w:t>Chief People Officer</w:t>
            </w:r>
          </w:p>
        </w:tc>
        <w:tc>
          <w:tcPr>
            <w:tcW w:w="2540" w:type="dxa"/>
            <w:tcBorders>
              <w:bottom w:val="single" w:sz="8" w:space="0" w:color="CF0A2C"/>
            </w:tcBorders>
            <w:vAlign w:val="bottom"/>
          </w:tcPr>
          <w:p w:rsidR="00CC2C66" w:rsidRDefault="00F80B74">
            <w:pPr>
              <w:jc w:val="right"/>
              <w:rPr>
                <w:sz w:val="20"/>
                <w:szCs w:val="20"/>
              </w:rPr>
            </w:pPr>
            <w:r>
              <w:rPr>
                <w:rFonts w:ascii="Arial" w:eastAsia="Arial" w:hAnsi="Arial" w:cs="Arial"/>
                <w:color w:val="CF0A2C"/>
                <w:sz w:val="15"/>
                <w:szCs w:val="15"/>
              </w:rPr>
              <w:t>2X</w:t>
            </w:r>
          </w:p>
        </w:tc>
        <w:tc>
          <w:tcPr>
            <w:tcW w:w="60" w:type="dxa"/>
            <w:vAlign w:val="bottom"/>
          </w:tcPr>
          <w:p w:rsidR="00CC2C66" w:rsidRDefault="00CC2C66">
            <w:pPr>
              <w:rPr>
                <w:sz w:val="16"/>
                <w:szCs w:val="16"/>
              </w:rPr>
            </w:pPr>
          </w:p>
        </w:tc>
      </w:tr>
    </w:tbl>
    <w:p w:rsidR="00CC2C66" w:rsidRDefault="00CC2C66">
      <w:pPr>
        <w:spacing w:line="218" w:lineRule="exact"/>
        <w:rPr>
          <w:sz w:val="20"/>
          <w:szCs w:val="20"/>
        </w:rPr>
      </w:pPr>
    </w:p>
    <w:p w:rsidR="00CC2C66" w:rsidRDefault="00F80B74">
      <w:pPr>
        <w:rPr>
          <w:sz w:val="20"/>
          <w:szCs w:val="20"/>
        </w:rPr>
      </w:pPr>
      <w:r>
        <w:rPr>
          <w:rFonts w:eastAsia="Times New Roman"/>
          <w:i/>
          <w:iCs/>
          <w:color w:val="CF0A2C"/>
          <w:sz w:val="19"/>
          <w:szCs w:val="19"/>
        </w:rPr>
        <w:t>Hedging and Pledging of Company Stock</w:t>
      </w:r>
    </w:p>
    <w:p w:rsidR="00CC2C66" w:rsidRDefault="00CC2C66">
      <w:pPr>
        <w:spacing w:line="245" w:lineRule="exact"/>
        <w:rPr>
          <w:sz w:val="20"/>
          <w:szCs w:val="20"/>
        </w:rPr>
      </w:pPr>
    </w:p>
    <w:p w:rsidR="00CC2C66" w:rsidRDefault="00F80B74">
      <w:pPr>
        <w:spacing w:line="256" w:lineRule="auto"/>
        <w:jc w:val="both"/>
        <w:rPr>
          <w:sz w:val="20"/>
          <w:szCs w:val="20"/>
        </w:rPr>
      </w:pPr>
      <w:r>
        <w:rPr>
          <w:rFonts w:eastAsia="Times New Roman"/>
          <w:sz w:val="18"/>
          <w:szCs w:val="18"/>
        </w:rPr>
        <w:t>Under the Company’s Code of Conduct, no employee or director is permitted to engage in securities transactions that would allow such employee or director either to insulate himself or herself from, or profit fr</w:t>
      </w:r>
      <w:r>
        <w:rPr>
          <w:rFonts w:eastAsia="Times New Roman"/>
          <w:sz w:val="18"/>
          <w:szCs w:val="18"/>
        </w:rPr>
        <w:t>om, a decline in the Company’s stock price. Similarly, no employee or director may enter into hedging transactions in Company stock. Such transactions include, without limitation, short sales as well as any hedging transactions in derivative securities (</w:t>
      </w:r>
      <w:r>
        <w:rPr>
          <w:rFonts w:eastAsia="Times New Roman"/>
          <w:i/>
          <w:iCs/>
          <w:sz w:val="18"/>
          <w:szCs w:val="18"/>
        </w:rPr>
        <w:t>e.g.</w:t>
      </w:r>
      <w:r>
        <w:rPr>
          <w:rFonts w:eastAsia="Times New Roman"/>
          <w:sz w:val="18"/>
          <w:szCs w:val="18"/>
        </w:rPr>
        <w:t>, puts, calls, swaps or collars) or other speculative transactions related to the Company’s stock. Pledging of Company stock by executive officers and directors is also prohibited.</w:t>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59" w:name="page59"/>
      <w:bookmarkEnd w:id="59"/>
      <w:r>
        <w:rPr>
          <w:rFonts w:eastAsia="Times New Roman"/>
          <w:b/>
          <w:bCs/>
          <w:noProof/>
          <w:color w:val="0000EE"/>
          <w:sz w:val="17"/>
          <w:szCs w:val="17"/>
          <w:u w:val="single"/>
        </w:rPr>
        <w:drawing>
          <wp:anchor distT="0" distB="0" distL="114300" distR="114300" simplePos="0" relativeHeight="25169715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698176"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520"/>
        <w:rPr>
          <w:sz w:val="20"/>
          <w:szCs w:val="20"/>
        </w:rPr>
      </w:pPr>
      <w:r>
        <w:rPr>
          <w:rFonts w:ascii="Arial" w:eastAsia="Arial" w:hAnsi="Arial" w:cs="Arial"/>
          <w:b/>
          <w:bCs/>
          <w:color w:val="FFFFFF"/>
          <w:sz w:val="15"/>
          <w:szCs w:val="15"/>
        </w:rPr>
        <w:t>EXECUTIVE COMPENSATION</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COMPENSATION COMMITTEE REPORT</w:t>
      </w:r>
    </w:p>
    <w:p w:rsidR="00CC2C66" w:rsidRDefault="00F80B74">
      <w:pPr>
        <w:spacing w:line="20" w:lineRule="exact"/>
        <w:rPr>
          <w:sz w:val="20"/>
          <w:szCs w:val="20"/>
        </w:rPr>
      </w:pPr>
      <w:r>
        <w:rPr>
          <w:noProof/>
          <w:sz w:val="20"/>
          <w:szCs w:val="20"/>
        </w:rPr>
        <w:drawing>
          <wp:anchor distT="0" distB="0" distL="114300" distR="114300" simplePos="0" relativeHeight="251699200"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87" w:lineRule="exact"/>
        <w:rPr>
          <w:sz w:val="20"/>
          <w:szCs w:val="20"/>
        </w:rPr>
      </w:pPr>
    </w:p>
    <w:p w:rsidR="00CC2C66" w:rsidRDefault="00F80B74">
      <w:pPr>
        <w:ind w:left="420"/>
        <w:rPr>
          <w:sz w:val="20"/>
          <w:szCs w:val="20"/>
        </w:rPr>
      </w:pPr>
      <w:r>
        <w:rPr>
          <w:rFonts w:eastAsia="Times New Roman"/>
          <w:sz w:val="19"/>
          <w:szCs w:val="19"/>
        </w:rPr>
        <w:t>The Compensation Committee has reviewed and discussed the Compensation Discussion and Analysis with management.</w:t>
      </w:r>
    </w:p>
    <w:p w:rsidR="00CC2C66" w:rsidRDefault="00CC2C66">
      <w:pPr>
        <w:spacing w:line="241" w:lineRule="exact"/>
        <w:rPr>
          <w:sz w:val="20"/>
          <w:szCs w:val="20"/>
        </w:rPr>
      </w:pPr>
    </w:p>
    <w:p w:rsidR="00CC2C66" w:rsidRDefault="00F80B74">
      <w:pPr>
        <w:spacing w:line="247" w:lineRule="auto"/>
        <w:ind w:left="420"/>
        <w:jc w:val="both"/>
        <w:rPr>
          <w:sz w:val="20"/>
          <w:szCs w:val="20"/>
        </w:rPr>
      </w:pPr>
      <w:r>
        <w:rPr>
          <w:rFonts w:eastAsia="Times New Roman"/>
          <w:sz w:val="19"/>
          <w:szCs w:val="19"/>
        </w:rPr>
        <w:t>Based on such review and discussion with management, the Compensation Committee recommended to the Board of</w:t>
      </w:r>
      <w:r>
        <w:rPr>
          <w:rFonts w:eastAsia="Times New Roman"/>
          <w:sz w:val="19"/>
          <w:szCs w:val="19"/>
        </w:rPr>
        <w:t xml:space="preserve"> Directors that the Compensation Discussion and Analysis be included in the Company’s definitive proxy statement relating to its Annual Meeting of Stockholders, filed on April 14, 2022 and incorporated by reference in the Company’s Annual Report on Form 10</w:t>
      </w:r>
      <w:r>
        <w:rPr>
          <w:rFonts w:eastAsia="Times New Roman"/>
          <w:sz w:val="19"/>
          <w:szCs w:val="19"/>
        </w:rPr>
        <w:t>-K for the fiscal year ended December 31, 2021.</w:t>
      </w:r>
    </w:p>
    <w:p w:rsidR="00CC2C66" w:rsidRDefault="00CC2C66">
      <w:pPr>
        <w:spacing w:line="195" w:lineRule="exact"/>
        <w:rPr>
          <w:sz w:val="20"/>
          <w:szCs w:val="20"/>
        </w:rPr>
      </w:pPr>
    </w:p>
    <w:p w:rsidR="00CC2C66" w:rsidRDefault="00F80B74">
      <w:pPr>
        <w:ind w:left="420"/>
        <w:rPr>
          <w:sz w:val="20"/>
          <w:szCs w:val="20"/>
        </w:rPr>
      </w:pPr>
      <w:r>
        <w:rPr>
          <w:rFonts w:eastAsia="Times New Roman"/>
          <w:b/>
          <w:bCs/>
          <w:sz w:val="19"/>
          <w:szCs w:val="19"/>
        </w:rPr>
        <w:t>Compensation Committee:</w:t>
      </w:r>
    </w:p>
    <w:p w:rsidR="00CC2C66" w:rsidRDefault="00CC2C66">
      <w:pPr>
        <w:spacing w:line="21" w:lineRule="exact"/>
        <w:rPr>
          <w:sz w:val="20"/>
          <w:szCs w:val="20"/>
        </w:rPr>
      </w:pPr>
    </w:p>
    <w:p w:rsidR="00CC2C66" w:rsidRDefault="00F80B74">
      <w:pPr>
        <w:ind w:left="420"/>
        <w:rPr>
          <w:sz w:val="20"/>
          <w:szCs w:val="20"/>
        </w:rPr>
      </w:pPr>
      <w:r>
        <w:rPr>
          <w:rFonts w:eastAsia="Times New Roman"/>
          <w:sz w:val="19"/>
          <w:szCs w:val="19"/>
        </w:rPr>
        <w:t>Ruby Lu (Chair)</w:t>
      </w:r>
    </w:p>
    <w:p w:rsidR="00CC2C66" w:rsidRDefault="00F80B74">
      <w:pPr>
        <w:spacing w:line="238" w:lineRule="auto"/>
        <w:ind w:left="420"/>
        <w:rPr>
          <w:sz w:val="20"/>
          <w:szCs w:val="20"/>
        </w:rPr>
      </w:pPr>
      <w:r>
        <w:rPr>
          <w:rFonts w:eastAsia="Times New Roman"/>
          <w:sz w:val="19"/>
          <w:szCs w:val="19"/>
        </w:rPr>
        <w:t>Edouard Ettedgui</w:t>
      </w:r>
    </w:p>
    <w:p w:rsidR="00CC2C66" w:rsidRDefault="00F80B74">
      <w:pPr>
        <w:ind w:left="420"/>
        <w:rPr>
          <w:sz w:val="20"/>
          <w:szCs w:val="20"/>
        </w:rPr>
      </w:pPr>
      <w:r>
        <w:rPr>
          <w:rFonts w:eastAsia="Times New Roman"/>
          <w:sz w:val="19"/>
          <w:szCs w:val="19"/>
        </w:rPr>
        <w:t>William Wang</w:t>
      </w:r>
    </w:p>
    <w:p w:rsidR="00CC2C66" w:rsidRDefault="00F80B74">
      <w:pPr>
        <w:ind w:left="420"/>
        <w:rPr>
          <w:sz w:val="20"/>
          <w:szCs w:val="20"/>
        </w:rPr>
      </w:pPr>
      <w:r>
        <w:rPr>
          <w:rFonts w:eastAsia="Times New Roman"/>
          <w:sz w:val="19"/>
          <w:szCs w:val="19"/>
        </w:rPr>
        <w:t>Min (Jenny) Zhang</w:t>
      </w:r>
    </w:p>
    <w:p w:rsidR="00CC2C66" w:rsidRDefault="00CC2C66">
      <w:pPr>
        <w:spacing w:line="131"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53</w:t>
      </w:r>
    </w:p>
    <w:p w:rsidR="00CC2C66" w:rsidRDefault="00F80B74">
      <w:pPr>
        <w:spacing w:line="20" w:lineRule="exact"/>
        <w:rPr>
          <w:sz w:val="20"/>
          <w:szCs w:val="20"/>
        </w:rPr>
      </w:pPr>
      <w:r>
        <w:rPr>
          <w:noProof/>
          <w:sz w:val="20"/>
          <w:szCs w:val="20"/>
        </w:rPr>
        <w:drawing>
          <wp:anchor distT="0" distB="0" distL="114300" distR="114300" simplePos="0" relativeHeight="251700224"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0" w:name="page60"/>
      <w:bookmarkEnd w:id="60"/>
      <w:r>
        <w:rPr>
          <w:rFonts w:eastAsia="Times New Roman"/>
          <w:b/>
          <w:bCs/>
          <w:noProof/>
          <w:color w:val="0000EE"/>
          <w:sz w:val="17"/>
          <w:szCs w:val="17"/>
          <w:u w:val="single"/>
        </w:rPr>
        <w:drawing>
          <wp:anchor distT="0" distB="0" distL="114300" distR="114300" simplePos="0" relativeHeight="25170124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02272"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 xml:space="preserve">2021 SUMMARY </w:t>
      </w:r>
      <w:r>
        <w:rPr>
          <w:rFonts w:ascii="Arial" w:eastAsia="Arial" w:hAnsi="Arial" w:cs="Arial"/>
          <w:b/>
          <w:bCs/>
          <w:color w:val="CF0A2C"/>
          <w:sz w:val="31"/>
          <w:szCs w:val="31"/>
        </w:rPr>
        <w:t>COMPENSATION TABLE</w:t>
      </w:r>
    </w:p>
    <w:p w:rsidR="00CC2C66" w:rsidRDefault="00F80B74">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87" w:lineRule="exact"/>
        <w:rPr>
          <w:sz w:val="20"/>
          <w:szCs w:val="20"/>
        </w:rPr>
      </w:pPr>
    </w:p>
    <w:p w:rsidR="00CC2C66" w:rsidRDefault="00F80B74">
      <w:pPr>
        <w:spacing w:line="247" w:lineRule="auto"/>
        <w:ind w:left="420"/>
        <w:jc w:val="both"/>
        <w:rPr>
          <w:sz w:val="20"/>
          <w:szCs w:val="20"/>
        </w:rPr>
      </w:pPr>
      <w:r>
        <w:rPr>
          <w:rFonts w:eastAsia="Times New Roman"/>
          <w:sz w:val="19"/>
          <w:szCs w:val="19"/>
        </w:rPr>
        <w:t>The following table and footnotes summarize the total compensation awarded to, earned by or paid to the NEOs for fiscal year 2021 and, to the extent required by SEC executive compensation disclosure rules, fiscal years 2020 and 2019.</w:t>
      </w:r>
      <w:r>
        <w:rPr>
          <w:rFonts w:eastAsia="Times New Roman"/>
          <w:sz w:val="19"/>
          <w:szCs w:val="19"/>
        </w:rPr>
        <w:t xml:space="preserve"> The Company’s NEOs for the 2021 fiscal year are its CEO, CFO, the three other most highly compensated executive officers serving as executive officers as of December 31, 2021, and its former Chief Supply Chain Officer.</w:t>
      </w:r>
    </w:p>
    <w:p w:rsidR="00CC2C66" w:rsidRDefault="00CC2C66">
      <w:pPr>
        <w:spacing w:line="200"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380"/>
        <w:gridCol w:w="1000"/>
        <w:gridCol w:w="740"/>
        <w:gridCol w:w="640"/>
        <w:gridCol w:w="820"/>
        <w:gridCol w:w="720"/>
        <w:gridCol w:w="1020"/>
        <w:gridCol w:w="1040"/>
        <w:gridCol w:w="760"/>
        <w:gridCol w:w="1300"/>
        <w:gridCol w:w="20"/>
      </w:tblGrid>
      <w:tr w:rsidR="00CC2C66">
        <w:trPr>
          <w:trHeight w:val="141"/>
        </w:trPr>
        <w:tc>
          <w:tcPr>
            <w:tcW w:w="2380" w:type="dxa"/>
            <w:tcBorders>
              <w:top w:val="single" w:sz="8" w:space="0" w:color="CF0A2C"/>
            </w:tcBorders>
            <w:shd w:val="clear" w:color="auto" w:fill="FAE6E9"/>
            <w:vAlign w:val="bottom"/>
          </w:tcPr>
          <w:p w:rsidR="00CC2C66" w:rsidRDefault="00CC2C66">
            <w:pPr>
              <w:rPr>
                <w:sz w:val="12"/>
                <w:szCs w:val="12"/>
              </w:rPr>
            </w:pPr>
          </w:p>
        </w:tc>
        <w:tc>
          <w:tcPr>
            <w:tcW w:w="1000" w:type="dxa"/>
            <w:tcBorders>
              <w:top w:val="single" w:sz="8" w:space="0" w:color="CF0A2C"/>
            </w:tcBorders>
            <w:shd w:val="clear" w:color="auto" w:fill="FAE6E9"/>
            <w:vAlign w:val="bottom"/>
          </w:tcPr>
          <w:p w:rsidR="00CC2C66" w:rsidRDefault="00CC2C66">
            <w:pPr>
              <w:rPr>
                <w:sz w:val="12"/>
                <w:szCs w:val="12"/>
              </w:rPr>
            </w:pPr>
          </w:p>
        </w:tc>
        <w:tc>
          <w:tcPr>
            <w:tcW w:w="740" w:type="dxa"/>
            <w:tcBorders>
              <w:top w:val="single" w:sz="8" w:space="0" w:color="CF0A2C"/>
            </w:tcBorders>
            <w:shd w:val="clear" w:color="auto" w:fill="FAE6E9"/>
            <w:vAlign w:val="bottom"/>
          </w:tcPr>
          <w:p w:rsidR="00CC2C66" w:rsidRDefault="00CC2C66">
            <w:pPr>
              <w:rPr>
                <w:sz w:val="12"/>
                <w:szCs w:val="12"/>
              </w:rPr>
            </w:pPr>
          </w:p>
        </w:tc>
        <w:tc>
          <w:tcPr>
            <w:tcW w:w="640" w:type="dxa"/>
            <w:tcBorders>
              <w:top w:val="single" w:sz="8" w:space="0" w:color="CF0A2C"/>
            </w:tcBorders>
            <w:shd w:val="clear" w:color="auto" w:fill="FAE6E9"/>
            <w:vAlign w:val="bottom"/>
          </w:tcPr>
          <w:p w:rsidR="00CC2C66" w:rsidRDefault="00CC2C66">
            <w:pPr>
              <w:rPr>
                <w:sz w:val="12"/>
                <w:szCs w:val="12"/>
              </w:rPr>
            </w:pPr>
          </w:p>
        </w:tc>
        <w:tc>
          <w:tcPr>
            <w:tcW w:w="820" w:type="dxa"/>
            <w:tcBorders>
              <w:top w:val="single" w:sz="8" w:space="0" w:color="CF0A2C"/>
            </w:tcBorders>
            <w:shd w:val="clear" w:color="auto" w:fill="FAE6E9"/>
            <w:vAlign w:val="bottom"/>
          </w:tcPr>
          <w:p w:rsidR="00CC2C66" w:rsidRDefault="00CC2C66">
            <w:pPr>
              <w:rPr>
                <w:sz w:val="12"/>
                <w:szCs w:val="12"/>
              </w:rPr>
            </w:pPr>
          </w:p>
        </w:tc>
        <w:tc>
          <w:tcPr>
            <w:tcW w:w="720" w:type="dxa"/>
            <w:vMerge w:val="restart"/>
            <w:tcBorders>
              <w:top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w w:val="96"/>
                <w:sz w:val="13"/>
                <w:szCs w:val="13"/>
              </w:rPr>
              <w:t>Option/</w:t>
            </w:r>
          </w:p>
        </w:tc>
        <w:tc>
          <w:tcPr>
            <w:tcW w:w="1020" w:type="dxa"/>
            <w:vMerge w:val="restart"/>
            <w:tcBorders>
              <w:top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w w:val="98"/>
                <w:sz w:val="13"/>
                <w:szCs w:val="13"/>
              </w:rPr>
              <w:t>Non-Equity</w:t>
            </w:r>
          </w:p>
        </w:tc>
        <w:tc>
          <w:tcPr>
            <w:tcW w:w="1040" w:type="dxa"/>
            <w:tcBorders>
              <w:top w:val="single" w:sz="8" w:space="0" w:color="CF0A2C"/>
            </w:tcBorders>
            <w:shd w:val="clear" w:color="auto" w:fill="FAE6E9"/>
            <w:vAlign w:val="bottom"/>
          </w:tcPr>
          <w:p w:rsidR="00CC2C66" w:rsidRDefault="00CC2C66">
            <w:pPr>
              <w:rPr>
                <w:sz w:val="12"/>
                <w:szCs w:val="12"/>
              </w:rPr>
            </w:pPr>
          </w:p>
        </w:tc>
        <w:tc>
          <w:tcPr>
            <w:tcW w:w="760" w:type="dxa"/>
            <w:tcBorders>
              <w:top w:val="single" w:sz="8" w:space="0" w:color="CF0A2C"/>
            </w:tcBorders>
            <w:shd w:val="clear" w:color="auto" w:fill="FAE6E9"/>
            <w:vAlign w:val="bottom"/>
          </w:tcPr>
          <w:p w:rsidR="00CC2C66" w:rsidRDefault="00CC2C66">
            <w:pPr>
              <w:rPr>
                <w:sz w:val="12"/>
                <w:szCs w:val="12"/>
              </w:rPr>
            </w:pPr>
          </w:p>
        </w:tc>
        <w:tc>
          <w:tcPr>
            <w:tcW w:w="1300" w:type="dxa"/>
            <w:tcBorders>
              <w:top w:val="single" w:sz="8" w:space="0" w:color="CF0A2C"/>
            </w:tcBorders>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7"/>
                <w:sz w:val="13"/>
                <w:szCs w:val="13"/>
              </w:rPr>
              <w:t xml:space="preserve">Adjusted </w:t>
            </w:r>
            <w:r>
              <w:rPr>
                <w:rFonts w:ascii="Arial" w:eastAsia="Arial" w:hAnsi="Arial" w:cs="Arial"/>
                <w:b/>
                <w:bCs/>
                <w:color w:val="CF0A2C"/>
                <w:w w:val="97"/>
                <w:sz w:val="13"/>
                <w:szCs w:val="13"/>
              </w:rPr>
              <w:t>Total</w:t>
            </w:r>
          </w:p>
        </w:tc>
        <w:tc>
          <w:tcPr>
            <w:tcW w:w="0" w:type="dxa"/>
            <w:vAlign w:val="bottom"/>
          </w:tcPr>
          <w:p w:rsidR="00CC2C66" w:rsidRDefault="00CC2C66">
            <w:pPr>
              <w:rPr>
                <w:sz w:val="1"/>
                <w:szCs w:val="1"/>
              </w:rPr>
            </w:pPr>
          </w:p>
        </w:tc>
      </w:tr>
      <w:tr w:rsidR="00CC2C66">
        <w:trPr>
          <w:trHeight w:val="128"/>
        </w:trPr>
        <w:tc>
          <w:tcPr>
            <w:tcW w:w="2380" w:type="dxa"/>
            <w:shd w:val="clear" w:color="auto" w:fill="FAE6E9"/>
            <w:vAlign w:val="bottom"/>
          </w:tcPr>
          <w:p w:rsidR="00CC2C66" w:rsidRDefault="00CC2C66">
            <w:pPr>
              <w:rPr>
                <w:sz w:val="11"/>
                <w:szCs w:val="11"/>
              </w:rPr>
            </w:pPr>
          </w:p>
        </w:tc>
        <w:tc>
          <w:tcPr>
            <w:tcW w:w="1000" w:type="dxa"/>
            <w:shd w:val="clear" w:color="auto" w:fill="FAE6E9"/>
            <w:vAlign w:val="bottom"/>
          </w:tcPr>
          <w:p w:rsidR="00CC2C66" w:rsidRDefault="00CC2C66">
            <w:pPr>
              <w:rPr>
                <w:sz w:val="11"/>
                <w:szCs w:val="11"/>
              </w:rPr>
            </w:pPr>
          </w:p>
        </w:tc>
        <w:tc>
          <w:tcPr>
            <w:tcW w:w="740" w:type="dxa"/>
            <w:shd w:val="clear" w:color="auto" w:fill="FAE6E9"/>
            <w:vAlign w:val="bottom"/>
          </w:tcPr>
          <w:p w:rsidR="00CC2C66" w:rsidRDefault="00CC2C66">
            <w:pPr>
              <w:rPr>
                <w:sz w:val="11"/>
                <w:szCs w:val="11"/>
              </w:rPr>
            </w:pPr>
          </w:p>
        </w:tc>
        <w:tc>
          <w:tcPr>
            <w:tcW w:w="640" w:type="dxa"/>
            <w:shd w:val="clear" w:color="auto" w:fill="FAE6E9"/>
            <w:vAlign w:val="bottom"/>
          </w:tcPr>
          <w:p w:rsidR="00CC2C66" w:rsidRDefault="00CC2C66">
            <w:pPr>
              <w:rPr>
                <w:sz w:val="11"/>
                <w:szCs w:val="11"/>
              </w:rPr>
            </w:pPr>
          </w:p>
        </w:tc>
        <w:tc>
          <w:tcPr>
            <w:tcW w:w="820" w:type="dxa"/>
            <w:shd w:val="clear" w:color="auto" w:fill="FAE6E9"/>
            <w:vAlign w:val="bottom"/>
          </w:tcPr>
          <w:p w:rsidR="00CC2C66" w:rsidRDefault="00CC2C66">
            <w:pPr>
              <w:rPr>
                <w:sz w:val="11"/>
                <w:szCs w:val="11"/>
              </w:rPr>
            </w:pPr>
          </w:p>
        </w:tc>
        <w:tc>
          <w:tcPr>
            <w:tcW w:w="720" w:type="dxa"/>
            <w:vMerge/>
            <w:shd w:val="clear" w:color="auto" w:fill="FAE6E9"/>
            <w:vAlign w:val="bottom"/>
          </w:tcPr>
          <w:p w:rsidR="00CC2C66" w:rsidRDefault="00CC2C66">
            <w:pPr>
              <w:rPr>
                <w:sz w:val="11"/>
                <w:szCs w:val="11"/>
              </w:rPr>
            </w:pPr>
          </w:p>
        </w:tc>
        <w:tc>
          <w:tcPr>
            <w:tcW w:w="1020" w:type="dxa"/>
            <w:vMerge/>
            <w:shd w:val="clear" w:color="auto" w:fill="FAE6E9"/>
            <w:vAlign w:val="bottom"/>
          </w:tcPr>
          <w:p w:rsidR="00CC2C66" w:rsidRDefault="00CC2C66">
            <w:pPr>
              <w:rPr>
                <w:sz w:val="11"/>
                <w:szCs w:val="11"/>
              </w:rPr>
            </w:pPr>
          </w:p>
        </w:tc>
        <w:tc>
          <w:tcPr>
            <w:tcW w:w="1040" w:type="dxa"/>
            <w:shd w:val="clear" w:color="auto" w:fill="FAE6E9"/>
            <w:vAlign w:val="bottom"/>
          </w:tcPr>
          <w:p w:rsidR="00CC2C66" w:rsidRDefault="00CC2C66">
            <w:pPr>
              <w:rPr>
                <w:sz w:val="11"/>
                <w:szCs w:val="11"/>
              </w:rPr>
            </w:pPr>
          </w:p>
        </w:tc>
        <w:tc>
          <w:tcPr>
            <w:tcW w:w="760" w:type="dxa"/>
            <w:shd w:val="clear" w:color="auto" w:fill="FAE6E9"/>
            <w:vAlign w:val="bottom"/>
          </w:tcPr>
          <w:p w:rsidR="00CC2C66" w:rsidRDefault="00CC2C66">
            <w:pPr>
              <w:rPr>
                <w:sz w:val="11"/>
                <w:szCs w:val="11"/>
              </w:rPr>
            </w:pPr>
          </w:p>
        </w:tc>
        <w:tc>
          <w:tcPr>
            <w:tcW w:w="1300" w:type="dxa"/>
            <w:shd w:val="clear" w:color="auto" w:fill="FAE6E9"/>
            <w:vAlign w:val="bottom"/>
          </w:tcPr>
          <w:p w:rsidR="00CC2C66" w:rsidRDefault="00F80B74">
            <w:pPr>
              <w:spacing w:line="128" w:lineRule="exact"/>
              <w:jc w:val="center"/>
              <w:rPr>
                <w:sz w:val="20"/>
                <w:szCs w:val="20"/>
              </w:rPr>
            </w:pPr>
            <w:r>
              <w:rPr>
                <w:rFonts w:ascii="Arial" w:eastAsia="Arial" w:hAnsi="Arial" w:cs="Arial"/>
                <w:b/>
                <w:bCs/>
                <w:color w:val="CF0A2C"/>
                <w:w w:val="99"/>
                <w:sz w:val="13"/>
                <w:szCs w:val="13"/>
              </w:rPr>
              <w:t>Compensation</w:t>
            </w:r>
          </w:p>
        </w:tc>
        <w:tc>
          <w:tcPr>
            <w:tcW w:w="0" w:type="dxa"/>
            <w:vAlign w:val="bottom"/>
          </w:tcPr>
          <w:p w:rsidR="00CC2C66" w:rsidRDefault="00CC2C66">
            <w:pPr>
              <w:rPr>
                <w:sz w:val="1"/>
                <w:szCs w:val="1"/>
              </w:rPr>
            </w:pPr>
          </w:p>
        </w:tc>
      </w:tr>
      <w:tr w:rsidR="00CC2C66">
        <w:trPr>
          <w:trHeight w:val="141"/>
        </w:trPr>
        <w:tc>
          <w:tcPr>
            <w:tcW w:w="2380" w:type="dxa"/>
            <w:shd w:val="clear" w:color="auto" w:fill="FAE6E9"/>
            <w:vAlign w:val="bottom"/>
          </w:tcPr>
          <w:p w:rsidR="00CC2C66" w:rsidRDefault="00CC2C66">
            <w:pPr>
              <w:rPr>
                <w:sz w:val="12"/>
                <w:szCs w:val="12"/>
              </w:rPr>
            </w:pPr>
          </w:p>
        </w:tc>
        <w:tc>
          <w:tcPr>
            <w:tcW w:w="1000" w:type="dxa"/>
            <w:shd w:val="clear" w:color="auto" w:fill="FAE6E9"/>
            <w:vAlign w:val="bottom"/>
          </w:tcPr>
          <w:p w:rsidR="00CC2C66" w:rsidRDefault="00CC2C66">
            <w:pPr>
              <w:rPr>
                <w:sz w:val="12"/>
                <w:szCs w:val="12"/>
              </w:rPr>
            </w:pPr>
          </w:p>
        </w:tc>
        <w:tc>
          <w:tcPr>
            <w:tcW w:w="740" w:type="dxa"/>
            <w:shd w:val="clear" w:color="auto" w:fill="FAE6E9"/>
            <w:vAlign w:val="bottom"/>
          </w:tcPr>
          <w:p w:rsidR="00CC2C66" w:rsidRDefault="00CC2C66">
            <w:pPr>
              <w:rPr>
                <w:sz w:val="12"/>
                <w:szCs w:val="12"/>
              </w:rPr>
            </w:pPr>
          </w:p>
        </w:tc>
        <w:tc>
          <w:tcPr>
            <w:tcW w:w="640" w:type="dxa"/>
            <w:shd w:val="clear" w:color="auto" w:fill="FAE6E9"/>
            <w:vAlign w:val="bottom"/>
          </w:tcPr>
          <w:p w:rsidR="00CC2C66" w:rsidRDefault="00CC2C66">
            <w:pPr>
              <w:rPr>
                <w:sz w:val="12"/>
                <w:szCs w:val="12"/>
              </w:rPr>
            </w:pPr>
          </w:p>
        </w:tc>
        <w:tc>
          <w:tcPr>
            <w:tcW w:w="82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sz w:val="13"/>
                <w:szCs w:val="13"/>
              </w:rPr>
              <w:t>Stock</w:t>
            </w:r>
          </w:p>
        </w:tc>
        <w:tc>
          <w:tcPr>
            <w:tcW w:w="72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sz w:val="13"/>
                <w:szCs w:val="13"/>
              </w:rPr>
              <w:t>SAR</w:t>
            </w:r>
          </w:p>
        </w:tc>
        <w:tc>
          <w:tcPr>
            <w:tcW w:w="102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8"/>
                <w:sz w:val="13"/>
                <w:szCs w:val="13"/>
              </w:rPr>
              <w:t>Incentive Plan</w:t>
            </w:r>
          </w:p>
        </w:tc>
        <w:tc>
          <w:tcPr>
            <w:tcW w:w="104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8"/>
                <w:sz w:val="13"/>
                <w:szCs w:val="13"/>
              </w:rPr>
              <w:t>All Other</w:t>
            </w:r>
          </w:p>
        </w:tc>
        <w:tc>
          <w:tcPr>
            <w:tcW w:w="760" w:type="dxa"/>
            <w:shd w:val="clear" w:color="auto" w:fill="FAE6E9"/>
            <w:vAlign w:val="bottom"/>
          </w:tcPr>
          <w:p w:rsidR="00CC2C66" w:rsidRDefault="00CC2C66">
            <w:pPr>
              <w:rPr>
                <w:sz w:val="12"/>
                <w:szCs w:val="12"/>
              </w:rPr>
            </w:pPr>
          </w:p>
        </w:tc>
        <w:tc>
          <w:tcPr>
            <w:tcW w:w="130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7"/>
                <w:sz w:val="13"/>
                <w:szCs w:val="13"/>
              </w:rPr>
              <w:t>Without Legacy</w:t>
            </w:r>
          </w:p>
        </w:tc>
        <w:tc>
          <w:tcPr>
            <w:tcW w:w="0" w:type="dxa"/>
            <w:vAlign w:val="bottom"/>
          </w:tcPr>
          <w:p w:rsidR="00CC2C66" w:rsidRDefault="00CC2C66">
            <w:pPr>
              <w:rPr>
                <w:sz w:val="1"/>
                <w:szCs w:val="1"/>
              </w:rPr>
            </w:pPr>
          </w:p>
        </w:tc>
      </w:tr>
      <w:tr w:rsidR="00CC2C66">
        <w:trPr>
          <w:trHeight w:val="141"/>
        </w:trPr>
        <w:tc>
          <w:tcPr>
            <w:tcW w:w="2380" w:type="dxa"/>
            <w:shd w:val="clear" w:color="auto" w:fill="FAE6E9"/>
            <w:vAlign w:val="bottom"/>
          </w:tcPr>
          <w:p w:rsidR="00CC2C66" w:rsidRDefault="00CC2C66">
            <w:pPr>
              <w:rPr>
                <w:sz w:val="12"/>
                <w:szCs w:val="12"/>
              </w:rPr>
            </w:pPr>
          </w:p>
        </w:tc>
        <w:tc>
          <w:tcPr>
            <w:tcW w:w="1000" w:type="dxa"/>
            <w:shd w:val="clear" w:color="auto" w:fill="FAE6E9"/>
            <w:vAlign w:val="bottom"/>
          </w:tcPr>
          <w:p w:rsidR="00CC2C66" w:rsidRDefault="00CC2C66">
            <w:pPr>
              <w:rPr>
                <w:sz w:val="12"/>
                <w:szCs w:val="12"/>
              </w:rPr>
            </w:pPr>
          </w:p>
        </w:tc>
        <w:tc>
          <w:tcPr>
            <w:tcW w:w="740" w:type="dxa"/>
            <w:shd w:val="clear" w:color="auto" w:fill="FAE6E9"/>
            <w:vAlign w:val="bottom"/>
          </w:tcPr>
          <w:p w:rsidR="00CC2C66" w:rsidRDefault="00F80B74">
            <w:pPr>
              <w:spacing w:line="141" w:lineRule="exact"/>
              <w:ind w:right="136"/>
              <w:jc w:val="right"/>
              <w:rPr>
                <w:sz w:val="20"/>
                <w:szCs w:val="20"/>
              </w:rPr>
            </w:pPr>
            <w:r>
              <w:rPr>
                <w:rFonts w:ascii="Arial" w:eastAsia="Arial" w:hAnsi="Arial" w:cs="Arial"/>
                <w:b/>
                <w:bCs/>
                <w:color w:val="CF0A2C"/>
                <w:sz w:val="13"/>
                <w:szCs w:val="13"/>
              </w:rPr>
              <w:t>Salary</w:t>
            </w:r>
          </w:p>
        </w:tc>
        <w:tc>
          <w:tcPr>
            <w:tcW w:w="64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8"/>
                <w:sz w:val="13"/>
                <w:szCs w:val="13"/>
              </w:rPr>
              <w:t>Bonus</w:t>
            </w:r>
          </w:p>
        </w:tc>
        <w:tc>
          <w:tcPr>
            <w:tcW w:w="82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3"/>
                <w:sz w:val="13"/>
                <w:szCs w:val="13"/>
              </w:rPr>
              <w:t>Awards</w:t>
            </w:r>
          </w:p>
        </w:tc>
        <w:tc>
          <w:tcPr>
            <w:tcW w:w="72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3"/>
                <w:sz w:val="13"/>
                <w:szCs w:val="13"/>
              </w:rPr>
              <w:t>Awards</w:t>
            </w:r>
          </w:p>
        </w:tc>
        <w:tc>
          <w:tcPr>
            <w:tcW w:w="102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7"/>
                <w:sz w:val="13"/>
                <w:szCs w:val="13"/>
              </w:rPr>
              <w:t>Compensation</w:t>
            </w:r>
          </w:p>
        </w:tc>
        <w:tc>
          <w:tcPr>
            <w:tcW w:w="104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7"/>
                <w:sz w:val="13"/>
                <w:szCs w:val="13"/>
              </w:rPr>
              <w:t>Compensation</w:t>
            </w:r>
          </w:p>
        </w:tc>
        <w:tc>
          <w:tcPr>
            <w:tcW w:w="76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6"/>
                <w:sz w:val="13"/>
                <w:szCs w:val="13"/>
              </w:rPr>
              <w:t>Total</w:t>
            </w:r>
          </w:p>
        </w:tc>
        <w:tc>
          <w:tcPr>
            <w:tcW w:w="130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7"/>
                <w:sz w:val="13"/>
                <w:szCs w:val="13"/>
              </w:rPr>
              <w:t>Tax</w:t>
            </w:r>
          </w:p>
        </w:tc>
        <w:tc>
          <w:tcPr>
            <w:tcW w:w="0" w:type="dxa"/>
            <w:vAlign w:val="bottom"/>
          </w:tcPr>
          <w:p w:rsidR="00CC2C66" w:rsidRDefault="00CC2C66">
            <w:pPr>
              <w:rPr>
                <w:sz w:val="1"/>
                <w:szCs w:val="1"/>
              </w:rPr>
            </w:pPr>
          </w:p>
        </w:tc>
      </w:tr>
      <w:tr w:rsidR="00CC2C66">
        <w:trPr>
          <w:trHeight w:val="166"/>
        </w:trPr>
        <w:tc>
          <w:tcPr>
            <w:tcW w:w="2380" w:type="dxa"/>
            <w:tcBorders>
              <w:bottom w:val="single" w:sz="8" w:space="0" w:color="CF0A2C"/>
            </w:tcBorders>
            <w:shd w:val="clear" w:color="auto" w:fill="FAE6E9"/>
            <w:vAlign w:val="bottom"/>
          </w:tcPr>
          <w:p w:rsidR="00CC2C66" w:rsidRDefault="00F80B74">
            <w:pPr>
              <w:ind w:left="40"/>
              <w:rPr>
                <w:sz w:val="20"/>
                <w:szCs w:val="20"/>
              </w:rPr>
            </w:pPr>
            <w:r>
              <w:rPr>
                <w:rFonts w:ascii="Arial" w:eastAsia="Arial" w:hAnsi="Arial" w:cs="Arial"/>
                <w:b/>
                <w:bCs/>
                <w:color w:val="CF0A2C"/>
                <w:sz w:val="13"/>
                <w:szCs w:val="13"/>
              </w:rPr>
              <w:t>Name and Principal Position</w:t>
            </w:r>
          </w:p>
        </w:tc>
        <w:tc>
          <w:tcPr>
            <w:tcW w:w="1000" w:type="dxa"/>
            <w:tcBorders>
              <w:bottom w:val="single" w:sz="8" w:space="0" w:color="CF0A2C"/>
            </w:tcBorders>
            <w:shd w:val="clear" w:color="auto" w:fill="FAE6E9"/>
            <w:vAlign w:val="bottom"/>
          </w:tcPr>
          <w:p w:rsidR="00CC2C66" w:rsidRDefault="00F80B74">
            <w:pPr>
              <w:ind w:left="600"/>
              <w:rPr>
                <w:sz w:val="20"/>
                <w:szCs w:val="20"/>
              </w:rPr>
            </w:pPr>
            <w:r>
              <w:rPr>
                <w:rFonts w:ascii="Arial" w:eastAsia="Arial" w:hAnsi="Arial" w:cs="Arial"/>
                <w:b/>
                <w:bCs/>
                <w:color w:val="CF0A2C"/>
                <w:sz w:val="13"/>
                <w:szCs w:val="13"/>
              </w:rPr>
              <w:t>Year</w:t>
            </w:r>
          </w:p>
        </w:tc>
        <w:tc>
          <w:tcPr>
            <w:tcW w:w="740" w:type="dxa"/>
            <w:tcBorders>
              <w:bottom w:val="single" w:sz="8" w:space="0" w:color="CF0A2C"/>
            </w:tcBorders>
            <w:shd w:val="clear" w:color="auto" w:fill="FAE6E9"/>
            <w:vAlign w:val="bottom"/>
          </w:tcPr>
          <w:p w:rsidR="00CC2C66" w:rsidRDefault="00F80B74">
            <w:pPr>
              <w:ind w:right="256"/>
              <w:jc w:val="right"/>
              <w:rPr>
                <w:sz w:val="20"/>
                <w:szCs w:val="20"/>
              </w:rPr>
            </w:pPr>
            <w:r>
              <w:rPr>
                <w:rFonts w:ascii="Arial" w:eastAsia="Arial" w:hAnsi="Arial" w:cs="Arial"/>
                <w:b/>
                <w:bCs/>
                <w:color w:val="CF0A2C"/>
                <w:sz w:val="13"/>
                <w:szCs w:val="13"/>
              </w:rPr>
              <w:t>($)</w:t>
            </w:r>
          </w:p>
        </w:tc>
        <w:tc>
          <w:tcPr>
            <w:tcW w:w="64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sz w:val="13"/>
                <w:szCs w:val="13"/>
              </w:rPr>
              <w:t>($)</w:t>
            </w:r>
          </w:p>
        </w:tc>
        <w:tc>
          <w:tcPr>
            <w:tcW w:w="820" w:type="dxa"/>
            <w:tcBorders>
              <w:bottom w:val="single" w:sz="8" w:space="0" w:color="CF0A2C"/>
            </w:tcBorders>
            <w:shd w:val="clear" w:color="auto" w:fill="FAE6E9"/>
            <w:vAlign w:val="bottom"/>
          </w:tcPr>
          <w:p w:rsidR="00CC2C66" w:rsidRDefault="00F80B74">
            <w:pPr>
              <w:spacing w:line="166" w:lineRule="exact"/>
              <w:jc w:val="center"/>
              <w:rPr>
                <w:sz w:val="20"/>
                <w:szCs w:val="20"/>
              </w:rPr>
            </w:pPr>
            <w:r>
              <w:rPr>
                <w:rFonts w:ascii="Arial" w:eastAsia="Arial" w:hAnsi="Arial" w:cs="Arial"/>
                <w:b/>
                <w:bCs/>
                <w:color w:val="CF0A2C"/>
                <w:sz w:val="19"/>
                <w:szCs w:val="19"/>
                <w:vertAlign w:val="subscript"/>
              </w:rPr>
              <w:t>($)</w:t>
            </w:r>
            <w:r>
              <w:rPr>
                <w:rFonts w:ascii="Arial" w:eastAsia="Arial" w:hAnsi="Arial" w:cs="Arial"/>
                <w:b/>
                <w:bCs/>
                <w:color w:val="CF0A2C"/>
                <w:sz w:val="8"/>
                <w:szCs w:val="8"/>
              </w:rPr>
              <w:t>(1)</w:t>
            </w:r>
          </w:p>
        </w:tc>
        <w:tc>
          <w:tcPr>
            <w:tcW w:w="720" w:type="dxa"/>
            <w:tcBorders>
              <w:bottom w:val="single" w:sz="8" w:space="0" w:color="CF0A2C"/>
            </w:tcBorders>
            <w:shd w:val="clear" w:color="auto" w:fill="FAE6E9"/>
            <w:vAlign w:val="bottom"/>
          </w:tcPr>
          <w:p w:rsidR="00CC2C66" w:rsidRDefault="00F80B74">
            <w:pPr>
              <w:spacing w:line="166" w:lineRule="exact"/>
              <w:jc w:val="center"/>
              <w:rPr>
                <w:sz w:val="20"/>
                <w:szCs w:val="20"/>
              </w:rPr>
            </w:pPr>
            <w:r>
              <w:rPr>
                <w:rFonts w:ascii="Arial" w:eastAsia="Arial" w:hAnsi="Arial" w:cs="Arial"/>
                <w:b/>
                <w:bCs/>
                <w:color w:val="CF0A2C"/>
                <w:sz w:val="19"/>
                <w:szCs w:val="19"/>
                <w:vertAlign w:val="subscript"/>
              </w:rPr>
              <w:t>($)</w:t>
            </w:r>
            <w:r>
              <w:rPr>
                <w:rFonts w:ascii="Arial" w:eastAsia="Arial" w:hAnsi="Arial" w:cs="Arial"/>
                <w:b/>
                <w:bCs/>
                <w:color w:val="CF0A2C"/>
                <w:sz w:val="8"/>
                <w:szCs w:val="8"/>
              </w:rPr>
              <w:t>(2)</w:t>
            </w:r>
          </w:p>
        </w:tc>
        <w:tc>
          <w:tcPr>
            <w:tcW w:w="1020" w:type="dxa"/>
            <w:tcBorders>
              <w:bottom w:val="single" w:sz="8" w:space="0" w:color="CF0A2C"/>
            </w:tcBorders>
            <w:shd w:val="clear" w:color="auto" w:fill="FAE6E9"/>
            <w:vAlign w:val="bottom"/>
          </w:tcPr>
          <w:p w:rsidR="00CC2C66" w:rsidRDefault="00F80B74">
            <w:pPr>
              <w:spacing w:line="166" w:lineRule="exact"/>
              <w:jc w:val="center"/>
              <w:rPr>
                <w:sz w:val="20"/>
                <w:szCs w:val="20"/>
              </w:rPr>
            </w:pPr>
            <w:r>
              <w:rPr>
                <w:rFonts w:ascii="Arial" w:eastAsia="Arial" w:hAnsi="Arial" w:cs="Arial"/>
                <w:b/>
                <w:bCs/>
                <w:color w:val="CF0A2C"/>
                <w:sz w:val="19"/>
                <w:szCs w:val="19"/>
                <w:vertAlign w:val="subscript"/>
              </w:rPr>
              <w:t>($)</w:t>
            </w:r>
            <w:r>
              <w:rPr>
                <w:rFonts w:ascii="Arial" w:eastAsia="Arial" w:hAnsi="Arial" w:cs="Arial"/>
                <w:b/>
                <w:bCs/>
                <w:color w:val="CF0A2C"/>
                <w:sz w:val="8"/>
                <w:szCs w:val="8"/>
              </w:rPr>
              <w:t>(3)</w:t>
            </w:r>
          </w:p>
        </w:tc>
        <w:tc>
          <w:tcPr>
            <w:tcW w:w="1040" w:type="dxa"/>
            <w:tcBorders>
              <w:bottom w:val="single" w:sz="8" w:space="0" w:color="CF0A2C"/>
            </w:tcBorders>
            <w:shd w:val="clear" w:color="auto" w:fill="FAE6E9"/>
            <w:vAlign w:val="bottom"/>
          </w:tcPr>
          <w:p w:rsidR="00CC2C66" w:rsidRDefault="00F80B74">
            <w:pPr>
              <w:spacing w:line="166" w:lineRule="exact"/>
              <w:jc w:val="center"/>
              <w:rPr>
                <w:sz w:val="20"/>
                <w:szCs w:val="20"/>
              </w:rPr>
            </w:pPr>
            <w:r>
              <w:rPr>
                <w:rFonts w:ascii="Arial" w:eastAsia="Arial" w:hAnsi="Arial" w:cs="Arial"/>
                <w:b/>
                <w:bCs/>
                <w:color w:val="CF0A2C"/>
                <w:sz w:val="19"/>
                <w:szCs w:val="19"/>
                <w:vertAlign w:val="subscript"/>
              </w:rPr>
              <w:t>($)</w:t>
            </w:r>
            <w:r>
              <w:rPr>
                <w:rFonts w:ascii="Arial" w:eastAsia="Arial" w:hAnsi="Arial" w:cs="Arial"/>
                <w:b/>
                <w:bCs/>
                <w:color w:val="CF0A2C"/>
                <w:sz w:val="8"/>
                <w:szCs w:val="8"/>
              </w:rPr>
              <w:t>(4)</w:t>
            </w:r>
          </w:p>
        </w:tc>
        <w:tc>
          <w:tcPr>
            <w:tcW w:w="760" w:type="dxa"/>
            <w:tcBorders>
              <w:bottom w:val="single" w:sz="8" w:space="0" w:color="CF0A2C"/>
            </w:tcBorders>
            <w:shd w:val="clear" w:color="auto" w:fill="FAE6E9"/>
            <w:vAlign w:val="bottom"/>
          </w:tcPr>
          <w:p w:rsidR="00CC2C66" w:rsidRDefault="00F80B74">
            <w:pPr>
              <w:spacing w:line="166" w:lineRule="exact"/>
              <w:jc w:val="center"/>
              <w:rPr>
                <w:sz w:val="20"/>
                <w:szCs w:val="20"/>
              </w:rPr>
            </w:pPr>
            <w:r>
              <w:rPr>
                <w:rFonts w:ascii="Arial" w:eastAsia="Arial" w:hAnsi="Arial" w:cs="Arial"/>
                <w:b/>
                <w:bCs/>
                <w:color w:val="CF0A2C"/>
                <w:sz w:val="19"/>
                <w:szCs w:val="19"/>
                <w:vertAlign w:val="subscript"/>
              </w:rPr>
              <w:t>($)</w:t>
            </w:r>
            <w:r>
              <w:rPr>
                <w:rFonts w:ascii="Arial" w:eastAsia="Arial" w:hAnsi="Arial" w:cs="Arial"/>
                <w:b/>
                <w:bCs/>
                <w:color w:val="CF0A2C"/>
                <w:sz w:val="8"/>
                <w:szCs w:val="8"/>
              </w:rPr>
              <w:t>(5)</w:t>
            </w:r>
          </w:p>
        </w:tc>
        <w:tc>
          <w:tcPr>
            <w:tcW w:w="1300" w:type="dxa"/>
            <w:tcBorders>
              <w:bottom w:val="single" w:sz="8" w:space="0" w:color="CF0A2C"/>
            </w:tcBorders>
            <w:shd w:val="clear" w:color="auto" w:fill="FAE6E9"/>
            <w:vAlign w:val="bottom"/>
          </w:tcPr>
          <w:p w:rsidR="00CC2C66" w:rsidRDefault="00F80B74">
            <w:pPr>
              <w:spacing w:line="166" w:lineRule="exact"/>
              <w:jc w:val="center"/>
              <w:rPr>
                <w:sz w:val="20"/>
                <w:szCs w:val="20"/>
              </w:rPr>
            </w:pPr>
            <w:r>
              <w:rPr>
                <w:rFonts w:ascii="Arial" w:eastAsia="Arial" w:hAnsi="Arial" w:cs="Arial"/>
                <w:b/>
                <w:bCs/>
                <w:color w:val="CF0A2C"/>
                <w:w w:val="95"/>
                <w:sz w:val="13"/>
                <w:szCs w:val="13"/>
              </w:rPr>
              <w:t>Reimbursements</w:t>
            </w:r>
            <w:r>
              <w:rPr>
                <w:rFonts w:ascii="Arial" w:eastAsia="Arial" w:hAnsi="Arial" w:cs="Arial"/>
                <w:b/>
                <w:bCs/>
                <w:color w:val="CF0A2C"/>
                <w:w w:val="95"/>
                <w:sz w:val="19"/>
                <w:szCs w:val="19"/>
                <w:vertAlign w:val="superscript"/>
              </w:rPr>
              <w:t>(6)</w:t>
            </w:r>
          </w:p>
        </w:tc>
        <w:tc>
          <w:tcPr>
            <w:tcW w:w="0" w:type="dxa"/>
            <w:vAlign w:val="bottom"/>
          </w:tcPr>
          <w:p w:rsidR="00CC2C66" w:rsidRDefault="00CC2C66">
            <w:pPr>
              <w:rPr>
                <w:sz w:val="1"/>
                <w:szCs w:val="1"/>
              </w:rPr>
            </w:pPr>
          </w:p>
        </w:tc>
      </w:tr>
      <w:tr w:rsidR="00CC2C66">
        <w:trPr>
          <w:trHeight w:val="162"/>
        </w:trPr>
        <w:tc>
          <w:tcPr>
            <w:tcW w:w="2380" w:type="dxa"/>
            <w:vAlign w:val="bottom"/>
          </w:tcPr>
          <w:p w:rsidR="00CC2C66" w:rsidRDefault="00F80B74">
            <w:pPr>
              <w:ind w:left="60"/>
              <w:rPr>
                <w:sz w:val="20"/>
                <w:szCs w:val="20"/>
              </w:rPr>
            </w:pPr>
            <w:r>
              <w:rPr>
                <w:rFonts w:ascii="Arial" w:eastAsia="Arial" w:hAnsi="Arial" w:cs="Arial"/>
                <w:b/>
                <w:bCs/>
                <w:color w:val="CF0A2C"/>
                <w:sz w:val="14"/>
                <w:szCs w:val="14"/>
              </w:rPr>
              <w:t>(a)</w:t>
            </w:r>
          </w:p>
        </w:tc>
        <w:tc>
          <w:tcPr>
            <w:tcW w:w="1000" w:type="dxa"/>
            <w:vAlign w:val="bottom"/>
          </w:tcPr>
          <w:p w:rsidR="00CC2C66" w:rsidRDefault="00F80B74">
            <w:pPr>
              <w:ind w:left="660"/>
              <w:rPr>
                <w:sz w:val="20"/>
                <w:szCs w:val="20"/>
              </w:rPr>
            </w:pPr>
            <w:r>
              <w:rPr>
                <w:rFonts w:ascii="Arial" w:eastAsia="Arial" w:hAnsi="Arial" w:cs="Arial"/>
                <w:b/>
                <w:bCs/>
                <w:color w:val="CF0A2C"/>
                <w:sz w:val="14"/>
                <w:szCs w:val="14"/>
              </w:rPr>
              <w:t>(b)</w:t>
            </w:r>
          </w:p>
        </w:tc>
        <w:tc>
          <w:tcPr>
            <w:tcW w:w="740" w:type="dxa"/>
            <w:vAlign w:val="bottom"/>
          </w:tcPr>
          <w:p w:rsidR="00CC2C66" w:rsidRDefault="00F80B74">
            <w:pPr>
              <w:ind w:right="256"/>
              <w:jc w:val="right"/>
              <w:rPr>
                <w:sz w:val="20"/>
                <w:szCs w:val="20"/>
              </w:rPr>
            </w:pPr>
            <w:r>
              <w:rPr>
                <w:rFonts w:ascii="Arial" w:eastAsia="Arial" w:hAnsi="Arial" w:cs="Arial"/>
                <w:b/>
                <w:bCs/>
                <w:color w:val="CF0A2C"/>
                <w:sz w:val="14"/>
                <w:szCs w:val="14"/>
              </w:rPr>
              <w:t>(c)</w:t>
            </w:r>
          </w:p>
        </w:tc>
        <w:tc>
          <w:tcPr>
            <w:tcW w:w="640" w:type="dxa"/>
            <w:vAlign w:val="bottom"/>
          </w:tcPr>
          <w:p w:rsidR="00CC2C66" w:rsidRDefault="00F80B74">
            <w:pPr>
              <w:jc w:val="center"/>
              <w:rPr>
                <w:sz w:val="20"/>
                <w:szCs w:val="20"/>
              </w:rPr>
            </w:pPr>
            <w:r>
              <w:rPr>
                <w:rFonts w:ascii="Arial" w:eastAsia="Arial" w:hAnsi="Arial" w:cs="Arial"/>
                <w:b/>
                <w:bCs/>
                <w:color w:val="CF0A2C"/>
                <w:sz w:val="14"/>
                <w:szCs w:val="14"/>
              </w:rPr>
              <w:t>(d)</w:t>
            </w:r>
          </w:p>
        </w:tc>
        <w:tc>
          <w:tcPr>
            <w:tcW w:w="820" w:type="dxa"/>
            <w:vAlign w:val="bottom"/>
          </w:tcPr>
          <w:p w:rsidR="00CC2C66" w:rsidRDefault="00F80B74">
            <w:pPr>
              <w:jc w:val="center"/>
              <w:rPr>
                <w:sz w:val="20"/>
                <w:szCs w:val="20"/>
              </w:rPr>
            </w:pPr>
            <w:r>
              <w:rPr>
                <w:rFonts w:ascii="Arial" w:eastAsia="Arial" w:hAnsi="Arial" w:cs="Arial"/>
                <w:b/>
                <w:bCs/>
                <w:color w:val="CF0A2C"/>
                <w:w w:val="93"/>
                <w:sz w:val="14"/>
                <w:szCs w:val="14"/>
              </w:rPr>
              <w:t>(e)</w:t>
            </w:r>
          </w:p>
        </w:tc>
        <w:tc>
          <w:tcPr>
            <w:tcW w:w="720" w:type="dxa"/>
            <w:vAlign w:val="bottom"/>
          </w:tcPr>
          <w:p w:rsidR="00CC2C66" w:rsidRDefault="00F80B74">
            <w:pPr>
              <w:jc w:val="center"/>
              <w:rPr>
                <w:sz w:val="20"/>
                <w:szCs w:val="20"/>
              </w:rPr>
            </w:pPr>
            <w:r>
              <w:rPr>
                <w:rFonts w:ascii="Arial" w:eastAsia="Arial" w:hAnsi="Arial" w:cs="Arial"/>
                <w:b/>
                <w:bCs/>
                <w:color w:val="CF0A2C"/>
                <w:w w:val="85"/>
                <w:sz w:val="14"/>
                <w:szCs w:val="14"/>
              </w:rPr>
              <w:t>(f)</w:t>
            </w:r>
          </w:p>
        </w:tc>
        <w:tc>
          <w:tcPr>
            <w:tcW w:w="1020" w:type="dxa"/>
            <w:vAlign w:val="bottom"/>
          </w:tcPr>
          <w:p w:rsidR="00CC2C66" w:rsidRDefault="00F80B74">
            <w:pPr>
              <w:jc w:val="center"/>
              <w:rPr>
                <w:sz w:val="20"/>
                <w:szCs w:val="20"/>
              </w:rPr>
            </w:pPr>
            <w:r>
              <w:rPr>
                <w:rFonts w:ascii="Arial" w:eastAsia="Arial" w:hAnsi="Arial" w:cs="Arial"/>
                <w:b/>
                <w:bCs/>
                <w:color w:val="CF0A2C"/>
                <w:w w:val="89"/>
                <w:sz w:val="14"/>
                <w:szCs w:val="14"/>
              </w:rPr>
              <w:t>(g)</w:t>
            </w:r>
          </w:p>
        </w:tc>
        <w:tc>
          <w:tcPr>
            <w:tcW w:w="1040" w:type="dxa"/>
            <w:vAlign w:val="bottom"/>
          </w:tcPr>
          <w:p w:rsidR="00CC2C66" w:rsidRDefault="00F80B74">
            <w:pPr>
              <w:jc w:val="center"/>
              <w:rPr>
                <w:sz w:val="20"/>
                <w:szCs w:val="20"/>
              </w:rPr>
            </w:pPr>
            <w:r>
              <w:rPr>
                <w:rFonts w:ascii="Arial" w:eastAsia="Arial" w:hAnsi="Arial" w:cs="Arial"/>
                <w:b/>
                <w:bCs/>
                <w:color w:val="CF0A2C"/>
                <w:sz w:val="14"/>
                <w:szCs w:val="14"/>
              </w:rPr>
              <w:t>(h)</w:t>
            </w:r>
          </w:p>
        </w:tc>
        <w:tc>
          <w:tcPr>
            <w:tcW w:w="760" w:type="dxa"/>
            <w:vAlign w:val="bottom"/>
          </w:tcPr>
          <w:p w:rsidR="00CC2C66" w:rsidRDefault="00F80B74">
            <w:pPr>
              <w:jc w:val="center"/>
              <w:rPr>
                <w:sz w:val="20"/>
                <w:szCs w:val="20"/>
              </w:rPr>
            </w:pPr>
            <w:r>
              <w:rPr>
                <w:rFonts w:ascii="Arial" w:eastAsia="Arial" w:hAnsi="Arial" w:cs="Arial"/>
                <w:b/>
                <w:bCs/>
                <w:color w:val="CF0A2C"/>
                <w:w w:val="90"/>
                <w:sz w:val="14"/>
                <w:szCs w:val="14"/>
              </w:rPr>
              <w:t>(i)</w:t>
            </w:r>
          </w:p>
        </w:tc>
        <w:tc>
          <w:tcPr>
            <w:tcW w:w="1300" w:type="dxa"/>
            <w:vAlign w:val="bottom"/>
          </w:tcPr>
          <w:p w:rsidR="00CC2C66" w:rsidRDefault="00F80B74">
            <w:pPr>
              <w:jc w:val="center"/>
              <w:rPr>
                <w:sz w:val="20"/>
                <w:szCs w:val="20"/>
              </w:rPr>
            </w:pPr>
            <w:r>
              <w:rPr>
                <w:rFonts w:ascii="Arial" w:eastAsia="Arial" w:hAnsi="Arial" w:cs="Arial"/>
                <w:b/>
                <w:bCs/>
                <w:color w:val="CF0A2C"/>
                <w:sz w:val="14"/>
                <w:szCs w:val="14"/>
              </w:rPr>
              <w:t>(j)</w:t>
            </w:r>
          </w:p>
        </w:tc>
        <w:tc>
          <w:tcPr>
            <w:tcW w:w="0" w:type="dxa"/>
            <w:vAlign w:val="bottom"/>
          </w:tcPr>
          <w:p w:rsidR="00CC2C66" w:rsidRDefault="00CC2C66">
            <w:pPr>
              <w:rPr>
                <w:sz w:val="1"/>
                <w:szCs w:val="1"/>
              </w:rPr>
            </w:pPr>
          </w:p>
        </w:tc>
      </w:tr>
      <w:tr w:rsidR="00CC2C66">
        <w:trPr>
          <w:trHeight w:val="176"/>
        </w:trPr>
        <w:tc>
          <w:tcPr>
            <w:tcW w:w="2380" w:type="dxa"/>
            <w:vAlign w:val="bottom"/>
          </w:tcPr>
          <w:p w:rsidR="00CC2C66" w:rsidRDefault="00F80B74">
            <w:pPr>
              <w:rPr>
                <w:sz w:val="20"/>
                <w:szCs w:val="20"/>
              </w:rPr>
            </w:pPr>
            <w:r>
              <w:rPr>
                <w:rFonts w:ascii="Arial" w:eastAsia="Arial" w:hAnsi="Arial" w:cs="Arial"/>
                <w:b/>
                <w:bCs/>
                <w:color w:val="CF0A2C"/>
                <w:sz w:val="14"/>
                <w:szCs w:val="14"/>
              </w:rPr>
              <w:t>Joey Wat</w:t>
            </w:r>
          </w:p>
        </w:tc>
        <w:tc>
          <w:tcPr>
            <w:tcW w:w="1000" w:type="dxa"/>
            <w:vAlign w:val="bottom"/>
          </w:tcPr>
          <w:p w:rsidR="00CC2C66" w:rsidRDefault="00F80B74">
            <w:pPr>
              <w:ind w:left="620"/>
              <w:rPr>
                <w:sz w:val="20"/>
                <w:szCs w:val="20"/>
              </w:rPr>
            </w:pPr>
            <w:r>
              <w:rPr>
                <w:rFonts w:ascii="Arial" w:eastAsia="Arial" w:hAnsi="Arial" w:cs="Arial"/>
                <w:sz w:val="13"/>
                <w:szCs w:val="13"/>
              </w:rPr>
              <w:t>2021</w:t>
            </w:r>
          </w:p>
        </w:tc>
        <w:tc>
          <w:tcPr>
            <w:tcW w:w="740" w:type="dxa"/>
            <w:vAlign w:val="bottom"/>
          </w:tcPr>
          <w:p w:rsidR="00CC2C66" w:rsidRDefault="00F80B74">
            <w:pPr>
              <w:ind w:right="36"/>
              <w:jc w:val="right"/>
              <w:rPr>
                <w:sz w:val="20"/>
                <w:szCs w:val="20"/>
              </w:rPr>
            </w:pPr>
            <w:r>
              <w:rPr>
                <w:rFonts w:ascii="Arial" w:eastAsia="Arial" w:hAnsi="Arial" w:cs="Arial"/>
                <w:sz w:val="13"/>
                <w:szCs w:val="13"/>
              </w:rPr>
              <w:t>1,341,667</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5,703,920</w:t>
            </w:r>
          </w:p>
        </w:tc>
        <w:tc>
          <w:tcPr>
            <w:tcW w:w="720" w:type="dxa"/>
            <w:vAlign w:val="bottom"/>
          </w:tcPr>
          <w:p w:rsidR="00CC2C66" w:rsidRDefault="00F80B74">
            <w:pPr>
              <w:ind w:right="17"/>
              <w:jc w:val="right"/>
              <w:rPr>
                <w:sz w:val="20"/>
                <w:szCs w:val="20"/>
              </w:rPr>
            </w:pPr>
            <w:r>
              <w:rPr>
                <w:rFonts w:ascii="Arial" w:eastAsia="Arial" w:hAnsi="Arial" w:cs="Arial"/>
                <w:sz w:val="13"/>
                <w:szCs w:val="13"/>
              </w:rPr>
              <w:t>3,000,004</w:t>
            </w:r>
          </w:p>
        </w:tc>
        <w:tc>
          <w:tcPr>
            <w:tcW w:w="1020" w:type="dxa"/>
            <w:vAlign w:val="bottom"/>
          </w:tcPr>
          <w:p w:rsidR="00CC2C66" w:rsidRDefault="00F80B74">
            <w:pPr>
              <w:ind w:right="17"/>
              <w:jc w:val="right"/>
              <w:rPr>
                <w:sz w:val="20"/>
                <w:szCs w:val="20"/>
              </w:rPr>
            </w:pPr>
            <w:r>
              <w:rPr>
                <w:rFonts w:ascii="Arial" w:eastAsia="Arial" w:hAnsi="Arial" w:cs="Arial"/>
                <w:sz w:val="13"/>
                <w:szCs w:val="13"/>
              </w:rPr>
              <w:t>3,607,246</w:t>
            </w:r>
          </w:p>
        </w:tc>
        <w:tc>
          <w:tcPr>
            <w:tcW w:w="1040" w:type="dxa"/>
            <w:vAlign w:val="bottom"/>
          </w:tcPr>
          <w:p w:rsidR="00CC2C66" w:rsidRDefault="00F80B74">
            <w:pPr>
              <w:ind w:right="17"/>
              <w:jc w:val="right"/>
              <w:rPr>
                <w:sz w:val="20"/>
                <w:szCs w:val="20"/>
              </w:rPr>
            </w:pPr>
            <w:r>
              <w:rPr>
                <w:rFonts w:ascii="Arial" w:eastAsia="Arial" w:hAnsi="Arial" w:cs="Arial"/>
                <w:sz w:val="13"/>
                <w:szCs w:val="13"/>
              </w:rPr>
              <w:t>2,902,835</w:t>
            </w:r>
          </w:p>
        </w:tc>
        <w:tc>
          <w:tcPr>
            <w:tcW w:w="760" w:type="dxa"/>
            <w:vAlign w:val="bottom"/>
          </w:tcPr>
          <w:p w:rsidR="00CC2C66" w:rsidRDefault="00F80B74">
            <w:pPr>
              <w:jc w:val="right"/>
              <w:rPr>
                <w:sz w:val="20"/>
                <w:szCs w:val="20"/>
              </w:rPr>
            </w:pPr>
            <w:r>
              <w:rPr>
                <w:rFonts w:ascii="Arial" w:eastAsia="Arial" w:hAnsi="Arial" w:cs="Arial"/>
                <w:sz w:val="13"/>
                <w:szCs w:val="13"/>
              </w:rPr>
              <w:t>16,555,672</w:t>
            </w:r>
          </w:p>
        </w:tc>
        <w:tc>
          <w:tcPr>
            <w:tcW w:w="1300" w:type="dxa"/>
            <w:vAlign w:val="bottom"/>
          </w:tcPr>
          <w:p w:rsidR="00CC2C66" w:rsidRDefault="00F80B74">
            <w:pPr>
              <w:ind w:right="36"/>
              <w:jc w:val="right"/>
              <w:rPr>
                <w:sz w:val="20"/>
                <w:szCs w:val="20"/>
              </w:rPr>
            </w:pPr>
            <w:r>
              <w:rPr>
                <w:rFonts w:ascii="Arial" w:eastAsia="Arial" w:hAnsi="Arial" w:cs="Arial"/>
                <w:sz w:val="13"/>
                <w:szCs w:val="13"/>
              </w:rPr>
              <w:t>13,993,639</w:t>
            </w:r>
          </w:p>
        </w:tc>
        <w:tc>
          <w:tcPr>
            <w:tcW w:w="0" w:type="dxa"/>
            <w:vAlign w:val="bottom"/>
          </w:tcPr>
          <w:p w:rsidR="00CC2C66" w:rsidRDefault="00CC2C66">
            <w:pPr>
              <w:rPr>
                <w:sz w:val="1"/>
                <w:szCs w:val="1"/>
              </w:rPr>
            </w:pPr>
          </w:p>
        </w:tc>
      </w:tr>
      <w:tr w:rsidR="00CC2C66">
        <w:trPr>
          <w:trHeight w:val="166"/>
        </w:trPr>
        <w:tc>
          <w:tcPr>
            <w:tcW w:w="2380" w:type="dxa"/>
            <w:vAlign w:val="bottom"/>
          </w:tcPr>
          <w:p w:rsidR="00CC2C66" w:rsidRDefault="00F80B74">
            <w:pPr>
              <w:rPr>
                <w:sz w:val="20"/>
                <w:szCs w:val="20"/>
              </w:rPr>
            </w:pPr>
            <w:r>
              <w:rPr>
                <w:rFonts w:ascii="Arial" w:eastAsia="Arial" w:hAnsi="Arial" w:cs="Arial"/>
                <w:sz w:val="13"/>
                <w:szCs w:val="13"/>
              </w:rPr>
              <w:t>Chief Executive Officer</w:t>
            </w:r>
          </w:p>
        </w:tc>
        <w:tc>
          <w:tcPr>
            <w:tcW w:w="1000" w:type="dxa"/>
            <w:vAlign w:val="bottom"/>
          </w:tcPr>
          <w:p w:rsidR="00CC2C66" w:rsidRDefault="00F80B74">
            <w:pPr>
              <w:ind w:left="620"/>
              <w:rPr>
                <w:sz w:val="20"/>
                <w:szCs w:val="20"/>
              </w:rPr>
            </w:pPr>
            <w:r>
              <w:rPr>
                <w:rFonts w:ascii="Arial" w:eastAsia="Arial" w:hAnsi="Arial" w:cs="Arial"/>
                <w:sz w:val="13"/>
                <w:szCs w:val="13"/>
              </w:rPr>
              <w:t>2020</w:t>
            </w:r>
          </w:p>
        </w:tc>
        <w:tc>
          <w:tcPr>
            <w:tcW w:w="740" w:type="dxa"/>
            <w:vAlign w:val="bottom"/>
          </w:tcPr>
          <w:p w:rsidR="00CC2C66" w:rsidRDefault="00F80B74">
            <w:pPr>
              <w:ind w:right="36"/>
              <w:jc w:val="right"/>
              <w:rPr>
                <w:sz w:val="20"/>
                <w:szCs w:val="20"/>
              </w:rPr>
            </w:pPr>
            <w:r>
              <w:rPr>
                <w:rFonts w:ascii="Arial" w:eastAsia="Arial" w:hAnsi="Arial" w:cs="Arial"/>
                <w:sz w:val="13"/>
                <w:szCs w:val="13"/>
              </w:rPr>
              <w:t>1,151,083</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14,500,084</w:t>
            </w:r>
          </w:p>
        </w:tc>
        <w:tc>
          <w:tcPr>
            <w:tcW w:w="720" w:type="dxa"/>
            <w:vAlign w:val="bottom"/>
          </w:tcPr>
          <w:p w:rsidR="00CC2C66" w:rsidRDefault="00F80B74">
            <w:pPr>
              <w:ind w:right="17"/>
              <w:jc w:val="right"/>
              <w:rPr>
                <w:sz w:val="20"/>
                <w:szCs w:val="20"/>
              </w:rPr>
            </w:pPr>
            <w:r>
              <w:rPr>
                <w:rFonts w:ascii="Arial" w:eastAsia="Arial" w:hAnsi="Arial" w:cs="Arial"/>
                <w:sz w:val="13"/>
                <w:szCs w:val="13"/>
              </w:rPr>
              <w:t>2,500,003</w:t>
            </w:r>
          </w:p>
        </w:tc>
        <w:tc>
          <w:tcPr>
            <w:tcW w:w="1020" w:type="dxa"/>
            <w:vAlign w:val="bottom"/>
          </w:tcPr>
          <w:p w:rsidR="00CC2C66" w:rsidRDefault="00F80B74">
            <w:pPr>
              <w:ind w:right="17"/>
              <w:jc w:val="right"/>
              <w:rPr>
                <w:sz w:val="20"/>
                <w:szCs w:val="20"/>
              </w:rPr>
            </w:pPr>
            <w:r>
              <w:rPr>
                <w:rFonts w:ascii="Arial" w:eastAsia="Arial" w:hAnsi="Arial" w:cs="Arial"/>
                <w:sz w:val="13"/>
                <w:szCs w:val="13"/>
              </w:rPr>
              <w:t>2,502,664</w:t>
            </w:r>
          </w:p>
        </w:tc>
        <w:tc>
          <w:tcPr>
            <w:tcW w:w="1040" w:type="dxa"/>
            <w:vAlign w:val="bottom"/>
          </w:tcPr>
          <w:p w:rsidR="00CC2C66" w:rsidRDefault="00F80B74">
            <w:pPr>
              <w:ind w:right="17"/>
              <w:jc w:val="right"/>
              <w:rPr>
                <w:sz w:val="20"/>
                <w:szCs w:val="20"/>
              </w:rPr>
            </w:pPr>
            <w:r>
              <w:rPr>
                <w:rFonts w:ascii="Arial" w:eastAsia="Arial" w:hAnsi="Arial" w:cs="Arial"/>
                <w:sz w:val="13"/>
                <w:szCs w:val="13"/>
              </w:rPr>
              <w:t>517,744</w:t>
            </w:r>
          </w:p>
        </w:tc>
        <w:tc>
          <w:tcPr>
            <w:tcW w:w="760" w:type="dxa"/>
            <w:vAlign w:val="bottom"/>
          </w:tcPr>
          <w:p w:rsidR="00CC2C66" w:rsidRDefault="00F80B74">
            <w:pPr>
              <w:jc w:val="right"/>
              <w:rPr>
                <w:sz w:val="20"/>
                <w:szCs w:val="20"/>
              </w:rPr>
            </w:pPr>
            <w:r>
              <w:rPr>
                <w:rFonts w:ascii="Arial" w:eastAsia="Arial" w:hAnsi="Arial" w:cs="Arial"/>
                <w:sz w:val="13"/>
                <w:szCs w:val="13"/>
              </w:rPr>
              <w:t>21,171,578</w:t>
            </w:r>
          </w:p>
        </w:tc>
        <w:tc>
          <w:tcPr>
            <w:tcW w:w="1300" w:type="dxa"/>
            <w:vAlign w:val="bottom"/>
          </w:tcPr>
          <w:p w:rsidR="00CC2C66" w:rsidRDefault="00F80B74">
            <w:pPr>
              <w:ind w:right="36"/>
              <w:jc w:val="right"/>
              <w:rPr>
                <w:sz w:val="20"/>
                <w:szCs w:val="20"/>
              </w:rPr>
            </w:pPr>
            <w:r>
              <w:rPr>
                <w:rFonts w:ascii="Arial" w:eastAsia="Arial" w:hAnsi="Arial" w:cs="Arial"/>
                <w:sz w:val="13"/>
                <w:szCs w:val="13"/>
              </w:rPr>
              <w:t>20,995,478</w:t>
            </w:r>
          </w:p>
        </w:tc>
        <w:tc>
          <w:tcPr>
            <w:tcW w:w="0" w:type="dxa"/>
            <w:vAlign w:val="bottom"/>
          </w:tcPr>
          <w:p w:rsidR="00CC2C66" w:rsidRDefault="00CC2C66">
            <w:pPr>
              <w:rPr>
                <w:sz w:val="1"/>
                <w:szCs w:val="1"/>
              </w:rPr>
            </w:pPr>
          </w:p>
        </w:tc>
      </w:tr>
      <w:tr w:rsidR="00CC2C66">
        <w:trPr>
          <w:trHeight w:val="153"/>
        </w:trPr>
        <w:tc>
          <w:tcPr>
            <w:tcW w:w="2380" w:type="dxa"/>
            <w:tcBorders>
              <w:bottom w:val="single" w:sz="8" w:space="0" w:color="CF0A2C"/>
            </w:tcBorders>
            <w:vAlign w:val="bottom"/>
          </w:tcPr>
          <w:p w:rsidR="00CC2C66" w:rsidRDefault="00CC2C66">
            <w:pPr>
              <w:rPr>
                <w:sz w:val="13"/>
                <w:szCs w:val="13"/>
              </w:rPr>
            </w:pPr>
          </w:p>
        </w:tc>
        <w:tc>
          <w:tcPr>
            <w:tcW w:w="1000" w:type="dxa"/>
            <w:tcBorders>
              <w:bottom w:val="single" w:sz="8" w:space="0" w:color="CF0A2C"/>
            </w:tcBorders>
            <w:vAlign w:val="bottom"/>
          </w:tcPr>
          <w:p w:rsidR="00CC2C66" w:rsidRDefault="00F80B74">
            <w:pPr>
              <w:ind w:left="620"/>
              <w:rPr>
                <w:sz w:val="20"/>
                <w:szCs w:val="20"/>
              </w:rPr>
            </w:pPr>
            <w:r>
              <w:rPr>
                <w:rFonts w:ascii="Arial" w:eastAsia="Arial" w:hAnsi="Arial" w:cs="Arial"/>
                <w:sz w:val="13"/>
                <w:szCs w:val="13"/>
              </w:rPr>
              <w:t>2019</w:t>
            </w:r>
          </w:p>
        </w:tc>
        <w:tc>
          <w:tcPr>
            <w:tcW w:w="7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1,180,667</w:t>
            </w:r>
          </w:p>
        </w:tc>
        <w:tc>
          <w:tcPr>
            <w:tcW w:w="6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ind w:right="37"/>
              <w:jc w:val="right"/>
              <w:rPr>
                <w:sz w:val="20"/>
                <w:szCs w:val="20"/>
              </w:rPr>
            </w:pPr>
            <w:r>
              <w:rPr>
                <w:rFonts w:ascii="Arial" w:eastAsia="Arial" w:hAnsi="Arial" w:cs="Arial"/>
                <w:sz w:val="13"/>
                <w:szCs w:val="13"/>
              </w:rPr>
              <w:t>2,500,031</w:t>
            </w:r>
          </w:p>
        </w:tc>
        <w:tc>
          <w:tcPr>
            <w:tcW w:w="7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2,500,012</w:t>
            </w:r>
          </w:p>
        </w:tc>
        <w:tc>
          <w:tcPr>
            <w:tcW w:w="10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4,355,208</w:t>
            </w:r>
          </w:p>
        </w:tc>
        <w:tc>
          <w:tcPr>
            <w:tcW w:w="104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1,634,083</w:t>
            </w:r>
          </w:p>
        </w:tc>
        <w:tc>
          <w:tcPr>
            <w:tcW w:w="7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12,170,001</w:t>
            </w:r>
          </w:p>
        </w:tc>
        <w:tc>
          <w:tcPr>
            <w:tcW w:w="130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10,900,805</w:t>
            </w:r>
          </w:p>
        </w:tc>
        <w:tc>
          <w:tcPr>
            <w:tcW w:w="0" w:type="dxa"/>
            <w:vAlign w:val="bottom"/>
          </w:tcPr>
          <w:p w:rsidR="00CC2C66" w:rsidRDefault="00CC2C66">
            <w:pPr>
              <w:rPr>
                <w:sz w:val="1"/>
                <w:szCs w:val="1"/>
              </w:rPr>
            </w:pPr>
          </w:p>
        </w:tc>
      </w:tr>
      <w:tr w:rsidR="00CC2C66">
        <w:trPr>
          <w:trHeight w:val="172"/>
        </w:trPr>
        <w:tc>
          <w:tcPr>
            <w:tcW w:w="2380" w:type="dxa"/>
            <w:vAlign w:val="bottom"/>
          </w:tcPr>
          <w:p w:rsidR="00CC2C66" w:rsidRDefault="00F80B74">
            <w:pPr>
              <w:rPr>
                <w:sz w:val="20"/>
                <w:szCs w:val="20"/>
              </w:rPr>
            </w:pPr>
            <w:r>
              <w:rPr>
                <w:rFonts w:ascii="Arial" w:eastAsia="Arial" w:hAnsi="Arial" w:cs="Arial"/>
                <w:b/>
                <w:bCs/>
                <w:color w:val="CF0A2C"/>
                <w:sz w:val="14"/>
                <w:szCs w:val="14"/>
              </w:rPr>
              <w:t>Andy Yeung</w:t>
            </w:r>
          </w:p>
        </w:tc>
        <w:tc>
          <w:tcPr>
            <w:tcW w:w="1000" w:type="dxa"/>
            <w:vAlign w:val="bottom"/>
          </w:tcPr>
          <w:p w:rsidR="00CC2C66" w:rsidRDefault="00F80B74">
            <w:pPr>
              <w:ind w:left="620"/>
              <w:rPr>
                <w:sz w:val="20"/>
                <w:szCs w:val="20"/>
              </w:rPr>
            </w:pPr>
            <w:r>
              <w:rPr>
                <w:rFonts w:ascii="Arial" w:eastAsia="Arial" w:hAnsi="Arial" w:cs="Arial"/>
                <w:sz w:val="13"/>
                <w:szCs w:val="13"/>
              </w:rPr>
              <w:t>2021</w:t>
            </w:r>
          </w:p>
        </w:tc>
        <w:tc>
          <w:tcPr>
            <w:tcW w:w="740" w:type="dxa"/>
            <w:vAlign w:val="bottom"/>
          </w:tcPr>
          <w:p w:rsidR="00CC2C66" w:rsidRDefault="00F80B74">
            <w:pPr>
              <w:ind w:right="36"/>
              <w:jc w:val="right"/>
              <w:rPr>
                <w:sz w:val="20"/>
                <w:szCs w:val="20"/>
              </w:rPr>
            </w:pPr>
            <w:r>
              <w:rPr>
                <w:rFonts w:ascii="Arial" w:eastAsia="Arial" w:hAnsi="Arial" w:cs="Arial"/>
                <w:sz w:val="13"/>
                <w:szCs w:val="13"/>
              </w:rPr>
              <w:t>791,512</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2,401,075</w:t>
            </w:r>
          </w:p>
        </w:tc>
        <w:tc>
          <w:tcPr>
            <w:tcW w:w="720" w:type="dxa"/>
            <w:vAlign w:val="bottom"/>
          </w:tcPr>
          <w:p w:rsidR="00CC2C66" w:rsidRDefault="00F80B74">
            <w:pPr>
              <w:ind w:right="17"/>
              <w:jc w:val="right"/>
              <w:rPr>
                <w:sz w:val="20"/>
                <w:szCs w:val="20"/>
              </w:rPr>
            </w:pPr>
            <w:r>
              <w:rPr>
                <w:rFonts w:ascii="Arial" w:eastAsia="Arial" w:hAnsi="Arial" w:cs="Arial"/>
                <w:sz w:val="13"/>
                <w:szCs w:val="13"/>
              </w:rPr>
              <w:t>750,014</w:t>
            </w:r>
          </w:p>
        </w:tc>
        <w:tc>
          <w:tcPr>
            <w:tcW w:w="1020" w:type="dxa"/>
            <w:vAlign w:val="bottom"/>
          </w:tcPr>
          <w:p w:rsidR="00CC2C66" w:rsidRDefault="00F80B74">
            <w:pPr>
              <w:ind w:right="17"/>
              <w:jc w:val="right"/>
              <w:rPr>
                <w:sz w:val="20"/>
                <w:szCs w:val="20"/>
              </w:rPr>
            </w:pPr>
            <w:r>
              <w:rPr>
                <w:rFonts w:ascii="Arial" w:eastAsia="Arial" w:hAnsi="Arial" w:cs="Arial"/>
                <w:sz w:val="13"/>
                <w:szCs w:val="13"/>
              </w:rPr>
              <w:t>1,032,164</w:t>
            </w:r>
          </w:p>
        </w:tc>
        <w:tc>
          <w:tcPr>
            <w:tcW w:w="1040" w:type="dxa"/>
            <w:vAlign w:val="bottom"/>
          </w:tcPr>
          <w:p w:rsidR="00CC2C66" w:rsidRDefault="00F80B74">
            <w:pPr>
              <w:ind w:right="17"/>
              <w:jc w:val="right"/>
              <w:rPr>
                <w:sz w:val="20"/>
                <w:szCs w:val="20"/>
              </w:rPr>
            </w:pPr>
            <w:r>
              <w:rPr>
                <w:rFonts w:ascii="Arial" w:eastAsia="Arial" w:hAnsi="Arial" w:cs="Arial"/>
                <w:sz w:val="13"/>
                <w:szCs w:val="13"/>
              </w:rPr>
              <w:t>135,769</w:t>
            </w:r>
          </w:p>
        </w:tc>
        <w:tc>
          <w:tcPr>
            <w:tcW w:w="760" w:type="dxa"/>
            <w:vAlign w:val="bottom"/>
          </w:tcPr>
          <w:p w:rsidR="00CC2C66" w:rsidRDefault="00F80B74">
            <w:pPr>
              <w:jc w:val="right"/>
              <w:rPr>
                <w:sz w:val="20"/>
                <w:szCs w:val="20"/>
              </w:rPr>
            </w:pPr>
            <w:r>
              <w:rPr>
                <w:rFonts w:ascii="Arial" w:eastAsia="Arial" w:hAnsi="Arial" w:cs="Arial"/>
                <w:sz w:val="13"/>
                <w:szCs w:val="13"/>
              </w:rPr>
              <w:t>5,110,534</w:t>
            </w:r>
          </w:p>
        </w:tc>
        <w:tc>
          <w:tcPr>
            <w:tcW w:w="1300" w:type="dxa"/>
            <w:vAlign w:val="bottom"/>
          </w:tcPr>
          <w:p w:rsidR="00CC2C66" w:rsidRDefault="00F80B74">
            <w:pPr>
              <w:ind w:right="36"/>
              <w:jc w:val="right"/>
              <w:rPr>
                <w:sz w:val="20"/>
                <w:szCs w:val="20"/>
              </w:rPr>
            </w:pPr>
            <w:r>
              <w:rPr>
                <w:rFonts w:ascii="Arial" w:eastAsia="Arial" w:hAnsi="Arial" w:cs="Arial"/>
                <w:sz w:val="13"/>
                <w:szCs w:val="13"/>
              </w:rPr>
              <w:t>5,110,534</w:t>
            </w:r>
          </w:p>
        </w:tc>
        <w:tc>
          <w:tcPr>
            <w:tcW w:w="0" w:type="dxa"/>
            <w:vAlign w:val="bottom"/>
          </w:tcPr>
          <w:p w:rsidR="00CC2C66" w:rsidRDefault="00CC2C66">
            <w:pPr>
              <w:rPr>
                <w:sz w:val="1"/>
                <w:szCs w:val="1"/>
              </w:rPr>
            </w:pPr>
          </w:p>
        </w:tc>
      </w:tr>
      <w:tr w:rsidR="00CC2C66">
        <w:trPr>
          <w:trHeight w:val="166"/>
        </w:trPr>
        <w:tc>
          <w:tcPr>
            <w:tcW w:w="2380" w:type="dxa"/>
            <w:vAlign w:val="bottom"/>
          </w:tcPr>
          <w:p w:rsidR="00CC2C66" w:rsidRDefault="00F80B74">
            <w:pPr>
              <w:rPr>
                <w:sz w:val="20"/>
                <w:szCs w:val="20"/>
              </w:rPr>
            </w:pPr>
            <w:r>
              <w:rPr>
                <w:rFonts w:ascii="Arial" w:eastAsia="Arial" w:hAnsi="Arial" w:cs="Arial"/>
                <w:sz w:val="13"/>
                <w:szCs w:val="13"/>
              </w:rPr>
              <w:t>Chief Financial Officer</w:t>
            </w:r>
          </w:p>
        </w:tc>
        <w:tc>
          <w:tcPr>
            <w:tcW w:w="1000" w:type="dxa"/>
            <w:vAlign w:val="bottom"/>
          </w:tcPr>
          <w:p w:rsidR="00CC2C66" w:rsidRDefault="00F80B74">
            <w:pPr>
              <w:ind w:left="620"/>
              <w:rPr>
                <w:sz w:val="20"/>
                <w:szCs w:val="20"/>
              </w:rPr>
            </w:pPr>
            <w:r>
              <w:rPr>
                <w:rFonts w:ascii="Arial" w:eastAsia="Arial" w:hAnsi="Arial" w:cs="Arial"/>
                <w:sz w:val="13"/>
                <w:szCs w:val="13"/>
              </w:rPr>
              <w:t>2020</w:t>
            </w:r>
          </w:p>
        </w:tc>
        <w:tc>
          <w:tcPr>
            <w:tcW w:w="740" w:type="dxa"/>
            <w:vAlign w:val="bottom"/>
          </w:tcPr>
          <w:p w:rsidR="00CC2C66" w:rsidRDefault="00F80B74">
            <w:pPr>
              <w:ind w:right="36"/>
              <w:jc w:val="right"/>
              <w:rPr>
                <w:sz w:val="20"/>
                <w:szCs w:val="20"/>
              </w:rPr>
            </w:pPr>
            <w:r>
              <w:rPr>
                <w:rFonts w:ascii="Arial" w:eastAsia="Arial" w:hAnsi="Arial" w:cs="Arial"/>
                <w:sz w:val="13"/>
                <w:szCs w:val="13"/>
              </w:rPr>
              <w:t>643,333</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2,600,068</w:t>
            </w:r>
          </w:p>
        </w:tc>
        <w:tc>
          <w:tcPr>
            <w:tcW w:w="720" w:type="dxa"/>
            <w:vAlign w:val="bottom"/>
          </w:tcPr>
          <w:p w:rsidR="00CC2C66" w:rsidRDefault="00F80B74">
            <w:pPr>
              <w:ind w:right="17"/>
              <w:jc w:val="right"/>
              <w:rPr>
                <w:sz w:val="20"/>
                <w:szCs w:val="20"/>
              </w:rPr>
            </w:pPr>
            <w:r>
              <w:rPr>
                <w:rFonts w:ascii="Arial" w:eastAsia="Arial" w:hAnsi="Arial" w:cs="Arial"/>
                <w:sz w:val="13"/>
                <w:szCs w:val="13"/>
              </w:rPr>
              <w:t>600,013</w:t>
            </w:r>
          </w:p>
        </w:tc>
        <w:tc>
          <w:tcPr>
            <w:tcW w:w="1020" w:type="dxa"/>
            <w:vAlign w:val="bottom"/>
          </w:tcPr>
          <w:p w:rsidR="00CC2C66" w:rsidRDefault="00F80B74">
            <w:pPr>
              <w:ind w:right="17"/>
              <w:jc w:val="right"/>
              <w:rPr>
                <w:sz w:val="20"/>
                <w:szCs w:val="20"/>
              </w:rPr>
            </w:pPr>
            <w:r>
              <w:rPr>
                <w:rFonts w:ascii="Arial" w:eastAsia="Arial" w:hAnsi="Arial" w:cs="Arial"/>
                <w:sz w:val="13"/>
                <w:szCs w:val="13"/>
              </w:rPr>
              <w:t>701,865</w:t>
            </w:r>
          </w:p>
        </w:tc>
        <w:tc>
          <w:tcPr>
            <w:tcW w:w="1040" w:type="dxa"/>
            <w:vAlign w:val="bottom"/>
          </w:tcPr>
          <w:p w:rsidR="00CC2C66" w:rsidRDefault="00F80B74">
            <w:pPr>
              <w:ind w:right="17"/>
              <w:jc w:val="right"/>
              <w:rPr>
                <w:sz w:val="20"/>
                <w:szCs w:val="20"/>
              </w:rPr>
            </w:pPr>
            <w:r>
              <w:rPr>
                <w:rFonts w:ascii="Arial" w:eastAsia="Arial" w:hAnsi="Arial" w:cs="Arial"/>
                <w:sz w:val="13"/>
                <w:szCs w:val="13"/>
              </w:rPr>
              <w:t>149,144</w:t>
            </w:r>
          </w:p>
        </w:tc>
        <w:tc>
          <w:tcPr>
            <w:tcW w:w="760" w:type="dxa"/>
            <w:vAlign w:val="bottom"/>
          </w:tcPr>
          <w:p w:rsidR="00CC2C66" w:rsidRDefault="00F80B74">
            <w:pPr>
              <w:jc w:val="right"/>
              <w:rPr>
                <w:sz w:val="20"/>
                <w:szCs w:val="20"/>
              </w:rPr>
            </w:pPr>
            <w:r>
              <w:rPr>
                <w:rFonts w:ascii="Arial" w:eastAsia="Arial" w:hAnsi="Arial" w:cs="Arial"/>
                <w:sz w:val="13"/>
                <w:szCs w:val="13"/>
              </w:rPr>
              <w:t>4,694,423</w:t>
            </w:r>
          </w:p>
        </w:tc>
        <w:tc>
          <w:tcPr>
            <w:tcW w:w="1300" w:type="dxa"/>
            <w:vAlign w:val="bottom"/>
          </w:tcPr>
          <w:p w:rsidR="00CC2C66" w:rsidRDefault="00F80B74">
            <w:pPr>
              <w:ind w:right="36"/>
              <w:jc w:val="right"/>
              <w:rPr>
                <w:sz w:val="20"/>
                <w:szCs w:val="20"/>
              </w:rPr>
            </w:pPr>
            <w:r>
              <w:rPr>
                <w:rFonts w:ascii="Arial" w:eastAsia="Arial" w:hAnsi="Arial" w:cs="Arial"/>
                <w:sz w:val="13"/>
                <w:szCs w:val="13"/>
              </w:rPr>
              <w:t>4,694,423</w:t>
            </w:r>
          </w:p>
        </w:tc>
        <w:tc>
          <w:tcPr>
            <w:tcW w:w="0" w:type="dxa"/>
            <w:vAlign w:val="bottom"/>
          </w:tcPr>
          <w:p w:rsidR="00CC2C66" w:rsidRDefault="00CC2C66">
            <w:pPr>
              <w:rPr>
                <w:sz w:val="1"/>
                <w:szCs w:val="1"/>
              </w:rPr>
            </w:pPr>
          </w:p>
        </w:tc>
      </w:tr>
      <w:tr w:rsidR="00CC2C66">
        <w:trPr>
          <w:trHeight w:val="153"/>
        </w:trPr>
        <w:tc>
          <w:tcPr>
            <w:tcW w:w="2380" w:type="dxa"/>
            <w:tcBorders>
              <w:bottom w:val="single" w:sz="8" w:space="0" w:color="CF0A2C"/>
            </w:tcBorders>
            <w:vAlign w:val="bottom"/>
          </w:tcPr>
          <w:p w:rsidR="00CC2C66" w:rsidRDefault="00CC2C66">
            <w:pPr>
              <w:rPr>
                <w:sz w:val="13"/>
                <w:szCs w:val="13"/>
              </w:rPr>
            </w:pPr>
          </w:p>
        </w:tc>
        <w:tc>
          <w:tcPr>
            <w:tcW w:w="1000" w:type="dxa"/>
            <w:tcBorders>
              <w:bottom w:val="single" w:sz="8" w:space="0" w:color="CF0A2C"/>
            </w:tcBorders>
            <w:vAlign w:val="bottom"/>
          </w:tcPr>
          <w:p w:rsidR="00CC2C66" w:rsidRDefault="00F80B74">
            <w:pPr>
              <w:ind w:left="620"/>
              <w:rPr>
                <w:sz w:val="20"/>
                <w:szCs w:val="20"/>
              </w:rPr>
            </w:pPr>
            <w:r>
              <w:rPr>
                <w:rFonts w:ascii="Arial" w:eastAsia="Arial" w:hAnsi="Arial" w:cs="Arial"/>
                <w:sz w:val="13"/>
                <w:szCs w:val="13"/>
              </w:rPr>
              <w:t>2019</w:t>
            </w:r>
          </w:p>
        </w:tc>
        <w:tc>
          <w:tcPr>
            <w:tcW w:w="7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189,895</w:t>
            </w:r>
          </w:p>
        </w:tc>
        <w:tc>
          <w:tcPr>
            <w:tcW w:w="6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ind w:right="37"/>
              <w:jc w:val="right"/>
              <w:rPr>
                <w:sz w:val="20"/>
                <w:szCs w:val="20"/>
              </w:rPr>
            </w:pPr>
            <w:r>
              <w:rPr>
                <w:rFonts w:ascii="Arial" w:eastAsia="Arial" w:hAnsi="Arial" w:cs="Arial"/>
                <w:sz w:val="13"/>
                <w:szCs w:val="13"/>
              </w:rPr>
              <w:t>1,000,030</w:t>
            </w:r>
          </w:p>
        </w:tc>
        <w:tc>
          <w:tcPr>
            <w:tcW w:w="7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w:t>
            </w:r>
          </w:p>
        </w:tc>
        <w:tc>
          <w:tcPr>
            <w:tcW w:w="10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322,407</w:t>
            </w:r>
          </w:p>
        </w:tc>
        <w:tc>
          <w:tcPr>
            <w:tcW w:w="104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29,638</w:t>
            </w:r>
          </w:p>
        </w:tc>
        <w:tc>
          <w:tcPr>
            <w:tcW w:w="7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1,541,970</w:t>
            </w:r>
          </w:p>
        </w:tc>
        <w:tc>
          <w:tcPr>
            <w:tcW w:w="130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1,541,970</w:t>
            </w:r>
          </w:p>
        </w:tc>
        <w:tc>
          <w:tcPr>
            <w:tcW w:w="0" w:type="dxa"/>
            <w:vAlign w:val="bottom"/>
          </w:tcPr>
          <w:p w:rsidR="00CC2C66" w:rsidRDefault="00CC2C66">
            <w:pPr>
              <w:rPr>
                <w:sz w:val="1"/>
                <w:szCs w:val="1"/>
              </w:rPr>
            </w:pPr>
          </w:p>
        </w:tc>
      </w:tr>
      <w:tr w:rsidR="00CC2C66">
        <w:trPr>
          <w:trHeight w:val="172"/>
        </w:trPr>
        <w:tc>
          <w:tcPr>
            <w:tcW w:w="2380" w:type="dxa"/>
            <w:vAlign w:val="bottom"/>
          </w:tcPr>
          <w:p w:rsidR="00CC2C66" w:rsidRDefault="00F80B74">
            <w:pPr>
              <w:rPr>
                <w:sz w:val="20"/>
                <w:szCs w:val="20"/>
              </w:rPr>
            </w:pPr>
            <w:r>
              <w:rPr>
                <w:rFonts w:ascii="Arial" w:eastAsia="Arial" w:hAnsi="Arial" w:cs="Arial"/>
                <w:b/>
                <w:bCs/>
                <w:color w:val="CF0A2C"/>
                <w:sz w:val="14"/>
                <w:szCs w:val="14"/>
              </w:rPr>
              <w:t>Joseph Chan</w:t>
            </w:r>
          </w:p>
        </w:tc>
        <w:tc>
          <w:tcPr>
            <w:tcW w:w="1000" w:type="dxa"/>
            <w:vAlign w:val="bottom"/>
          </w:tcPr>
          <w:p w:rsidR="00CC2C66" w:rsidRDefault="00F80B74">
            <w:pPr>
              <w:ind w:left="620"/>
              <w:rPr>
                <w:sz w:val="20"/>
                <w:szCs w:val="20"/>
              </w:rPr>
            </w:pPr>
            <w:r>
              <w:rPr>
                <w:rFonts w:ascii="Arial" w:eastAsia="Arial" w:hAnsi="Arial" w:cs="Arial"/>
                <w:sz w:val="13"/>
                <w:szCs w:val="13"/>
              </w:rPr>
              <w:t>2021</w:t>
            </w:r>
          </w:p>
        </w:tc>
        <w:tc>
          <w:tcPr>
            <w:tcW w:w="740" w:type="dxa"/>
            <w:vAlign w:val="bottom"/>
          </w:tcPr>
          <w:p w:rsidR="00CC2C66" w:rsidRDefault="00F80B74">
            <w:pPr>
              <w:ind w:right="36"/>
              <w:jc w:val="right"/>
              <w:rPr>
                <w:sz w:val="20"/>
                <w:szCs w:val="20"/>
              </w:rPr>
            </w:pPr>
            <w:r>
              <w:rPr>
                <w:rFonts w:ascii="Arial" w:eastAsia="Arial" w:hAnsi="Arial" w:cs="Arial"/>
                <w:sz w:val="13"/>
                <w:szCs w:val="13"/>
              </w:rPr>
              <w:t>595,000</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2,100,748</w:t>
            </w:r>
          </w:p>
        </w:tc>
        <w:tc>
          <w:tcPr>
            <w:tcW w:w="720" w:type="dxa"/>
            <w:vAlign w:val="bottom"/>
          </w:tcPr>
          <w:p w:rsidR="00CC2C66" w:rsidRDefault="00F80B74">
            <w:pPr>
              <w:ind w:right="17"/>
              <w:jc w:val="right"/>
              <w:rPr>
                <w:sz w:val="20"/>
                <w:szCs w:val="20"/>
              </w:rPr>
            </w:pPr>
            <w:r>
              <w:rPr>
                <w:rFonts w:ascii="Arial" w:eastAsia="Arial" w:hAnsi="Arial" w:cs="Arial"/>
                <w:sz w:val="13"/>
                <w:szCs w:val="13"/>
              </w:rPr>
              <w:t>562,502</w:t>
            </w:r>
          </w:p>
        </w:tc>
        <w:tc>
          <w:tcPr>
            <w:tcW w:w="1020" w:type="dxa"/>
            <w:vAlign w:val="bottom"/>
          </w:tcPr>
          <w:p w:rsidR="00CC2C66" w:rsidRDefault="00F80B74">
            <w:pPr>
              <w:ind w:right="17"/>
              <w:jc w:val="right"/>
              <w:rPr>
                <w:sz w:val="20"/>
                <w:szCs w:val="20"/>
              </w:rPr>
            </w:pPr>
            <w:r>
              <w:rPr>
                <w:rFonts w:ascii="Arial" w:eastAsia="Arial" w:hAnsi="Arial" w:cs="Arial"/>
                <w:sz w:val="13"/>
                <w:szCs w:val="13"/>
              </w:rPr>
              <w:t>619,967</w:t>
            </w:r>
          </w:p>
        </w:tc>
        <w:tc>
          <w:tcPr>
            <w:tcW w:w="1040" w:type="dxa"/>
            <w:vAlign w:val="bottom"/>
          </w:tcPr>
          <w:p w:rsidR="00CC2C66" w:rsidRDefault="00F80B74">
            <w:pPr>
              <w:ind w:right="17"/>
              <w:jc w:val="right"/>
              <w:rPr>
                <w:sz w:val="20"/>
                <w:szCs w:val="20"/>
              </w:rPr>
            </w:pPr>
            <w:r>
              <w:rPr>
                <w:rFonts w:ascii="Arial" w:eastAsia="Arial" w:hAnsi="Arial" w:cs="Arial"/>
                <w:sz w:val="13"/>
                <w:szCs w:val="13"/>
              </w:rPr>
              <w:t>177,468</w:t>
            </w:r>
          </w:p>
        </w:tc>
        <w:tc>
          <w:tcPr>
            <w:tcW w:w="760" w:type="dxa"/>
            <w:vAlign w:val="bottom"/>
          </w:tcPr>
          <w:p w:rsidR="00CC2C66" w:rsidRDefault="00F80B74">
            <w:pPr>
              <w:jc w:val="right"/>
              <w:rPr>
                <w:sz w:val="20"/>
                <w:szCs w:val="20"/>
              </w:rPr>
            </w:pPr>
            <w:r>
              <w:rPr>
                <w:rFonts w:ascii="Arial" w:eastAsia="Arial" w:hAnsi="Arial" w:cs="Arial"/>
                <w:sz w:val="13"/>
                <w:szCs w:val="13"/>
              </w:rPr>
              <w:t>4,055,685</w:t>
            </w:r>
          </w:p>
        </w:tc>
        <w:tc>
          <w:tcPr>
            <w:tcW w:w="1300" w:type="dxa"/>
            <w:vAlign w:val="bottom"/>
          </w:tcPr>
          <w:p w:rsidR="00CC2C66" w:rsidRDefault="00F80B74">
            <w:pPr>
              <w:ind w:right="36"/>
              <w:jc w:val="right"/>
              <w:rPr>
                <w:sz w:val="20"/>
                <w:szCs w:val="20"/>
              </w:rPr>
            </w:pPr>
            <w:r>
              <w:rPr>
                <w:rFonts w:ascii="Arial" w:eastAsia="Arial" w:hAnsi="Arial" w:cs="Arial"/>
                <w:sz w:val="13"/>
                <w:szCs w:val="13"/>
              </w:rPr>
              <w:t>4,055,685</w:t>
            </w:r>
          </w:p>
        </w:tc>
        <w:tc>
          <w:tcPr>
            <w:tcW w:w="0" w:type="dxa"/>
            <w:vAlign w:val="bottom"/>
          </w:tcPr>
          <w:p w:rsidR="00CC2C66" w:rsidRDefault="00CC2C66">
            <w:pPr>
              <w:rPr>
                <w:sz w:val="1"/>
                <w:szCs w:val="1"/>
              </w:rPr>
            </w:pPr>
          </w:p>
        </w:tc>
      </w:tr>
      <w:tr w:rsidR="00CC2C66">
        <w:trPr>
          <w:trHeight w:val="153"/>
        </w:trPr>
        <w:tc>
          <w:tcPr>
            <w:tcW w:w="2380" w:type="dxa"/>
            <w:tcBorders>
              <w:bottom w:val="single" w:sz="8" w:space="0" w:color="CF0A2C"/>
            </w:tcBorders>
            <w:vAlign w:val="bottom"/>
          </w:tcPr>
          <w:p w:rsidR="00CC2C66" w:rsidRDefault="00F80B74">
            <w:pPr>
              <w:rPr>
                <w:sz w:val="20"/>
                <w:szCs w:val="20"/>
              </w:rPr>
            </w:pPr>
            <w:r>
              <w:rPr>
                <w:rFonts w:ascii="Arial" w:eastAsia="Arial" w:hAnsi="Arial" w:cs="Arial"/>
                <w:sz w:val="13"/>
                <w:szCs w:val="13"/>
              </w:rPr>
              <w:t>Chief Legal Officer</w:t>
            </w:r>
          </w:p>
        </w:tc>
        <w:tc>
          <w:tcPr>
            <w:tcW w:w="1000" w:type="dxa"/>
            <w:tcBorders>
              <w:bottom w:val="single" w:sz="8" w:space="0" w:color="CF0A2C"/>
            </w:tcBorders>
            <w:vAlign w:val="bottom"/>
          </w:tcPr>
          <w:p w:rsidR="00CC2C66" w:rsidRDefault="00CC2C66">
            <w:pPr>
              <w:rPr>
                <w:sz w:val="13"/>
                <w:szCs w:val="13"/>
              </w:rPr>
            </w:pPr>
          </w:p>
        </w:tc>
        <w:tc>
          <w:tcPr>
            <w:tcW w:w="740" w:type="dxa"/>
            <w:tcBorders>
              <w:bottom w:val="single" w:sz="8" w:space="0" w:color="CF0A2C"/>
            </w:tcBorders>
            <w:vAlign w:val="bottom"/>
          </w:tcPr>
          <w:p w:rsidR="00CC2C66" w:rsidRDefault="00CC2C66">
            <w:pPr>
              <w:rPr>
                <w:sz w:val="13"/>
                <w:szCs w:val="13"/>
              </w:rPr>
            </w:pPr>
          </w:p>
        </w:tc>
        <w:tc>
          <w:tcPr>
            <w:tcW w:w="640" w:type="dxa"/>
            <w:tcBorders>
              <w:bottom w:val="single" w:sz="8" w:space="0" w:color="CF0A2C"/>
            </w:tcBorders>
            <w:vAlign w:val="bottom"/>
          </w:tcPr>
          <w:p w:rsidR="00CC2C66" w:rsidRDefault="00CC2C66">
            <w:pPr>
              <w:rPr>
                <w:sz w:val="13"/>
                <w:szCs w:val="13"/>
              </w:rPr>
            </w:pPr>
          </w:p>
        </w:tc>
        <w:tc>
          <w:tcPr>
            <w:tcW w:w="820" w:type="dxa"/>
            <w:tcBorders>
              <w:bottom w:val="single" w:sz="8" w:space="0" w:color="CF0A2C"/>
            </w:tcBorders>
            <w:vAlign w:val="bottom"/>
          </w:tcPr>
          <w:p w:rsidR="00CC2C66" w:rsidRDefault="00CC2C66">
            <w:pPr>
              <w:rPr>
                <w:sz w:val="13"/>
                <w:szCs w:val="13"/>
              </w:rPr>
            </w:pPr>
          </w:p>
        </w:tc>
        <w:tc>
          <w:tcPr>
            <w:tcW w:w="720" w:type="dxa"/>
            <w:tcBorders>
              <w:bottom w:val="single" w:sz="8" w:space="0" w:color="CF0A2C"/>
            </w:tcBorders>
            <w:vAlign w:val="bottom"/>
          </w:tcPr>
          <w:p w:rsidR="00CC2C66" w:rsidRDefault="00CC2C66">
            <w:pPr>
              <w:rPr>
                <w:sz w:val="13"/>
                <w:szCs w:val="13"/>
              </w:rPr>
            </w:pPr>
          </w:p>
        </w:tc>
        <w:tc>
          <w:tcPr>
            <w:tcW w:w="1020" w:type="dxa"/>
            <w:tcBorders>
              <w:bottom w:val="single" w:sz="8" w:space="0" w:color="CF0A2C"/>
            </w:tcBorders>
            <w:vAlign w:val="bottom"/>
          </w:tcPr>
          <w:p w:rsidR="00CC2C66" w:rsidRDefault="00CC2C66">
            <w:pPr>
              <w:rPr>
                <w:sz w:val="13"/>
                <w:szCs w:val="13"/>
              </w:rPr>
            </w:pPr>
          </w:p>
        </w:tc>
        <w:tc>
          <w:tcPr>
            <w:tcW w:w="1040" w:type="dxa"/>
            <w:tcBorders>
              <w:bottom w:val="single" w:sz="8" w:space="0" w:color="CF0A2C"/>
            </w:tcBorders>
            <w:vAlign w:val="bottom"/>
          </w:tcPr>
          <w:p w:rsidR="00CC2C66" w:rsidRDefault="00CC2C66">
            <w:pPr>
              <w:rPr>
                <w:sz w:val="13"/>
                <w:szCs w:val="13"/>
              </w:rPr>
            </w:pPr>
          </w:p>
        </w:tc>
        <w:tc>
          <w:tcPr>
            <w:tcW w:w="760" w:type="dxa"/>
            <w:tcBorders>
              <w:bottom w:val="single" w:sz="8" w:space="0" w:color="CF0A2C"/>
            </w:tcBorders>
            <w:vAlign w:val="bottom"/>
          </w:tcPr>
          <w:p w:rsidR="00CC2C66" w:rsidRDefault="00CC2C66">
            <w:pPr>
              <w:rPr>
                <w:sz w:val="13"/>
                <w:szCs w:val="13"/>
              </w:rPr>
            </w:pPr>
          </w:p>
        </w:tc>
        <w:tc>
          <w:tcPr>
            <w:tcW w:w="1300" w:type="dxa"/>
            <w:tcBorders>
              <w:bottom w:val="single" w:sz="8" w:space="0" w:color="CF0A2C"/>
            </w:tcBorders>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172"/>
        </w:trPr>
        <w:tc>
          <w:tcPr>
            <w:tcW w:w="2380" w:type="dxa"/>
            <w:vAlign w:val="bottom"/>
          </w:tcPr>
          <w:p w:rsidR="00CC2C66" w:rsidRDefault="00F80B74">
            <w:pPr>
              <w:rPr>
                <w:sz w:val="20"/>
                <w:szCs w:val="20"/>
              </w:rPr>
            </w:pPr>
            <w:r>
              <w:rPr>
                <w:rFonts w:ascii="Arial" w:eastAsia="Arial" w:hAnsi="Arial" w:cs="Arial"/>
                <w:b/>
                <w:bCs/>
                <w:color w:val="CF0A2C"/>
                <w:sz w:val="14"/>
                <w:szCs w:val="14"/>
              </w:rPr>
              <w:t>Johnson Huang</w:t>
            </w:r>
          </w:p>
        </w:tc>
        <w:tc>
          <w:tcPr>
            <w:tcW w:w="1000" w:type="dxa"/>
            <w:vAlign w:val="bottom"/>
          </w:tcPr>
          <w:p w:rsidR="00CC2C66" w:rsidRDefault="00F80B74">
            <w:pPr>
              <w:ind w:left="620"/>
              <w:rPr>
                <w:sz w:val="20"/>
                <w:szCs w:val="20"/>
              </w:rPr>
            </w:pPr>
            <w:r>
              <w:rPr>
                <w:rFonts w:ascii="Arial" w:eastAsia="Arial" w:hAnsi="Arial" w:cs="Arial"/>
                <w:sz w:val="13"/>
                <w:szCs w:val="13"/>
              </w:rPr>
              <w:t>2021</w:t>
            </w:r>
          </w:p>
        </w:tc>
        <w:tc>
          <w:tcPr>
            <w:tcW w:w="740" w:type="dxa"/>
            <w:vAlign w:val="bottom"/>
          </w:tcPr>
          <w:p w:rsidR="00CC2C66" w:rsidRDefault="00F80B74">
            <w:pPr>
              <w:ind w:right="36"/>
              <w:jc w:val="right"/>
              <w:rPr>
                <w:sz w:val="20"/>
                <w:szCs w:val="20"/>
              </w:rPr>
            </w:pPr>
            <w:r>
              <w:rPr>
                <w:rFonts w:ascii="Arial" w:eastAsia="Arial" w:hAnsi="Arial" w:cs="Arial"/>
                <w:sz w:val="13"/>
                <w:szCs w:val="13"/>
              </w:rPr>
              <w:t>740,000</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667,558</w:t>
            </w:r>
          </w:p>
        </w:tc>
        <w:tc>
          <w:tcPr>
            <w:tcW w:w="720" w:type="dxa"/>
            <w:vAlign w:val="bottom"/>
          </w:tcPr>
          <w:p w:rsidR="00CC2C66" w:rsidRDefault="00F80B74">
            <w:pPr>
              <w:ind w:right="17"/>
              <w:jc w:val="right"/>
              <w:rPr>
                <w:sz w:val="20"/>
                <w:szCs w:val="20"/>
              </w:rPr>
            </w:pPr>
            <w:r>
              <w:rPr>
                <w:rFonts w:ascii="Arial" w:eastAsia="Arial" w:hAnsi="Arial" w:cs="Arial"/>
                <w:sz w:val="13"/>
                <w:szCs w:val="13"/>
              </w:rPr>
              <w:t>625,000</w:t>
            </w:r>
          </w:p>
        </w:tc>
        <w:tc>
          <w:tcPr>
            <w:tcW w:w="1020" w:type="dxa"/>
            <w:vAlign w:val="bottom"/>
          </w:tcPr>
          <w:p w:rsidR="00CC2C66" w:rsidRDefault="00F80B74">
            <w:pPr>
              <w:ind w:right="17"/>
              <w:jc w:val="right"/>
              <w:rPr>
                <w:sz w:val="20"/>
                <w:szCs w:val="20"/>
              </w:rPr>
            </w:pPr>
            <w:r>
              <w:rPr>
                <w:rFonts w:ascii="Arial" w:eastAsia="Arial" w:hAnsi="Arial" w:cs="Arial"/>
                <w:sz w:val="13"/>
                <w:szCs w:val="13"/>
              </w:rPr>
              <w:t>847,441</w:t>
            </w:r>
          </w:p>
        </w:tc>
        <w:tc>
          <w:tcPr>
            <w:tcW w:w="1040" w:type="dxa"/>
            <w:vAlign w:val="bottom"/>
          </w:tcPr>
          <w:p w:rsidR="00CC2C66" w:rsidRDefault="00F80B74">
            <w:pPr>
              <w:ind w:right="17"/>
              <w:jc w:val="right"/>
              <w:rPr>
                <w:sz w:val="20"/>
                <w:szCs w:val="20"/>
              </w:rPr>
            </w:pPr>
            <w:r>
              <w:rPr>
                <w:rFonts w:ascii="Arial" w:eastAsia="Arial" w:hAnsi="Arial" w:cs="Arial"/>
                <w:sz w:val="13"/>
                <w:szCs w:val="13"/>
              </w:rPr>
              <w:t>320,245</w:t>
            </w:r>
          </w:p>
        </w:tc>
        <w:tc>
          <w:tcPr>
            <w:tcW w:w="760" w:type="dxa"/>
            <w:vAlign w:val="bottom"/>
          </w:tcPr>
          <w:p w:rsidR="00CC2C66" w:rsidRDefault="00F80B74">
            <w:pPr>
              <w:jc w:val="right"/>
              <w:rPr>
                <w:sz w:val="20"/>
                <w:szCs w:val="20"/>
              </w:rPr>
            </w:pPr>
            <w:r>
              <w:rPr>
                <w:rFonts w:ascii="Arial" w:eastAsia="Arial" w:hAnsi="Arial" w:cs="Arial"/>
                <w:sz w:val="13"/>
                <w:szCs w:val="13"/>
              </w:rPr>
              <w:t>3,200,244</w:t>
            </w:r>
          </w:p>
        </w:tc>
        <w:tc>
          <w:tcPr>
            <w:tcW w:w="1300" w:type="dxa"/>
            <w:vAlign w:val="bottom"/>
          </w:tcPr>
          <w:p w:rsidR="00CC2C66" w:rsidRDefault="00F80B74">
            <w:pPr>
              <w:ind w:right="36"/>
              <w:jc w:val="right"/>
              <w:rPr>
                <w:sz w:val="20"/>
                <w:szCs w:val="20"/>
              </w:rPr>
            </w:pPr>
            <w:r>
              <w:rPr>
                <w:rFonts w:ascii="Arial" w:eastAsia="Arial" w:hAnsi="Arial" w:cs="Arial"/>
                <w:sz w:val="13"/>
                <w:szCs w:val="13"/>
              </w:rPr>
              <w:t>3,108,580</w:t>
            </w:r>
          </w:p>
        </w:tc>
        <w:tc>
          <w:tcPr>
            <w:tcW w:w="0" w:type="dxa"/>
            <w:vAlign w:val="bottom"/>
          </w:tcPr>
          <w:p w:rsidR="00CC2C66" w:rsidRDefault="00CC2C66">
            <w:pPr>
              <w:rPr>
                <w:sz w:val="1"/>
                <w:szCs w:val="1"/>
              </w:rPr>
            </w:pPr>
          </w:p>
        </w:tc>
      </w:tr>
      <w:tr w:rsidR="00CC2C66">
        <w:trPr>
          <w:trHeight w:val="166"/>
        </w:trPr>
        <w:tc>
          <w:tcPr>
            <w:tcW w:w="2380" w:type="dxa"/>
            <w:vAlign w:val="bottom"/>
          </w:tcPr>
          <w:p w:rsidR="00CC2C66" w:rsidRDefault="00F80B74">
            <w:pPr>
              <w:rPr>
                <w:sz w:val="20"/>
                <w:szCs w:val="20"/>
              </w:rPr>
            </w:pPr>
            <w:r>
              <w:rPr>
                <w:rFonts w:ascii="Arial" w:eastAsia="Arial" w:hAnsi="Arial" w:cs="Arial"/>
                <w:sz w:val="13"/>
                <w:szCs w:val="13"/>
              </w:rPr>
              <w:t>General</w:t>
            </w:r>
            <w:r>
              <w:rPr>
                <w:rFonts w:ascii="Arial" w:eastAsia="Arial" w:hAnsi="Arial" w:cs="Arial"/>
                <w:sz w:val="13"/>
                <w:szCs w:val="13"/>
              </w:rPr>
              <w:t xml:space="preserve"> Manager, KFC</w:t>
            </w:r>
          </w:p>
        </w:tc>
        <w:tc>
          <w:tcPr>
            <w:tcW w:w="1000" w:type="dxa"/>
            <w:vAlign w:val="bottom"/>
          </w:tcPr>
          <w:p w:rsidR="00CC2C66" w:rsidRDefault="00F80B74">
            <w:pPr>
              <w:ind w:left="620"/>
              <w:rPr>
                <w:sz w:val="20"/>
                <w:szCs w:val="20"/>
              </w:rPr>
            </w:pPr>
            <w:r>
              <w:rPr>
                <w:rFonts w:ascii="Arial" w:eastAsia="Arial" w:hAnsi="Arial" w:cs="Arial"/>
                <w:sz w:val="13"/>
                <w:szCs w:val="13"/>
              </w:rPr>
              <w:t>2020</w:t>
            </w:r>
          </w:p>
        </w:tc>
        <w:tc>
          <w:tcPr>
            <w:tcW w:w="740" w:type="dxa"/>
            <w:vAlign w:val="bottom"/>
          </w:tcPr>
          <w:p w:rsidR="00CC2C66" w:rsidRDefault="00F80B74">
            <w:pPr>
              <w:ind w:right="36"/>
              <w:jc w:val="right"/>
              <w:rPr>
                <w:sz w:val="20"/>
                <w:szCs w:val="20"/>
              </w:rPr>
            </w:pPr>
            <w:r>
              <w:rPr>
                <w:rFonts w:ascii="Arial" w:eastAsia="Arial" w:hAnsi="Arial" w:cs="Arial"/>
                <w:sz w:val="13"/>
                <w:szCs w:val="13"/>
              </w:rPr>
              <w:t>516,814</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2,600,068</w:t>
            </w:r>
          </w:p>
        </w:tc>
        <w:tc>
          <w:tcPr>
            <w:tcW w:w="720" w:type="dxa"/>
            <w:vAlign w:val="bottom"/>
          </w:tcPr>
          <w:p w:rsidR="00CC2C66" w:rsidRDefault="00F80B74">
            <w:pPr>
              <w:ind w:right="17"/>
              <w:jc w:val="right"/>
              <w:rPr>
                <w:sz w:val="20"/>
                <w:szCs w:val="20"/>
              </w:rPr>
            </w:pPr>
            <w:r>
              <w:rPr>
                <w:rFonts w:ascii="Arial" w:eastAsia="Arial" w:hAnsi="Arial" w:cs="Arial"/>
                <w:sz w:val="13"/>
                <w:szCs w:val="13"/>
              </w:rPr>
              <w:t>600,013</w:t>
            </w:r>
          </w:p>
        </w:tc>
        <w:tc>
          <w:tcPr>
            <w:tcW w:w="1020" w:type="dxa"/>
            <w:vAlign w:val="bottom"/>
          </w:tcPr>
          <w:p w:rsidR="00CC2C66" w:rsidRDefault="00F80B74">
            <w:pPr>
              <w:ind w:right="17"/>
              <w:jc w:val="right"/>
              <w:rPr>
                <w:sz w:val="20"/>
                <w:szCs w:val="20"/>
              </w:rPr>
            </w:pPr>
            <w:r>
              <w:rPr>
                <w:rFonts w:ascii="Arial" w:eastAsia="Arial" w:hAnsi="Arial" w:cs="Arial"/>
                <w:sz w:val="13"/>
                <w:szCs w:val="13"/>
              </w:rPr>
              <w:t>251,021</w:t>
            </w:r>
          </w:p>
        </w:tc>
        <w:tc>
          <w:tcPr>
            <w:tcW w:w="1040" w:type="dxa"/>
            <w:vAlign w:val="bottom"/>
          </w:tcPr>
          <w:p w:rsidR="00CC2C66" w:rsidRDefault="00F80B74">
            <w:pPr>
              <w:ind w:right="17"/>
              <w:jc w:val="right"/>
              <w:rPr>
                <w:sz w:val="20"/>
                <w:szCs w:val="20"/>
              </w:rPr>
            </w:pPr>
            <w:r>
              <w:rPr>
                <w:rFonts w:ascii="Arial" w:eastAsia="Arial" w:hAnsi="Arial" w:cs="Arial"/>
                <w:sz w:val="13"/>
                <w:szCs w:val="13"/>
              </w:rPr>
              <w:t>209,701</w:t>
            </w:r>
          </w:p>
        </w:tc>
        <w:tc>
          <w:tcPr>
            <w:tcW w:w="760" w:type="dxa"/>
            <w:vAlign w:val="bottom"/>
          </w:tcPr>
          <w:p w:rsidR="00CC2C66" w:rsidRDefault="00F80B74">
            <w:pPr>
              <w:jc w:val="right"/>
              <w:rPr>
                <w:sz w:val="20"/>
                <w:szCs w:val="20"/>
              </w:rPr>
            </w:pPr>
            <w:r>
              <w:rPr>
                <w:rFonts w:ascii="Arial" w:eastAsia="Arial" w:hAnsi="Arial" w:cs="Arial"/>
                <w:sz w:val="13"/>
                <w:szCs w:val="13"/>
              </w:rPr>
              <w:t>4,177,617</w:t>
            </w:r>
          </w:p>
        </w:tc>
        <w:tc>
          <w:tcPr>
            <w:tcW w:w="1300" w:type="dxa"/>
            <w:vAlign w:val="bottom"/>
          </w:tcPr>
          <w:p w:rsidR="00CC2C66" w:rsidRDefault="00F80B74">
            <w:pPr>
              <w:ind w:right="36"/>
              <w:jc w:val="right"/>
              <w:rPr>
                <w:sz w:val="20"/>
                <w:szCs w:val="20"/>
              </w:rPr>
            </w:pPr>
            <w:r>
              <w:rPr>
                <w:rFonts w:ascii="Arial" w:eastAsia="Arial" w:hAnsi="Arial" w:cs="Arial"/>
                <w:sz w:val="13"/>
                <w:szCs w:val="13"/>
              </w:rPr>
              <w:t>4,177,617</w:t>
            </w:r>
          </w:p>
        </w:tc>
        <w:tc>
          <w:tcPr>
            <w:tcW w:w="0" w:type="dxa"/>
            <w:vAlign w:val="bottom"/>
          </w:tcPr>
          <w:p w:rsidR="00CC2C66" w:rsidRDefault="00CC2C66">
            <w:pPr>
              <w:rPr>
                <w:sz w:val="1"/>
                <w:szCs w:val="1"/>
              </w:rPr>
            </w:pPr>
          </w:p>
        </w:tc>
      </w:tr>
      <w:tr w:rsidR="00CC2C66">
        <w:trPr>
          <w:trHeight w:val="153"/>
        </w:trPr>
        <w:tc>
          <w:tcPr>
            <w:tcW w:w="2380" w:type="dxa"/>
            <w:tcBorders>
              <w:bottom w:val="single" w:sz="8" w:space="0" w:color="CF0A2C"/>
            </w:tcBorders>
            <w:vAlign w:val="bottom"/>
          </w:tcPr>
          <w:p w:rsidR="00CC2C66" w:rsidRDefault="00CC2C66">
            <w:pPr>
              <w:rPr>
                <w:sz w:val="13"/>
                <w:szCs w:val="13"/>
              </w:rPr>
            </w:pPr>
          </w:p>
        </w:tc>
        <w:tc>
          <w:tcPr>
            <w:tcW w:w="1000" w:type="dxa"/>
            <w:tcBorders>
              <w:bottom w:val="single" w:sz="8" w:space="0" w:color="CF0A2C"/>
            </w:tcBorders>
            <w:vAlign w:val="bottom"/>
          </w:tcPr>
          <w:p w:rsidR="00CC2C66" w:rsidRDefault="00F80B74">
            <w:pPr>
              <w:ind w:left="620"/>
              <w:rPr>
                <w:sz w:val="20"/>
                <w:szCs w:val="20"/>
              </w:rPr>
            </w:pPr>
            <w:r>
              <w:rPr>
                <w:rFonts w:ascii="Arial" w:eastAsia="Arial" w:hAnsi="Arial" w:cs="Arial"/>
                <w:sz w:val="13"/>
                <w:szCs w:val="13"/>
              </w:rPr>
              <w:t>2019</w:t>
            </w:r>
          </w:p>
        </w:tc>
        <w:tc>
          <w:tcPr>
            <w:tcW w:w="7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695,833</w:t>
            </w:r>
          </w:p>
        </w:tc>
        <w:tc>
          <w:tcPr>
            <w:tcW w:w="6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ind w:right="37"/>
              <w:jc w:val="right"/>
              <w:rPr>
                <w:sz w:val="20"/>
                <w:szCs w:val="20"/>
              </w:rPr>
            </w:pPr>
            <w:r>
              <w:rPr>
                <w:rFonts w:ascii="Arial" w:eastAsia="Arial" w:hAnsi="Arial" w:cs="Arial"/>
                <w:sz w:val="13"/>
                <w:szCs w:val="13"/>
              </w:rPr>
              <w:t>440,013</w:t>
            </w:r>
          </w:p>
        </w:tc>
        <w:tc>
          <w:tcPr>
            <w:tcW w:w="7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440,007</w:t>
            </w:r>
          </w:p>
        </w:tc>
        <w:tc>
          <w:tcPr>
            <w:tcW w:w="10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1,682,635</w:t>
            </w:r>
          </w:p>
        </w:tc>
        <w:tc>
          <w:tcPr>
            <w:tcW w:w="104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386,480</w:t>
            </w:r>
          </w:p>
        </w:tc>
        <w:tc>
          <w:tcPr>
            <w:tcW w:w="7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3,644,968</w:t>
            </w:r>
          </w:p>
        </w:tc>
        <w:tc>
          <w:tcPr>
            <w:tcW w:w="130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3,466,790</w:t>
            </w:r>
          </w:p>
        </w:tc>
        <w:tc>
          <w:tcPr>
            <w:tcW w:w="0" w:type="dxa"/>
            <w:vAlign w:val="bottom"/>
          </w:tcPr>
          <w:p w:rsidR="00CC2C66" w:rsidRDefault="00CC2C66">
            <w:pPr>
              <w:rPr>
                <w:sz w:val="1"/>
                <w:szCs w:val="1"/>
              </w:rPr>
            </w:pPr>
          </w:p>
        </w:tc>
      </w:tr>
      <w:tr w:rsidR="00CC2C66">
        <w:trPr>
          <w:trHeight w:val="172"/>
        </w:trPr>
        <w:tc>
          <w:tcPr>
            <w:tcW w:w="2380" w:type="dxa"/>
            <w:vAlign w:val="bottom"/>
          </w:tcPr>
          <w:p w:rsidR="00CC2C66" w:rsidRDefault="00F80B74">
            <w:pPr>
              <w:rPr>
                <w:sz w:val="20"/>
                <w:szCs w:val="20"/>
              </w:rPr>
            </w:pPr>
            <w:r>
              <w:rPr>
                <w:rFonts w:ascii="Arial" w:eastAsia="Arial" w:hAnsi="Arial" w:cs="Arial"/>
                <w:b/>
                <w:bCs/>
                <w:color w:val="CF0A2C"/>
                <w:sz w:val="14"/>
                <w:szCs w:val="14"/>
              </w:rPr>
              <w:t>Aiken Yuen</w:t>
            </w:r>
          </w:p>
        </w:tc>
        <w:tc>
          <w:tcPr>
            <w:tcW w:w="1000" w:type="dxa"/>
            <w:vAlign w:val="bottom"/>
          </w:tcPr>
          <w:p w:rsidR="00CC2C66" w:rsidRDefault="00F80B74">
            <w:pPr>
              <w:ind w:left="620"/>
              <w:rPr>
                <w:sz w:val="20"/>
                <w:szCs w:val="20"/>
              </w:rPr>
            </w:pPr>
            <w:r>
              <w:rPr>
                <w:rFonts w:ascii="Arial" w:eastAsia="Arial" w:hAnsi="Arial" w:cs="Arial"/>
                <w:sz w:val="13"/>
                <w:szCs w:val="13"/>
              </w:rPr>
              <w:t>2021</w:t>
            </w:r>
          </w:p>
        </w:tc>
        <w:tc>
          <w:tcPr>
            <w:tcW w:w="740" w:type="dxa"/>
            <w:vAlign w:val="bottom"/>
          </w:tcPr>
          <w:p w:rsidR="00CC2C66" w:rsidRDefault="00F80B74">
            <w:pPr>
              <w:ind w:right="36"/>
              <w:jc w:val="right"/>
              <w:rPr>
                <w:sz w:val="20"/>
                <w:szCs w:val="20"/>
              </w:rPr>
            </w:pPr>
            <w:r>
              <w:rPr>
                <w:rFonts w:ascii="Arial" w:eastAsia="Arial" w:hAnsi="Arial" w:cs="Arial"/>
                <w:sz w:val="13"/>
                <w:szCs w:val="13"/>
              </w:rPr>
              <w:t>595,236</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373,881</w:t>
            </w:r>
          </w:p>
        </w:tc>
        <w:tc>
          <w:tcPr>
            <w:tcW w:w="720" w:type="dxa"/>
            <w:vAlign w:val="bottom"/>
          </w:tcPr>
          <w:p w:rsidR="00CC2C66" w:rsidRDefault="00F80B74">
            <w:pPr>
              <w:ind w:right="17"/>
              <w:jc w:val="right"/>
              <w:rPr>
                <w:sz w:val="20"/>
                <w:szCs w:val="20"/>
              </w:rPr>
            </w:pPr>
            <w:r>
              <w:rPr>
                <w:rFonts w:ascii="Arial" w:eastAsia="Arial" w:hAnsi="Arial" w:cs="Arial"/>
                <w:sz w:val="13"/>
                <w:szCs w:val="13"/>
              </w:rPr>
              <w:t>350,011</w:t>
            </w:r>
          </w:p>
        </w:tc>
        <w:tc>
          <w:tcPr>
            <w:tcW w:w="1020" w:type="dxa"/>
            <w:vAlign w:val="bottom"/>
          </w:tcPr>
          <w:p w:rsidR="00CC2C66" w:rsidRDefault="00F80B74">
            <w:pPr>
              <w:ind w:right="17"/>
              <w:jc w:val="right"/>
              <w:rPr>
                <w:sz w:val="20"/>
                <w:szCs w:val="20"/>
              </w:rPr>
            </w:pPr>
            <w:r>
              <w:rPr>
                <w:rFonts w:ascii="Arial" w:eastAsia="Arial" w:hAnsi="Arial" w:cs="Arial"/>
                <w:sz w:val="13"/>
                <w:szCs w:val="13"/>
              </w:rPr>
              <w:t>547,906</w:t>
            </w:r>
          </w:p>
        </w:tc>
        <w:tc>
          <w:tcPr>
            <w:tcW w:w="1040" w:type="dxa"/>
            <w:vAlign w:val="bottom"/>
          </w:tcPr>
          <w:p w:rsidR="00CC2C66" w:rsidRDefault="00F80B74">
            <w:pPr>
              <w:ind w:right="17"/>
              <w:jc w:val="right"/>
              <w:rPr>
                <w:sz w:val="20"/>
                <w:szCs w:val="20"/>
              </w:rPr>
            </w:pPr>
            <w:r>
              <w:rPr>
                <w:rFonts w:ascii="Arial" w:eastAsia="Arial" w:hAnsi="Arial" w:cs="Arial"/>
                <w:sz w:val="13"/>
                <w:szCs w:val="13"/>
              </w:rPr>
              <w:t>596,068</w:t>
            </w:r>
          </w:p>
        </w:tc>
        <w:tc>
          <w:tcPr>
            <w:tcW w:w="760" w:type="dxa"/>
            <w:vAlign w:val="bottom"/>
          </w:tcPr>
          <w:p w:rsidR="00CC2C66" w:rsidRDefault="00F80B74">
            <w:pPr>
              <w:jc w:val="right"/>
              <w:rPr>
                <w:sz w:val="20"/>
                <w:szCs w:val="20"/>
              </w:rPr>
            </w:pPr>
            <w:r>
              <w:rPr>
                <w:rFonts w:ascii="Arial" w:eastAsia="Arial" w:hAnsi="Arial" w:cs="Arial"/>
                <w:sz w:val="13"/>
                <w:szCs w:val="13"/>
              </w:rPr>
              <w:t>2,463,102</w:t>
            </w:r>
          </w:p>
        </w:tc>
        <w:tc>
          <w:tcPr>
            <w:tcW w:w="1300" w:type="dxa"/>
            <w:vAlign w:val="bottom"/>
          </w:tcPr>
          <w:p w:rsidR="00CC2C66" w:rsidRDefault="00F80B74">
            <w:pPr>
              <w:ind w:right="36"/>
              <w:jc w:val="right"/>
              <w:rPr>
                <w:sz w:val="20"/>
                <w:szCs w:val="20"/>
              </w:rPr>
            </w:pPr>
            <w:r>
              <w:rPr>
                <w:rFonts w:ascii="Arial" w:eastAsia="Arial" w:hAnsi="Arial" w:cs="Arial"/>
                <w:sz w:val="13"/>
                <w:szCs w:val="13"/>
              </w:rPr>
              <w:t>2,066,736</w:t>
            </w:r>
          </w:p>
        </w:tc>
        <w:tc>
          <w:tcPr>
            <w:tcW w:w="0" w:type="dxa"/>
            <w:vAlign w:val="bottom"/>
          </w:tcPr>
          <w:p w:rsidR="00CC2C66" w:rsidRDefault="00CC2C66">
            <w:pPr>
              <w:rPr>
                <w:sz w:val="1"/>
                <w:szCs w:val="1"/>
              </w:rPr>
            </w:pPr>
          </w:p>
        </w:tc>
      </w:tr>
      <w:tr w:rsidR="00CC2C66">
        <w:trPr>
          <w:trHeight w:val="141"/>
        </w:trPr>
        <w:tc>
          <w:tcPr>
            <w:tcW w:w="2380" w:type="dxa"/>
            <w:vAlign w:val="bottom"/>
          </w:tcPr>
          <w:p w:rsidR="00CC2C66" w:rsidRDefault="00F80B74">
            <w:pPr>
              <w:spacing w:line="141" w:lineRule="exact"/>
              <w:rPr>
                <w:sz w:val="20"/>
                <w:szCs w:val="20"/>
              </w:rPr>
            </w:pPr>
            <w:r>
              <w:rPr>
                <w:rFonts w:ascii="Arial" w:eastAsia="Arial" w:hAnsi="Arial" w:cs="Arial"/>
                <w:sz w:val="13"/>
                <w:szCs w:val="13"/>
              </w:rPr>
              <w:t xml:space="preserve">Chief People </w:t>
            </w:r>
            <w:r>
              <w:rPr>
                <w:rFonts w:ascii="Arial" w:eastAsia="Arial" w:hAnsi="Arial" w:cs="Arial"/>
                <w:sz w:val="13"/>
                <w:szCs w:val="13"/>
              </w:rPr>
              <w:t>Officer</w:t>
            </w:r>
          </w:p>
        </w:tc>
        <w:tc>
          <w:tcPr>
            <w:tcW w:w="1000" w:type="dxa"/>
            <w:vAlign w:val="bottom"/>
          </w:tcPr>
          <w:p w:rsidR="00CC2C66" w:rsidRDefault="00F80B74">
            <w:pPr>
              <w:spacing w:line="141" w:lineRule="exact"/>
              <w:ind w:left="620"/>
              <w:rPr>
                <w:sz w:val="20"/>
                <w:szCs w:val="20"/>
              </w:rPr>
            </w:pPr>
            <w:r>
              <w:rPr>
                <w:rFonts w:ascii="Arial" w:eastAsia="Arial" w:hAnsi="Arial" w:cs="Arial"/>
                <w:sz w:val="13"/>
                <w:szCs w:val="13"/>
              </w:rPr>
              <w:t>2020</w:t>
            </w:r>
          </w:p>
        </w:tc>
        <w:tc>
          <w:tcPr>
            <w:tcW w:w="740" w:type="dxa"/>
            <w:vAlign w:val="bottom"/>
          </w:tcPr>
          <w:p w:rsidR="00CC2C66" w:rsidRDefault="00F80B74">
            <w:pPr>
              <w:spacing w:line="141" w:lineRule="exact"/>
              <w:ind w:right="36"/>
              <w:jc w:val="right"/>
              <w:rPr>
                <w:sz w:val="20"/>
                <w:szCs w:val="20"/>
              </w:rPr>
            </w:pPr>
            <w:r>
              <w:rPr>
                <w:rFonts w:ascii="Arial" w:eastAsia="Arial" w:hAnsi="Arial" w:cs="Arial"/>
                <w:sz w:val="13"/>
                <w:szCs w:val="13"/>
              </w:rPr>
              <w:t>517,413</w:t>
            </w:r>
          </w:p>
        </w:tc>
        <w:tc>
          <w:tcPr>
            <w:tcW w:w="640" w:type="dxa"/>
            <w:vAlign w:val="bottom"/>
          </w:tcPr>
          <w:p w:rsidR="00CC2C66" w:rsidRDefault="00F80B74">
            <w:pPr>
              <w:spacing w:line="141" w:lineRule="exact"/>
              <w:ind w:right="36"/>
              <w:jc w:val="right"/>
              <w:rPr>
                <w:sz w:val="20"/>
                <w:szCs w:val="20"/>
              </w:rPr>
            </w:pPr>
            <w:r>
              <w:rPr>
                <w:rFonts w:ascii="Arial" w:eastAsia="Arial" w:hAnsi="Arial" w:cs="Arial"/>
                <w:sz w:val="13"/>
                <w:szCs w:val="13"/>
              </w:rPr>
              <w:t>100,566</w:t>
            </w:r>
          </w:p>
        </w:tc>
        <w:tc>
          <w:tcPr>
            <w:tcW w:w="820" w:type="dxa"/>
            <w:vAlign w:val="bottom"/>
          </w:tcPr>
          <w:p w:rsidR="00CC2C66" w:rsidRDefault="00F80B74">
            <w:pPr>
              <w:spacing w:line="141" w:lineRule="exact"/>
              <w:ind w:right="37"/>
              <w:jc w:val="right"/>
              <w:rPr>
                <w:sz w:val="20"/>
                <w:szCs w:val="20"/>
              </w:rPr>
            </w:pPr>
            <w:r>
              <w:rPr>
                <w:rFonts w:ascii="Arial" w:eastAsia="Arial" w:hAnsi="Arial" w:cs="Arial"/>
                <w:sz w:val="13"/>
                <w:szCs w:val="13"/>
              </w:rPr>
              <w:t>1,825,078</w:t>
            </w:r>
          </w:p>
        </w:tc>
        <w:tc>
          <w:tcPr>
            <w:tcW w:w="720" w:type="dxa"/>
            <w:vAlign w:val="bottom"/>
          </w:tcPr>
          <w:p w:rsidR="00CC2C66" w:rsidRDefault="00F80B74">
            <w:pPr>
              <w:spacing w:line="141" w:lineRule="exact"/>
              <w:ind w:right="17"/>
              <w:jc w:val="right"/>
              <w:rPr>
                <w:sz w:val="20"/>
                <w:szCs w:val="20"/>
              </w:rPr>
            </w:pPr>
            <w:r>
              <w:rPr>
                <w:rFonts w:ascii="Arial" w:eastAsia="Arial" w:hAnsi="Arial" w:cs="Arial"/>
                <w:sz w:val="13"/>
                <w:szCs w:val="13"/>
              </w:rPr>
              <w:t>325,011</w:t>
            </w:r>
          </w:p>
        </w:tc>
        <w:tc>
          <w:tcPr>
            <w:tcW w:w="1020" w:type="dxa"/>
            <w:vAlign w:val="bottom"/>
          </w:tcPr>
          <w:p w:rsidR="00CC2C66" w:rsidRDefault="00F80B74">
            <w:pPr>
              <w:spacing w:line="141" w:lineRule="exact"/>
              <w:ind w:right="17"/>
              <w:jc w:val="right"/>
              <w:rPr>
                <w:sz w:val="20"/>
                <w:szCs w:val="20"/>
              </w:rPr>
            </w:pPr>
            <w:r>
              <w:rPr>
                <w:rFonts w:ascii="Arial" w:eastAsia="Arial" w:hAnsi="Arial" w:cs="Arial"/>
                <w:sz w:val="13"/>
                <w:szCs w:val="13"/>
              </w:rPr>
              <w:t>461,599</w:t>
            </w:r>
          </w:p>
        </w:tc>
        <w:tc>
          <w:tcPr>
            <w:tcW w:w="1040" w:type="dxa"/>
            <w:vAlign w:val="bottom"/>
          </w:tcPr>
          <w:p w:rsidR="00CC2C66" w:rsidRDefault="00F80B74">
            <w:pPr>
              <w:spacing w:line="141" w:lineRule="exact"/>
              <w:ind w:right="17"/>
              <w:jc w:val="right"/>
              <w:rPr>
                <w:sz w:val="20"/>
                <w:szCs w:val="20"/>
              </w:rPr>
            </w:pPr>
            <w:r>
              <w:rPr>
                <w:rFonts w:ascii="Arial" w:eastAsia="Arial" w:hAnsi="Arial" w:cs="Arial"/>
                <w:sz w:val="13"/>
                <w:szCs w:val="13"/>
              </w:rPr>
              <w:t>542,754</w:t>
            </w:r>
          </w:p>
        </w:tc>
        <w:tc>
          <w:tcPr>
            <w:tcW w:w="760" w:type="dxa"/>
            <w:vAlign w:val="bottom"/>
          </w:tcPr>
          <w:p w:rsidR="00CC2C66" w:rsidRDefault="00F80B74">
            <w:pPr>
              <w:spacing w:line="141" w:lineRule="exact"/>
              <w:jc w:val="right"/>
              <w:rPr>
                <w:sz w:val="20"/>
                <w:szCs w:val="20"/>
              </w:rPr>
            </w:pPr>
            <w:r>
              <w:rPr>
                <w:rFonts w:ascii="Arial" w:eastAsia="Arial" w:hAnsi="Arial" w:cs="Arial"/>
                <w:sz w:val="13"/>
                <w:szCs w:val="13"/>
              </w:rPr>
              <w:t>3,772,421</w:t>
            </w:r>
          </w:p>
        </w:tc>
        <w:tc>
          <w:tcPr>
            <w:tcW w:w="1300" w:type="dxa"/>
            <w:vAlign w:val="bottom"/>
          </w:tcPr>
          <w:p w:rsidR="00CC2C66" w:rsidRDefault="00F80B74">
            <w:pPr>
              <w:spacing w:line="141" w:lineRule="exact"/>
              <w:ind w:right="36"/>
              <w:jc w:val="right"/>
              <w:rPr>
                <w:sz w:val="20"/>
                <w:szCs w:val="20"/>
              </w:rPr>
            </w:pPr>
            <w:r>
              <w:rPr>
                <w:rFonts w:ascii="Arial" w:eastAsia="Arial" w:hAnsi="Arial" w:cs="Arial"/>
                <w:sz w:val="13"/>
                <w:szCs w:val="13"/>
              </w:rPr>
              <w:t>3,388,514</w:t>
            </w:r>
          </w:p>
        </w:tc>
        <w:tc>
          <w:tcPr>
            <w:tcW w:w="0" w:type="dxa"/>
            <w:vAlign w:val="bottom"/>
          </w:tcPr>
          <w:p w:rsidR="00CC2C66" w:rsidRDefault="00CC2C66">
            <w:pPr>
              <w:rPr>
                <w:sz w:val="1"/>
                <w:szCs w:val="1"/>
              </w:rPr>
            </w:pPr>
          </w:p>
        </w:tc>
      </w:tr>
      <w:tr w:rsidR="00CC2C66">
        <w:trPr>
          <w:trHeight w:val="153"/>
        </w:trPr>
        <w:tc>
          <w:tcPr>
            <w:tcW w:w="2380" w:type="dxa"/>
            <w:tcBorders>
              <w:bottom w:val="single" w:sz="8" w:space="0" w:color="CF0A2C"/>
            </w:tcBorders>
            <w:vAlign w:val="bottom"/>
          </w:tcPr>
          <w:p w:rsidR="00CC2C66" w:rsidRDefault="00CC2C66">
            <w:pPr>
              <w:rPr>
                <w:sz w:val="13"/>
                <w:szCs w:val="13"/>
              </w:rPr>
            </w:pPr>
          </w:p>
        </w:tc>
        <w:tc>
          <w:tcPr>
            <w:tcW w:w="1000" w:type="dxa"/>
            <w:tcBorders>
              <w:bottom w:val="single" w:sz="8" w:space="0" w:color="CF0A2C"/>
            </w:tcBorders>
            <w:vAlign w:val="bottom"/>
          </w:tcPr>
          <w:p w:rsidR="00CC2C66" w:rsidRDefault="00F80B74">
            <w:pPr>
              <w:ind w:left="620"/>
              <w:rPr>
                <w:sz w:val="20"/>
                <w:szCs w:val="20"/>
              </w:rPr>
            </w:pPr>
            <w:r>
              <w:rPr>
                <w:rFonts w:ascii="Arial" w:eastAsia="Arial" w:hAnsi="Arial" w:cs="Arial"/>
                <w:sz w:val="13"/>
                <w:szCs w:val="13"/>
              </w:rPr>
              <w:t>2019</w:t>
            </w:r>
          </w:p>
        </w:tc>
        <w:tc>
          <w:tcPr>
            <w:tcW w:w="7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512,527</w:t>
            </w:r>
          </w:p>
        </w:tc>
        <w:tc>
          <w:tcPr>
            <w:tcW w:w="6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99,552</w:t>
            </w:r>
          </w:p>
        </w:tc>
        <w:tc>
          <w:tcPr>
            <w:tcW w:w="820" w:type="dxa"/>
            <w:tcBorders>
              <w:bottom w:val="single" w:sz="8" w:space="0" w:color="CF0A2C"/>
            </w:tcBorders>
            <w:vAlign w:val="bottom"/>
          </w:tcPr>
          <w:p w:rsidR="00CC2C66" w:rsidRDefault="00F80B74">
            <w:pPr>
              <w:ind w:right="37"/>
              <w:jc w:val="right"/>
              <w:rPr>
                <w:sz w:val="20"/>
                <w:szCs w:val="20"/>
              </w:rPr>
            </w:pPr>
            <w:r>
              <w:rPr>
                <w:rFonts w:ascii="Arial" w:eastAsia="Arial" w:hAnsi="Arial" w:cs="Arial"/>
                <w:sz w:val="13"/>
                <w:szCs w:val="13"/>
              </w:rPr>
              <w:t>228,005</w:t>
            </w:r>
          </w:p>
        </w:tc>
        <w:tc>
          <w:tcPr>
            <w:tcW w:w="7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228,010</w:t>
            </w:r>
          </w:p>
        </w:tc>
        <w:tc>
          <w:tcPr>
            <w:tcW w:w="10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882,224</w:t>
            </w:r>
          </w:p>
        </w:tc>
        <w:tc>
          <w:tcPr>
            <w:tcW w:w="104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193,251</w:t>
            </w:r>
          </w:p>
        </w:tc>
        <w:tc>
          <w:tcPr>
            <w:tcW w:w="7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2,143,569</w:t>
            </w:r>
          </w:p>
        </w:tc>
        <w:tc>
          <w:tcPr>
            <w:tcW w:w="130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2,107,840</w:t>
            </w:r>
          </w:p>
        </w:tc>
        <w:tc>
          <w:tcPr>
            <w:tcW w:w="0" w:type="dxa"/>
            <w:vAlign w:val="bottom"/>
          </w:tcPr>
          <w:p w:rsidR="00CC2C66" w:rsidRDefault="00CC2C66">
            <w:pPr>
              <w:rPr>
                <w:sz w:val="1"/>
                <w:szCs w:val="1"/>
              </w:rPr>
            </w:pPr>
          </w:p>
        </w:tc>
      </w:tr>
      <w:tr w:rsidR="00CC2C66">
        <w:trPr>
          <w:trHeight w:val="172"/>
        </w:trPr>
        <w:tc>
          <w:tcPr>
            <w:tcW w:w="2380" w:type="dxa"/>
            <w:vAlign w:val="bottom"/>
          </w:tcPr>
          <w:p w:rsidR="00CC2C66" w:rsidRDefault="00F80B74">
            <w:pPr>
              <w:rPr>
                <w:sz w:val="20"/>
                <w:szCs w:val="20"/>
              </w:rPr>
            </w:pPr>
            <w:r>
              <w:rPr>
                <w:rFonts w:ascii="Arial" w:eastAsia="Arial" w:hAnsi="Arial" w:cs="Arial"/>
                <w:b/>
                <w:bCs/>
                <w:color w:val="CF0A2C"/>
                <w:sz w:val="14"/>
                <w:szCs w:val="14"/>
              </w:rPr>
              <w:t>Danny Tan</w:t>
            </w:r>
          </w:p>
        </w:tc>
        <w:tc>
          <w:tcPr>
            <w:tcW w:w="1000" w:type="dxa"/>
            <w:vAlign w:val="bottom"/>
          </w:tcPr>
          <w:p w:rsidR="00CC2C66" w:rsidRDefault="00F80B74">
            <w:pPr>
              <w:ind w:left="620"/>
              <w:rPr>
                <w:sz w:val="20"/>
                <w:szCs w:val="20"/>
              </w:rPr>
            </w:pPr>
            <w:r>
              <w:rPr>
                <w:rFonts w:ascii="Arial" w:eastAsia="Arial" w:hAnsi="Arial" w:cs="Arial"/>
                <w:sz w:val="13"/>
                <w:szCs w:val="13"/>
              </w:rPr>
              <w:t>2021</w:t>
            </w:r>
          </w:p>
        </w:tc>
        <w:tc>
          <w:tcPr>
            <w:tcW w:w="740" w:type="dxa"/>
            <w:vAlign w:val="bottom"/>
          </w:tcPr>
          <w:p w:rsidR="00CC2C66" w:rsidRDefault="00F80B74">
            <w:pPr>
              <w:ind w:right="36"/>
              <w:jc w:val="right"/>
              <w:rPr>
                <w:sz w:val="20"/>
                <w:szCs w:val="20"/>
              </w:rPr>
            </w:pPr>
            <w:r>
              <w:rPr>
                <w:rFonts w:ascii="Arial" w:eastAsia="Arial" w:hAnsi="Arial" w:cs="Arial"/>
                <w:sz w:val="13"/>
                <w:szCs w:val="13"/>
              </w:rPr>
              <w:t>695,544</w:t>
            </w:r>
          </w:p>
        </w:tc>
        <w:tc>
          <w:tcPr>
            <w:tcW w:w="640" w:type="dxa"/>
            <w:vAlign w:val="bottom"/>
          </w:tcPr>
          <w:p w:rsidR="00CC2C66" w:rsidRDefault="00F80B74">
            <w:pPr>
              <w:ind w:right="36"/>
              <w:jc w:val="right"/>
              <w:rPr>
                <w:sz w:val="20"/>
                <w:szCs w:val="20"/>
              </w:rPr>
            </w:pPr>
            <w:r>
              <w:rPr>
                <w:rFonts w:ascii="Arial" w:eastAsia="Arial" w:hAnsi="Arial" w:cs="Arial"/>
                <w:sz w:val="13"/>
                <w:szCs w:val="13"/>
              </w:rPr>
              <w:t>—</w:t>
            </w:r>
          </w:p>
        </w:tc>
        <w:tc>
          <w:tcPr>
            <w:tcW w:w="820" w:type="dxa"/>
            <w:vAlign w:val="bottom"/>
          </w:tcPr>
          <w:p w:rsidR="00CC2C66" w:rsidRDefault="00F80B74">
            <w:pPr>
              <w:ind w:right="37"/>
              <w:jc w:val="right"/>
              <w:rPr>
                <w:sz w:val="20"/>
                <w:szCs w:val="20"/>
              </w:rPr>
            </w:pPr>
            <w:r>
              <w:rPr>
                <w:rFonts w:ascii="Arial" w:eastAsia="Arial" w:hAnsi="Arial" w:cs="Arial"/>
                <w:sz w:val="13"/>
                <w:szCs w:val="13"/>
              </w:rPr>
              <w:t>534,074</w:t>
            </w:r>
          </w:p>
        </w:tc>
        <w:tc>
          <w:tcPr>
            <w:tcW w:w="720" w:type="dxa"/>
            <w:vAlign w:val="bottom"/>
          </w:tcPr>
          <w:p w:rsidR="00CC2C66" w:rsidRDefault="00F80B74">
            <w:pPr>
              <w:ind w:right="17"/>
              <w:jc w:val="right"/>
              <w:rPr>
                <w:sz w:val="20"/>
                <w:szCs w:val="20"/>
              </w:rPr>
            </w:pPr>
            <w:r>
              <w:rPr>
                <w:rFonts w:ascii="Arial" w:eastAsia="Arial" w:hAnsi="Arial" w:cs="Arial"/>
                <w:sz w:val="13"/>
                <w:szCs w:val="13"/>
              </w:rPr>
              <w:t>500,004</w:t>
            </w:r>
          </w:p>
        </w:tc>
        <w:tc>
          <w:tcPr>
            <w:tcW w:w="1020" w:type="dxa"/>
            <w:vAlign w:val="bottom"/>
          </w:tcPr>
          <w:p w:rsidR="00CC2C66" w:rsidRDefault="00F80B74">
            <w:pPr>
              <w:ind w:right="17"/>
              <w:jc w:val="right"/>
              <w:rPr>
                <w:sz w:val="20"/>
                <w:szCs w:val="20"/>
              </w:rPr>
            </w:pPr>
            <w:r>
              <w:rPr>
                <w:rFonts w:ascii="Arial" w:eastAsia="Arial" w:hAnsi="Arial" w:cs="Arial"/>
                <w:sz w:val="13"/>
                <w:szCs w:val="13"/>
              </w:rPr>
              <w:t>588,000</w:t>
            </w:r>
          </w:p>
        </w:tc>
        <w:tc>
          <w:tcPr>
            <w:tcW w:w="1040" w:type="dxa"/>
            <w:vAlign w:val="bottom"/>
          </w:tcPr>
          <w:p w:rsidR="00CC2C66" w:rsidRDefault="00F80B74">
            <w:pPr>
              <w:ind w:right="17"/>
              <w:jc w:val="right"/>
              <w:rPr>
                <w:sz w:val="20"/>
                <w:szCs w:val="20"/>
              </w:rPr>
            </w:pPr>
            <w:r>
              <w:rPr>
                <w:rFonts w:ascii="Arial" w:eastAsia="Arial" w:hAnsi="Arial" w:cs="Arial"/>
                <w:sz w:val="13"/>
                <w:szCs w:val="13"/>
              </w:rPr>
              <w:t>1,542,364</w:t>
            </w:r>
          </w:p>
        </w:tc>
        <w:tc>
          <w:tcPr>
            <w:tcW w:w="760" w:type="dxa"/>
            <w:vAlign w:val="bottom"/>
          </w:tcPr>
          <w:p w:rsidR="00CC2C66" w:rsidRDefault="00F80B74">
            <w:pPr>
              <w:jc w:val="right"/>
              <w:rPr>
                <w:sz w:val="20"/>
                <w:szCs w:val="20"/>
              </w:rPr>
            </w:pPr>
            <w:r>
              <w:rPr>
                <w:rFonts w:ascii="Arial" w:eastAsia="Arial" w:hAnsi="Arial" w:cs="Arial"/>
                <w:sz w:val="13"/>
                <w:szCs w:val="13"/>
              </w:rPr>
              <w:t>3,859,986</w:t>
            </w:r>
          </w:p>
        </w:tc>
        <w:tc>
          <w:tcPr>
            <w:tcW w:w="1300" w:type="dxa"/>
            <w:vAlign w:val="bottom"/>
          </w:tcPr>
          <w:p w:rsidR="00CC2C66" w:rsidRDefault="00F80B74">
            <w:pPr>
              <w:ind w:right="36"/>
              <w:jc w:val="right"/>
              <w:rPr>
                <w:sz w:val="20"/>
                <w:szCs w:val="20"/>
              </w:rPr>
            </w:pPr>
            <w:r>
              <w:rPr>
                <w:rFonts w:ascii="Arial" w:eastAsia="Arial" w:hAnsi="Arial" w:cs="Arial"/>
                <w:sz w:val="13"/>
                <w:szCs w:val="13"/>
              </w:rPr>
              <w:t>2,605,097</w:t>
            </w:r>
          </w:p>
        </w:tc>
        <w:tc>
          <w:tcPr>
            <w:tcW w:w="0" w:type="dxa"/>
            <w:vAlign w:val="bottom"/>
          </w:tcPr>
          <w:p w:rsidR="00CC2C66" w:rsidRDefault="00CC2C66">
            <w:pPr>
              <w:rPr>
                <w:sz w:val="1"/>
                <w:szCs w:val="1"/>
              </w:rPr>
            </w:pPr>
          </w:p>
        </w:tc>
      </w:tr>
      <w:tr w:rsidR="00CC2C66">
        <w:trPr>
          <w:trHeight w:val="141"/>
        </w:trPr>
        <w:tc>
          <w:tcPr>
            <w:tcW w:w="2380" w:type="dxa"/>
            <w:vAlign w:val="bottom"/>
          </w:tcPr>
          <w:p w:rsidR="00CC2C66" w:rsidRDefault="00F80B74">
            <w:pPr>
              <w:spacing w:line="141" w:lineRule="exact"/>
              <w:rPr>
                <w:sz w:val="20"/>
                <w:szCs w:val="20"/>
              </w:rPr>
            </w:pPr>
            <w:r>
              <w:rPr>
                <w:rFonts w:ascii="Arial" w:eastAsia="Arial" w:hAnsi="Arial" w:cs="Arial"/>
                <w:sz w:val="13"/>
                <w:szCs w:val="13"/>
              </w:rPr>
              <w:t xml:space="preserve">Chief Supply </w:t>
            </w:r>
            <w:r>
              <w:rPr>
                <w:rFonts w:ascii="Arial" w:eastAsia="Arial" w:hAnsi="Arial" w:cs="Arial"/>
                <w:sz w:val="13"/>
                <w:szCs w:val="13"/>
              </w:rPr>
              <w:t>Chain Officer</w:t>
            </w:r>
          </w:p>
        </w:tc>
        <w:tc>
          <w:tcPr>
            <w:tcW w:w="1000" w:type="dxa"/>
            <w:vAlign w:val="bottom"/>
          </w:tcPr>
          <w:p w:rsidR="00CC2C66" w:rsidRDefault="00F80B74">
            <w:pPr>
              <w:spacing w:line="141" w:lineRule="exact"/>
              <w:ind w:left="620"/>
              <w:rPr>
                <w:sz w:val="20"/>
                <w:szCs w:val="20"/>
              </w:rPr>
            </w:pPr>
            <w:r>
              <w:rPr>
                <w:rFonts w:ascii="Arial" w:eastAsia="Arial" w:hAnsi="Arial" w:cs="Arial"/>
                <w:sz w:val="13"/>
                <w:szCs w:val="13"/>
              </w:rPr>
              <w:t>2020</w:t>
            </w:r>
          </w:p>
        </w:tc>
        <w:tc>
          <w:tcPr>
            <w:tcW w:w="740" w:type="dxa"/>
            <w:vAlign w:val="bottom"/>
          </w:tcPr>
          <w:p w:rsidR="00CC2C66" w:rsidRDefault="00F80B74">
            <w:pPr>
              <w:spacing w:line="141" w:lineRule="exact"/>
              <w:ind w:right="36"/>
              <w:jc w:val="right"/>
              <w:rPr>
                <w:sz w:val="20"/>
                <w:szCs w:val="20"/>
              </w:rPr>
            </w:pPr>
            <w:r>
              <w:rPr>
                <w:rFonts w:ascii="Arial" w:eastAsia="Arial" w:hAnsi="Arial" w:cs="Arial"/>
                <w:sz w:val="13"/>
                <w:szCs w:val="13"/>
              </w:rPr>
              <w:t>618,431</w:t>
            </w:r>
          </w:p>
        </w:tc>
        <w:tc>
          <w:tcPr>
            <w:tcW w:w="640" w:type="dxa"/>
            <w:vAlign w:val="bottom"/>
          </w:tcPr>
          <w:p w:rsidR="00CC2C66" w:rsidRDefault="00F80B74">
            <w:pPr>
              <w:spacing w:line="141" w:lineRule="exact"/>
              <w:ind w:right="36"/>
              <w:jc w:val="right"/>
              <w:rPr>
                <w:sz w:val="20"/>
                <w:szCs w:val="20"/>
              </w:rPr>
            </w:pPr>
            <w:r>
              <w:rPr>
                <w:rFonts w:ascii="Arial" w:eastAsia="Arial" w:hAnsi="Arial" w:cs="Arial"/>
                <w:sz w:val="13"/>
                <w:szCs w:val="13"/>
              </w:rPr>
              <w:t>—</w:t>
            </w:r>
          </w:p>
        </w:tc>
        <w:tc>
          <w:tcPr>
            <w:tcW w:w="820" w:type="dxa"/>
            <w:vAlign w:val="bottom"/>
          </w:tcPr>
          <w:p w:rsidR="00CC2C66" w:rsidRDefault="00F80B74">
            <w:pPr>
              <w:spacing w:line="141" w:lineRule="exact"/>
              <w:ind w:right="37"/>
              <w:jc w:val="right"/>
              <w:rPr>
                <w:sz w:val="20"/>
                <w:szCs w:val="20"/>
              </w:rPr>
            </w:pPr>
            <w:r>
              <w:rPr>
                <w:rFonts w:ascii="Arial" w:eastAsia="Arial" w:hAnsi="Arial" w:cs="Arial"/>
                <w:sz w:val="13"/>
                <w:szCs w:val="13"/>
              </w:rPr>
              <w:t>1,975,039</w:t>
            </w:r>
          </w:p>
        </w:tc>
        <w:tc>
          <w:tcPr>
            <w:tcW w:w="720" w:type="dxa"/>
            <w:vAlign w:val="bottom"/>
          </w:tcPr>
          <w:p w:rsidR="00CC2C66" w:rsidRDefault="00F80B74">
            <w:pPr>
              <w:spacing w:line="141" w:lineRule="exact"/>
              <w:ind w:right="17"/>
              <w:jc w:val="right"/>
              <w:rPr>
                <w:sz w:val="20"/>
                <w:szCs w:val="20"/>
              </w:rPr>
            </w:pPr>
            <w:r>
              <w:rPr>
                <w:rFonts w:ascii="Arial" w:eastAsia="Arial" w:hAnsi="Arial" w:cs="Arial"/>
                <w:sz w:val="13"/>
                <w:szCs w:val="13"/>
              </w:rPr>
              <w:t>475,001</w:t>
            </w:r>
          </w:p>
        </w:tc>
        <w:tc>
          <w:tcPr>
            <w:tcW w:w="1020" w:type="dxa"/>
            <w:vAlign w:val="bottom"/>
          </w:tcPr>
          <w:p w:rsidR="00CC2C66" w:rsidRDefault="00F80B74">
            <w:pPr>
              <w:spacing w:line="141" w:lineRule="exact"/>
              <w:ind w:right="17"/>
              <w:jc w:val="right"/>
              <w:rPr>
                <w:sz w:val="20"/>
                <w:szCs w:val="20"/>
              </w:rPr>
            </w:pPr>
            <w:r>
              <w:rPr>
                <w:rFonts w:ascii="Arial" w:eastAsia="Arial" w:hAnsi="Arial" w:cs="Arial"/>
                <w:sz w:val="13"/>
                <w:szCs w:val="13"/>
              </w:rPr>
              <w:t>631,166</w:t>
            </w:r>
          </w:p>
        </w:tc>
        <w:tc>
          <w:tcPr>
            <w:tcW w:w="1040" w:type="dxa"/>
            <w:vAlign w:val="bottom"/>
          </w:tcPr>
          <w:p w:rsidR="00CC2C66" w:rsidRDefault="00F80B74">
            <w:pPr>
              <w:spacing w:line="141" w:lineRule="exact"/>
              <w:ind w:right="17"/>
              <w:jc w:val="right"/>
              <w:rPr>
                <w:sz w:val="20"/>
                <w:szCs w:val="20"/>
              </w:rPr>
            </w:pPr>
            <w:r>
              <w:rPr>
                <w:rFonts w:ascii="Arial" w:eastAsia="Arial" w:hAnsi="Arial" w:cs="Arial"/>
                <w:sz w:val="13"/>
                <w:szCs w:val="13"/>
              </w:rPr>
              <w:t>602,913</w:t>
            </w:r>
          </w:p>
        </w:tc>
        <w:tc>
          <w:tcPr>
            <w:tcW w:w="760" w:type="dxa"/>
            <w:vAlign w:val="bottom"/>
          </w:tcPr>
          <w:p w:rsidR="00CC2C66" w:rsidRDefault="00F80B74">
            <w:pPr>
              <w:spacing w:line="141" w:lineRule="exact"/>
              <w:jc w:val="right"/>
              <w:rPr>
                <w:sz w:val="20"/>
                <w:szCs w:val="20"/>
              </w:rPr>
            </w:pPr>
            <w:r>
              <w:rPr>
                <w:rFonts w:ascii="Arial" w:eastAsia="Arial" w:hAnsi="Arial" w:cs="Arial"/>
                <w:sz w:val="13"/>
                <w:szCs w:val="13"/>
              </w:rPr>
              <w:t>4,302,550</w:t>
            </w:r>
          </w:p>
        </w:tc>
        <w:tc>
          <w:tcPr>
            <w:tcW w:w="1300" w:type="dxa"/>
            <w:vAlign w:val="bottom"/>
          </w:tcPr>
          <w:p w:rsidR="00CC2C66" w:rsidRDefault="00F80B74">
            <w:pPr>
              <w:spacing w:line="141" w:lineRule="exact"/>
              <w:ind w:right="36"/>
              <w:jc w:val="right"/>
              <w:rPr>
                <w:sz w:val="20"/>
                <w:szCs w:val="20"/>
              </w:rPr>
            </w:pPr>
            <w:r>
              <w:rPr>
                <w:rFonts w:ascii="Arial" w:eastAsia="Arial" w:hAnsi="Arial" w:cs="Arial"/>
                <w:sz w:val="13"/>
                <w:szCs w:val="13"/>
              </w:rPr>
              <w:t>3,968,872</w:t>
            </w:r>
          </w:p>
        </w:tc>
        <w:tc>
          <w:tcPr>
            <w:tcW w:w="0" w:type="dxa"/>
            <w:vAlign w:val="bottom"/>
          </w:tcPr>
          <w:p w:rsidR="00CC2C66" w:rsidRDefault="00CC2C66">
            <w:pPr>
              <w:rPr>
                <w:sz w:val="1"/>
                <w:szCs w:val="1"/>
              </w:rPr>
            </w:pPr>
          </w:p>
        </w:tc>
      </w:tr>
      <w:tr w:rsidR="00CC2C66">
        <w:trPr>
          <w:trHeight w:val="153"/>
        </w:trPr>
        <w:tc>
          <w:tcPr>
            <w:tcW w:w="2380" w:type="dxa"/>
            <w:tcBorders>
              <w:bottom w:val="single" w:sz="8" w:space="0" w:color="CF0A2C"/>
            </w:tcBorders>
            <w:vAlign w:val="bottom"/>
          </w:tcPr>
          <w:p w:rsidR="00CC2C66" w:rsidRDefault="00CC2C66">
            <w:pPr>
              <w:rPr>
                <w:sz w:val="13"/>
                <w:szCs w:val="13"/>
              </w:rPr>
            </w:pPr>
          </w:p>
        </w:tc>
        <w:tc>
          <w:tcPr>
            <w:tcW w:w="1000" w:type="dxa"/>
            <w:tcBorders>
              <w:bottom w:val="single" w:sz="8" w:space="0" w:color="CF0A2C"/>
            </w:tcBorders>
            <w:vAlign w:val="bottom"/>
          </w:tcPr>
          <w:p w:rsidR="00CC2C66" w:rsidRDefault="00F80B74">
            <w:pPr>
              <w:ind w:left="620"/>
              <w:rPr>
                <w:sz w:val="20"/>
                <w:szCs w:val="20"/>
              </w:rPr>
            </w:pPr>
            <w:r>
              <w:rPr>
                <w:rFonts w:ascii="Arial" w:eastAsia="Arial" w:hAnsi="Arial" w:cs="Arial"/>
                <w:sz w:val="13"/>
                <w:szCs w:val="13"/>
              </w:rPr>
              <w:t>2019</w:t>
            </w:r>
          </w:p>
        </w:tc>
        <w:tc>
          <w:tcPr>
            <w:tcW w:w="7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624,689</w:t>
            </w:r>
          </w:p>
        </w:tc>
        <w:tc>
          <w:tcPr>
            <w:tcW w:w="64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ind w:right="37"/>
              <w:jc w:val="right"/>
              <w:rPr>
                <w:sz w:val="20"/>
                <w:szCs w:val="20"/>
              </w:rPr>
            </w:pPr>
            <w:r>
              <w:rPr>
                <w:rFonts w:ascii="Arial" w:eastAsia="Arial" w:hAnsi="Arial" w:cs="Arial"/>
                <w:sz w:val="13"/>
                <w:szCs w:val="13"/>
              </w:rPr>
              <w:t>380,023</w:t>
            </w:r>
          </w:p>
        </w:tc>
        <w:tc>
          <w:tcPr>
            <w:tcW w:w="7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380,013</w:t>
            </w:r>
          </w:p>
        </w:tc>
        <w:tc>
          <w:tcPr>
            <w:tcW w:w="102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1,313,575</w:t>
            </w:r>
          </w:p>
        </w:tc>
        <w:tc>
          <w:tcPr>
            <w:tcW w:w="1040" w:type="dxa"/>
            <w:tcBorders>
              <w:bottom w:val="single" w:sz="8" w:space="0" w:color="CF0A2C"/>
            </w:tcBorders>
            <w:vAlign w:val="bottom"/>
          </w:tcPr>
          <w:p w:rsidR="00CC2C66" w:rsidRDefault="00F80B74">
            <w:pPr>
              <w:ind w:right="17"/>
              <w:jc w:val="right"/>
              <w:rPr>
                <w:sz w:val="20"/>
                <w:szCs w:val="20"/>
              </w:rPr>
            </w:pPr>
            <w:r>
              <w:rPr>
                <w:rFonts w:ascii="Arial" w:eastAsia="Arial" w:hAnsi="Arial" w:cs="Arial"/>
                <w:sz w:val="13"/>
                <w:szCs w:val="13"/>
              </w:rPr>
              <w:t>666,369</w:t>
            </w:r>
          </w:p>
        </w:tc>
        <w:tc>
          <w:tcPr>
            <w:tcW w:w="7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3,364,669</w:t>
            </w:r>
          </w:p>
        </w:tc>
        <w:tc>
          <w:tcPr>
            <w:tcW w:w="1300" w:type="dxa"/>
            <w:tcBorders>
              <w:bottom w:val="single" w:sz="8" w:space="0" w:color="CF0A2C"/>
            </w:tcBorders>
            <w:vAlign w:val="bottom"/>
          </w:tcPr>
          <w:p w:rsidR="00CC2C66" w:rsidRDefault="00F80B74">
            <w:pPr>
              <w:ind w:right="36"/>
              <w:jc w:val="right"/>
              <w:rPr>
                <w:sz w:val="20"/>
                <w:szCs w:val="20"/>
              </w:rPr>
            </w:pPr>
            <w:r>
              <w:rPr>
                <w:rFonts w:ascii="Arial" w:eastAsia="Arial" w:hAnsi="Arial" w:cs="Arial"/>
                <w:sz w:val="13"/>
                <w:szCs w:val="13"/>
              </w:rPr>
              <w:t>2,956,605</w:t>
            </w:r>
          </w:p>
        </w:tc>
        <w:tc>
          <w:tcPr>
            <w:tcW w:w="0" w:type="dxa"/>
            <w:vAlign w:val="bottom"/>
          </w:tcPr>
          <w:p w:rsidR="00CC2C66" w:rsidRDefault="00CC2C66">
            <w:pPr>
              <w:rPr>
                <w:sz w:val="1"/>
                <w:szCs w:val="1"/>
              </w:rPr>
            </w:pPr>
          </w:p>
        </w:tc>
      </w:tr>
    </w:tbl>
    <w:p w:rsidR="00CC2C66" w:rsidRDefault="00CC2C66">
      <w:pPr>
        <w:spacing w:line="260" w:lineRule="exact"/>
        <w:rPr>
          <w:sz w:val="20"/>
          <w:szCs w:val="20"/>
        </w:rPr>
      </w:pPr>
    </w:p>
    <w:p w:rsidR="00CC2C66" w:rsidRDefault="00F80B74">
      <w:pPr>
        <w:numPr>
          <w:ilvl w:val="0"/>
          <w:numId w:val="99"/>
        </w:numPr>
        <w:tabs>
          <w:tab w:val="left" w:pos="1020"/>
        </w:tabs>
        <w:spacing w:line="255" w:lineRule="auto"/>
        <w:ind w:left="1020" w:hanging="609"/>
        <w:jc w:val="both"/>
        <w:rPr>
          <w:rFonts w:eastAsia="Times New Roman"/>
          <w:color w:val="CF0A2C"/>
          <w:sz w:val="18"/>
          <w:szCs w:val="18"/>
        </w:rPr>
      </w:pPr>
      <w:r>
        <w:rPr>
          <w:rFonts w:eastAsia="Times New Roman"/>
          <w:sz w:val="18"/>
          <w:szCs w:val="18"/>
        </w:rPr>
        <w:t>The amounts reported in this column for 2021 represent the grant date fair value of the Annual PSU</w:t>
      </w:r>
      <w:r>
        <w:rPr>
          <w:rFonts w:eastAsia="Times New Roman"/>
          <w:sz w:val="18"/>
          <w:szCs w:val="18"/>
        </w:rPr>
        <w:t xml:space="preserve"> Awards granted to each Named Executive Officer and the 2021 Chairman Grants awarded in RSU granted to Ms. Wat and Messrs. Yeung and Chan, calculated in accordance with Accounting Standards Codification Topic 718 (“</w:t>
      </w:r>
      <w:r>
        <w:rPr>
          <w:rFonts w:eastAsia="Times New Roman"/>
          <w:b/>
          <w:bCs/>
          <w:i/>
          <w:iCs/>
          <w:sz w:val="18"/>
          <w:szCs w:val="18"/>
        </w:rPr>
        <w:t>ASC 718</w:t>
      </w:r>
      <w:r>
        <w:rPr>
          <w:rFonts w:eastAsia="Times New Roman"/>
          <w:sz w:val="18"/>
          <w:szCs w:val="18"/>
        </w:rPr>
        <w:t>”), Compensation—Stock Compensatio</w:t>
      </w:r>
      <w:r>
        <w:rPr>
          <w:rFonts w:eastAsia="Times New Roman"/>
          <w:sz w:val="18"/>
          <w:szCs w:val="18"/>
        </w:rPr>
        <w:t xml:space="preserve">n. The grant date fair value for the Chairman Grants was calculated by multiplying the number of RSUs granted by the closing stock price of a share of Company common stock on the date of grant. The aggregate fair value of PSU awards with performance-based </w:t>
      </w:r>
      <w:r>
        <w:rPr>
          <w:rFonts w:eastAsia="Times New Roman"/>
          <w:sz w:val="18"/>
          <w:szCs w:val="18"/>
        </w:rPr>
        <w:t>conditions are based on the closing price of our common stock on the date of grant and the probable satisfaction of the performance conditions for such awards as of the date of grant. The fair value of PSU awards with market–based conditions has been deter</w:t>
      </w:r>
      <w:r>
        <w:rPr>
          <w:rFonts w:eastAsia="Times New Roman"/>
          <w:sz w:val="18"/>
          <w:szCs w:val="18"/>
        </w:rPr>
        <w:t>mined based on the outcome of a Monte-Carlo simulation model. The maximum value of the 2021 PSU awards at the grant date assuming that the highest level of performance conditions will be achieved is as follows: Ms. Wat, $4,907,768; Mr. Yeung, $1,227,058; M</w:t>
      </w:r>
      <w:r>
        <w:rPr>
          <w:rFonts w:eastAsia="Times New Roman"/>
          <w:sz w:val="18"/>
          <w:szCs w:val="18"/>
        </w:rPr>
        <w:t>r. Chan, $920,243; Mr. Huang, $1,022,582; Mr. Yuen, $572,710 and Mr. Tan, $818,107. See Note 15 to the Company’s Consolidated Financial Statements included in the Annual Report on Form 10-K for the year ended December 31, 2021 (the “</w:t>
      </w:r>
      <w:r>
        <w:rPr>
          <w:rFonts w:eastAsia="Times New Roman"/>
          <w:b/>
          <w:bCs/>
          <w:i/>
          <w:iCs/>
          <w:sz w:val="18"/>
          <w:szCs w:val="18"/>
        </w:rPr>
        <w:t>Audited Financial State</w:t>
      </w:r>
      <w:r>
        <w:rPr>
          <w:rFonts w:eastAsia="Times New Roman"/>
          <w:b/>
          <w:bCs/>
          <w:i/>
          <w:iCs/>
          <w:sz w:val="18"/>
          <w:szCs w:val="18"/>
        </w:rPr>
        <w:t>ments</w:t>
      </w:r>
      <w:r>
        <w:rPr>
          <w:rFonts w:eastAsia="Times New Roman"/>
          <w:sz w:val="18"/>
          <w:szCs w:val="18"/>
        </w:rPr>
        <w:t>”) for further discussion of the relevant assumptions used in calculating these amounts.</w:t>
      </w:r>
    </w:p>
    <w:p w:rsidR="00CC2C66" w:rsidRDefault="00CC2C66">
      <w:pPr>
        <w:spacing w:line="248" w:lineRule="exact"/>
        <w:rPr>
          <w:rFonts w:eastAsia="Times New Roman"/>
          <w:color w:val="CF0A2C"/>
          <w:sz w:val="18"/>
          <w:szCs w:val="18"/>
        </w:rPr>
      </w:pPr>
    </w:p>
    <w:p w:rsidR="00CC2C66" w:rsidRDefault="00F80B74">
      <w:pPr>
        <w:numPr>
          <w:ilvl w:val="0"/>
          <w:numId w:val="99"/>
        </w:numPr>
        <w:tabs>
          <w:tab w:val="left" w:pos="1020"/>
        </w:tabs>
        <w:spacing w:line="252" w:lineRule="auto"/>
        <w:ind w:left="1020" w:hanging="609"/>
        <w:jc w:val="both"/>
        <w:rPr>
          <w:rFonts w:eastAsia="Times New Roman"/>
          <w:color w:val="CF0A2C"/>
          <w:sz w:val="19"/>
          <w:szCs w:val="19"/>
        </w:rPr>
      </w:pPr>
      <w:r>
        <w:rPr>
          <w:rFonts w:eastAsia="Times New Roman"/>
          <w:sz w:val="19"/>
          <w:szCs w:val="19"/>
        </w:rPr>
        <w:t>The amounts reported in this column for 2021 represent the grant date fair value of the annual SAR awards granted to each of the NEOs, calculated in accordance w</w:t>
      </w:r>
      <w:r>
        <w:rPr>
          <w:rFonts w:eastAsia="Times New Roman"/>
          <w:sz w:val="19"/>
          <w:szCs w:val="19"/>
        </w:rPr>
        <w:t>ith ASC 718. See Note 15 to the Company’s Audited Financial Statements for further discussion of the relevant assumptions used in calculating these amounts.</w:t>
      </w:r>
    </w:p>
    <w:p w:rsidR="00CC2C66" w:rsidRDefault="00CC2C66">
      <w:pPr>
        <w:spacing w:line="117" w:lineRule="exact"/>
        <w:rPr>
          <w:sz w:val="20"/>
          <w:szCs w:val="20"/>
        </w:rPr>
      </w:pPr>
    </w:p>
    <w:p w:rsidR="00CC2C66" w:rsidRDefault="00F80B74">
      <w:pPr>
        <w:numPr>
          <w:ilvl w:val="0"/>
          <w:numId w:val="100"/>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04320"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1" w:name="page61"/>
      <w:bookmarkEnd w:id="61"/>
      <w:r>
        <w:rPr>
          <w:rFonts w:eastAsia="Times New Roman"/>
          <w:b/>
          <w:bCs/>
          <w:noProof/>
          <w:color w:val="0000EE"/>
          <w:sz w:val="17"/>
          <w:szCs w:val="17"/>
          <w:u w:val="single"/>
        </w:rPr>
        <w:drawing>
          <wp:anchor distT="0" distB="0" distL="114300" distR="114300" simplePos="0" relativeHeight="25170534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06368"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520"/>
        <w:rPr>
          <w:sz w:val="20"/>
          <w:szCs w:val="20"/>
        </w:rPr>
      </w:pPr>
      <w:r>
        <w:rPr>
          <w:rFonts w:ascii="Arial" w:eastAsia="Arial" w:hAnsi="Arial" w:cs="Arial"/>
          <w:b/>
          <w:bCs/>
          <w:color w:val="FFFFFF"/>
          <w:sz w:val="15"/>
          <w:szCs w:val="15"/>
        </w:rPr>
        <w:t>EXECUTIVE COMPENSATION</w:t>
      </w:r>
    </w:p>
    <w:p w:rsidR="00CC2C66" w:rsidRDefault="00CC2C66">
      <w:pPr>
        <w:spacing w:line="191" w:lineRule="exact"/>
        <w:rPr>
          <w:sz w:val="20"/>
          <w:szCs w:val="20"/>
        </w:rPr>
      </w:pPr>
    </w:p>
    <w:p w:rsidR="00CC2C66" w:rsidRDefault="00F80B74">
      <w:pPr>
        <w:numPr>
          <w:ilvl w:val="0"/>
          <w:numId w:val="101"/>
        </w:numPr>
        <w:tabs>
          <w:tab w:val="left" w:pos="1020"/>
        </w:tabs>
        <w:spacing w:line="265" w:lineRule="auto"/>
        <w:ind w:left="1020" w:hanging="609"/>
        <w:rPr>
          <w:rFonts w:eastAsia="Times New Roman"/>
          <w:color w:val="CF0A2C"/>
          <w:sz w:val="19"/>
          <w:szCs w:val="19"/>
        </w:rPr>
      </w:pPr>
      <w:r>
        <w:rPr>
          <w:rFonts w:eastAsia="Times New Roman"/>
          <w:sz w:val="19"/>
          <w:szCs w:val="19"/>
        </w:rPr>
        <w:t>Amounts in this column reflect the annual incentive awards earned for the applicable fiscal year performance periods under the annual bonus program, which is described further in our CD&amp;A under the heading “Annual Performance-Based Cash Bonuses.”</w:t>
      </w:r>
    </w:p>
    <w:p w:rsidR="00CC2C66" w:rsidRDefault="00CC2C66">
      <w:pPr>
        <w:spacing w:line="233" w:lineRule="exact"/>
        <w:rPr>
          <w:rFonts w:eastAsia="Times New Roman"/>
          <w:color w:val="CF0A2C"/>
          <w:sz w:val="19"/>
          <w:szCs w:val="19"/>
        </w:rPr>
      </w:pPr>
    </w:p>
    <w:p w:rsidR="00CC2C66" w:rsidRDefault="00F80B74">
      <w:pPr>
        <w:numPr>
          <w:ilvl w:val="0"/>
          <w:numId w:val="101"/>
        </w:numPr>
        <w:tabs>
          <w:tab w:val="left" w:pos="1020"/>
        </w:tabs>
        <w:spacing w:line="265" w:lineRule="auto"/>
        <w:ind w:left="1020" w:right="20" w:hanging="609"/>
        <w:rPr>
          <w:rFonts w:eastAsia="Times New Roman"/>
          <w:color w:val="CF0A2C"/>
          <w:sz w:val="19"/>
          <w:szCs w:val="19"/>
        </w:rPr>
      </w:pPr>
      <w:r>
        <w:rPr>
          <w:rFonts w:eastAsia="Times New Roman"/>
          <w:sz w:val="19"/>
          <w:szCs w:val="19"/>
        </w:rPr>
        <w:t>The amou</w:t>
      </w:r>
      <w:r>
        <w:rPr>
          <w:rFonts w:eastAsia="Times New Roman"/>
          <w:sz w:val="19"/>
          <w:szCs w:val="19"/>
        </w:rPr>
        <w:t>nts in this column for 2021 are detailed in the 2021 All Other Compensation Table and footnotes to that table, which follow.</w:t>
      </w:r>
    </w:p>
    <w:p w:rsidR="00CC2C66" w:rsidRDefault="00CC2C66">
      <w:pPr>
        <w:spacing w:line="233" w:lineRule="exact"/>
        <w:rPr>
          <w:rFonts w:eastAsia="Times New Roman"/>
          <w:color w:val="CF0A2C"/>
          <w:sz w:val="19"/>
          <w:szCs w:val="19"/>
        </w:rPr>
      </w:pPr>
    </w:p>
    <w:p w:rsidR="00CC2C66" w:rsidRDefault="00F80B74">
      <w:pPr>
        <w:numPr>
          <w:ilvl w:val="0"/>
          <w:numId w:val="101"/>
        </w:numPr>
        <w:tabs>
          <w:tab w:val="left" w:pos="1020"/>
        </w:tabs>
        <w:spacing w:line="247" w:lineRule="auto"/>
        <w:ind w:left="1020" w:hanging="609"/>
        <w:jc w:val="both"/>
        <w:rPr>
          <w:rFonts w:eastAsia="Times New Roman"/>
          <w:color w:val="CF0A2C"/>
          <w:sz w:val="19"/>
          <w:szCs w:val="19"/>
        </w:rPr>
      </w:pPr>
      <w:r>
        <w:rPr>
          <w:rFonts w:eastAsia="Times New Roman"/>
          <w:sz w:val="19"/>
          <w:szCs w:val="19"/>
        </w:rPr>
        <w:t>Certain compensation included in the All Other Compensation column was denominated in Chinese Renminbi. Messrs. Tan and Yuen’s sal</w:t>
      </w:r>
      <w:r>
        <w:rPr>
          <w:rFonts w:eastAsia="Times New Roman"/>
          <w:sz w:val="19"/>
          <w:szCs w:val="19"/>
        </w:rPr>
        <w:t>aries and 2021 annual incentive and bonus awards were denominated in Hong Kong dollars. Compensation paid in Chinese Renminbi or Hong Kong dollars was converted to U.S. dollars using an exchange rate of 6.4489 and 7.7725, respectively, for disclosure purpo</w:t>
      </w:r>
      <w:r>
        <w:rPr>
          <w:rFonts w:eastAsia="Times New Roman"/>
          <w:sz w:val="19"/>
          <w:szCs w:val="19"/>
        </w:rPr>
        <w:t>ses.</w:t>
      </w:r>
    </w:p>
    <w:p w:rsidR="00CC2C66" w:rsidRDefault="00CC2C66">
      <w:pPr>
        <w:spacing w:line="250" w:lineRule="exact"/>
        <w:rPr>
          <w:rFonts w:eastAsia="Times New Roman"/>
          <w:color w:val="CF0A2C"/>
          <w:sz w:val="19"/>
          <w:szCs w:val="19"/>
        </w:rPr>
      </w:pPr>
    </w:p>
    <w:p w:rsidR="00CC2C66" w:rsidRDefault="00F80B74">
      <w:pPr>
        <w:numPr>
          <w:ilvl w:val="0"/>
          <w:numId w:val="101"/>
        </w:numPr>
        <w:tabs>
          <w:tab w:val="left" w:pos="1020"/>
        </w:tabs>
        <w:spacing w:line="241" w:lineRule="auto"/>
        <w:ind w:left="1020" w:hanging="609"/>
        <w:jc w:val="both"/>
        <w:rPr>
          <w:rFonts w:eastAsia="Times New Roman"/>
          <w:color w:val="CF0A2C"/>
          <w:sz w:val="19"/>
          <w:szCs w:val="19"/>
        </w:rPr>
      </w:pPr>
      <w:r>
        <w:rPr>
          <w:rFonts w:eastAsia="Times New Roman"/>
          <w:sz w:val="19"/>
          <w:szCs w:val="19"/>
        </w:rPr>
        <w:t>The amounts in this column are calculated by subtracting the legacy tax reimbursements reflected in the 2021 All Other Compensation Table below from the “Total” column. As noted in the CD&amp;A, prior to our spin-off from YUM, certain of our NEOs were of</w:t>
      </w:r>
      <w:r>
        <w:rPr>
          <w:rFonts w:eastAsia="Times New Roman"/>
          <w:sz w:val="19"/>
          <w:szCs w:val="19"/>
        </w:rPr>
        <w:t>fered tax equalization benefits as an element of their compensation. These tax equalization benefits represent a legacy compensation arrangement entered into while we were a subsidiary of our former parent. After the spin-off, the Compensation Committee be</w:t>
      </w:r>
      <w:r>
        <w:rPr>
          <w:rFonts w:eastAsia="Times New Roman"/>
          <w:sz w:val="19"/>
          <w:szCs w:val="19"/>
        </w:rPr>
        <w:t>gan to phase out tax equalization benefits with respect to the continuing NEOs (other than certain grandfathered benefits pursuant to the legacy arrangements from YUM). We are providing this supplemental Total as we believe it better reflects the compensat</w:t>
      </w:r>
      <w:r>
        <w:rPr>
          <w:rFonts w:eastAsia="Times New Roman"/>
          <w:sz w:val="19"/>
          <w:szCs w:val="19"/>
        </w:rPr>
        <w:t>ion decisions made by the Compensation Committee because the compensation received pursuant to the grandfathered tax reimbursements represent legacy contractual agreements entered into prior to the spin-off. The amounts reported in this column differ from,</w:t>
      </w:r>
      <w:r>
        <w:rPr>
          <w:rFonts w:eastAsia="Times New Roman"/>
          <w:sz w:val="19"/>
          <w:szCs w:val="19"/>
        </w:rPr>
        <w:t xml:space="preserve"> and are not a substitute for, the amounts reported in the “Total” column, as calculated pursuant to the Summary Compensation Table rules.</w:t>
      </w:r>
    </w:p>
    <w:p w:rsidR="00CC2C66" w:rsidRDefault="00CC2C66">
      <w:pPr>
        <w:spacing w:line="130"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55</w:t>
      </w:r>
    </w:p>
    <w:p w:rsidR="00CC2C66" w:rsidRDefault="00F80B74">
      <w:pPr>
        <w:spacing w:line="20" w:lineRule="exact"/>
        <w:rPr>
          <w:sz w:val="20"/>
          <w:szCs w:val="20"/>
        </w:rPr>
      </w:pPr>
      <w:r>
        <w:rPr>
          <w:noProof/>
          <w:sz w:val="20"/>
          <w:szCs w:val="20"/>
        </w:rPr>
        <w:drawing>
          <wp:anchor distT="0" distB="0" distL="114300" distR="114300" simplePos="0" relativeHeight="251707392"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2" w:name="page62"/>
      <w:bookmarkEnd w:id="62"/>
      <w:r>
        <w:rPr>
          <w:rFonts w:eastAsia="Times New Roman"/>
          <w:b/>
          <w:bCs/>
          <w:noProof/>
          <w:color w:val="0000EE"/>
          <w:sz w:val="17"/>
          <w:szCs w:val="17"/>
          <w:u w:val="single"/>
        </w:rPr>
        <w:drawing>
          <wp:anchor distT="0" distB="0" distL="114300" distR="114300" simplePos="0" relativeHeight="25170841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09440"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 xml:space="preserve">2021 ALL OTHER </w:t>
      </w:r>
      <w:r>
        <w:rPr>
          <w:rFonts w:ascii="Arial" w:eastAsia="Arial" w:hAnsi="Arial" w:cs="Arial"/>
          <w:b/>
          <w:bCs/>
          <w:color w:val="CF0A2C"/>
          <w:sz w:val="31"/>
          <w:szCs w:val="31"/>
        </w:rPr>
        <w:t>COMPENSATION TABLE</w:t>
      </w:r>
    </w:p>
    <w:p w:rsidR="00CC2C66" w:rsidRDefault="00F80B74">
      <w:pPr>
        <w:spacing w:line="20" w:lineRule="exact"/>
        <w:rPr>
          <w:sz w:val="20"/>
          <w:szCs w:val="20"/>
        </w:rPr>
      </w:pPr>
      <w:r>
        <w:rPr>
          <w:noProof/>
          <w:sz w:val="20"/>
          <w:szCs w:val="20"/>
        </w:rPr>
        <w:drawing>
          <wp:anchor distT="0" distB="0" distL="114300" distR="114300" simplePos="0" relativeHeight="251710464"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87" w:lineRule="exact"/>
        <w:rPr>
          <w:sz w:val="20"/>
          <w:szCs w:val="20"/>
        </w:rPr>
      </w:pPr>
    </w:p>
    <w:p w:rsidR="00CC2C66" w:rsidRDefault="00F80B74">
      <w:pPr>
        <w:spacing w:line="252" w:lineRule="auto"/>
        <w:ind w:left="420"/>
        <w:jc w:val="both"/>
        <w:rPr>
          <w:sz w:val="20"/>
          <w:szCs w:val="20"/>
        </w:rPr>
      </w:pPr>
      <w:r>
        <w:rPr>
          <w:rFonts w:eastAsia="Times New Roman"/>
          <w:sz w:val="19"/>
          <w:szCs w:val="19"/>
        </w:rPr>
        <w:t>The following table and footnotes summarize the compensation and benefits included under the “All Other Compensation” column in the 2021 Summary Compensation Table that were awarded to, earned by or paid to the Company’s NEOs for the</w:t>
      </w:r>
      <w:r>
        <w:rPr>
          <w:rFonts w:eastAsia="Times New Roman"/>
          <w:sz w:val="19"/>
          <w:szCs w:val="19"/>
        </w:rPr>
        <w:t xml:space="preserve"> fiscal year ended December 31, 2021.</w:t>
      </w:r>
    </w:p>
    <w:p w:rsidR="00CC2C66" w:rsidRDefault="00CC2C66">
      <w:pPr>
        <w:spacing w:line="194"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360"/>
        <w:gridCol w:w="3020"/>
        <w:gridCol w:w="1660"/>
        <w:gridCol w:w="1480"/>
        <w:gridCol w:w="920"/>
        <w:gridCol w:w="980"/>
      </w:tblGrid>
      <w:tr w:rsidR="00CC2C66">
        <w:trPr>
          <w:trHeight w:val="157"/>
        </w:trPr>
        <w:tc>
          <w:tcPr>
            <w:tcW w:w="2360" w:type="dxa"/>
            <w:tcBorders>
              <w:top w:val="single" w:sz="8" w:space="0" w:color="CF0A2C"/>
            </w:tcBorders>
            <w:shd w:val="clear" w:color="auto" w:fill="FAE6E9"/>
            <w:vAlign w:val="bottom"/>
          </w:tcPr>
          <w:p w:rsidR="00CC2C66" w:rsidRDefault="00CC2C66">
            <w:pPr>
              <w:rPr>
                <w:sz w:val="13"/>
                <w:szCs w:val="13"/>
              </w:rPr>
            </w:pPr>
          </w:p>
        </w:tc>
        <w:tc>
          <w:tcPr>
            <w:tcW w:w="3020" w:type="dxa"/>
            <w:tcBorders>
              <w:top w:val="single" w:sz="8" w:space="0" w:color="CF0A2C"/>
            </w:tcBorders>
            <w:shd w:val="clear" w:color="auto" w:fill="FAE6E9"/>
            <w:vAlign w:val="bottom"/>
          </w:tcPr>
          <w:p w:rsidR="00CC2C66" w:rsidRDefault="00F80B74">
            <w:pPr>
              <w:spacing w:line="157" w:lineRule="exact"/>
              <w:ind w:left="1356"/>
              <w:jc w:val="center"/>
              <w:rPr>
                <w:sz w:val="20"/>
                <w:szCs w:val="20"/>
              </w:rPr>
            </w:pPr>
            <w:r>
              <w:rPr>
                <w:rFonts w:ascii="Arial" w:eastAsia="Arial" w:hAnsi="Arial" w:cs="Arial"/>
                <w:b/>
                <w:bCs/>
                <w:color w:val="CF0A2C"/>
                <w:w w:val="95"/>
                <w:sz w:val="14"/>
                <w:szCs w:val="14"/>
              </w:rPr>
              <w:t>Perquisites and</w:t>
            </w:r>
          </w:p>
        </w:tc>
        <w:tc>
          <w:tcPr>
            <w:tcW w:w="1660" w:type="dxa"/>
            <w:tcBorders>
              <w:top w:val="single" w:sz="8" w:space="0" w:color="CF0A2C"/>
            </w:tcBorders>
            <w:shd w:val="clear" w:color="auto" w:fill="FAE6E9"/>
            <w:vAlign w:val="bottom"/>
          </w:tcPr>
          <w:p w:rsidR="00CC2C66" w:rsidRDefault="00CC2C66">
            <w:pPr>
              <w:rPr>
                <w:sz w:val="13"/>
                <w:szCs w:val="13"/>
              </w:rPr>
            </w:pPr>
          </w:p>
        </w:tc>
        <w:tc>
          <w:tcPr>
            <w:tcW w:w="1480" w:type="dxa"/>
            <w:tcBorders>
              <w:top w:val="single" w:sz="8" w:space="0" w:color="CF0A2C"/>
            </w:tcBorders>
            <w:shd w:val="clear" w:color="auto" w:fill="FAE6E9"/>
            <w:vAlign w:val="bottom"/>
          </w:tcPr>
          <w:p w:rsidR="00CC2C66" w:rsidRDefault="00F80B74">
            <w:pPr>
              <w:spacing w:line="157" w:lineRule="exact"/>
              <w:jc w:val="center"/>
              <w:rPr>
                <w:sz w:val="20"/>
                <w:szCs w:val="20"/>
              </w:rPr>
            </w:pPr>
            <w:r>
              <w:rPr>
                <w:rFonts w:ascii="Arial" w:eastAsia="Arial" w:hAnsi="Arial" w:cs="Arial"/>
                <w:b/>
                <w:bCs/>
                <w:color w:val="CF0A2C"/>
                <w:w w:val="95"/>
                <w:sz w:val="14"/>
                <w:szCs w:val="14"/>
              </w:rPr>
              <w:t>Retirement</w:t>
            </w:r>
          </w:p>
        </w:tc>
        <w:tc>
          <w:tcPr>
            <w:tcW w:w="920" w:type="dxa"/>
            <w:tcBorders>
              <w:top w:val="single" w:sz="8" w:space="0" w:color="CF0A2C"/>
            </w:tcBorders>
            <w:shd w:val="clear" w:color="auto" w:fill="FAE6E9"/>
            <w:vAlign w:val="bottom"/>
          </w:tcPr>
          <w:p w:rsidR="00CC2C66" w:rsidRDefault="00CC2C66">
            <w:pPr>
              <w:rPr>
                <w:sz w:val="13"/>
                <w:szCs w:val="13"/>
              </w:rPr>
            </w:pPr>
          </w:p>
        </w:tc>
        <w:tc>
          <w:tcPr>
            <w:tcW w:w="980" w:type="dxa"/>
            <w:tcBorders>
              <w:top w:val="single" w:sz="8" w:space="0" w:color="CF0A2C"/>
            </w:tcBorders>
            <w:shd w:val="clear" w:color="auto" w:fill="FAE6E9"/>
            <w:vAlign w:val="bottom"/>
          </w:tcPr>
          <w:p w:rsidR="00CC2C66" w:rsidRDefault="00CC2C66">
            <w:pPr>
              <w:rPr>
                <w:sz w:val="13"/>
                <w:szCs w:val="13"/>
              </w:rPr>
            </w:pPr>
          </w:p>
        </w:tc>
      </w:tr>
      <w:tr w:rsidR="00CC2C66">
        <w:trPr>
          <w:trHeight w:val="153"/>
        </w:trPr>
        <w:tc>
          <w:tcPr>
            <w:tcW w:w="2360" w:type="dxa"/>
            <w:shd w:val="clear" w:color="auto" w:fill="FAE6E9"/>
            <w:vAlign w:val="bottom"/>
          </w:tcPr>
          <w:p w:rsidR="00CC2C66" w:rsidRDefault="00CC2C66">
            <w:pPr>
              <w:rPr>
                <w:sz w:val="13"/>
                <w:szCs w:val="13"/>
              </w:rPr>
            </w:pPr>
          </w:p>
        </w:tc>
        <w:tc>
          <w:tcPr>
            <w:tcW w:w="3020" w:type="dxa"/>
            <w:shd w:val="clear" w:color="auto" w:fill="FAE6E9"/>
            <w:vAlign w:val="bottom"/>
          </w:tcPr>
          <w:p w:rsidR="00CC2C66" w:rsidRDefault="00F80B74">
            <w:pPr>
              <w:spacing w:line="153" w:lineRule="exact"/>
              <w:ind w:left="1336"/>
              <w:jc w:val="center"/>
              <w:rPr>
                <w:sz w:val="20"/>
                <w:szCs w:val="20"/>
              </w:rPr>
            </w:pPr>
            <w:r>
              <w:rPr>
                <w:rFonts w:ascii="Arial" w:eastAsia="Arial" w:hAnsi="Arial" w:cs="Arial"/>
                <w:b/>
                <w:bCs/>
                <w:color w:val="CF0A2C"/>
                <w:w w:val="97"/>
                <w:sz w:val="14"/>
                <w:szCs w:val="14"/>
              </w:rPr>
              <w:t>Other Personal</w:t>
            </w:r>
          </w:p>
        </w:tc>
        <w:tc>
          <w:tcPr>
            <w:tcW w:w="166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0"/>
                <w:sz w:val="14"/>
                <w:szCs w:val="14"/>
              </w:rPr>
              <w:t>Tax</w:t>
            </w:r>
          </w:p>
        </w:tc>
        <w:tc>
          <w:tcPr>
            <w:tcW w:w="14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Scheme</w:t>
            </w:r>
          </w:p>
        </w:tc>
        <w:tc>
          <w:tcPr>
            <w:tcW w:w="920" w:type="dxa"/>
            <w:shd w:val="clear" w:color="auto" w:fill="FAE6E9"/>
            <w:vAlign w:val="bottom"/>
          </w:tcPr>
          <w:p w:rsidR="00CC2C66" w:rsidRDefault="00CC2C66">
            <w:pPr>
              <w:rPr>
                <w:sz w:val="13"/>
                <w:szCs w:val="13"/>
              </w:rPr>
            </w:pPr>
          </w:p>
        </w:tc>
        <w:tc>
          <w:tcPr>
            <w:tcW w:w="980" w:type="dxa"/>
            <w:shd w:val="clear" w:color="auto" w:fill="FAE6E9"/>
            <w:vAlign w:val="bottom"/>
          </w:tcPr>
          <w:p w:rsidR="00CC2C66" w:rsidRDefault="00CC2C66">
            <w:pPr>
              <w:rPr>
                <w:sz w:val="13"/>
                <w:szCs w:val="13"/>
              </w:rPr>
            </w:pPr>
          </w:p>
        </w:tc>
      </w:tr>
      <w:tr w:rsidR="00CC2C66">
        <w:trPr>
          <w:trHeight w:val="150"/>
        </w:trPr>
        <w:tc>
          <w:tcPr>
            <w:tcW w:w="2360" w:type="dxa"/>
            <w:shd w:val="clear" w:color="auto" w:fill="FAE6E9"/>
            <w:vAlign w:val="bottom"/>
          </w:tcPr>
          <w:p w:rsidR="00CC2C66" w:rsidRDefault="00CC2C66">
            <w:pPr>
              <w:rPr>
                <w:sz w:val="13"/>
                <w:szCs w:val="13"/>
              </w:rPr>
            </w:pPr>
          </w:p>
        </w:tc>
        <w:tc>
          <w:tcPr>
            <w:tcW w:w="3020" w:type="dxa"/>
            <w:shd w:val="clear" w:color="auto" w:fill="FAE6E9"/>
            <w:vAlign w:val="bottom"/>
          </w:tcPr>
          <w:p w:rsidR="00CC2C66" w:rsidRDefault="00F80B74">
            <w:pPr>
              <w:spacing w:line="150" w:lineRule="exact"/>
              <w:ind w:left="1336"/>
              <w:jc w:val="center"/>
              <w:rPr>
                <w:sz w:val="20"/>
                <w:szCs w:val="20"/>
              </w:rPr>
            </w:pPr>
            <w:r>
              <w:rPr>
                <w:rFonts w:ascii="Arial" w:eastAsia="Arial" w:hAnsi="Arial" w:cs="Arial"/>
                <w:b/>
                <w:bCs/>
                <w:color w:val="CF0A2C"/>
                <w:w w:val="97"/>
                <w:sz w:val="14"/>
                <w:szCs w:val="14"/>
              </w:rPr>
              <w:t>Benefits</w:t>
            </w:r>
          </w:p>
        </w:tc>
        <w:tc>
          <w:tcPr>
            <w:tcW w:w="166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6"/>
                <w:sz w:val="14"/>
                <w:szCs w:val="14"/>
              </w:rPr>
              <w:t>Reimbursements</w:t>
            </w:r>
          </w:p>
        </w:tc>
        <w:tc>
          <w:tcPr>
            <w:tcW w:w="148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8"/>
                <w:sz w:val="14"/>
                <w:szCs w:val="14"/>
              </w:rPr>
              <w:t>Contributions</w:t>
            </w:r>
          </w:p>
        </w:tc>
        <w:tc>
          <w:tcPr>
            <w:tcW w:w="920" w:type="dxa"/>
            <w:shd w:val="clear" w:color="auto" w:fill="FAE6E9"/>
            <w:vAlign w:val="bottom"/>
          </w:tcPr>
          <w:p w:rsidR="00CC2C66" w:rsidRDefault="00F80B74">
            <w:pPr>
              <w:spacing w:line="150" w:lineRule="exact"/>
              <w:ind w:left="300"/>
              <w:rPr>
                <w:sz w:val="20"/>
                <w:szCs w:val="20"/>
              </w:rPr>
            </w:pPr>
            <w:r>
              <w:rPr>
                <w:rFonts w:ascii="Arial" w:eastAsia="Arial" w:hAnsi="Arial" w:cs="Arial"/>
                <w:b/>
                <w:bCs/>
                <w:color w:val="CF0A2C"/>
                <w:sz w:val="14"/>
                <w:szCs w:val="14"/>
              </w:rPr>
              <w:t>Other</w:t>
            </w:r>
          </w:p>
        </w:tc>
        <w:tc>
          <w:tcPr>
            <w:tcW w:w="98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89"/>
                <w:sz w:val="14"/>
                <w:szCs w:val="14"/>
              </w:rPr>
              <w:t>Total</w:t>
            </w:r>
          </w:p>
        </w:tc>
      </w:tr>
      <w:tr w:rsidR="00CC2C66">
        <w:trPr>
          <w:trHeight w:val="179"/>
        </w:trPr>
        <w:tc>
          <w:tcPr>
            <w:tcW w:w="2360" w:type="dxa"/>
            <w:tcBorders>
              <w:bottom w:val="single" w:sz="8" w:space="0" w:color="CF0A2C"/>
            </w:tcBorders>
            <w:shd w:val="clear" w:color="auto" w:fill="FAE6E9"/>
            <w:vAlign w:val="bottom"/>
          </w:tcPr>
          <w:p w:rsidR="00CC2C66" w:rsidRDefault="00F80B74">
            <w:pPr>
              <w:ind w:left="40"/>
              <w:rPr>
                <w:sz w:val="20"/>
                <w:szCs w:val="20"/>
              </w:rPr>
            </w:pPr>
            <w:r>
              <w:rPr>
                <w:rFonts w:ascii="Arial" w:eastAsia="Arial" w:hAnsi="Arial" w:cs="Arial"/>
                <w:b/>
                <w:bCs/>
                <w:color w:val="CF0A2C"/>
                <w:sz w:val="14"/>
                <w:szCs w:val="14"/>
              </w:rPr>
              <w:t>Name</w:t>
            </w:r>
          </w:p>
        </w:tc>
        <w:tc>
          <w:tcPr>
            <w:tcW w:w="3020" w:type="dxa"/>
            <w:tcBorders>
              <w:bottom w:val="single" w:sz="8" w:space="0" w:color="CF0A2C"/>
            </w:tcBorders>
            <w:shd w:val="clear" w:color="auto" w:fill="FAE6E9"/>
            <w:vAlign w:val="bottom"/>
          </w:tcPr>
          <w:p w:rsidR="00CC2C66" w:rsidRDefault="00F80B74">
            <w:pPr>
              <w:spacing w:line="179" w:lineRule="exact"/>
              <w:ind w:left="1356"/>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(1)</w:t>
            </w:r>
          </w:p>
        </w:tc>
        <w:tc>
          <w:tcPr>
            <w:tcW w:w="166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(2)</w:t>
            </w:r>
          </w:p>
        </w:tc>
        <w:tc>
          <w:tcPr>
            <w:tcW w:w="148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(3)</w:t>
            </w:r>
          </w:p>
        </w:tc>
        <w:tc>
          <w:tcPr>
            <w:tcW w:w="920" w:type="dxa"/>
            <w:tcBorders>
              <w:bottom w:val="single" w:sz="8" w:space="0" w:color="CF0A2C"/>
            </w:tcBorders>
            <w:shd w:val="clear" w:color="auto" w:fill="FAE6E9"/>
            <w:vAlign w:val="bottom"/>
          </w:tcPr>
          <w:p w:rsidR="00CC2C66" w:rsidRDefault="00F80B74">
            <w:pPr>
              <w:spacing w:line="179" w:lineRule="exact"/>
              <w:ind w:left="340"/>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(4)</w:t>
            </w:r>
          </w:p>
        </w:tc>
        <w:tc>
          <w:tcPr>
            <w:tcW w:w="98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sz w:val="14"/>
                <w:szCs w:val="14"/>
              </w:rPr>
              <w:t>($)</w:t>
            </w:r>
          </w:p>
        </w:tc>
      </w:tr>
      <w:tr w:rsidR="00CC2C66">
        <w:trPr>
          <w:trHeight w:val="162"/>
        </w:trPr>
        <w:tc>
          <w:tcPr>
            <w:tcW w:w="2360" w:type="dxa"/>
            <w:vAlign w:val="bottom"/>
          </w:tcPr>
          <w:p w:rsidR="00CC2C66" w:rsidRDefault="00F80B74">
            <w:pPr>
              <w:ind w:left="40"/>
              <w:rPr>
                <w:sz w:val="20"/>
                <w:szCs w:val="20"/>
              </w:rPr>
            </w:pPr>
            <w:r>
              <w:rPr>
                <w:rFonts w:ascii="Arial" w:eastAsia="Arial" w:hAnsi="Arial" w:cs="Arial"/>
                <w:b/>
                <w:bCs/>
                <w:color w:val="CF0A2C"/>
                <w:sz w:val="14"/>
                <w:szCs w:val="14"/>
              </w:rPr>
              <w:t>(a)</w:t>
            </w:r>
          </w:p>
        </w:tc>
        <w:tc>
          <w:tcPr>
            <w:tcW w:w="3020" w:type="dxa"/>
            <w:vAlign w:val="bottom"/>
          </w:tcPr>
          <w:p w:rsidR="00CC2C66" w:rsidRDefault="00F80B74">
            <w:pPr>
              <w:ind w:left="1356"/>
              <w:jc w:val="center"/>
              <w:rPr>
                <w:sz w:val="20"/>
                <w:szCs w:val="20"/>
              </w:rPr>
            </w:pPr>
            <w:r>
              <w:rPr>
                <w:rFonts w:ascii="Arial" w:eastAsia="Arial" w:hAnsi="Arial" w:cs="Arial"/>
                <w:b/>
                <w:bCs/>
                <w:color w:val="CF0A2C"/>
                <w:w w:val="89"/>
                <w:sz w:val="14"/>
                <w:szCs w:val="14"/>
              </w:rPr>
              <w:t>(b)</w:t>
            </w:r>
          </w:p>
        </w:tc>
        <w:tc>
          <w:tcPr>
            <w:tcW w:w="1660" w:type="dxa"/>
            <w:vAlign w:val="bottom"/>
          </w:tcPr>
          <w:p w:rsidR="00CC2C66" w:rsidRDefault="00F80B74">
            <w:pPr>
              <w:jc w:val="center"/>
              <w:rPr>
                <w:sz w:val="20"/>
                <w:szCs w:val="20"/>
              </w:rPr>
            </w:pPr>
            <w:r>
              <w:rPr>
                <w:rFonts w:ascii="Arial" w:eastAsia="Arial" w:hAnsi="Arial" w:cs="Arial"/>
                <w:b/>
                <w:bCs/>
                <w:color w:val="CF0A2C"/>
                <w:sz w:val="14"/>
                <w:szCs w:val="14"/>
              </w:rPr>
              <w:t>(c)</w:t>
            </w:r>
          </w:p>
        </w:tc>
        <w:tc>
          <w:tcPr>
            <w:tcW w:w="1480" w:type="dxa"/>
            <w:vAlign w:val="bottom"/>
          </w:tcPr>
          <w:p w:rsidR="00CC2C66" w:rsidRDefault="00F80B74">
            <w:pPr>
              <w:jc w:val="center"/>
              <w:rPr>
                <w:sz w:val="20"/>
                <w:szCs w:val="20"/>
              </w:rPr>
            </w:pPr>
            <w:r>
              <w:rPr>
                <w:rFonts w:ascii="Arial" w:eastAsia="Arial" w:hAnsi="Arial" w:cs="Arial"/>
                <w:b/>
                <w:bCs/>
                <w:color w:val="CF0A2C"/>
                <w:sz w:val="14"/>
                <w:szCs w:val="14"/>
              </w:rPr>
              <w:t>(d)</w:t>
            </w:r>
          </w:p>
        </w:tc>
        <w:tc>
          <w:tcPr>
            <w:tcW w:w="920" w:type="dxa"/>
            <w:vAlign w:val="bottom"/>
          </w:tcPr>
          <w:p w:rsidR="00CC2C66" w:rsidRDefault="00F80B74">
            <w:pPr>
              <w:ind w:left="400"/>
              <w:rPr>
                <w:sz w:val="20"/>
                <w:szCs w:val="20"/>
              </w:rPr>
            </w:pPr>
            <w:r>
              <w:rPr>
                <w:rFonts w:ascii="Arial" w:eastAsia="Arial" w:hAnsi="Arial" w:cs="Arial"/>
                <w:b/>
                <w:bCs/>
                <w:color w:val="CF0A2C"/>
                <w:sz w:val="14"/>
                <w:szCs w:val="14"/>
              </w:rPr>
              <w:t>(e)</w:t>
            </w:r>
          </w:p>
        </w:tc>
        <w:tc>
          <w:tcPr>
            <w:tcW w:w="980" w:type="dxa"/>
            <w:vAlign w:val="bottom"/>
          </w:tcPr>
          <w:p w:rsidR="00CC2C66" w:rsidRDefault="00F80B74">
            <w:pPr>
              <w:jc w:val="center"/>
              <w:rPr>
                <w:sz w:val="20"/>
                <w:szCs w:val="20"/>
              </w:rPr>
            </w:pPr>
            <w:r>
              <w:rPr>
                <w:rFonts w:ascii="Arial" w:eastAsia="Arial" w:hAnsi="Arial" w:cs="Arial"/>
                <w:b/>
                <w:bCs/>
                <w:color w:val="CF0A2C"/>
                <w:w w:val="99"/>
                <w:sz w:val="14"/>
                <w:szCs w:val="14"/>
              </w:rPr>
              <w:t>(f)</w:t>
            </w: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Ms. Wat</w:t>
            </w:r>
          </w:p>
        </w:tc>
        <w:tc>
          <w:tcPr>
            <w:tcW w:w="3020" w:type="dxa"/>
            <w:vAlign w:val="bottom"/>
          </w:tcPr>
          <w:p w:rsidR="00CC2C66" w:rsidRDefault="00F80B74">
            <w:pPr>
              <w:ind w:right="236"/>
              <w:jc w:val="right"/>
              <w:rPr>
                <w:sz w:val="20"/>
                <w:szCs w:val="20"/>
              </w:rPr>
            </w:pPr>
            <w:r>
              <w:rPr>
                <w:rFonts w:ascii="Arial" w:eastAsia="Arial" w:hAnsi="Arial" w:cs="Arial"/>
                <w:sz w:val="13"/>
                <w:szCs w:val="13"/>
              </w:rPr>
              <w:t>150,590</w:t>
            </w:r>
          </w:p>
        </w:tc>
        <w:tc>
          <w:tcPr>
            <w:tcW w:w="1660" w:type="dxa"/>
            <w:vAlign w:val="bottom"/>
          </w:tcPr>
          <w:p w:rsidR="00CC2C66" w:rsidRDefault="00F80B74">
            <w:pPr>
              <w:ind w:right="217"/>
              <w:jc w:val="right"/>
              <w:rPr>
                <w:sz w:val="20"/>
                <w:szCs w:val="20"/>
              </w:rPr>
            </w:pPr>
            <w:r>
              <w:rPr>
                <w:rFonts w:ascii="Arial" w:eastAsia="Arial" w:hAnsi="Arial" w:cs="Arial"/>
                <w:sz w:val="13"/>
                <w:szCs w:val="13"/>
              </w:rPr>
              <w:t>2,562,032</w:t>
            </w:r>
          </w:p>
        </w:tc>
        <w:tc>
          <w:tcPr>
            <w:tcW w:w="1480" w:type="dxa"/>
            <w:vAlign w:val="bottom"/>
          </w:tcPr>
          <w:p w:rsidR="00CC2C66" w:rsidRDefault="00F80B74">
            <w:pPr>
              <w:ind w:right="236"/>
              <w:jc w:val="right"/>
              <w:rPr>
                <w:sz w:val="20"/>
                <w:szCs w:val="20"/>
              </w:rPr>
            </w:pPr>
            <w:r>
              <w:rPr>
                <w:rFonts w:ascii="Arial" w:eastAsia="Arial" w:hAnsi="Arial" w:cs="Arial"/>
                <w:sz w:val="13"/>
                <w:szCs w:val="13"/>
              </w:rPr>
              <w:t>134,108</w:t>
            </w:r>
          </w:p>
        </w:tc>
        <w:tc>
          <w:tcPr>
            <w:tcW w:w="920" w:type="dxa"/>
            <w:vAlign w:val="bottom"/>
          </w:tcPr>
          <w:p w:rsidR="00CC2C66" w:rsidRDefault="00F80B74">
            <w:pPr>
              <w:ind w:left="300"/>
              <w:rPr>
                <w:sz w:val="20"/>
                <w:szCs w:val="20"/>
              </w:rPr>
            </w:pPr>
            <w:r>
              <w:rPr>
                <w:rFonts w:ascii="Arial" w:eastAsia="Arial" w:hAnsi="Arial" w:cs="Arial"/>
                <w:sz w:val="13"/>
                <w:szCs w:val="13"/>
              </w:rPr>
              <w:t>56,105</w:t>
            </w:r>
          </w:p>
        </w:tc>
        <w:tc>
          <w:tcPr>
            <w:tcW w:w="980" w:type="dxa"/>
            <w:vAlign w:val="bottom"/>
          </w:tcPr>
          <w:p w:rsidR="00CC2C66" w:rsidRDefault="00F80B74">
            <w:pPr>
              <w:ind w:right="115"/>
              <w:jc w:val="right"/>
              <w:rPr>
                <w:sz w:val="20"/>
                <w:szCs w:val="20"/>
              </w:rPr>
            </w:pPr>
            <w:r>
              <w:rPr>
                <w:rFonts w:ascii="Arial" w:eastAsia="Arial" w:hAnsi="Arial" w:cs="Arial"/>
                <w:sz w:val="13"/>
                <w:szCs w:val="13"/>
              </w:rPr>
              <w:t>2,902,835</w:t>
            </w: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Yeung</w:t>
            </w:r>
          </w:p>
        </w:tc>
        <w:tc>
          <w:tcPr>
            <w:tcW w:w="3020" w:type="dxa"/>
            <w:vAlign w:val="bottom"/>
          </w:tcPr>
          <w:p w:rsidR="00CC2C66" w:rsidRDefault="00F80B74">
            <w:pPr>
              <w:ind w:right="236"/>
              <w:jc w:val="right"/>
              <w:rPr>
                <w:sz w:val="20"/>
                <w:szCs w:val="20"/>
              </w:rPr>
            </w:pPr>
            <w:r>
              <w:rPr>
                <w:rFonts w:ascii="Arial" w:eastAsia="Arial" w:hAnsi="Arial" w:cs="Arial"/>
                <w:sz w:val="13"/>
                <w:szCs w:val="13"/>
              </w:rPr>
              <w:t>62,934</w:t>
            </w:r>
          </w:p>
        </w:tc>
        <w:tc>
          <w:tcPr>
            <w:tcW w:w="1660" w:type="dxa"/>
            <w:vAlign w:val="bottom"/>
          </w:tcPr>
          <w:p w:rsidR="00CC2C66" w:rsidRDefault="00F80B74">
            <w:pPr>
              <w:ind w:right="217"/>
              <w:jc w:val="right"/>
              <w:rPr>
                <w:sz w:val="20"/>
                <w:szCs w:val="20"/>
              </w:rPr>
            </w:pPr>
            <w:r>
              <w:rPr>
                <w:rFonts w:ascii="Arial" w:eastAsia="Arial" w:hAnsi="Arial" w:cs="Arial"/>
                <w:sz w:val="13"/>
                <w:szCs w:val="13"/>
              </w:rPr>
              <w:t>—</w:t>
            </w:r>
          </w:p>
        </w:tc>
        <w:tc>
          <w:tcPr>
            <w:tcW w:w="1480" w:type="dxa"/>
            <w:vAlign w:val="bottom"/>
          </w:tcPr>
          <w:p w:rsidR="00CC2C66" w:rsidRDefault="00F80B74">
            <w:pPr>
              <w:ind w:right="236"/>
              <w:jc w:val="right"/>
              <w:rPr>
                <w:sz w:val="20"/>
                <w:szCs w:val="20"/>
              </w:rPr>
            </w:pPr>
            <w:r>
              <w:rPr>
                <w:rFonts w:ascii="Arial" w:eastAsia="Arial" w:hAnsi="Arial" w:cs="Arial"/>
                <w:sz w:val="13"/>
                <w:szCs w:val="13"/>
              </w:rPr>
              <w:t>39,566</w:t>
            </w:r>
          </w:p>
        </w:tc>
        <w:tc>
          <w:tcPr>
            <w:tcW w:w="920" w:type="dxa"/>
            <w:vAlign w:val="bottom"/>
          </w:tcPr>
          <w:p w:rsidR="00CC2C66" w:rsidRDefault="00F80B74">
            <w:pPr>
              <w:ind w:left="300"/>
              <w:rPr>
                <w:sz w:val="20"/>
                <w:szCs w:val="20"/>
              </w:rPr>
            </w:pPr>
            <w:r>
              <w:rPr>
                <w:rFonts w:ascii="Arial" w:eastAsia="Arial" w:hAnsi="Arial" w:cs="Arial"/>
                <w:sz w:val="13"/>
                <w:szCs w:val="13"/>
              </w:rPr>
              <w:t>33,269</w:t>
            </w:r>
          </w:p>
        </w:tc>
        <w:tc>
          <w:tcPr>
            <w:tcW w:w="980" w:type="dxa"/>
            <w:vAlign w:val="bottom"/>
          </w:tcPr>
          <w:p w:rsidR="00CC2C66" w:rsidRDefault="00F80B74">
            <w:pPr>
              <w:ind w:right="115"/>
              <w:jc w:val="right"/>
              <w:rPr>
                <w:sz w:val="20"/>
                <w:szCs w:val="20"/>
              </w:rPr>
            </w:pPr>
            <w:r>
              <w:rPr>
                <w:rFonts w:ascii="Arial" w:eastAsia="Arial" w:hAnsi="Arial" w:cs="Arial"/>
                <w:sz w:val="13"/>
                <w:szCs w:val="13"/>
              </w:rPr>
              <w:t>135,769</w:t>
            </w: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Chan</w:t>
            </w:r>
          </w:p>
        </w:tc>
        <w:tc>
          <w:tcPr>
            <w:tcW w:w="3020" w:type="dxa"/>
            <w:vAlign w:val="bottom"/>
          </w:tcPr>
          <w:p w:rsidR="00CC2C66" w:rsidRDefault="00F80B74">
            <w:pPr>
              <w:ind w:right="236"/>
              <w:jc w:val="right"/>
              <w:rPr>
                <w:sz w:val="20"/>
                <w:szCs w:val="20"/>
              </w:rPr>
            </w:pPr>
            <w:r>
              <w:rPr>
                <w:rFonts w:ascii="Arial" w:eastAsia="Arial" w:hAnsi="Arial" w:cs="Arial"/>
                <w:sz w:val="13"/>
                <w:szCs w:val="13"/>
              </w:rPr>
              <w:t>99,963</w:t>
            </w:r>
          </w:p>
        </w:tc>
        <w:tc>
          <w:tcPr>
            <w:tcW w:w="1660" w:type="dxa"/>
            <w:vAlign w:val="bottom"/>
          </w:tcPr>
          <w:p w:rsidR="00CC2C66" w:rsidRDefault="00F80B74">
            <w:pPr>
              <w:ind w:right="217"/>
              <w:jc w:val="right"/>
              <w:rPr>
                <w:sz w:val="20"/>
                <w:szCs w:val="20"/>
              </w:rPr>
            </w:pPr>
            <w:r>
              <w:rPr>
                <w:rFonts w:ascii="Arial" w:eastAsia="Arial" w:hAnsi="Arial" w:cs="Arial"/>
                <w:sz w:val="13"/>
                <w:szCs w:val="13"/>
              </w:rPr>
              <w:t>—</w:t>
            </w:r>
          </w:p>
        </w:tc>
        <w:tc>
          <w:tcPr>
            <w:tcW w:w="1480" w:type="dxa"/>
            <w:vAlign w:val="bottom"/>
          </w:tcPr>
          <w:p w:rsidR="00CC2C66" w:rsidRDefault="00F80B74">
            <w:pPr>
              <w:ind w:right="236"/>
              <w:jc w:val="right"/>
              <w:rPr>
                <w:sz w:val="20"/>
                <w:szCs w:val="20"/>
              </w:rPr>
            </w:pPr>
            <w:r>
              <w:rPr>
                <w:rFonts w:ascii="Arial" w:eastAsia="Arial" w:hAnsi="Arial" w:cs="Arial"/>
                <w:sz w:val="13"/>
                <w:szCs w:val="13"/>
              </w:rPr>
              <w:t>29,737</w:t>
            </w:r>
          </w:p>
        </w:tc>
        <w:tc>
          <w:tcPr>
            <w:tcW w:w="920" w:type="dxa"/>
            <w:vAlign w:val="bottom"/>
          </w:tcPr>
          <w:p w:rsidR="00CC2C66" w:rsidRDefault="00F80B74">
            <w:pPr>
              <w:ind w:left="300"/>
              <w:rPr>
                <w:sz w:val="20"/>
                <w:szCs w:val="20"/>
              </w:rPr>
            </w:pPr>
            <w:r>
              <w:rPr>
                <w:rFonts w:ascii="Arial" w:eastAsia="Arial" w:hAnsi="Arial" w:cs="Arial"/>
                <w:sz w:val="13"/>
                <w:szCs w:val="13"/>
              </w:rPr>
              <w:t>47,768</w:t>
            </w:r>
          </w:p>
        </w:tc>
        <w:tc>
          <w:tcPr>
            <w:tcW w:w="980" w:type="dxa"/>
            <w:vAlign w:val="bottom"/>
          </w:tcPr>
          <w:p w:rsidR="00CC2C66" w:rsidRDefault="00F80B74">
            <w:pPr>
              <w:ind w:right="115"/>
              <w:jc w:val="right"/>
              <w:rPr>
                <w:sz w:val="20"/>
                <w:szCs w:val="20"/>
              </w:rPr>
            </w:pPr>
            <w:r>
              <w:rPr>
                <w:rFonts w:ascii="Arial" w:eastAsia="Arial" w:hAnsi="Arial" w:cs="Arial"/>
                <w:sz w:val="13"/>
                <w:szCs w:val="13"/>
              </w:rPr>
              <w:t>177,468</w:t>
            </w: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Huang</w:t>
            </w:r>
          </w:p>
        </w:tc>
        <w:tc>
          <w:tcPr>
            <w:tcW w:w="3020" w:type="dxa"/>
            <w:vAlign w:val="bottom"/>
          </w:tcPr>
          <w:p w:rsidR="00CC2C66" w:rsidRDefault="00F80B74">
            <w:pPr>
              <w:ind w:right="236"/>
              <w:jc w:val="right"/>
              <w:rPr>
                <w:sz w:val="20"/>
                <w:szCs w:val="20"/>
              </w:rPr>
            </w:pPr>
            <w:r>
              <w:rPr>
                <w:rFonts w:ascii="Arial" w:eastAsia="Arial" w:hAnsi="Arial" w:cs="Arial"/>
                <w:sz w:val="13"/>
                <w:szCs w:val="13"/>
              </w:rPr>
              <w:t>112,430</w:t>
            </w:r>
          </w:p>
        </w:tc>
        <w:tc>
          <w:tcPr>
            <w:tcW w:w="1660" w:type="dxa"/>
            <w:vAlign w:val="bottom"/>
          </w:tcPr>
          <w:p w:rsidR="00CC2C66" w:rsidRDefault="00F80B74">
            <w:pPr>
              <w:ind w:right="217"/>
              <w:jc w:val="right"/>
              <w:rPr>
                <w:sz w:val="20"/>
                <w:szCs w:val="20"/>
              </w:rPr>
            </w:pPr>
            <w:r>
              <w:rPr>
                <w:rFonts w:ascii="Arial" w:eastAsia="Arial" w:hAnsi="Arial" w:cs="Arial"/>
                <w:sz w:val="13"/>
                <w:szCs w:val="13"/>
              </w:rPr>
              <w:t>91,664</w:t>
            </w:r>
          </w:p>
        </w:tc>
        <w:tc>
          <w:tcPr>
            <w:tcW w:w="1480" w:type="dxa"/>
            <w:vAlign w:val="bottom"/>
          </w:tcPr>
          <w:p w:rsidR="00CC2C66" w:rsidRDefault="00F80B74">
            <w:pPr>
              <w:ind w:right="236"/>
              <w:jc w:val="right"/>
              <w:rPr>
                <w:sz w:val="20"/>
                <w:szCs w:val="20"/>
              </w:rPr>
            </w:pPr>
            <w:r>
              <w:rPr>
                <w:rFonts w:ascii="Arial" w:eastAsia="Arial" w:hAnsi="Arial" w:cs="Arial"/>
                <w:sz w:val="13"/>
                <w:szCs w:val="13"/>
              </w:rPr>
              <w:t>73,966</w:t>
            </w:r>
          </w:p>
        </w:tc>
        <w:tc>
          <w:tcPr>
            <w:tcW w:w="920" w:type="dxa"/>
            <w:vAlign w:val="bottom"/>
          </w:tcPr>
          <w:p w:rsidR="00CC2C66" w:rsidRDefault="00F80B74">
            <w:pPr>
              <w:ind w:left="300"/>
              <w:rPr>
                <w:sz w:val="20"/>
                <w:szCs w:val="20"/>
              </w:rPr>
            </w:pPr>
            <w:r>
              <w:rPr>
                <w:rFonts w:ascii="Arial" w:eastAsia="Arial" w:hAnsi="Arial" w:cs="Arial"/>
                <w:sz w:val="13"/>
                <w:szCs w:val="13"/>
              </w:rPr>
              <w:t>42,185</w:t>
            </w:r>
          </w:p>
        </w:tc>
        <w:tc>
          <w:tcPr>
            <w:tcW w:w="980" w:type="dxa"/>
            <w:vAlign w:val="bottom"/>
          </w:tcPr>
          <w:p w:rsidR="00CC2C66" w:rsidRDefault="00F80B74">
            <w:pPr>
              <w:ind w:right="115"/>
              <w:jc w:val="right"/>
              <w:rPr>
                <w:sz w:val="20"/>
                <w:szCs w:val="20"/>
              </w:rPr>
            </w:pPr>
            <w:r>
              <w:rPr>
                <w:rFonts w:ascii="Arial" w:eastAsia="Arial" w:hAnsi="Arial" w:cs="Arial"/>
                <w:sz w:val="13"/>
                <w:szCs w:val="13"/>
              </w:rPr>
              <w:t>320,245</w:t>
            </w: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Yuen</w:t>
            </w:r>
          </w:p>
        </w:tc>
        <w:tc>
          <w:tcPr>
            <w:tcW w:w="3020" w:type="dxa"/>
            <w:vAlign w:val="bottom"/>
          </w:tcPr>
          <w:p w:rsidR="00CC2C66" w:rsidRDefault="00F80B74">
            <w:pPr>
              <w:ind w:right="236"/>
              <w:jc w:val="right"/>
              <w:rPr>
                <w:sz w:val="20"/>
                <w:szCs w:val="20"/>
              </w:rPr>
            </w:pPr>
            <w:r>
              <w:rPr>
                <w:rFonts w:ascii="Arial" w:eastAsia="Arial" w:hAnsi="Arial" w:cs="Arial"/>
                <w:sz w:val="13"/>
                <w:szCs w:val="13"/>
              </w:rPr>
              <w:t>113,224</w:t>
            </w:r>
          </w:p>
        </w:tc>
        <w:tc>
          <w:tcPr>
            <w:tcW w:w="1660" w:type="dxa"/>
            <w:vAlign w:val="bottom"/>
          </w:tcPr>
          <w:p w:rsidR="00CC2C66" w:rsidRDefault="00F80B74">
            <w:pPr>
              <w:ind w:right="217"/>
              <w:jc w:val="right"/>
              <w:rPr>
                <w:sz w:val="20"/>
                <w:szCs w:val="20"/>
              </w:rPr>
            </w:pPr>
            <w:r>
              <w:rPr>
                <w:rFonts w:ascii="Arial" w:eastAsia="Arial" w:hAnsi="Arial" w:cs="Arial"/>
                <w:sz w:val="13"/>
                <w:szCs w:val="13"/>
              </w:rPr>
              <w:t>396,366</w:t>
            </w:r>
          </w:p>
        </w:tc>
        <w:tc>
          <w:tcPr>
            <w:tcW w:w="1480" w:type="dxa"/>
            <w:vAlign w:val="bottom"/>
          </w:tcPr>
          <w:p w:rsidR="00CC2C66" w:rsidRDefault="00F80B74">
            <w:pPr>
              <w:ind w:right="236"/>
              <w:jc w:val="right"/>
              <w:rPr>
                <w:sz w:val="20"/>
                <w:szCs w:val="20"/>
              </w:rPr>
            </w:pPr>
            <w:r>
              <w:rPr>
                <w:rFonts w:ascii="Arial" w:eastAsia="Arial" w:hAnsi="Arial" w:cs="Arial"/>
                <w:sz w:val="13"/>
                <w:szCs w:val="13"/>
              </w:rPr>
              <w:t>59,524</w:t>
            </w:r>
          </w:p>
        </w:tc>
        <w:tc>
          <w:tcPr>
            <w:tcW w:w="920" w:type="dxa"/>
            <w:vAlign w:val="bottom"/>
          </w:tcPr>
          <w:p w:rsidR="00CC2C66" w:rsidRDefault="00F80B74">
            <w:pPr>
              <w:ind w:left="300"/>
              <w:rPr>
                <w:sz w:val="20"/>
                <w:szCs w:val="20"/>
              </w:rPr>
            </w:pPr>
            <w:r>
              <w:rPr>
                <w:rFonts w:ascii="Arial" w:eastAsia="Arial" w:hAnsi="Arial" w:cs="Arial"/>
                <w:sz w:val="13"/>
                <w:szCs w:val="13"/>
              </w:rPr>
              <w:t>26,954</w:t>
            </w:r>
          </w:p>
        </w:tc>
        <w:tc>
          <w:tcPr>
            <w:tcW w:w="980" w:type="dxa"/>
            <w:vAlign w:val="bottom"/>
          </w:tcPr>
          <w:p w:rsidR="00CC2C66" w:rsidRDefault="00F80B74">
            <w:pPr>
              <w:ind w:right="115"/>
              <w:jc w:val="right"/>
              <w:rPr>
                <w:sz w:val="20"/>
                <w:szCs w:val="20"/>
              </w:rPr>
            </w:pPr>
            <w:r>
              <w:rPr>
                <w:rFonts w:ascii="Arial" w:eastAsia="Arial" w:hAnsi="Arial" w:cs="Arial"/>
                <w:sz w:val="13"/>
                <w:szCs w:val="13"/>
              </w:rPr>
              <w:t>596,068</w:t>
            </w:r>
          </w:p>
        </w:tc>
      </w:tr>
      <w:tr w:rsidR="00CC2C66">
        <w:trPr>
          <w:trHeight w:val="163"/>
        </w:trPr>
        <w:tc>
          <w:tcPr>
            <w:tcW w:w="2360" w:type="dxa"/>
            <w:tcBorders>
              <w:bottom w:val="single" w:sz="8" w:space="0" w:color="CF0A2C"/>
            </w:tcBorders>
            <w:vAlign w:val="bottom"/>
          </w:tcPr>
          <w:p w:rsidR="00CC2C66" w:rsidRDefault="00F80B74">
            <w:pPr>
              <w:rPr>
                <w:sz w:val="20"/>
                <w:szCs w:val="20"/>
              </w:rPr>
            </w:pPr>
            <w:r>
              <w:rPr>
                <w:rFonts w:ascii="Arial" w:eastAsia="Arial" w:hAnsi="Arial" w:cs="Arial"/>
                <w:b/>
                <w:bCs/>
                <w:color w:val="CF0A2C"/>
                <w:sz w:val="14"/>
                <w:szCs w:val="14"/>
              </w:rPr>
              <w:t>Mr. Tan</w:t>
            </w:r>
          </w:p>
        </w:tc>
        <w:tc>
          <w:tcPr>
            <w:tcW w:w="3020" w:type="dxa"/>
            <w:tcBorders>
              <w:bottom w:val="single" w:sz="8" w:space="0" w:color="CF0A2C"/>
            </w:tcBorders>
            <w:vAlign w:val="bottom"/>
          </w:tcPr>
          <w:p w:rsidR="00CC2C66" w:rsidRDefault="00F80B74">
            <w:pPr>
              <w:ind w:right="236"/>
              <w:jc w:val="right"/>
              <w:rPr>
                <w:sz w:val="20"/>
                <w:szCs w:val="20"/>
              </w:rPr>
            </w:pPr>
            <w:r>
              <w:rPr>
                <w:rFonts w:ascii="Arial" w:eastAsia="Arial" w:hAnsi="Arial" w:cs="Arial"/>
                <w:sz w:val="13"/>
                <w:szCs w:val="13"/>
              </w:rPr>
              <w:t>176,881</w:t>
            </w:r>
          </w:p>
        </w:tc>
        <w:tc>
          <w:tcPr>
            <w:tcW w:w="1660" w:type="dxa"/>
            <w:tcBorders>
              <w:bottom w:val="single" w:sz="8" w:space="0" w:color="CF0A2C"/>
            </w:tcBorders>
            <w:vAlign w:val="bottom"/>
          </w:tcPr>
          <w:p w:rsidR="00CC2C66" w:rsidRDefault="00F80B74">
            <w:pPr>
              <w:ind w:right="217"/>
              <w:jc w:val="right"/>
              <w:rPr>
                <w:sz w:val="20"/>
                <w:szCs w:val="20"/>
              </w:rPr>
            </w:pPr>
            <w:r>
              <w:rPr>
                <w:rFonts w:ascii="Arial" w:eastAsia="Arial" w:hAnsi="Arial" w:cs="Arial"/>
                <w:sz w:val="13"/>
                <w:szCs w:val="13"/>
              </w:rPr>
              <w:t>1,254,888</w:t>
            </w:r>
          </w:p>
        </w:tc>
        <w:tc>
          <w:tcPr>
            <w:tcW w:w="1480" w:type="dxa"/>
            <w:tcBorders>
              <w:bottom w:val="single" w:sz="8" w:space="0" w:color="CF0A2C"/>
            </w:tcBorders>
            <w:vAlign w:val="bottom"/>
          </w:tcPr>
          <w:p w:rsidR="00CC2C66" w:rsidRDefault="00F80B74">
            <w:pPr>
              <w:ind w:right="236"/>
              <w:jc w:val="right"/>
              <w:rPr>
                <w:sz w:val="20"/>
                <w:szCs w:val="20"/>
              </w:rPr>
            </w:pPr>
            <w:r>
              <w:rPr>
                <w:rFonts w:ascii="Arial" w:eastAsia="Arial" w:hAnsi="Arial" w:cs="Arial"/>
                <w:sz w:val="13"/>
                <w:szCs w:val="13"/>
              </w:rPr>
              <w:t>69,583</w:t>
            </w:r>
          </w:p>
        </w:tc>
        <w:tc>
          <w:tcPr>
            <w:tcW w:w="920" w:type="dxa"/>
            <w:tcBorders>
              <w:bottom w:val="single" w:sz="8" w:space="0" w:color="CF0A2C"/>
            </w:tcBorders>
            <w:vAlign w:val="bottom"/>
          </w:tcPr>
          <w:p w:rsidR="00CC2C66" w:rsidRDefault="00F80B74">
            <w:pPr>
              <w:ind w:left="300"/>
              <w:rPr>
                <w:sz w:val="20"/>
                <w:szCs w:val="20"/>
              </w:rPr>
            </w:pPr>
            <w:r>
              <w:rPr>
                <w:rFonts w:ascii="Arial" w:eastAsia="Arial" w:hAnsi="Arial" w:cs="Arial"/>
                <w:sz w:val="13"/>
                <w:szCs w:val="13"/>
              </w:rPr>
              <w:t>41,012</w:t>
            </w:r>
          </w:p>
        </w:tc>
        <w:tc>
          <w:tcPr>
            <w:tcW w:w="980" w:type="dxa"/>
            <w:tcBorders>
              <w:bottom w:val="single" w:sz="8" w:space="0" w:color="CF0A2C"/>
            </w:tcBorders>
            <w:vAlign w:val="bottom"/>
          </w:tcPr>
          <w:p w:rsidR="00CC2C66" w:rsidRDefault="00F80B74">
            <w:pPr>
              <w:ind w:right="115"/>
              <w:jc w:val="right"/>
              <w:rPr>
                <w:sz w:val="20"/>
                <w:szCs w:val="20"/>
              </w:rPr>
            </w:pPr>
            <w:r>
              <w:rPr>
                <w:rFonts w:ascii="Arial" w:eastAsia="Arial" w:hAnsi="Arial" w:cs="Arial"/>
                <w:sz w:val="13"/>
                <w:szCs w:val="13"/>
              </w:rPr>
              <w:t>1,542,364</w:t>
            </w:r>
          </w:p>
        </w:tc>
      </w:tr>
    </w:tbl>
    <w:p w:rsidR="00CC2C66" w:rsidRDefault="00CC2C66">
      <w:pPr>
        <w:spacing w:line="260" w:lineRule="exact"/>
        <w:rPr>
          <w:sz w:val="20"/>
          <w:szCs w:val="20"/>
        </w:rPr>
      </w:pPr>
    </w:p>
    <w:p w:rsidR="00CC2C66" w:rsidRDefault="00F80B74">
      <w:pPr>
        <w:numPr>
          <w:ilvl w:val="0"/>
          <w:numId w:val="102"/>
        </w:numPr>
        <w:tabs>
          <w:tab w:val="left" w:pos="1020"/>
        </w:tabs>
        <w:spacing w:line="247" w:lineRule="auto"/>
        <w:ind w:left="1020" w:hanging="609"/>
        <w:jc w:val="both"/>
        <w:rPr>
          <w:rFonts w:eastAsia="Times New Roman"/>
          <w:color w:val="CF0A2C"/>
          <w:sz w:val="19"/>
          <w:szCs w:val="19"/>
        </w:rPr>
      </w:pPr>
      <w:r>
        <w:rPr>
          <w:rFonts w:eastAsia="Times New Roman"/>
          <w:sz w:val="19"/>
          <w:szCs w:val="19"/>
        </w:rPr>
        <w:t xml:space="preserve">Amounts in </w:t>
      </w:r>
      <w:r>
        <w:rPr>
          <w:rFonts w:eastAsia="Times New Roman"/>
          <w:sz w:val="19"/>
          <w:szCs w:val="19"/>
        </w:rPr>
        <w:t>this column represent: for Ms. Wat, an education reimbursement ($28,960) and housing cost subsidy ($121,630); for Messrs. Yeung, Chan, Huang and Yuen, a housing cost subsidy; and for Mr. Tan, an education reimbursement ($44,765) and housing cost subsidy ($</w:t>
      </w:r>
      <w:r>
        <w:rPr>
          <w:rFonts w:eastAsia="Times New Roman"/>
          <w:sz w:val="19"/>
          <w:szCs w:val="19"/>
        </w:rPr>
        <w:t>132,116). Such amounts are valued based on the amounts paid directly to the NEOs or the service providers, as applicable.</w:t>
      </w:r>
    </w:p>
    <w:p w:rsidR="00CC2C66" w:rsidRDefault="00CC2C66">
      <w:pPr>
        <w:spacing w:line="250" w:lineRule="exact"/>
        <w:rPr>
          <w:rFonts w:eastAsia="Times New Roman"/>
          <w:color w:val="CF0A2C"/>
          <w:sz w:val="19"/>
          <w:szCs w:val="19"/>
        </w:rPr>
      </w:pPr>
    </w:p>
    <w:p w:rsidR="00CC2C66" w:rsidRDefault="00F80B74">
      <w:pPr>
        <w:numPr>
          <w:ilvl w:val="0"/>
          <w:numId w:val="102"/>
        </w:numPr>
        <w:tabs>
          <w:tab w:val="left" w:pos="1020"/>
        </w:tabs>
        <w:spacing w:line="252" w:lineRule="auto"/>
        <w:ind w:left="1020" w:hanging="609"/>
        <w:jc w:val="both"/>
        <w:rPr>
          <w:rFonts w:eastAsia="Times New Roman"/>
          <w:color w:val="CF0A2C"/>
          <w:sz w:val="19"/>
          <w:szCs w:val="19"/>
        </w:rPr>
      </w:pPr>
      <w:r>
        <w:rPr>
          <w:rFonts w:eastAsia="Times New Roman"/>
          <w:sz w:val="19"/>
          <w:szCs w:val="19"/>
        </w:rPr>
        <w:t>Amounts in this column for Ms. Wat, Messrs. Huang, Yuen and Tan represent legacy tax reimbursements for gains realized in 2021 on equ</w:t>
      </w:r>
      <w:r>
        <w:rPr>
          <w:rFonts w:eastAsia="Times New Roman"/>
          <w:sz w:val="19"/>
          <w:szCs w:val="19"/>
        </w:rPr>
        <w:t>ity awards granted before 2018, and do not represent any new benefits but rather the settlement of existing contractual agreements.</w:t>
      </w:r>
    </w:p>
    <w:p w:rsidR="00CC2C66" w:rsidRDefault="00CC2C66">
      <w:pPr>
        <w:spacing w:line="244" w:lineRule="exact"/>
        <w:rPr>
          <w:rFonts w:eastAsia="Times New Roman"/>
          <w:color w:val="CF0A2C"/>
          <w:sz w:val="19"/>
          <w:szCs w:val="19"/>
        </w:rPr>
      </w:pPr>
    </w:p>
    <w:p w:rsidR="00CC2C66" w:rsidRDefault="00F80B74">
      <w:pPr>
        <w:numPr>
          <w:ilvl w:val="0"/>
          <w:numId w:val="102"/>
        </w:numPr>
        <w:tabs>
          <w:tab w:val="left" w:pos="1020"/>
        </w:tabs>
        <w:ind w:left="1020" w:hanging="609"/>
        <w:rPr>
          <w:rFonts w:eastAsia="Times New Roman"/>
          <w:color w:val="CF0A2C"/>
          <w:sz w:val="19"/>
          <w:szCs w:val="19"/>
        </w:rPr>
      </w:pPr>
      <w:r>
        <w:rPr>
          <w:rFonts w:eastAsia="Times New Roman"/>
          <w:sz w:val="19"/>
          <w:szCs w:val="19"/>
        </w:rPr>
        <w:t>This column represents contributions to the BSRCHLRS for all of our NEOs.</w:t>
      </w:r>
    </w:p>
    <w:p w:rsidR="00CC2C66" w:rsidRDefault="00CC2C66">
      <w:pPr>
        <w:spacing w:line="279" w:lineRule="exact"/>
        <w:rPr>
          <w:rFonts w:eastAsia="Times New Roman"/>
          <w:color w:val="CF0A2C"/>
          <w:sz w:val="19"/>
          <w:szCs w:val="19"/>
        </w:rPr>
      </w:pPr>
    </w:p>
    <w:p w:rsidR="00CC2C66" w:rsidRDefault="00F80B74">
      <w:pPr>
        <w:numPr>
          <w:ilvl w:val="0"/>
          <w:numId w:val="102"/>
        </w:numPr>
        <w:tabs>
          <w:tab w:val="left" w:pos="1020"/>
        </w:tabs>
        <w:spacing w:line="243" w:lineRule="auto"/>
        <w:ind w:left="1020" w:hanging="609"/>
        <w:jc w:val="both"/>
        <w:rPr>
          <w:rFonts w:eastAsia="Times New Roman"/>
          <w:color w:val="CF0A2C"/>
          <w:sz w:val="19"/>
          <w:szCs w:val="19"/>
        </w:rPr>
      </w:pPr>
      <w:r>
        <w:rPr>
          <w:rFonts w:eastAsia="Times New Roman"/>
          <w:sz w:val="19"/>
          <w:szCs w:val="19"/>
        </w:rPr>
        <w:t>This column reports the total amount of other be</w:t>
      </w:r>
      <w:r>
        <w:rPr>
          <w:rFonts w:eastAsia="Times New Roman"/>
          <w:sz w:val="19"/>
          <w:szCs w:val="19"/>
        </w:rPr>
        <w:t>nefits provided. Such amounts, which are reflective of market practice for similarly situated global executives working in international companies based in mainland China, are paid directly to the NEOs or service providers, as applicable. Other than for ce</w:t>
      </w:r>
      <w:r>
        <w:rPr>
          <w:rFonts w:eastAsia="Times New Roman"/>
          <w:sz w:val="19"/>
          <w:szCs w:val="19"/>
        </w:rPr>
        <w:t>rtain benefits described below, none of the other benefits individually exceeded the greater of $25,000 or 10% of the total amount of these other benefits and the perquisites and other personal benefits shown in column (b) for the NEO. These other benefits</w:t>
      </w:r>
      <w:r>
        <w:rPr>
          <w:rFonts w:eastAsia="Times New Roman"/>
          <w:sz w:val="19"/>
          <w:szCs w:val="19"/>
        </w:rPr>
        <w:t xml:space="preserve"> consist of amounts paid for utilities, home leave expenses, transportation allowances, and executive physicals. In 2021, Ms. Wat received home leave reimbursement of $27,478.</w:t>
      </w:r>
    </w:p>
    <w:p w:rsidR="00CC2C66" w:rsidRDefault="00CC2C66">
      <w:pPr>
        <w:spacing w:line="130" w:lineRule="exact"/>
        <w:rPr>
          <w:sz w:val="20"/>
          <w:szCs w:val="20"/>
        </w:rPr>
      </w:pPr>
    </w:p>
    <w:p w:rsidR="00CC2C66" w:rsidRDefault="00F80B74">
      <w:pPr>
        <w:numPr>
          <w:ilvl w:val="0"/>
          <w:numId w:val="103"/>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1148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3" w:name="page63"/>
      <w:bookmarkEnd w:id="63"/>
      <w:r>
        <w:rPr>
          <w:rFonts w:eastAsia="Times New Roman"/>
          <w:b/>
          <w:bCs/>
          <w:noProof/>
          <w:color w:val="0000EE"/>
          <w:sz w:val="17"/>
          <w:szCs w:val="17"/>
          <w:u w:val="single"/>
        </w:rPr>
        <w:drawing>
          <wp:anchor distT="0" distB="0" distL="114300" distR="114300" simplePos="0" relativeHeight="25171251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13536"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520"/>
        <w:rPr>
          <w:sz w:val="20"/>
          <w:szCs w:val="20"/>
        </w:rPr>
      </w:pPr>
      <w:r>
        <w:rPr>
          <w:rFonts w:ascii="Arial" w:eastAsia="Arial" w:hAnsi="Arial" w:cs="Arial"/>
          <w:b/>
          <w:bCs/>
          <w:color w:val="FFFFFF"/>
          <w:sz w:val="15"/>
          <w:szCs w:val="15"/>
        </w:rPr>
        <w:t>EXECUTIVE COMPENSATION</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2021 GRANTS OF PLAN-BASED AWARDS</w:t>
      </w:r>
    </w:p>
    <w:p w:rsidR="00CC2C66" w:rsidRDefault="00F80B74">
      <w:pPr>
        <w:spacing w:line="20" w:lineRule="exact"/>
        <w:rPr>
          <w:sz w:val="20"/>
          <w:szCs w:val="20"/>
        </w:rPr>
      </w:pPr>
      <w:r>
        <w:rPr>
          <w:noProof/>
          <w:sz w:val="20"/>
          <w:szCs w:val="20"/>
        </w:rPr>
        <w:drawing>
          <wp:anchor distT="0" distB="0" distL="114300" distR="114300" simplePos="0" relativeHeight="251714560"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87" w:lineRule="exact"/>
        <w:rPr>
          <w:sz w:val="20"/>
          <w:szCs w:val="20"/>
        </w:rPr>
      </w:pPr>
    </w:p>
    <w:p w:rsidR="00CC2C66" w:rsidRDefault="00F80B74">
      <w:pPr>
        <w:spacing w:line="252" w:lineRule="auto"/>
        <w:ind w:left="420"/>
        <w:jc w:val="both"/>
        <w:rPr>
          <w:sz w:val="20"/>
          <w:szCs w:val="20"/>
        </w:rPr>
      </w:pPr>
      <w:r>
        <w:rPr>
          <w:rFonts w:eastAsia="Times New Roman"/>
          <w:sz w:val="19"/>
          <w:szCs w:val="19"/>
        </w:rPr>
        <w:t xml:space="preserve">The following table provides information on the annual incentive program that the Company’s NEOs participated in during 2021 and the SARs, Annual PSU Awards and Chairman Grants granted under the </w:t>
      </w:r>
      <w:r>
        <w:rPr>
          <w:rFonts w:eastAsia="Times New Roman"/>
          <w:sz w:val="19"/>
          <w:szCs w:val="19"/>
        </w:rPr>
        <w:t>Company’s Long Term Incentive Plan in 2021 to the Company’s NEOs.</w:t>
      </w:r>
    </w:p>
    <w:p w:rsidR="00CC2C66" w:rsidRDefault="00CC2C66">
      <w:pPr>
        <w:spacing w:line="194"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200"/>
        <w:gridCol w:w="1260"/>
        <w:gridCol w:w="80"/>
        <w:gridCol w:w="760"/>
        <w:gridCol w:w="700"/>
        <w:gridCol w:w="740"/>
        <w:gridCol w:w="180"/>
        <w:gridCol w:w="80"/>
        <w:gridCol w:w="720"/>
        <w:gridCol w:w="560"/>
        <w:gridCol w:w="720"/>
        <w:gridCol w:w="840"/>
        <w:gridCol w:w="820"/>
        <w:gridCol w:w="860"/>
        <w:gridCol w:w="900"/>
        <w:gridCol w:w="20"/>
      </w:tblGrid>
      <w:tr w:rsidR="00CC2C66">
        <w:trPr>
          <w:trHeight w:val="157"/>
        </w:trPr>
        <w:tc>
          <w:tcPr>
            <w:tcW w:w="1200" w:type="dxa"/>
            <w:tcBorders>
              <w:top w:val="single" w:sz="8" w:space="0" w:color="CF0A2C"/>
            </w:tcBorders>
            <w:shd w:val="clear" w:color="auto" w:fill="FAE6E9"/>
            <w:vAlign w:val="bottom"/>
          </w:tcPr>
          <w:p w:rsidR="00CC2C66" w:rsidRDefault="00CC2C66">
            <w:pPr>
              <w:rPr>
                <w:sz w:val="13"/>
                <w:szCs w:val="13"/>
              </w:rPr>
            </w:pPr>
          </w:p>
        </w:tc>
        <w:tc>
          <w:tcPr>
            <w:tcW w:w="1260" w:type="dxa"/>
            <w:tcBorders>
              <w:top w:val="single" w:sz="8" w:space="0" w:color="CF0A2C"/>
            </w:tcBorders>
            <w:shd w:val="clear" w:color="auto" w:fill="FAE6E9"/>
            <w:vAlign w:val="bottom"/>
          </w:tcPr>
          <w:p w:rsidR="00CC2C66" w:rsidRDefault="00CC2C66">
            <w:pPr>
              <w:rPr>
                <w:sz w:val="13"/>
                <w:szCs w:val="13"/>
              </w:rPr>
            </w:pPr>
          </w:p>
        </w:tc>
        <w:tc>
          <w:tcPr>
            <w:tcW w:w="80" w:type="dxa"/>
            <w:tcBorders>
              <w:top w:val="single" w:sz="8" w:space="0" w:color="CF0A2C"/>
            </w:tcBorders>
            <w:shd w:val="clear" w:color="auto" w:fill="FAE6E9"/>
            <w:vAlign w:val="bottom"/>
          </w:tcPr>
          <w:p w:rsidR="00CC2C66" w:rsidRDefault="00CC2C66">
            <w:pPr>
              <w:rPr>
                <w:sz w:val="13"/>
                <w:szCs w:val="13"/>
              </w:rPr>
            </w:pPr>
          </w:p>
        </w:tc>
        <w:tc>
          <w:tcPr>
            <w:tcW w:w="760" w:type="dxa"/>
            <w:tcBorders>
              <w:top w:val="single" w:sz="8" w:space="0" w:color="CF0A2C"/>
            </w:tcBorders>
            <w:shd w:val="clear" w:color="auto" w:fill="FAE6E9"/>
            <w:vAlign w:val="bottom"/>
          </w:tcPr>
          <w:p w:rsidR="00CC2C66" w:rsidRDefault="00CC2C66">
            <w:pPr>
              <w:rPr>
                <w:sz w:val="13"/>
                <w:szCs w:val="13"/>
              </w:rPr>
            </w:pPr>
          </w:p>
        </w:tc>
        <w:tc>
          <w:tcPr>
            <w:tcW w:w="700" w:type="dxa"/>
            <w:tcBorders>
              <w:top w:val="single" w:sz="8" w:space="0" w:color="CF0A2C"/>
            </w:tcBorders>
            <w:shd w:val="clear" w:color="auto" w:fill="FAE6E9"/>
            <w:vAlign w:val="bottom"/>
          </w:tcPr>
          <w:p w:rsidR="00CC2C66" w:rsidRDefault="00CC2C66">
            <w:pPr>
              <w:rPr>
                <w:sz w:val="13"/>
                <w:szCs w:val="13"/>
              </w:rPr>
            </w:pPr>
          </w:p>
        </w:tc>
        <w:tc>
          <w:tcPr>
            <w:tcW w:w="740" w:type="dxa"/>
            <w:tcBorders>
              <w:top w:val="single" w:sz="8" w:space="0" w:color="CF0A2C"/>
            </w:tcBorders>
            <w:shd w:val="clear" w:color="auto" w:fill="FAE6E9"/>
            <w:vAlign w:val="bottom"/>
          </w:tcPr>
          <w:p w:rsidR="00CC2C66" w:rsidRDefault="00CC2C66">
            <w:pPr>
              <w:rPr>
                <w:sz w:val="13"/>
                <w:szCs w:val="13"/>
              </w:rPr>
            </w:pPr>
          </w:p>
        </w:tc>
        <w:tc>
          <w:tcPr>
            <w:tcW w:w="180" w:type="dxa"/>
            <w:tcBorders>
              <w:top w:val="single" w:sz="8" w:space="0" w:color="CF0A2C"/>
            </w:tcBorders>
            <w:shd w:val="clear" w:color="auto" w:fill="FAE6E9"/>
            <w:vAlign w:val="bottom"/>
          </w:tcPr>
          <w:p w:rsidR="00CC2C66" w:rsidRDefault="00CC2C66">
            <w:pPr>
              <w:rPr>
                <w:sz w:val="13"/>
                <w:szCs w:val="13"/>
              </w:rPr>
            </w:pPr>
          </w:p>
        </w:tc>
        <w:tc>
          <w:tcPr>
            <w:tcW w:w="80" w:type="dxa"/>
            <w:tcBorders>
              <w:top w:val="single" w:sz="8" w:space="0" w:color="CF0A2C"/>
            </w:tcBorders>
            <w:shd w:val="clear" w:color="auto" w:fill="FAE6E9"/>
            <w:vAlign w:val="bottom"/>
          </w:tcPr>
          <w:p w:rsidR="00CC2C66" w:rsidRDefault="00CC2C66">
            <w:pPr>
              <w:rPr>
                <w:sz w:val="13"/>
                <w:szCs w:val="13"/>
              </w:rPr>
            </w:pPr>
          </w:p>
        </w:tc>
        <w:tc>
          <w:tcPr>
            <w:tcW w:w="720" w:type="dxa"/>
            <w:tcBorders>
              <w:top w:val="single" w:sz="8" w:space="0" w:color="CF0A2C"/>
            </w:tcBorders>
            <w:shd w:val="clear" w:color="auto" w:fill="FAE6E9"/>
            <w:vAlign w:val="bottom"/>
          </w:tcPr>
          <w:p w:rsidR="00CC2C66" w:rsidRDefault="00CC2C66">
            <w:pPr>
              <w:rPr>
                <w:sz w:val="13"/>
                <w:szCs w:val="13"/>
              </w:rPr>
            </w:pPr>
          </w:p>
        </w:tc>
        <w:tc>
          <w:tcPr>
            <w:tcW w:w="560" w:type="dxa"/>
            <w:tcBorders>
              <w:top w:val="single" w:sz="8" w:space="0" w:color="CF0A2C"/>
            </w:tcBorders>
            <w:shd w:val="clear" w:color="auto" w:fill="FAE6E9"/>
            <w:vAlign w:val="bottom"/>
          </w:tcPr>
          <w:p w:rsidR="00CC2C66" w:rsidRDefault="00CC2C66">
            <w:pPr>
              <w:rPr>
                <w:sz w:val="13"/>
                <w:szCs w:val="13"/>
              </w:rPr>
            </w:pPr>
          </w:p>
        </w:tc>
        <w:tc>
          <w:tcPr>
            <w:tcW w:w="720" w:type="dxa"/>
            <w:tcBorders>
              <w:top w:val="single" w:sz="8" w:space="0" w:color="CF0A2C"/>
            </w:tcBorders>
            <w:shd w:val="clear" w:color="auto" w:fill="FAE6E9"/>
            <w:vAlign w:val="bottom"/>
          </w:tcPr>
          <w:p w:rsidR="00CC2C66" w:rsidRDefault="00CC2C66">
            <w:pPr>
              <w:rPr>
                <w:sz w:val="13"/>
                <w:szCs w:val="13"/>
              </w:rPr>
            </w:pPr>
          </w:p>
        </w:tc>
        <w:tc>
          <w:tcPr>
            <w:tcW w:w="840" w:type="dxa"/>
            <w:tcBorders>
              <w:top w:val="single" w:sz="8" w:space="0" w:color="CF0A2C"/>
            </w:tcBorders>
            <w:shd w:val="clear" w:color="auto" w:fill="FAE6E9"/>
            <w:vAlign w:val="bottom"/>
          </w:tcPr>
          <w:p w:rsidR="00CC2C66" w:rsidRDefault="00CC2C66">
            <w:pPr>
              <w:rPr>
                <w:sz w:val="13"/>
                <w:szCs w:val="13"/>
              </w:rPr>
            </w:pPr>
          </w:p>
        </w:tc>
        <w:tc>
          <w:tcPr>
            <w:tcW w:w="820" w:type="dxa"/>
            <w:tcBorders>
              <w:top w:val="single" w:sz="8" w:space="0" w:color="CF0A2C"/>
            </w:tcBorders>
            <w:shd w:val="clear" w:color="auto" w:fill="FAE6E9"/>
            <w:vAlign w:val="bottom"/>
          </w:tcPr>
          <w:p w:rsidR="00CC2C66" w:rsidRDefault="00F80B74">
            <w:pPr>
              <w:spacing w:line="157" w:lineRule="exact"/>
              <w:jc w:val="center"/>
              <w:rPr>
                <w:sz w:val="20"/>
                <w:szCs w:val="20"/>
              </w:rPr>
            </w:pPr>
            <w:r>
              <w:rPr>
                <w:rFonts w:ascii="Arial" w:eastAsia="Arial" w:hAnsi="Arial" w:cs="Arial"/>
                <w:b/>
                <w:bCs/>
                <w:color w:val="CF0A2C"/>
                <w:w w:val="98"/>
                <w:sz w:val="14"/>
                <w:szCs w:val="14"/>
              </w:rPr>
              <w:t>All Other</w:t>
            </w:r>
          </w:p>
        </w:tc>
        <w:tc>
          <w:tcPr>
            <w:tcW w:w="860" w:type="dxa"/>
            <w:tcBorders>
              <w:top w:val="single" w:sz="8" w:space="0" w:color="CF0A2C"/>
            </w:tcBorders>
            <w:shd w:val="clear" w:color="auto" w:fill="FAE6E9"/>
            <w:vAlign w:val="bottom"/>
          </w:tcPr>
          <w:p w:rsidR="00CC2C66" w:rsidRDefault="00CC2C66">
            <w:pPr>
              <w:rPr>
                <w:sz w:val="13"/>
                <w:szCs w:val="13"/>
              </w:rPr>
            </w:pPr>
          </w:p>
        </w:tc>
        <w:tc>
          <w:tcPr>
            <w:tcW w:w="900" w:type="dxa"/>
            <w:tcBorders>
              <w:top w:val="single" w:sz="8" w:space="0" w:color="CF0A2C"/>
            </w:tcBorders>
            <w:shd w:val="clear" w:color="auto" w:fill="FAE6E9"/>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153"/>
        </w:trPr>
        <w:tc>
          <w:tcPr>
            <w:tcW w:w="1200" w:type="dxa"/>
            <w:shd w:val="clear" w:color="auto" w:fill="FAE6E9"/>
            <w:vAlign w:val="bottom"/>
          </w:tcPr>
          <w:p w:rsidR="00CC2C66" w:rsidRDefault="00CC2C66">
            <w:pPr>
              <w:rPr>
                <w:sz w:val="13"/>
                <w:szCs w:val="13"/>
              </w:rPr>
            </w:pPr>
          </w:p>
        </w:tc>
        <w:tc>
          <w:tcPr>
            <w:tcW w:w="1260" w:type="dxa"/>
            <w:shd w:val="clear" w:color="auto" w:fill="FAE6E9"/>
            <w:vAlign w:val="bottom"/>
          </w:tcPr>
          <w:p w:rsidR="00CC2C66" w:rsidRDefault="00CC2C66">
            <w:pPr>
              <w:rPr>
                <w:sz w:val="13"/>
                <w:szCs w:val="13"/>
              </w:rPr>
            </w:pPr>
          </w:p>
        </w:tc>
        <w:tc>
          <w:tcPr>
            <w:tcW w:w="80" w:type="dxa"/>
            <w:shd w:val="clear" w:color="auto" w:fill="FAE6E9"/>
            <w:vAlign w:val="bottom"/>
          </w:tcPr>
          <w:p w:rsidR="00CC2C66" w:rsidRDefault="00CC2C66">
            <w:pPr>
              <w:rPr>
                <w:sz w:val="13"/>
                <w:szCs w:val="13"/>
              </w:rPr>
            </w:pPr>
          </w:p>
        </w:tc>
        <w:tc>
          <w:tcPr>
            <w:tcW w:w="760" w:type="dxa"/>
            <w:shd w:val="clear" w:color="auto" w:fill="FAE6E9"/>
            <w:vAlign w:val="bottom"/>
          </w:tcPr>
          <w:p w:rsidR="00CC2C66" w:rsidRDefault="00CC2C66">
            <w:pPr>
              <w:rPr>
                <w:sz w:val="13"/>
                <w:szCs w:val="13"/>
              </w:rPr>
            </w:pPr>
          </w:p>
        </w:tc>
        <w:tc>
          <w:tcPr>
            <w:tcW w:w="700" w:type="dxa"/>
            <w:shd w:val="clear" w:color="auto" w:fill="FAE6E9"/>
            <w:vAlign w:val="bottom"/>
          </w:tcPr>
          <w:p w:rsidR="00CC2C66" w:rsidRDefault="00CC2C66">
            <w:pPr>
              <w:rPr>
                <w:sz w:val="13"/>
                <w:szCs w:val="13"/>
              </w:rPr>
            </w:pPr>
          </w:p>
        </w:tc>
        <w:tc>
          <w:tcPr>
            <w:tcW w:w="740" w:type="dxa"/>
            <w:shd w:val="clear" w:color="auto" w:fill="FAE6E9"/>
            <w:vAlign w:val="bottom"/>
          </w:tcPr>
          <w:p w:rsidR="00CC2C66" w:rsidRDefault="00CC2C66">
            <w:pPr>
              <w:rPr>
                <w:sz w:val="13"/>
                <w:szCs w:val="13"/>
              </w:rPr>
            </w:pPr>
          </w:p>
        </w:tc>
        <w:tc>
          <w:tcPr>
            <w:tcW w:w="180" w:type="dxa"/>
            <w:shd w:val="clear" w:color="auto" w:fill="FAE6E9"/>
            <w:vAlign w:val="bottom"/>
          </w:tcPr>
          <w:p w:rsidR="00CC2C66" w:rsidRDefault="00CC2C66">
            <w:pPr>
              <w:rPr>
                <w:sz w:val="13"/>
                <w:szCs w:val="13"/>
              </w:rPr>
            </w:pPr>
          </w:p>
        </w:tc>
        <w:tc>
          <w:tcPr>
            <w:tcW w:w="80" w:type="dxa"/>
            <w:shd w:val="clear" w:color="auto" w:fill="FAE6E9"/>
            <w:vAlign w:val="bottom"/>
          </w:tcPr>
          <w:p w:rsidR="00CC2C66" w:rsidRDefault="00CC2C66">
            <w:pPr>
              <w:rPr>
                <w:sz w:val="13"/>
                <w:szCs w:val="13"/>
              </w:rPr>
            </w:pPr>
          </w:p>
        </w:tc>
        <w:tc>
          <w:tcPr>
            <w:tcW w:w="720" w:type="dxa"/>
            <w:shd w:val="clear" w:color="auto" w:fill="FAE6E9"/>
            <w:vAlign w:val="bottom"/>
          </w:tcPr>
          <w:p w:rsidR="00CC2C66" w:rsidRDefault="00CC2C66">
            <w:pPr>
              <w:rPr>
                <w:sz w:val="13"/>
                <w:szCs w:val="13"/>
              </w:rPr>
            </w:pPr>
          </w:p>
        </w:tc>
        <w:tc>
          <w:tcPr>
            <w:tcW w:w="560" w:type="dxa"/>
            <w:shd w:val="clear" w:color="auto" w:fill="FAE6E9"/>
            <w:vAlign w:val="bottom"/>
          </w:tcPr>
          <w:p w:rsidR="00CC2C66" w:rsidRDefault="00CC2C66">
            <w:pPr>
              <w:rPr>
                <w:sz w:val="13"/>
                <w:szCs w:val="13"/>
              </w:rPr>
            </w:pPr>
          </w:p>
        </w:tc>
        <w:tc>
          <w:tcPr>
            <w:tcW w:w="72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All Other</w:t>
            </w:r>
          </w:p>
        </w:tc>
        <w:tc>
          <w:tcPr>
            <w:tcW w:w="8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Option/</w:t>
            </w:r>
          </w:p>
        </w:tc>
        <w:tc>
          <w:tcPr>
            <w:tcW w:w="860" w:type="dxa"/>
            <w:shd w:val="clear" w:color="auto" w:fill="FAE6E9"/>
            <w:vAlign w:val="bottom"/>
          </w:tcPr>
          <w:p w:rsidR="00CC2C66" w:rsidRDefault="00CC2C66">
            <w:pPr>
              <w:rPr>
                <w:sz w:val="13"/>
                <w:szCs w:val="13"/>
              </w:rPr>
            </w:pPr>
          </w:p>
        </w:tc>
        <w:tc>
          <w:tcPr>
            <w:tcW w:w="900" w:type="dxa"/>
            <w:vMerge w:val="restart"/>
            <w:shd w:val="clear" w:color="auto" w:fill="FAE6E9"/>
            <w:vAlign w:val="bottom"/>
          </w:tcPr>
          <w:p w:rsidR="00CC2C66" w:rsidRDefault="00F80B74">
            <w:pPr>
              <w:jc w:val="center"/>
              <w:rPr>
                <w:sz w:val="20"/>
                <w:szCs w:val="20"/>
              </w:rPr>
            </w:pPr>
            <w:r>
              <w:rPr>
                <w:rFonts w:ascii="Arial" w:eastAsia="Arial" w:hAnsi="Arial" w:cs="Arial"/>
                <w:b/>
                <w:bCs/>
                <w:color w:val="CF0A2C"/>
                <w:w w:val="94"/>
                <w:sz w:val="14"/>
                <w:szCs w:val="14"/>
              </w:rPr>
              <w:t>Grant Date</w:t>
            </w:r>
          </w:p>
        </w:tc>
        <w:tc>
          <w:tcPr>
            <w:tcW w:w="0" w:type="dxa"/>
            <w:vAlign w:val="bottom"/>
          </w:tcPr>
          <w:p w:rsidR="00CC2C66" w:rsidRDefault="00CC2C66">
            <w:pPr>
              <w:rPr>
                <w:sz w:val="1"/>
                <w:szCs w:val="1"/>
              </w:rPr>
            </w:pPr>
          </w:p>
        </w:tc>
      </w:tr>
      <w:tr w:rsidR="00CC2C66">
        <w:trPr>
          <w:trHeight w:val="141"/>
        </w:trPr>
        <w:tc>
          <w:tcPr>
            <w:tcW w:w="1200" w:type="dxa"/>
            <w:shd w:val="clear" w:color="auto" w:fill="FAE6E9"/>
            <w:vAlign w:val="bottom"/>
          </w:tcPr>
          <w:p w:rsidR="00CC2C66" w:rsidRDefault="00CC2C66">
            <w:pPr>
              <w:rPr>
                <w:sz w:val="12"/>
                <w:szCs w:val="12"/>
              </w:rPr>
            </w:pPr>
          </w:p>
        </w:tc>
        <w:tc>
          <w:tcPr>
            <w:tcW w:w="1260" w:type="dxa"/>
            <w:shd w:val="clear" w:color="auto" w:fill="FAE6E9"/>
            <w:vAlign w:val="bottom"/>
          </w:tcPr>
          <w:p w:rsidR="00CC2C66" w:rsidRDefault="00CC2C66">
            <w:pPr>
              <w:rPr>
                <w:sz w:val="12"/>
                <w:szCs w:val="12"/>
              </w:rPr>
            </w:pPr>
          </w:p>
        </w:tc>
        <w:tc>
          <w:tcPr>
            <w:tcW w:w="80" w:type="dxa"/>
            <w:shd w:val="clear" w:color="auto" w:fill="FAE6E9"/>
            <w:vAlign w:val="bottom"/>
          </w:tcPr>
          <w:p w:rsidR="00CC2C66" w:rsidRDefault="00CC2C66">
            <w:pPr>
              <w:rPr>
                <w:sz w:val="12"/>
                <w:szCs w:val="12"/>
              </w:rPr>
            </w:pPr>
          </w:p>
        </w:tc>
        <w:tc>
          <w:tcPr>
            <w:tcW w:w="760" w:type="dxa"/>
            <w:shd w:val="clear" w:color="auto" w:fill="FAE6E9"/>
            <w:vAlign w:val="bottom"/>
          </w:tcPr>
          <w:p w:rsidR="00CC2C66" w:rsidRDefault="00CC2C66">
            <w:pPr>
              <w:rPr>
                <w:sz w:val="12"/>
                <w:szCs w:val="12"/>
              </w:rPr>
            </w:pPr>
          </w:p>
        </w:tc>
        <w:tc>
          <w:tcPr>
            <w:tcW w:w="700" w:type="dxa"/>
            <w:shd w:val="clear" w:color="auto" w:fill="FAE6E9"/>
            <w:vAlign w:val="bottom"/>
          </w:tcPr>
          <w:p w:rsidR="00CC2C66" w:rsidRDefault="00CC2C66">
            <w:pPr>
              <w:rPr>
                <w:sz w:val="12"/>
                <w:szCs w:val="12"/>
              </w:rPr>
            </w:pPr>
          </w:p>
        </w:tc>
        <w:tc>
          <w:tcPr>
            <w:tcW w:w="740" w:type="dxa"/>
            <w:shd w:val="clear" w:color="auto" w:fill="FAE6E9"/>
            <w:vAlign w:val="bottom"/>
          </w:tcPr>
          <w:p w:rsidR="00CC2C66" w:rsidRDefault="00CC2C66">
            <w:pPr>
              <w:rPr>
                <w:sz w:val="12"/>
                <w:szCs w:val="12"/>
              </w:rPr>
            </w:pPr>
          </w:p>
        </w:tc>
        <w:tc>
          <w:tcPr>
            <w:tcW w:w="180" w:type="dxa"/>
            <w:shd w:val="clear" w:color="auto" w:fill="FAE6E9"/>
            <w:vAlign w:val="bottom"/>
          </w:tcPr>
          <w:p w:rsidR="00CC2C66" w:rsidRDefault="00CC2C66">
            <w:pPr>
              <w:rPr>
                <w:sz w:val="12"/>
                <w:szCs w:val="12"/>
              </w:rPr>
            </w:pPr>
          </w:p>
        </w:tc>
        <w:tc>
          <w:tcPr>
            <w:tcW w:w="80" w:type="dxa"/>
            <w:shd w:val="clear" w:color="auto" w:fill="FAE6E9"/>
            <w:vAlign w:val="bottom"/>
          </w:tcPr>
          <w:p w:rsidR="00CC2C66" w:rsidRDefault="00CC2C66">
            <w:pPr>
              <w:rPr>
                <w:sz w:val="12"/>
                <w:szCs w:val="12"/>
              </w:rPr>
            </w:pPr>
          </w:p>
        </w:tc>
        <w:tc>
          <w:tcPr>
            <w:tcW w:w="720" w:type="dxa"/>
            <w:shd w:val="clear" w:color="auto" w:fill="FAE6E9"/>
            <w:vAlign w:val="bottom"/>
          </w:tcPr>
          <w:p w:rsidR="00CC2C66" w:rsidRDefault="00CC2C66">
            <w:pPr>
              <w:rPr>
                <w:sz w:val="12"/>
                <w:szCs w:val="12"/>
              </w:rPr>
            </w:pPr>
          </w:p>
        </w:tc>
        <w:tc>
          <w:tcPr>
            <w:tcW w:w="560" w:type="dxa"/>
            <w:shd w:val="clear" w:color="auto" w:fill="FAE6E9"/>
            <w:vAlign w:val="bottom"/>
          </w:tcPr>
          <w:p w:rsidR="00CC2C66" w:rsidRDefault="00CC2C66">
            <w:pPr>
              <w:rPr>
                <w:sz w:val="12"/>
                <w:szCs w:val="12"/>
              </w:rPr>
            </w:pPr>
          </w:p>
        </w:tc>
        <w:tc>
          <w:tcPr>
            <w:tcW w:w="720" w:type="dxa"/>
            <w:shd w:val="clear" w:color="auto" w:fill="FAE6E9"/>
            <w:vAlign w:val="bottom"/>
          </w:tcPr>
          <w:p w:rsidR="00CC2C66" w:rsidRDefault="00CC2C66">
            <w:pPr>
              <w:rPr>
                <w:sz w:val="12"/>
                <w:szCs w:val="12"/>
              </w:rPr>
            </w:pPr>
          </w:p>
        </w:tc>
        <w:tc>
          <w:tcPr>
            <w:tcW w:w="84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9"/>
                <w:sz w:val="14"/>
                <w:szCs w:val="14"/>
              </w:rPr>
              <w:t>Stock</w:t>
            </w:r>
          </w:p>
        </w:tc>
        <w:tc>
          <w:tcPr>
            <w:tcW w:w="82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4"/>
                <w:sz w:val="14"/>
                <w:szCs w:val="14"/>
              </w:rPr>
              <w:t>SAR</w:t>
            </w:r>
          </w:p>
        </w:tc>
        <w:tc>
          <w:tcPr>
            <w:tcW w:w="860" w:type="dxa"/>
            <w:shd w:val="clear" w:color="auto" w:fill="FAE6E9"/>
            <w:vAlign w:val="bottom"/>
          </w:tcPr>
          <w:p w:rsidR="00CC2C66" w:rsidRDefault="00F80B74">
            <w:pPr>
              <w:spacing w:line="141" w:lineRule="exact"/>
              <w:jc w:val="center"/>
              <w:rPr>
                <w:sz w:val="20"/>
                <w:szCs w:val="20"/>
              </w:rPr>
            </w:pPr>
            <w:r>
              <w:rPr>
                <w:rFonts w:ascii="Arial" w:eastAsia="Arial" w:hAnsi="Arial" w:cs="Arial"/>
                <w:b/>
                <w:bCs/>
                <w:color w:val="CF0A2C"/>
                <w:w w:val="97"/>
                <w:sz w:val="14"/>
                <w:szCs w:val="14"/>
              </w:rPr>
              <w:t>Exercise or</w:t>
            </w:r>
          </w:p>
        </w:tc>
        <w:tc>
          <w:tcPr>
            <w:tcW w:w="900" w:type="dxa"/>
            <w:vMerge/>
            <w:shd w:val="clear" w:color="auto" w:fill="FAE6E9"/>
            <w:vAlign w:val="bottom"/>
          </w:tcPr>
          <w:p w:rsidR="00CC2C66" w:rsidRDefault="00CC2C66">
            <w:pPr>
              <w:rPr>
                <w:sz w:val="12"/>
                <w:szCs w:val="12"/>
              </w:rPr>
            </w:pPr>
          </w:p>
        </w:tc>
        <w:tc>
          <w:tcPr>
            <w:tcW w:w="0" w:type="dxa"/>
            <w:vAlign w:val="bottom"/>
          </w:tcPr>
          <w:p w:rsidR="00CC2C66" w:rsidRDefault="00CC2C66">
            <w:pPr>
              <w:rPr>
                <w:sz w:val="1"/>
                <w:szCs w:val="1"/>
              </w:rPr>
            </w:pPr>
          </w:p>
        </w:tc>
      </w:tr>
      <w:tr w:rsidR="00CC2C66">
        <w:trPr>
          <w:trHeight w:val="153"/>
        </w:trPr>
        <w:tc>
          <w:tcPr>
            <w:tcW w:w="1200" w:type="dxa"/>
            <w:shd w:val="clear" w:color="auto" w:fill="FAE6E9"/>
            <w:vAlign w:val="bottom"/>
          </w:tcPr>
          <w:p w:rsidR="00CC2C66" w:rsidRDefault="00CC2C66">
            <w:pPr>
              <w:rPr>
                <w:sz w:val="13"/>
                <w:szCs w:val="13"/>
              </w:rPr>
            </w:pPr>
          </w:p>
        </w:tc>
        <w:tc>
          <w:tcPr>
            <w:tcW w:w="1260" w:type="dxa"/>
            <w:shd w:val="clear" w:color="auto" w:fill="FAE6E9"/>
            <w:vAlign w:val="bottom"/>
          </w:tcPr>
          <w:p w:rsidR="00CC2C66" w:rsidRDefault="00CC2C66">
            <w:pPr>
              <w:rPr>
                <w:sz w:val="13"/>
                <w:szCs w:val="13"/>
              </w:rPr>
            </w:pPr>
          </w:p>
        </w:tc>
        <w:tc>
          <w:tcPr>
            <w:tcW w:w="80" w:type="dxa"/>
            <w:shd w:val="clear" w:color="auto" w:fill="FAE6E9"/>
            <w:vAlign w:val="bottom"/>
          </w:tcPr>
          <w:p w:rsidR="00CC2C66" w:rsidRDefault="00CC2C66">
            <w:pPr>
              <w:rPr>
                <w:sz w:val="13"/>
                <w:szCs w:val="13"/>
              </w:rPr>
            </w:pPr>
          </w:p>
        </w:tc>
        <w:tc>
          <w:tcPr>
            <w:tcW w:w="2200" w:type="dxa"/>
            <w:gridSpan w:val="3"/>
            <w:vMerge w:val="restart"/>
            <w:shd w:val="clear" w:color="auto" w:fill="FAE6E9"/>
            <w:vAlign w:val="bottom"/>
          </w:tcPr>
          <w:p w:rsidR="00CC2C66" w:rsidRDefault="00F80B74">
            <w:pPr>
              <w:jc w:val="center"/>
              <w:rPr>
                <w:sz w:val="20"/>
                <w:szCs w:val="20"/>
              </w:rPr>
            </w:pPr>
            <w:r>
              <w:rPr>
                <w:rFonts w:ascii="Arial" w:eastAsia="Arial" w:hAnsi="Arial" w:cs="Arial"/>
                <w:b/>
                <w:bCs/>
                <w:color w:val="CF0A2C"/>
                <w:w w:val="97"/>
                <w:sz w:val="14"/>
                <w:szCs w:val="14"/>
              </w:rPr>
              <w:t>Estimated Future Payouts</w:t>
            </w:r>
          </w:p>
        </w:tc>
        <w:tc>
          <w:tcPr>
            <w:tcW w:w="180" w:type="dxa"/>
            <w:shd w:val="clear" w:color="auto" w:fill="FAE6E9"/>
            <w:vAlign w:val="bottom"/>
          </w:tcPr>
          <w:p w:rsidR="00CC2C66" w:rsidRDefault="00CC2C66">
            <w:pPr>
              <w:rPr>
                <w:sz w:val="13"/>
                <w:szCs w:val="13"/>
              </w:rPr>
            </w:pPr>
          </w:p>
        </w:tc>
        <w:tc>
          <w:tcPr>
            <w:tcW w:w="80" w:type="dxa"/>
            <w:shd w:val="clear" w:color="auto" w:fill="FAE6E9"/>
            <w:vAlign w:val="bottom"/>
          </w:tcPr>
          <w:p w:rsidR="00CC2C66" w:rsidRDefault="00CC2C66">
            <w:pPr>
              <w:rPr>
                <w:sz w:val="13"/>
                <w:szCs w:val="13"/>
              </w:rPr>
            </w:pPr>
          </w:p>
        </w:tc>
        <w:tc>
          <w:tcPr>
            <w:tcW w:w="2000" w:type="dxa"/>
            <w:gridSpan w:val="3"/>
            <w:vMerge w:val="restart"/>
            <w:shd w:val="clear" w:color="auto" w:fill="FAE6E9"/>
            <w:vAlign w:val="bottom"/>
          </w:tcPr>
          <w:p w:rsidR="00CC2C66" w:rsidRDefault="00F80B74">
            <w:pPr>
              <w:jc w:val="center"/>
              <w:rPr>
                <w:sz w:val="20"/>
                <w:szCs w:val="20"/>
              </w:rPr>
            </w:pPr>
            <w:r>
              <w:rPr>
                <w:rFonts w:ascii="Arial" w:eastAsia="Arial" w:hAnsi="Arial" w:cs="Arial"/>
                <w:b/>
                <w:bCs/>
                <w:color w:val="CF0A2C"/>
                <w:w w:val="97"/>
                <w:sz w:val="14"/>
                <w:szCs w:val="14"/>
              </w:rPr>
              <w:t>Estimated Future Payouts</w:t>
            </w:r>
          </w:p>
        </w:tc>
        <w:tc>
          <w:tcPr>
            <w:tcW w:w="8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Awards:</w:t>
            </w:r>
          </w:p>
        </w:tc>
        <w:tc>
          <w:tcPr>
            <w:tcW w:w="8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Awards:</w:t>
            </w:r>
          </w:p>
        </w:tc>
        <w:tc>
          <w:tcPr>
            <w:tcW w:w="86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sz w:val="14"/>
                <w:szCs w:val="14"/>
              </w:rPr>
              <w:t>Base Price</w:t>
            </w:r>
          </w:p>
        </w:tc>
        <w:tc>
          <w:tcPr>
            <w:tcW w:w="9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Fair Value</w:t>
            </w:r>
          </w:p>
        </w:tc>
        <w:tc>
          <w:tcPr>
            <w:tcW w:w="0" w:type="dxa"/>
            <w:vAlign w:val="bottom"/>
          </w:tcPr>
          <w:p w:rsidR="00CC2C66" w:rsidRDefault="00CC2C66">
            <w:pPr>
              <w:rPr>
                <w:sz w:val="1"/>
                <w:szCs w:val="1"/>
              </w:rPr>
            </w:pPr>
          </w:p>
        </w:tc>
      </w:tr>
      <w:tr w:rsidR="00CC2C66">
        <w:trPr>
          <w:trHeight w:val="102"/>
        </w:trPr>
        <w:tc>
          <w:tcPr>
            <w:tcW w:w="1200" w:type="dxa"/>
            <w:shd w:val="clear" w:color="auto" w:fill="FAE6E9"/>
            <w:vAlign w:val="bottom"/>
          </w:tcPr>
          <w:p w:rsidR="00CC2C66" w:rsidRDefault="00CC2C66">
            <w:pPr>
              <w:rPr>
                <w:sz w:val="8"/>
                <w:szCs w:val="8"/>
              </w:rPr>
            </w:pPr>
          </w:p>
        </w:tc>
        <w:tc>
          <w:tcPr>
            <w:tcW w:w="1260" w:type="dxa"/>
            <w:shd w:val="clear" w:color="auto" w:fill="FAE6E9"/>
            <w:vAlign w:val="bottom"/>
          </w:tcPr>
          <w:p w:rsidR="00CC2C66" w:rsidRDefault="00CC2C66">
            <w:pPr>
              <w:rPr>
                <w:sz w:val="8"/>
                <w:szCs w:val="8"/>
              </w:rPr>
            </w:pPr>
          </w:p>
        </w:tc>
        <w:tc>
          <w:tcPr>
            <w:tcW w:w="80" w:type="dxa"/>
            <w:shd w:val="clear" w:color="auto" w:fill="FAE6E9"/>
            <w:vAlign w:val="bottom"/>
          </w:tcPr>
          <w:p w:rsidR="00CC2C66" w:rsidRDefault="00CC2C66">
            <w:pPr>
              <w:rPr>
                <w:sz w:val="8"/>
                <w:szCs w:val="8"/>
              </w:rPr>
            </w:pPr>
          </w:p>
        </w:tc>
        <w:tc>
          <w:tcPr>
            <w:tcW w:w="2200" w:type="dxa"/>
            <w:gridSpan w:val="3"/>
            <w:vMerge/>
            <w:shd w:val="clear" w:color="auto" w:fill="FAE6E9"/>
            <w:vAlign w:val="bottom"/>
          </w:tcPr>
          <w:p w:rsidR="00CC2C66" w:rsidRDefault="00CC2C66">
            <w:pPr>
              <w:rPr>
                <w:sz w:val="8"/>
                <w:szCs w:val="8"/>
              </w:rPr>
            </w:pPr>
          </w:p>
        </w:tc>
        <w:tc>
          <w:tcPr>
            <w:tcW w:w="180" w:type="dxa"/>
            <w:shd w:val="clear" w:color="auto" w:fill="FAE6E9"/>
            <w:vAlign w:val="bottom"/>
          </w:tcPr>
          <w:p w:rsidR="00CC2C66" w:rsidRDefault="00CC2C66">
            <w:pPr>
              <w:rPr>
                <w:sz w:val="8"/>
                <w:szCs w:val="8"/>
              </w:rPr>
            </w:pPr>
          </w:p>
        </w:tc>
        <w:tc>
          <w:tcPr>
            <w:tcW w:w="80" w:type="dxa"/>
            <w:shd w:val="clear" w:color="auto" w:fill="FAE6E9"/>
            <w:vAlign w:val="bottom"/>
          </w:tcPr>
          <w:p w:rsidR="00CC2C66" w:rsidRDefault="00CC2C66">
            <w:pPr>
              <w:rPr>
                <w:sz w:val="8"/>
                <w:szCs w:val="8"/>
              </w:rPr>
            </w:pPr>
          </w:p>
        </w:tc>
        <w:tc>
          <w:tcPr>
            <w:tcW w:w="2000" w:type="dxa"/>
            <w:gridSpan w:val="3"/>
            <w:vMerge/>
            <w:shd w:val="clear" w:color="auto" w:fill="FAE6E9"/>
            <w:vAlign w:val="bottom"/>
          </w:tcPr>
          <w:p w:rsidR="00CC2C66" w:rsidRDefault="00CC2C66">
            <w:pPr>
              <w:rPr>
                <w:sz w:val="8"/>
                <w:szCs w:val="8"/>
              </w:rPr>
            </w:pPr>
          </w:p>
        </w:tc>
        <w:tc>
          <w:tcPr>
            <w:tcW w:w="84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Number of</w:t>
            </w:r>
          </w:p>
        </w:tc>
        <w:tc>
          <w:tcPr>
            <w:tcW w:w="82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Number of</w:t>
            </w:r>
          </w:p>
        </w:tc>
        <w:tc>
          <w:tcPr>
            <w:tcW w:w="86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sz w:val="14"/>
                <w:szCs w:val="14"/>
              </w:rPr>
              <w:t>of</w:t>
            </w:r>
          </w:p>
        </w:tc>
        <w:tc>
          <w:tcPr>
            <w:tcW w:w="90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of Stock,</w:t>
            </w:r>
          </w:p>
        </w:tc>
        <w:tc>
          <w:tcPr>
            <w:tcW w:w="0" w:type="dxa"/>
            <w:vAlign w:val="bottom"/>
          </w:tcPr>
          <w:p w:rsidR="00CC2C66" w:rsidRDefault="00CC2C66">
            <w:pPr>
              <w:rPr>
                <w:sz w:val="1"/>
                <w:szCs w:val="1"/>
              </w:rPr>
            </w:pPr>
          </w:p>
        </w:tc>
      </w:tr>
      <w:tr w:rsidR="00CC2C66">
        <w:trPr>
          <w:trHeight w:val="51"/>
        </w:trPr>
        <w:tc>
          <w:tcPr>
            <w:tcW w:w="1200" w:type="dxa"/>
            <w:shd w:val="clear" w:color="auto" w:fill="FAE6E9"/>
            <w:vAlign w:val="bottom"/>
          </w:tcPr>
          <w:p w:rsidR="00CC2C66" w:rsidRDefault="00CC2C66">
            <w:pPr>
              <w:rPr>
                <w:sz w:val="4"/>
                <w:szCs w:val="4"/>
              </w:rPr>
            </w:pPr>
          </w:p>
        </w:tc>
        <w:tc>
          <w:tcPr>
            <w:tcW w:w="1260" w:type="dxa"/>
            <w:shd w:val="clear" w:color="auto" w:fill="FAE6E9"/>
            <w:vAlign w:val="bottom"/>
          </w:tcPr>
          <w:p w:rsidR="00CC2C66" w:rsidRDefault="00CC2C66">
            <w:pPr>
              <w:rPr>
                <w:sz w:val="4"/>
                <w:szCs w:val="4"/>
              </w:rPr>
            </w:pPr>
          </w:p>
        </w:tc>
        <w:tc>
          <w:tcPr>
            <w:tcW w:w="80" w:type="dxa"/>
            <w:shd w:val="clear" w:color="auto" w:fill="FAE6E9"/>
            <w:vAlign w:val="bottom"/>
          </w:tcPr>
          <w:p w:rsidR="00CC2C66" w:rsidRDefault="00CC2C66">
            <w:pPr>
              <w:rPr>
                <w:sz w:val="4"/>
                <w:szCs w:val="4"/>
              </w:rPr>
            </w:pPr>
          </w:p>
        </w:tc>
        <w:tc>
          <w:tcPr>
            <w:tcW w:w="2200" w:type="dxa"/>
            <w:gridSpan w:val="3"/>
            <w:vMerge w:val="restart"/>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8"/>
                <w:sz w:val="14"/>
                <w:szCs w:val="14"/>
              </w:rPr>
              <w:t>Under Non-Equity Incentive</w:t>
            </w:r>
          </w:p>
        </w:tc>
        <w:tc>
          <w:tcPr>
            <w:tcW w:w="180" w:type="dxa"/>
            <w:shd w:val="clear" w:color="auto" w:fill="FAE6E9"/>
            <w:vAlign w:val="bottom"/>
          </w:tcPr>
          <w:p w:rsidR="00CC2C66" w:rsidRDefault="00CC2C66">
            <w:pPr>
              <w:rPr>
                <w:sz w:val="4"/>
                <w:szCs w:val="4"/>
              </w:rPr>
            </w:pPr>
          </w:p>
        </w:tc>
        <w:tc>
          <w:tcPr>
            <w:tcW w:w="80" w:type="dxa"/>
            <w:shd w:val="clear" w:color="auto" w:fill="FAE6E9"/>
            <w:vAlign w:val="bottom"/>
          </w:tcPr>
          <w:p w:rsidR="00CC2C66" w:rsidRDefault="00CC2C66">
            <w:pPr>
              <w:rPr>
                <w:sz w:val="4"/>
                <w:szCs w:val="4"/>
              </w:rPr>
            </w:pPr>
          </w:p>
        </w:tc>
        <w:tc>
          <w:tcPr>
            <w:tcW w:w="2000" w:type="dxa"/>
            <w:gridSpan w:val="3"/>
            <w:vMerge w:val="restart"/>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7"/>
                <w:sz w:val="14"/>
                <w:szCs w:val="14"/>
              </w:rPr>
              <w:t>Under Equity Incentive</w:t>
            </w:r>
          </w:p>
        </w:tc>
        <w:tc>
          <w:tcPr>
            <w:tcW w:w="840" w:type="dxa"/>
            <w:vMerge/>
            <w:shd w:val="clear" w:color="auto" w:fill="FAE6E9"/>
            <w:vAlign w:val="bottom"/>
          </w:tcPr>
          <w:p w:rsidR="00CC2C66" w:rsidRDefault="00CC2C66">
            <w:pPr>
              <w:rPr>
                <w:sz w:val="4"/>
                <w:szCs w:val="4"/>
              </w:rPr>
            </w:pPr>
          </w:p>
        </w:tc>
        <w:tc>
          <w:tcPr>
            <w:tcW w:w="820" w:type="dxa"/>
            <w:vMerge/>
            <w:shd w:val="clear" w:color="auto" w:fill="FAE6E9"/>
            <w:vAlign w:val="bottom"/>
          </w:tcPr>
          <w:p w:rsidR="00CC2C66" w:rsidRDefault="00CC2C66">
            <w:pPr>
              <w:rPr>
                <w:sz w:val="4"/>
                <w:szCs w:val="4"/>
              </w:rPr>
            </w:pPr>
          </w:p>
        </w:tc>
        <w:tc>
          <w:tcPr>
            <w:tcW w:w="860" w:type="dxa"/>
            <w:vMerge/>
            <w:shd w:val="clear" w:color="auto" w:fill="FAE6E9"/>
            <w:vAlign w:val="bottom"/>
          </w:tcPr>
          <w:p w:rsidR="00CC2C66" w:rsidRDefault="00CC2C66">
            <w:pPr>
              <w:rPr>
                <w:sz w:val="4"/>
                <w:szCs w:val="4"/>
              </w:rPr>
            </w:pPr>
          </w:p>
        </w:tc>
        <w:tc>
          <w:tcPr>
            <w:tcW w:w="900" w:type="dxa"/>
            <w:vMerge/>
            <w:shd w:val="clear" w:color="auto" w:fill="FAE6E9"/>
            <w:vAlign w:val="bottom"/>
          </w:tcPr>
          <w:p w:rsidR="00CC2C66" w:rsidRDefault="00CC2C66">
            <w:pPr>
              <w:rPr>
                <w:sz w:val="4"/>
                <w:szCs w:val="4"/>
              </w:rPr>
            </w:pPr>
          </w:p>
        </w:tc>
        <w:tc>
          <w:tcPr>
            <w:tcW w:w="0" w:type="dxa"/>
            <w:vAlign w:val="bottom"/>
          </w:tcPr>
          <w:p w:rsidR="00CC2C66" w:rsidRDefault="00CC2C66">
            <w:pPr>
              <w:rPr>
                <w:sz w:val="1"/>
                <w:szCs w:val="1"/>
              </w:rPr>
            </w:pPr>
          </w:p>
        </w:tc>
      </w:tr>
      <w:tr w:rsidR="00CC2C66">
        <w:trPr>
          <w:trHeight w:val="99"/>
        </w:trPr>
        <w:tc>
          <w:tcPr>
            <w:tcW w:w="1200" w:type="dxa"/>
            <w:shd w:val="clear" w:color="auto" w:fill="FAE6E9"/>
            <w:vAlign w:val="bottom"/>
          </w:tcPr>
          <w:p w:rsidR="00CC2C66" w:rsidRDefault="00CC2C66">
            <w:pPr>
              <w:rPr>
                <w:sz w:val="8"/>
                <w:szCs w:val="8"/>
              </w:rPr>
            </w:pPr>
          </w:p>
        </w:tc>
        <w:tc>
          <w:tcPr>
            <w:tcW w:w="1260" w:type="dxa"/>
            <w:shd w:val="clear" w:color="auto" w:fill="FAE6E9"/>
            <w:vAlign w:val="bottom"/>
          </w:tcPr>
          <w:p w:rsidR="00CC2C66" w:rsidRDefault="00CC2C66">
            <w:pPr>
              <w:rPr>
                <w:sz w:val="8"/>
                <w:szCs w:val="8"/>
              </w:rPr>
            </w:pPr>
          </w:p>
        </w:tc>
        <w:tc>
          <w:tcPr>
            <w:tcW w:w="80" w:type="dxa"/>
            <w:shd w:val="clear" w:color="auto" w:fill="FAE6E9"/>
            <w:vAlign w:val="bottom"/>
          </w:tcPr>
          <w:p w:rsidR="00CC2C66" w:rsidRDefault="00CC2C66">
            <w:pPr>
              <w:rPr>
                <w:sz w:val="8"/>
                <w:szCs w:val="8"/>
              </w:rPr>
            </w:pPr>
          </w:p>
        </w:tc>
        <w:tc>
          <w:tcPr>
            <w:tcW w:w="2200" w:type="dxa"/>
            <w:gridSpan w:val="3"/>
            <w:vMerge/>
            <w:shd w:val="clear" w:color="auto" w:fill="FAE6E9"/>
            <w:vAlign w:val="bottom"/>
          </w:tcPr>
          <w:p w:rsidR="00CC2C66" w:rsidRDefault="00CC2C66">
            <w:pPr>
              <w:rPr>
                <w:sz w:val="8"/>
                <w:szCs w:val="8"/>
              </w:rPr>
            </w:pPr>
          </w:p>
        </w:tc>
        <w:tc>
          <w:tcPr>
            <w:tcW w:w="180" w:type="dxa"/>
            <w:shd w:val="clear" w:color="auto" w:fill="FAE6E9"/>
            <w:vAlign w:val="bottom"/>
          </w:tcPr>
          <w:p w:rsidR="00CC2C66" w:rsidRDefault="00CC2C66">
            <w:pPr>
              <w:rPr>
                <w:sz w:val="8"/>
                <w:szCs w:val="8"/>
              </w:rPr>
            </w:pPr>
          </w:p>
        </w:tc>
        <w:tc>
          <w:tcPr>
            <w:tcW w:w="80" w:type="dxa"/>
            <w:shd w:val="clear" w:color="auto" w:fill="FAE6E9"/>
            <w:vAlign w:val="bottom"/>
          </w:tcPr>
          <w:p w:rsidR="00CC2C66" w:rsidRDefault="00CC2C66">
            <w:pPr>
              <w:rPr>
                <w:sz w:val="8"/>
                <w:szCs w:val="8"/>
              </w:rPr>
            </w:pPr>
          </w:p>
        </w:tc>
        <w:tc>
          <w:tcPr>
            <w:tcW w:w="2000" w:type="dxa"/>
            <w:gridSpan w:val="3"/>
            <w:vMerge/>
            <w:shd w:val="clear" w:color="auto" w:fill="FAE6E9"/>
            <w:vAlign w:val="bottom"/>
          </w:tcPr>
          <w:p w:rsidR="00CC2C66" w:rsidRDefault="00CC2C66">
            <w:pPr>
              <w:rPr>
                <w:sz w:val="8"/>
                <w:szCs w:val="8"/>
              </w:rPr>
            </w:pPr>
          </w:p>
        </w:tc>
        <w:tc>
          <w:tcPr>
            <w:tcW w:w="84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Shares of</w:t>
            </w:r>
          </w:p>
        </w:tc>
        <w:tc>
          <w:tcPr>
            <w:tcW w:w="82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Securities</w:t>
            </w:r>
          </w:p>
        </w:tc>
        <w:tc>
          <w:tcPr>
            <w:tcW w:w="86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3"/>
                <w:sz w:val="14"/>
                <w:szCs w:val="14"/>
              </w:rPr>
              <w:t>Option/</w:t>
            </w:r>
          </w:p>
        </w:tc>
        <w:tc>
          <w:tcPr>
            <w:tcW w:w="900" w:type="dxa"/>
            <w:vMerge w:val="restart"/>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Option and</w:t>
            </w:r>
          </w:p>
        </w:tc>
        <w:tc>
          <w:tcPr>
            <w:tcW w:w="0" w:type="dxa"/>
            <w:vAlign w:val="bottom"/>
          </w:tcPr>
          <w:p w:rsidR="00CC2C66" w:rsidRDefault="00CC2C66">
            <w:pPr>
              <w:rPr>
                <w:sz w:val="1"/>
                <w:szCs w:val="1"/>
              </w:rPr>
            </w:pPr>
          </w:p>
        </w:tc>
      </w:tr>
      <w:tr w:rsidR="00CC2C66">
        <w:trPr>
          <w:trHeight w:val="55"/>
        </w:trPr>
        <w:tc>
          <w:tcPr>
            <w:tcW w:w="1200" w:type="dxa"/>
            <w:shd w:val="clear" w:color="auto" w:fill="FAE6E9"/>
            <w:vAlign w:val="bottom"/>
          </w:tcPr>
          <w:p w:rsidR="00CC2C66" w:rsidRDefault="00CC2C66">
            <w:pPr>
              <w:rPr>
                <w:sz w:val="4"/>
                <w:szCs w:val="4"/>
              </w:rPr>
            </w:pPr>
          </w:p>
        </w:tc>
        <w:tc>
          <w:tcPr>
            <w:tcW w:w="1260" w:type="dxa"/>
            <w:shd w:val="clear" w:color="auto" w:fill="FAE6E9"/>
            <w:vAlign w:val="bottom"/>
          </w:tcPr>
          <w:p w:rsidR="00CC2C66" w:rsidRDefault="00CC2C66">
            <w:pPr>
              <w:rPr>
                <w:sz w:val="4"/>
                <w:szCs w:val="4"/>
              </w:rPr>
            </w:pPr>
          </w:p>
        </w:tc>
        <w:tc>
          <w:tcPr>
            <w:tcW w:w="80" w:type="dxa"/>
            <w:shd w:val="clear" w:color="auto" w:fill="FAE6E9"/>
            <w:vAlign w:val="bottom"/>
          </w:tcPr>
          <w:p w:rsidR="00CC2C66" w:rsidRDefault="00CC2C66">
            <w:pPr>
              <w:rPr>
                <w:sz w:val="4"/>
                <w:szCs w:val="4"/>
              </w:rPr>
            </w:pPr>
          </w:p>
        </w:tc>
        <w:tc>
          <w:tcPr>
            <w:tcW w:w="2200" w:type="dxa"/>
            <w:gridSpan w:val="3"/>
            <w:vMerge w:val="restart"/>
            <w:shd w:val="clear" w:color="auto" w:fill="FAE6E9"/>
            <w:vAlign w:val="bottom"/>
          </w:tcPr>
          <w:p w:rsidR="00CC2C66" w:rsidRDefault="00F80B74">
            <w:pPr>
              <w:spacing w:line="146" w:lineRule="exact"/>
              <w:jc w:val="center"/>
              <w:rPr>
                <w:sz w:val="20"/>
                <w:szCs w:val="20"/>
              </w:rPr>
            </w:pPr>
            <w:r>
              <w:rPr>
                <w:rFonts w:ascii="Arial" w:eastAsia="Arial" w:hAnsi="Arial" w:cs="Arial"/>
                <w:b/>
                <w:bCs/>
                <w:color w:val="CF0A2C"/>
                <w:sz w:val="11"/>
                <w:szCs w:val="11"/>
              </w:rPr>
              <w:t>Plan Awards</w:t>
            </w:r>
            <w:r>
              <w:rPr>
                <w:rFonts w:ascii="Arial" w:eastAsia="Arial" w:hAnsi="Arial" w:cs="Arial"/>
                <w:b/>
                <w:bCs/>
                <w:color w:val="CF0A2C"/>
                <w:sz w:val="16"/>
                <w:szCs w:val="16"/>
                <w:vertAlign w:val="superscript"/>
              </w:rPr>
              <w:t>(1)</w:t>
            </w:r>
          </w:p>
        </w:tc>
        <w:tc>
          <w:tcPr>
            <w:tcW w:w="180" w:type="dxa"/>
            <w:shd w:val="clear" w:color="auto" w:fill="FAE6E9"/>
            <w:vAlign w:val="bottom"/>
          </w:tcPr>
          <w:p w:rsidR="00CC2C66" w:rsidRDefault="00CC2C66">
            <w:pPr>
              <w:rPr>
                <w:sz w:val="4"/>
                <w:szCs w:val="4"/>
              </w:rPr>
            </w:pPr>
          </w:p>
        </w:tc>
        <w:tc>
          <w:tcPr>
            <w:tcW w:w="80" w:type="dxa"/>
            <w:shd w:val="clear" w:color="auto" w:fill="FAE6E9"/>
            <w:vAlign w:val="bottom"/>
          </w:tcPr>
          <w:p w:rsidR="00CC2C66" w:rsidRDefault="00CC2C66">
            <w:pPr>
              <w:rPr>
                <w:sz w:val="4"/>
                <w:szCs w:val="4"/>
              </w:rPr>
            </w:pPr>
          </w:p>
        </w:tc>
        <w:tc>
          <w:tcPr>
            <w:tcW w:w="2000" w:type="dxa"/>
            <w:gridSpan w:val="3"/>
            <w:vMerge w:val="restart"/>
            <w:shd w:val="clear" w:color="auto" w:fill="FAE6E9"/>
            <w:vAlign w:val="bottom"/>
          </w:tcPr>
          <w:p w:rsidR="00CC2C66" w:rsidRDefault="00F80B74">
            <w:pPr>
              <w:spacing w:line="147" w:lineRule="exact"/>
              <w:jc w:val="center"/>
              <w:rPr>
                <w:sz w:val="20"/>
                <w:szCs w:val="20"/>
              </w:rPr>
            </w:pPr>
            <w:r>
              <w:rPr>
                <w:rFonts w:ascii="Arial" w:eastAsia="Arial" w:hAnsi="Arial" w:cs="Arial"/>
                <w:b/>
                <w:bCs/>
                <w:color w:val="CF0A2C"/>
                <w:w w:val="95"/>
                <w:sz w:val="14"/>
                <w:szCs w:val="14"/>
              </w:rPr>
              <w:t>Plan Awards</w:t>
            </w:r>
          </w:p>
        </w:tc>
        <w:tc>
          <w:tcPr>
            <w:tcW w:w="840" w:type="dxa"/>
            <w:vMerge/>
            <w:shd w:val="clear" w:color="auto" w:fill="FAE6E9"/>
            <w:vAlign w:val="bottom"/>
          </w:tcPr>
          <w:p w:rsidR="00CC2C66" w:rsidRDefault="00CC2C66">
            <w:pPr>
              <w:rPr>
                <w:sz w:val="4"/>
                <w:szCs w:val="4"/>
              </w:rPr>
            </w:pPr>
          </w:p>
        </w:tc>
        <w:tc>
          <w:tcPr>
            <w:tcW w:w="820" w:type="dxa"/>
            <w:vMerge/>
            <w:shd w:val="clear" w:color="auto" w:fill="FAE6E9"/>
            <w:vAlign w:val="bottom"/>
          </w:tcPr>
          <w:p w:rsidR="00CC2C66" w:rsidRDefault="00CC2C66">
            <w:pPr>
              <w:rPr>
                <w:sz w:val="4"/>
                <w:szCs w:val="4"/>
              </w:rPr>
            </w:pPr>
          </w:p>
        </w:tc>
        <w:tc>
          <w:tcPr>
            <w:tcW w:w="860" w:type="dxa"/>
            <w:vMerge/>
            <w:shd w:val="clear" w:color="auto" w:fill="FAE6E9"/>
            <w:vAlign w:val="bottom"/>
          </w:tcPr>
          <w:p w:rsidR="00CC2C66" w:rsidRDefault="00CC2C66">
            <w:pPr>
              <w:rPr>
                <w:sz w:val="4"/>
                <w:szCs w:val="4"/>
              </w:rPr>
            </w:pPr>
          </w:p>
        </w:tc>
        <w:tc>
          <w:tcPr>
            <w:tcW w:w="900" w:type="dxa"/>
            <w:vMerge/>
            <w:shd w:val="clear" w:color="auto" w:fill="FAE6E9"/>
            <w:vAlign w:val="bottom"/>
          </w:tcPr>
          <w:p w:rsidR="00CC2C66" w:rsidRDefault="00CC2C66">
            <w:pPr>
              <w:rPr>
                <w:sz w:val="4"/>
                <w:szCs w:val="4"/>
              </w:rPr>
            </w:pPr>
          </w:p>
        </w:tc>
        <w:tc>
          <w:tcPr>
            <w:tcW w:w="0" w:type="dxa"/>
            <w:vAlign w:val="bottom"/>
          </w:tcPr>
          <w:p w:rsidR="00CC2C66" w:rsidRDefault="00CC2C66">
            <w:pPr>
              <w:rPr>
                <w:sz w:val="1"/>
                <w:szCs w:val="1"/>
              </w:rPr>
            </w:pPr>
          </w:p>
        </w:tc>
      </w:tr>
      <w:tr w:rsidR="00CC2C66">
        <w:trPr>
          <w:trHeight w:val="112"/>
        </w:trPr>
        <w:tc>
          <w:tcPr>
            <w:tcW w:w="1200" w:type="dxa"/>
            <w:tcBorders>
              <w:bottom w:val="single" w:sz="8" w:space="0" w:color="FAE6E9"/>
            </w:tcBorders>
            <w:shd w:val="clear" w:color="auto" w:fill="FAE6E9"/>
            <w:vAlign w:val="bottom"/>
          </w:tcPr>
          <w:p w:rsidR="00CC2C66" w:rsidRDefault="00CC2C66">
            <w:pPr>
              <w:rPr>
                <w:sz w:val="9"/>
                <w:szCs w:val="9"/>
              </w:rPr>
            </w:pPr>
          </w:p>
        </w:tc>
        <w:tc>
          <w:tcPr>
            <w:tcW w:w="1260" w:type="dxa"/>
            <w:tcBorders>
              <w:bottom w:val="single" w:sz="8" w:space="0" w:color="FAE6E9"/>
            </w:tcBorders>
            <w:shd w:val="clear" w:color="auto" w:fill="FAE6E9"/>
            <w:vAlign w:val="bottom"/>
          </w:tcPr>
          <w:p w:rsidR="00CC2C66" w:rsidRDefault="00CC2C66">
            <w:pPr>
              <w:rPr>
                <w:sz w:val="9"/>
                <w:szCs w:val="9"/>
              </w:rPr>
            </w:pPr>
          </w:p>
        </w:tc>
        <w:tc>
          <w:tcPr>
            <w:tcW w:w="80" w:type="dxa"/>
            <w:tcBorders>
              <w:bottom w:val="single" w:sz="8" w:space="0" w:color="CF0A2C"/>
            </w:tcBorders>
            <w:shd w:val="clear" w:color="auto" w:fill="FAE6E9"/>
            <w:vAlign w:val="bottom"/>
          </w:tcPr>
          <w:p w:rsidR="00CC2C66" w:rsidRDefault="00CC2C66">
            <w:pPr>
              <w:rPr>
                <w:sz w:val="9"/>
                <w:szCs w:val="9"/>
              </w:rPr>
            </w:pPr>
          </w:p>
        </w:tc>
        <w:tc>
          <w:tcPr>
            <w:tcW w:w="2200" w:type="dxa"/>
            <w:gridSpan w:val="3"/>
            <w:vMerge/>
            <w:tcBorders>
              <w:bottom w:val="single" w:sz="8" w:space="0" w:color="CF0A2C"/>
            </w:tcBorders>
            <w:shd w:val="clear" w:color="auto" w:fill="FAE6E9"/>
            <w:vAlign w:val="bottom"/>
          </w:tcPr>
          <w:p w:rsidR="00CC2C66" w:rsidRDefault="00CC2C66">
            <w:pPr>
              <w:rPr>
                <w:sz w:val="9"/>
                <w:szCs w:val="9"/>
              </w:rPr>
            </w:pPr>
          </w:p>
        </w:tc>
        <w:tc>
          <w:tcPr>
            <w:tcW w:w="180" w:type="dxa"/>
            <w:tcBorders>
              <w:bottom w:val="single" w:sz="8" w:space="0" w:color="FAE6E9"/>
            </w:tcBorders>
            <w:shd w:val="clear" w:color="auto" w:fill="FAE6E9"/>
            <w:vAlign w:val="bottom"/>
          </w:tcPr>
          <w:p w:rsidR="00CC2C66" w:rsidRDefault="00CC2C66">
            <w:pPr>
              <w:rPr>
                <w:sz w:val="9"/>
                <w:szCs w:val="9"/>
              </w:rPr>
            </w:pPr>
          </w:p>
        </w:tc>
        <w:tc>
          <w:tcPr>
            <w:tcW w:w="80" w:type="dxa"/>
            <w:tcBorders>
              <w:bottom w:val="single" w:sz="8" w:space="0" w:color="CF0A2C"/>
            </w:tcBorders>
            <w:shd w:val="clear" w:color="auto" w:fill="FAE6E9"/>
            <w:vAlign w:val="bottom"/>
          </w:tcPr>
          <w:p w:rsidR="00CC2C66" w:rsidRDefault="00CC2C66">
            <w:pPr>
              <w:rPr>
                <w:sz w:val="9"/>
                <w:szCs w:val="9"/>
              </w:rPr>
            </w:pPr>
          </w:p>
        </w:tc>
        <w:tc>
          <w:tcPr>
            <w:tcW w:w="2000" w:type="dxa"/>
            <w:gridSpan w:val="3"/>
            <w:vMerge/>
            <w:tcBorders>
              <w:bottom w:val="single" w:sz="8" w:space="0" w:color="CF0A2C"/>
            </w:tcBorders>
            <w:shd w:val="clear" w:color="auto" w:fill="FAE6E9"/>
            <w:vAlign w:val="bottom"/>
          </w:tcPr>
          <w:p w:rsidR="00CC2C66" w:rsidRDefault="00CC2C66">
            <w:pPr>
              <w:rPr>
                <w:sz w:val="9"/>
                <w:szCs w:val="9"/>
              </w:rPr>
            </w:pPr>
          </w:p>
        </w:tc>
        <w:tc>
          <w:tcPr>
            <w:tcW w:w="840" w:type="dxa"/>
            <w:vMerge w:val="restart"/>
            <w:tcBorders>
              <w:bottom w:val="single" w:sz="8" w:space="0" w:color="FAE6E9"/>
            </w:tcBorders>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Stock or</w:t>
            </w:r>
          </w:p>
        </w:tc>
        <w:tc>
          <w:tcPr>
            <w:tcW w:w="820" w:type="dxa"/>
            <w:vMerge w:val="restart"/>
            <w:tcBorders>
              <w:bottom w:val="single" w:sz="8" w:space="0" w:color="FAE6E9"/>
            </w:tcBorders>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Underlying</w:t>
            </w:r>
          </w:p>
        </w:tc>
        <w:tc>
          <w:tcPr>
            <w:tcW w:w="860" w:type="dxa"/>
            <w:vMerge w:val="restart"/>
            <w:tcBorders>
              <w:bottom w:val="single" w:sz="8" w:space="0" w:color="FAE6E9"/>
            </w:tcBorders>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sz w:val="14"/>
                <w:szCs w:val="14"/>
              </w:rPr>
              <w:t>SAR</w:t>
            </w:r>
          </w:p>
        </w:tc>
        <w:tc>
          <w:tcPr>
            <w:tcW w:w="900" w:type="dxa"/>
            <w:vMerge w:val="restart"/>
            <w:tcBorders>
              <w:bottom w:val="single" w:sz="8" w:space="0" w:color="FAE6E9"/>
            </w:tcBorders>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SAR</w:t>
            </w:r>
          </w:p>
        </w:tc>
        <w:tc>
          <w:tcPr>
            <w:tcW w:w="0" w:type="dxa"/>
            <w:vAlign w:val="bottom"/>
          </w:tcPr>
          <w:p w:rsidR="00CC2C66" w:rsidRDefault="00CC2C66">
            <w:pPr>
              <w:rPr>
                <w:sz w:val="1"/>
                <w:szCs w:val="1"/>
              </w:rPr>
            </w:pPr>
          </w:p>
        </w:tc>
      </w:tr>
      <w:tr w:rsidR="00CC2C66">
        <w:trPr>
          <w:trHeight w:val="22"/>
        </w:trPr>
        <w:tc>
          <w:tcPr>
            <w:tcW w:w="1200" w:type="dxa"/>
            <w:shd w:val="clear" w:color="auto" w:fill="FAE6E9"/>
            <w:vAlign w:val="bottom"/>
          </w:tcPr>
          <w:p w:rsidR="00CC2C66" w:rsidRDefault="00CC2C66">
            <w:pPr>
              <w:spacing w:line="20" w:lineRule="exact"/>
              <w:rPr>
                <w:sz w:val="1"/>
                <w:szCs w:val="1"/>
              </w:rPr>
            </w:pPr>
          </w:p>
        </w:tc>
        <w:tc>
          <w:tcPr>
            <w:tcW w:w="1260" w:type="dxa"/>
            <w:shd w:val="clear" w:color="auto" w:fill="FAE6E9"/>
            <w:vAlign w:val="bottom"/>
          </w:tcPr>
          <w:p w:rsidR="00CC2C66" w:rsidRDefault="00CC2C66">
            <w:pPr>
              <w:spacing w:line="20" w:lineRule="exact"/>
              <w:rPr>
                <w:sz w:val="1"/>
                <w:szCs w:val="1"/>
              </w:rPr>
            </w:pPr>
          </w:p>
        </w:tc>
        <w:tc>
          <w:tcPr>
            <w:tcW w:w="80" w:type="dxa"/>
            <w:shd w:val="clear" w:color="auto" w:fill="FAE6E9"/>
            <w:vAlign w:val="bottom"/>
          </w:tcPr>
          <w:p w:rsidR="00CC2C66" w:rsidRDefault="00CC2C66">
            <w:pPr>
              <w:spacing w:line="20" w:lineRule="exact"/>
              <w:rPr>
                <w:sz w:val="1"/>
                <w:szCs w:val="1"/>
              </w:rPr>
            </w:pPr>
          </w:p>
        </w:tc>
        <w:tc>
          <w:tcPr>
            <w:tcW w:w="760" w:type="dxa"/>
            <w:shd w:val="clear" w:color="auto" w:fill="FAE6E9"/>
            <w:vAlign w:val="bottom"/>
          </w:tcPr>
          <w:p w:rsidR="00CC2C66" w:rsidRDefault="00CC2C66">
            <w:pPr>
              <w:spacing w:line="20" w:lineRule="exact"/>
              <w:rPr>
                <w:sz w:val="1"/>
                <w:szCs w:val="1"/>
              </w:rPr>
            </w:pPr>
          </w:p>
        </w:tc>
        <w:tc>
          <w:tcPr>
            <w:tcW w:w="700" w:type="dxa"/>
            <w:shd w:val="clear" w:color="auto" w:fill="FAE6E9"/>
            <w:vAlign w:val="bottom"/>
          </w:tcPr>
          <w:p w:rsidR="00CC2C66" w:rsidRDefault="00CC2C66">
            <w:pPr>
              <w:spacing w:line="20" w:lineRule="exact"/>
              <w:rPr>
                <w:sz w:val="1"/>
                <w:szCs w:val="1"/>
              </w:rPr>
            </w:pPr>
          </w:p>
        </w:tc>
        <w:tc>
          <w:tcPr>
            <w:tcW w:w="740" w:type="dxa"/>
            <w:shd w:val="clear" w:color="auto" w:fill="FAE6E9"/>
            <w:vAlign w:val="bottom"/>
          </w:tcPr>
          <w:p w:rsidR="00CC2C66" w:rsidRDefault="00CC2C66">
            <w:pPr>
              <w:spacing w:line="20" w:lineRule="exact"/>
              <w:rPr>
                <w:sz w:val="1"/>
                <w:szCs w:val="1"/>
              </w:rPr>
            </w:pPr>
          </w:p>
        </w:tc>
        <w:tc>
          <w:tcPr>
            <w:tcW w:w="180" w:type="dxa"/>
            <w:shd w:val="clear" w:color="auto" w:fill="FAE6E9"/>
            <w:vAlign w:val="bottom"/>
          </w:tcPr>
          <w:p w:rsidR="00CC2C66" w:rsidRDefault="00CC2C66">
            <w:pPr>
              <w:spacing w:line="20" w:lineRule="exact"/>
              <w:rPr>
                <w:sz w:val="1"/>
                <w:szCs w:val="1"/>
              </w:rPr>
            </w:pPr>
          </w:p>
        </w:tc>
        <w:tc>
          <w:tcPr>
            <w:tcW w:w="80" w:type="dxa"/>
            <w:shd w:val="clear" w:color="auto" w:fill="FAE6E9"/>
            <w:vAlign w:val="bottom"/>
          </w:tcPr>
          <w:p w:rsidR="00CC2C66" w:rsidRDefault="00CC2C66">
            <w:pPr>
              <w:spacing w:line="20" w:lineRule="exact"/>
              <w:rPr>
                <w:sz w:val="1"/>
                <w:szCs w:val="1"/>
              </w:rPr>
            </w:pPr>
          </w:p>
        </w:tc>
        <w:tc>
          <w:tcPr>
            <w:tcW w:w="720" w:type="dxa"/>
            <w:shd w:val="clear" w:color="auto" w:fill="FAE6E9"/>
            <w:vAlign w:val="bottom"/>
          </w:tcPr>
          <w:p w:rsidR="00CC2C66" w:rsidRDefault="00CC2C66">
            <w:pPr>
              <w:spacing w:line="20" w:lineRule="exact"/>
              <w:rPr>
                <w:sz w:val="1"/>
                <w:szCs w:val="1"/>
              </w:rPr>
            </w:pPr>
          </w:p>
        </w:tc>
        <w:tc>
          <w:tcPr>
            <w:tcW w:w="560" w:type="dxa"/>
            <w:shd w:val="clear" w:color="auto" w:fill="FAE6E9"/>
            <w:vAlign w:val="bottom"/>
          </w:tcPr>
          <w:p w:rsidR="00CC2C66" w:rsidRDefault="00CC2C66">
            <w:pPr>
              <w:spacing w:line="20" w:lineRule="exact"/>
              <w:rPr>
                <w:sz w:val="1"/>
                <w:szCs w:val="1"/>
              </w:rPr>
            </w:pPr>
          </w:p>
        </w:tc>
        <w:tc>
          <w:tcPr>
            <w:tcW w:w="720" w:type="dxa"/>
            <w:shd w:val="clear" w:color="auto" w:fill="FAE6E9"/>
            <w:vAlign w:val="bottom"/>
          </w:tcPr>
          <w:p w:rsidR="00CC2C66" w:rsidRDefault="00CC2C66">
            <w:pPr>
              <w:spacing w:line="20" w:lineRule="exact"/>
              <w:rPr>
                <w:sz w:val="1"/>
                <w:szCs w:val="1"/>
              </w:rPr>
            </w:pPr>
          </w:p>
        </w:tc>
        <w:tc>
          <w:tcPr>
            <w:tcW w:w="840" w:type="dxa"/>
            <w:vMerge/>
            <w:shd w:val="clear" w:color="auto" w:fill="FAE6E9"/>
            <w:vAlign w:val="bottom"/>
          </w:tcPr>
          <w:p w:rsidR="00CC2C66" w:rsidRDefault="00CC2C66">
            <w:pPr>
              <w:spacing w:line="20" w:lineRule="exact"/>
              <w:rPr>
                <w:sz w:val="1"/>
                <w:szCs w:val="1"/>
              </w:rPr>
            </w:pPr>
          </w:p>
        </w:tc>
        <w:tc>
          <w:tcPr>
            <w:tcW w:w="820" w:type="dxa"/>
            <w:vMerge/>
            <w:shd w:val="clear" w:color="auto" w:fill="FAE6E9"/>
            <w:vAlign w:val="bottom"/>
          </w:tcPr>
          <w:p w:rsidR="00CC2C66" w:rsidRDefault="00CC2C66">
            <w:pPr>
              <w:spacing w:line="20" w:lineRule="exact"/>
              <w:rPr>
                <w:sz w:val="1"/>
                <w:szCs w:val="1"/>
              </w:rPr>
            </w:pPr>
          </w:p>
        </w:tc>
        <w:tc>
          <w:tcPr>
            <w:tcW w:w="860" w:type="dxa"/>
            <w:vMerge/>
            <w:shd w:val="clear" w:color="auto" w:fill="FAE6E9"/>
            <w:vAlign w:val="bottom"/>
          </w:tcPr>
          <w:p w:rsidR="00CC2C66" w:rsidRDefault="00CC2C66">
            <w:pPr>
              <w:spacing w:line="20" w:lineRule="exact"/>
              <w:rPr>
                <w:sz w:val="1"/>
                <w:szCs w:val="1"/>
              </w:rPr>
            </w:pPr>
          </w:p>
        </w:tc>
        <w:tc>
          <w:tcPr>
            <w:tcW w:w="900" w:type="dxa"/>
            <w:vMerge/>
            <w:shd w:val="clear" w:color="auto" w:fill="FAE6E9"/>
            <w:vAlign w:val="bottom"/>
          </w:tcPr>
          <w:p w:rsidR="00CC2C66" w:rsidRDefault="00CC2C66">
            <w:pPr>
              <w:spacing w:line="20" w:lineRule="exact"/>
              <w:rPr>
                <w:sz w:val="1"/>
                <w:szCs w:val="1"/>
              </w:rPr>
            </w:pPr>
          </w:p>
        </w:tc>
        <w:tc>
          <w:tcPr>
            <w:tcW w:w="0" w:type="dxa"/>
            <w:vAlign w:val="bottom"/>
          </w:tcPr>
          <w:p w:rsidR="00CC2C66" w:rsidRDefault="00CC2C66">
            <w:pPr>
              <w:spacing w:line="20" w:lineRule="exact"/>
              <w:rPr>
                <w:sz w:val="1"/>
                <w:szCs w:val="1"/>
              </w:rPr>
            </w:pPr>
          </w:p>
        </w:tc>
      </w:tr>
      <w:tr w:rsidR="00CC2C66">
        <w:trPr>
          <w:trHeight w:val="150"/>
        </w:trPr>
        <w:tc>
          <w:tcPr>
            <w:tcW w:w="1200" w:type="dxa"/>
            <w:shd w:val="clear" w:color="auto" w:fill="FAE6E9"/>
            <w:vAlign w:val="bottom"/>
          </w:tcPr>
          <w:p w:rsidR="00CC2C66" w:rsidRDefault="00CC2C66">
            <w:pPr>
              <w:rPr>
                <w:sz w:val="13"/>
                <w:szCs w:val="13"/>
              </w:rPr>
            </w:pPr>
          </w:p>
        </w:tc>
        <w:tc>
          <w:tcPr>
            <w:tcW w:w="1260" w:type="dxa"/>
            <w:shd w:val="clear" w:color="auto" w:fill="FAE6E9"/>
            <w:vAlign w:val="bottom"/>
          </w:tcPr>
          <w:p w:rsidR="00CC2C66" w:rsidRDefault="00F80B74">
            <w:pPr>
              <w:spacing w:line="150" w:lineRule="exact"/>
              <w:ind w:left="297"/>
              <w:jc w:val="center"/>
              <w:rPr>
                <w:sz w:val="20"/>
                <w:szCs w:val="20"/>
              </w:rPr>
            </w:pPr>
            <w:r>
              <w:rPr>
                <w:rFonts w:ascii="Arial" w:eastAsia="Arial" w:hAnsi="Arial" w:cs="Arial"/>
                <w:b/>
                <w:bCs/>
                <w:color w:val="CF0A2C"/>
                <w:sz w:val="14"/>
                <w:szCs w:val="14"/>
              </w:rPr>
              <w:t>Grant</w:t>
            </w:r>
          </w:p>
        </w:tc>
        <w:tc>
          <w:tcPr>
            <w:tcW w:w="80" w:type="dxa"/>
            <w:shd w:val="clear" w:color="auto" w:fill="FAE6E9"/>
            <w:vAlign w:val="bottom"/>
          </w:tcPr>
          <w:p w:rsidR="00CC2C66" w:rsidRDefault="00CC2C66">
            <w:pPr>
              <w:rPr>
                <w:sz w:val="13"/>
                <w:szCs w:val="13"/>
              </w:rPr>
            </w:pPr>
          </w:p>
        </w:tc>
        <w:tc>
          <w:tcPr>
            <w:tcW w:w="760" w:type="dxa"/>
            <w:shd w:val="clear" w:color="auto" w:fill="FAE6E9"/>
            <w:vAlign w:val="bottom"/>
          </w:tcPr>
          <w:p w:rsidR="00CC2C66" w:rsidRDefault="00F80B74">
            <w:pPr>
              <w:spacing w:line="150" w:lineRule="exact"/>
              <w:ind w:right="36"/>
              <w:jc w:val="right"/>
              <w:rPr>
                <w:sz w:val="20"/>
                <w:szCs w:val="20"/>
              </w:rPr>
            </w:pPr>
            <w:r>
              <w:rPr>
                <w:rFonts w:ascii="Arial" w:eastAsia="Arial" w:hAnsi="Arial" w:cs="Arial"/>
                <w:b/>
                <w:bCs/>
                <w:color w:val="CF0A2C"/>
                <w:w w:val="94"/>
                <w:sz w:val="14"/>
                <w:szCs w:val="14"/>
              </w:rPr>
              <w:t>Threshold</w:t>
            </w:r>
          </w:p>
        </w:tc>
        <w:tc>
          <w:tcPr>
            <w:tcW w:w="70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8"/>
                <w:sz w:val="14"/>
                <w:szCs w:val="14"/>
              </w:rPr>
              <w:t>Target</w:t>
            </w:r>
          </w:p>
        </w:tc>
        <w:tc>
          <w:tcPr>
            <w:tcW w:w="740" w:type="dxa"/>
            <w:shd w:val="clear" w:color="auto" w:fill="FAE6E9"/>
            <w:vAlign w:val="bottom"/>
          </w:tcPr>
          <w:p w:rsidR="00CC2C66" w:rsidRDefault="00F80B74">
            <w:pPr>
              <w:spacing w:line="150" w:lineRule="exact"/>
              <w:jc w:val="right"/>
              <w:rPr>
                <w:sz w:val="20"/>
                <w:szCs w:val="20"/>
              </w:rPr>
            </w:pPr>
            <w:r>
              <w:rPr>
                <w:rFonts w:ascii="Arial" w:eastAsia="Arial" w:hAnsi="Arial" w:cs="Arial"/>
                <w:b/>
                <w:bCs/>
                <w:color w:val="CF0A2C"/>
                <w:sz w:val="14"/>
                <w:szCs w:val="14"/>
              </w:rPr>
              <w:t>Maximum</w:t>
            </w:r>
          </w:p>
        </w:tc>
        <w:tc>
          <w:tcPr>
            <w:tcW w:w="180" w:type="dxa"/>
            <w:shd w:val="clear" w:color="auto" w:fill="FAE6E9"/>
            <w:vAlign w:val="bottom"/>
          </w:tcPr>
          <w:p w:rsidR="00CC2C66" w:rsidRDefault="00CC2C66">
            <w:pPr>
              <w:rPr>
                <w:sz w:val="13"/>
                <w:szCs w:val="13"/>
              </w:rPr>
            </w:pPr>
          </w:p>
        </w:tc>
        <w:tc>
          <w:tcPr>
            <w:tcW w:w="80" w:type="dxa"/>
            <w:shd w:val="clear" w:color="auto" w:fill="FAE6E9"/>
            <w:vAlign w:val="bottom"/>
          </w:tcPr>
          <w:p w:rsidR="00CC2C66" w:rsidRDefault="00CC2C66">
            <w:pPr>
              <w:rPr>
                <w:sz w:val="13"/>
                <w:szCs w:val="13"/>
              </w:rPr>
            </w:pPr>
          </w:p>
        </w:tc>
        <w:tc>
          <w:tcPr>
            <w:tcW w:w="72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7"/>
                <w:sz w:val="14"/>
                <w:szCs w:val="14"/>
              </w:rPr>
              <w:t>Threshold</w:t>
            </w:r>
          </w:p>
        </w:tc>
        <w:tc>
          <w:tcPr>
            <w:tcW w:w="56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3"/>
                <w:sz w:val="14"/>
                <w:szCs w:val="14"/>
              </w:rPr>
              <w:t>Target</w:t>
            </w:r>
          </w:p>
        </w:tc>
        <w:tc>
          <w:tcPr>
            <w:tcW w:w="720" w:type="dxa"/>
            <w:shd w:val="clear" w:color="auto" w:fill="FAE6E9"/>
            <w:vAlign w:val="bottom"/>
          </w:tcPr>
          <w:p w:rsidR="00CC2C66" w:rsidRDefault="00F80B74">
            <w:pPr>
              <w:spacing w:line="150" w:lineRule="exact"/>
              <w:jc w:val="right"/>
              <w:rPr>
                <w:sz w:val="20"/>
                <w:szCs w:val="20"/>
              </w:rPr>
            </w:pPr>
            <w:r>
              <w:rPr>
                <w:rFonts w:ascii="Arial" w:eastAsia="Arial" w:hAnsi="Arial" w:cs="Arial"/>
                <w:b/>
                <w:bCs/>
                <w:color w:val="CF0A2C"/>
                <w:sz w:val="14"/>
                <w:szCs w:val="14"/>
              </w:rPr>
              <w:t>Maximum</w:t>
            </w:r>
          </w:p>
        </w:tc>
        <w:tc>
          <w:tcPr>
            <w:tcW w:w="84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7"/>
                <w:sz w:val="14"/>
                <w:szCs w:val="14"/>
              </w:rPr>
              <w:t>Units</w:t>
            </w:r>
          </w:p>
        </w:tc>
        <w:tc>
          <w:tcPr>
            <w:tcW w:w="82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8"/>
                <w:sz w:val="14"/>
                <w:szCs w:val="14"/>
              </w:rPr>
              <w:t>Options</w:t>
            </w:r>
          </w:p>
        </w:tc>
        <w:tc>
          <w:tcPr>
            <w:tcW w:w="86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8"/>
                <w:sz w:val="14"/>
                <w:szCs w:val="14"/>
              </w:rPr>
              <w:t>Awards</w:t>
            </w:r>
          </w:p>
        </w:tc>
        <w:tc>
          <w:tcPr>
            <w:tcW w:w="90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4"/>
                <w:sz w:val="14"/>
                <w:szCs w:val="14"/>
              </w:rPr>
              <w:t>Awards</w:t>
            </w:r>
          </w:p>
        </w:tc>
        <w:tc>
          <w:tcPr>
            <w:tcW w:w="0" w:type="dxa"/>
            <w:vAlign w:val="bottom"/>
          </w:tcPr>
          <w:p w:rsidR="00CC2C66" w:rsidRDefault="00CC2C66">
            <w:pPr>
              <w:rPr>
                <w:sz w:val="1"/>
                <w:szCs w:val="1"/>
              </w:rPr>
            </w:pPr>
          </w:p>
        </w:tc>
      </w:tr>
      <w:tr w:rsidR="00CC2C66">
        <w:trPr>
          <w:trHeight w:val="179"/>
        </w:trPr>
        <w:tc>
          <w:tcPr>
            <w:tcW w:w="1200" w:type="dxa"/>
            <w:tcBorders>
              <w:bottom w:val="single" w:sz="8" w:space="0" w:color="CF0A2C"/>
            </w:tcBorders>
            <w:shd w:val="clear" w:color="auto" w:fill="FAE6E9"/>
            <w:vAlign w:val="bottom"/>
          </w:tcPr>
          <w:p w:rsidR="00CC2C66" w:rsidRDefault="00F80B74">
            <w:pPr>
              <w:ind w:left="20"/>
              <w:rPr>
                <w:sz w:val="20"/>
                <w:szCs w:val="20"/>
              </w:rPr>
            </w:pPr>
            <w:r>
              <w:rPr>
                <w:rFonts w:ascii="Arial" w:eastAsia="Arial" w:hAnsi="Arial" w:cs="Arial"/>
                <w:b/>
                <w:bCs/>
                <w:color w:val="CF0A2C"/>
                <w:sz w:val="14"/>
                <w:szCs w:val="14"/>
              </w:rPr>
              <w:t>Name</w:t>
            </w:r>
          </w:p>
        </w:tc>
        <w:tc>
          <w:tcPr>
            <w:tcW w:w="1260" w:type="dxa"/>
            <w:tcBorders>
              <w:bottom w:val="single" w:sz="8" w:space="0" w:color="CF0A2C"/>
            </w:tcBorders>
            <w:shd w:val="clear" w:color="auto" w:fill="FAE6E9"/>
            <w:vAlign w:val="bottom"/>
          </w:tcPr>
          <w:p w:rsidR="00CC2C66" w:rsidRDefault="00F80B74">
            <w:pPr>
              <w:ind w:left="297"/>
              <w:jc w:val="center"/>
              <w:rPr>
                <w:sz w:val="20"/>
                <w:szCs w:val="20"/>
              </w:rPr>
            </w:pPr>
            <w:r>
              <w:rPr>
                <w:rFonts w:ascii="Arial" w:eastAsia="Arial" w:hAnsi="Arial" w:cs="Arial"/>
                <w:b/>
                <w:bCs/>
                <w:color w:val="CF0A2C"/>
                <w:w w:val="98"/>
                <w:sz w:val="14"/>
                <w:szCs w:val="14"/>
              </w:rPr>
              <w:t>Date</w:t>
            </w:r>
          </w:p>
        </w:tc>
        <w:tc>
          <w:tcPr>
            <w:tcW w:w="80" w:type="dxa"/>
            <w:tcBorders>
              <w:bottom w:val="single" w:sz="8" w:space="0" w:color="CF0A2C"/>
            </w:tcBorders>
            <w:shd w:val="clear" w:color="auto" w:fill="FAE6E9"/>
            <w:vAlign w:val="bottom"/>
          </w:tcPr>
          <w:p w:rsidR="00CC2C66" w:rsidRDefault="00CC2C66">
            <w:pPr>
              <w:rPr>
                <w:sz w:val="15"/>
                <w:szCs w:val="15"/>
              </w:rPr>
            </w:pPr>
          </w:p>
        </w:tc>
        <w:tc>
          <w:tcPr>
            <w:tcW w:w="760" w:type="dxa"/>
            <w:tcBorders>
              <w:bottom w:val="single" w:sz="8" w:space="0" w:color="CF0A2C"/>
            </w:tcBorders>
            <w:shd w:val="clear" w:color="auto" w:fill="FAE6E9"/>
            <w:vAlign w:val="bottom"/>
          </w:tcPr>
          <w:p w:rsidR="00CC2C66" w:rsidRDefault="00F80B74">
            <w:pPr>
              <w:ind w:right="276"/>
              <w:jc w:val="right"/>
              <w:rPr>
                <w:sz w:val="20"/>
                <w:szCs w:val="20"/>
              </w:rPr>
            </w:pPr>
            <w:r>
              <w:rPr>
                <w:rFonts w:ascii="Arial" w:eastAsia="Arial" w:hAnsi="Arial" w:cs="Arial"/>
                <w:b/>
                <w:bCs/>
                <w:color w:val="CF0A2C"/>
                <w:sz w:val="14"/>
                <w:szCs w:val="14"/>
              </w:rPr>
              <w:t>($)</w:t>
            </w:r>
          </w:p>
        </w:tc>
        <w:tc>
          <w:tcPr>
            <w:tcW w:w="70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sz w:val="14"/>
                <w:szCs w:val="14"/>
              </w:rPr>
              <w:t>($)</w:t>
            </w:r>
          </w:p>
        </w:tc>
        <w:tc>
          <w:tcPr>
            <w:tcW w:w="740" w:type="dxa"/>
            <w:tcBorders>
              <w:bottom w:val="single" w:sz="8" w:space="0" w:color="CF0A2C"/>
            </w:tcBorders>
            <w:shd w:val="clear" w:color="auto" w:fill="FAE6E9"/>
            <w:vAlign w:val="bottom"/>
          </w:tcPr>
          <w:p w:rsidR="00CC2C66" w:rsidRDefault="00F80B74">
            <w:pPr>
              <w:ind w:right="216"/>
              <w:jc w:val="right"/>
              <w:rPr>
                <w:sz w:val="20"/>
                <w:szCs w:val="20"/>
              </w:rPr>
            </w:pPr>
            <w:r>
              <w:rPr>
                <w:rFonts w:ascii="Arial" w:eastAsia="Arial" w:hAnsi="Arial" w:cs="Arial"/>
                <w:b/>
                <w:bCs/>
                <w:color w:val="CF0A2C"/>
                <w:sz w:val="14"/>
                <w:szCs w:val="14"/>
              </w:rPr>
              <w:t>($)</w:t>
            </w:r>
          </w:p>
        </w:tc>
        <w:tc>
          <w:tcPr>
            <w:tcW w:w="180" w:type="dxa"/>
            <w:tcBorders>
              <w:bottom w:val="single" w:sz="8" w:space="0" w:color="CF0A2C"/>
            </w:tcBorders>
            <w:shd w:val="clear" w:color="auto" w:fill="FAE6E9"/>
            <w:vAlign w:val="bottom"/>
          </w:tcPr>
          <w:p w:rsidR="00CC2C66" w:rsidRDefault="00CC2C66">
            <w:pPr>
              <w:rPr>
                <w:sz w:val="15"/>
                <w:szCs w:val="15"/>
              </w:rPr>
            </w:pPr>
          </w:p>
        </w:tc>
        <w:tc>
          <w:tcPr>
            <w:tcW w:w="80" w:type="dxa"/>
            <w:tcBorders>
              <w:bottom w:val="single" w:sz="8" w:space="0" w:color="CF0A2C"/>
            </w:tcBorders>
            <w:shd w:val="clear" w:color="auto" w:fill="FAE6E9"/>
            <w:vAlign w:val="bottom"/>
          </w:tcPr>
          <w:p w:rsidR="00CC2C66" w:rsidRDefault="00CC2C66">
            <w:pPr>
              <w:rPr>
                <w:sz w:val="15"/>
                <w:szCs w:val="15"/>
              </w:rPr>
            </w:pPr>
          </w:p>
        </w:tc>
        <w:tc>
          <w:tcPr>
            <w:tcW w:w="72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sz w:val="14"/>
                <w:szCs w:val="14"/>
              </w:rPr>
              <w:t>(#)</w:t>
            </w:r>
          </w:p>
        </w:tc>
        <w:tc>
          <w:tcPr>
            <w:tcW w:w="56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w w:val="93"/>
                <w:sz w:val="14"/>
                <w:szCs w:val="14"/>
              </w:rPr>
              <w:t>(#)</w:t>
            </w:r>
          </w:p>
        </w:tc>
        <w:tc>
          <w:tcPr>
            <w:tcW w:w="720" w:type="dxa"/>
            <w:tcBorders>
              <w:bottom w:val="single" w:sz="8" w:space="0" w:color="CF0A2C"/>
            </w:tcBorders>
            <w:shd w:val="clear" w:color="auto" w:fill="FAE6E9"/>
            <w:vAlign w:val="bottom"/>
          </w:tcPr>
          <w:p w:rsidR="00CC2C66" w:rsidRDefault="00F80B74">
            <w:pPr>
              <w:ind w:right="196"/>
              <w:jc w:val="right"/>
              <w:rPr>
                <w:sz w:val="20"/>
                <w:szCs w:val="20"/>
              </w:rPr>
            </w:pPr>
            <w:r>
              <w:rPr>
                <w:rFonts w:ascii="Arial" w:eastAsia="Arial" w:hAnsi="Arial" w:cs="Arial"/>
                <w:b/>
                <w:bCs/>
                <w:color w:val="CF0A2C"/>
                <w:sz w:val="14"/>
                <w:szCs w:val="14"/>
              </w:rPr>
              <w:t>(#)</w:t>
            </w:r>
          </w:p>
        </w:tc>
        <w:tc>
          <w:tcPr>
            <w:tcW w:w="84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89"/>
                <w:sz w:val="14"/>
                <w:szCs w:val="14"/>
              </w:rPr>
              <w:t>(#)</w:t>
            </w:r>
            <w:r>
              <w:rPr>
                <w:rFonts w:ascii="Arial" w:eastAsia="Arial" w:hAnsi="Arial" w:cs="Arial"/>
                <w:b/>
                <w:bCs/>
                <w:color w:val="CF0A2C"/>
                <w:w w:val="89"/>
                <w:sz w:val="20"/>
                <w:szCs w:val="20"/>
                <w:vertAlign w:val="superscript"/>
              </w:rPr>
              <w:t>(2)</w:t>
            </w:r>
          </w:p>
        </w:tc>
        <w:tc>
          <w:tcPr>
            <w:tcW w:w="82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89"/>
                <w:sz w:val="14"/>
                <w:szCs w:val="14"/>
              </w:rPr>
              <w:t>(#)</w:t>
            </w:r>
            <w:r>
              <w:rPr>
                <w:rFonts w:ascii="Arial" w:eastAsia="Arial" w:hAnsi="Arial" w:cs="Arial"/>
                <w:b/>
                <w:bCs/>
                <w:color w:val="CF0A2C"/>
                <w:w w:val="89"/>
                <w:sz w:val="20"/>
                <w:szCs w:val="20"/>
                <w:vertAlign w:val="superscript"/>
              </w:rPr>
              <w:t>(3)</w:t>
            </w:r>
          </w:p>
        </w:tc>
        <w:tc>
          <w:tcPr>
            <w:tcW w:w="86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90"/>
                <w:sz w:val="14"/>
                <w:szCs w:val="14"/>
              </w:rPr>
              <w:t>($/Sh)</w:t>
            </w:r>
            <w:r>
              <w:rPr>
                <w:rFonts w:ascii="Arial" w:eastAsia="Arial" w:hAnsi="Arial" w:cs="Arial"/>
                <w:b/>
                <w:bCs/>
                <w:color w:val="CF0A2C"/>
                <w:w w:val="90"/>
                <w:sz w:val="20"/>
                <w:szCs w:val="20"/>
                <w:vertAlign w:val="superscript"/>
              </w:rPr>
              <w:t>(4)</w:t>
            </w:r>
          </w:p>
        </w:tc>
        <w:tc>
          <w:tcPr>
            <w:tcW w:w="900" w:type="dxa"/>
            <w:tcBorders>
              <w:bottom w:val="single" w:sz="8" w:space="0" w:color="CF0A2C"/>
            </w:tcBorders>
            <w:shd w:val="clear" w:color="auto" w:fill="FAE6E9"/>
            <w:vAlign w:val="bottom"/>
          </w:tcPr>
          <w:p w:rsidR="00CC2C66" w:rsidRDefault="00F80B74">
            <w:pPr>
              <w:spacing w:line="179" w:lineRule="exact"/>
              <w:ind w:right="235"/>
              <w:jc w:val="right"/>
              <w:rPr>
                <w:sz w:val="20"/>
                <w:szCs w:val="20"/>
              </w:rPr>
            </w:pPr>
            <w:r>
              <w:rPr>
                <w:rFonts w:ascii="Arial" w:eastAsia="Arial" w:hAnsi="Arial" w:cs="Arial"/>
                <w:b/>
                <w:bCs/>
                <w:color w:val="CF0A2C"/>
                <w:sz w:val="14"/>
                <w:szCs w:val="14"/>
              </w:rPr>
              <w:t>($)</w:t>
            </w:r>
            <w:r>
              <w:rPr>
                <w:rFonts w:ascii="Arial" w:eastAsia="Arial" w:hAnsi="Arial" w:cs="Arial"/>
                <w:b/>
                <w:bCs/>
                <w:color w:val="CF0A2C"/>
                <w:sz w:val="20"/>
                <w:szCs w:val="20"/>
                <w:vertAlign w:val="superscript"/>
              </w:rPr>
              <w:t>(5)</w:t>
            </w:r>
          </w:p>
        </w:tc>
        <w:tc>
          <w:tcPr>
            <w:tcW w:w="0" w:type="dxa"/>
            <w:vAlign w:val="bottom"/>
          </w:tcPr>
          <w:p w:rsidR="00CC2C66" w:rsidRDefault="00CC2C66">
            <w:pPr>
              <w:rPr>
                <w:sz w:val="1"/>
                <w:szCs w:val="1"/>
              </w:rPr>
            </w:pPr>
          </w:p>
        </w:tc>
      </w:tr>
      <w:tr w:rsidR="00CC2C66">
        <w:trPr>
          <w:trHeight w:val="162"/>
        </w:trPr>
        <w:tc>
          <w:tcPr>
            <w:tcW w:w="1200" w:type="dxa"/>
            <w:vAlign w:val="bottom"/>
          </w:tcPr>
          <w:p w:rsidR="00CC2C66" w:rsidRDefault="00F80B74">
            <w:pPr>
              <w:ind w:left="40"/>
              <w:rPr>
                <w:sz w:val="20"/>
                <w:szCs w:val="20"/>
              </w:rPr>
            </w:pPr>
            <w:r>
              <w:rPr>
                <w:rFonts w:ascii="Arial" w:eastAsia="Arial" w:hAnsi="Arial" w:cs="Arial"/>
                <w:b/>
                <w:bCs/>
                <w:color w:val="CF0A2C"/>
                <w:sz w:val="14"/>
                <w:szCs w:val="14"/>
              </w:rPr>
              <w:t>(a)</w:t>
            </w:r>
          </w:p>
        </w:tc>
        <w:tc>
          <w:tcPr>
            <w:tcW w:w="1260" w:type="dxa"/>
            <w:vAlign w:val="bottom"/>
          </w:tcPr>
          <w:p w:rsidR="00CC2C66" w:rsidRDefault="00F80B74">
            <w:pPr>
              <w:ind w:left="297"/>
              <w:jc w:val="center"/>
              <w:rPr>
                <w:sz w:val="20"/>
                <w:szCs w:val="20"/>
              </w:rPr>
            </w:pPr>
            <w:r>
              <w:rPr>
                <w:rFonts w:ascii="Arial" w:eastAsia="Arial" w:hAnsi="Arial" w:cs="Arial"/>
                <w:b/>
                <w:bCs/>
                <w:color w:val="CF0A2C"/>
                <w:sz w:val="14"/>
                <w:szCs w:val="14"/>
              </w:rPr>
              <w:t>(b)</w:t>
            </w:r>
          </w:p>
        </w:tc>
        <w:tc>
          <w:tcPr>
            <w:tcW w:w="80" w:type="dxa"/>
            <w:vAlign w:val="bottom"/>
          </w:tcPr>
          <w:p w:rsidR="00CC2C66" w:rsidRDefault="00CC2C66">
            <w:pPr>
              <w:rPr>
                <w:sz w:val="14"/>
                <w:szCs w:val="14"/>
              </w:rPr>
            </w:pPr>
          </w:p>
        </w:tc>
        <w:tc>
          <w:tcPr>
            <w:tcW w:w="760" w:type="dxa"/>
            <w:vAlign w:val="bottom"/>
          </w:tcPr>
          <w:p w:rsidR="00CC2C66" w:rsidRDefault="00F80B74">
            <w:pPr>
              <w:ind w:right="276"/>
              <w:jc w:val="right"/>
              <w:rPr>
                <w:sz w:val="20"/>
                <w:szCs w:val="20"/>
              </w:rPr>
            </w:pPr>
            <w:r>
              <w:rPr>
                <w:rFonts w:ascii="Arial" w:eastAsia="Arial" w:hAnsi="Arial" w:cs="Arial"/>
                <w:b/>
                <w:bCs/>
                <w:color w:val="CF0A2C"/>
                <w:sz w:val="14"/>
                <w:szCs w:val="14"/>
              </w:rPr>
              <w:t>(c)</w:t>
            </w:r>
          </w:p>
        </w:tc>
        <w:tc>
          <w:tcPr>
            <w:tcW w:w="700" w:type="dxa"/>
            <w:vAlign w:val="bottom"/>
          </w:tcPr>
          <w:p w:rsidR="00CC2C66" w:rsidRDefault="00F80B74">
            <w:pPr>
              <w:jc w:val="center"/>
              <w:rPr>
                <w:sz w:val="20"/>
                <w:szCs w:val="20"/>
              </w:rPr>
            </w:pPr>
            <w:r>
              <w:rPr>
                <w:rFonts w:ascii="Arial" w:eastAsia="Arial" w:hAnsi="Arial" w:cs="Arial"/>
                <w:b/>
                <w:bCs/>
                <w:color w:val="CF0A2C"/>
                <w:sz w:val="14"/>
                <w:szCs w:val="14"/>
              </w:rPr>
              <w:t>(d)</w:t>
            </w:r>
          </w:p>
        </w:tc>
        <w:tc>
          <w:tcPr>
            <w:tcW w:w="740" w:type="dxa"/>
            <w:vAlign w:val="bottom"/>
          </w:tcPr>
          <w:p w:rsidR="00CC2C66" w:rsidRDefault="00F80B74">
            <w:pPr>
              <w:ind w:right="216"/>
              <w:jc w:val="right"/>
              <w:rPr>
                <w:sz w:val="20"/>
                <w:szCs w:val="20"/>
              </w:rPr>
            </w:pPr>
            <w:r>
              <w:rPr>
                <w:rFonts w:ascii="Arial" w:eastAsia="Arial" w:hAnsi="Arial" w:cs="Arial"/>
                <w:b/>
                <w:bCs/>
                <w:color w:val="CF0A2C"/>
                <w:sz w:val="14"/>
                <w:szCs w:val="14"/>
              </w:rPr>
              <w:t>(e)</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center"/>
              <w:rPr>
                <w:sz w:val="20"/>
                <w:szCs w:val="20"/>
              </w:rPr>
            </w:pPr>
            <w:r>
              <w:rPr>
                <w:rFonts w:ascii="Arial" w:eastAsia="Arial" w:hAnsi="Arial" w:cs="Arial"/>
                <w:b/>
                <w:bCs/>
                <w:color w:val="CF0A2C"/>
                <w:w w:val="99"/>
                <w:sz w:val="14"/>
                <w:szCs w:val="14"/>
              </w:rPr>
              <w:t>(f)</w:t>
            </w:r>
          </w:p>
        </w:tc>
        <w:tc>
          <w:tcPr>
            <w:tcW w:w="560" w:type="dxa"/>
            <w:vAlign w:val="bottom"/>
          </w:tcPr>
          <w:p w:rsidR="00CC2C66" w:rsidRDefault="00F80B74">
            <w:pPr>
              <w:jc w:val="center"/>
              <w:rPr>
                <w:sz w:val="20"/>
                <w:szCs w:val="20"/>
              </w:rPr>
            </w:pPr>
            <w:r>
              <w:rPr>
                <w:rFonts w:ascii="Arial" w:eastAsia="Arial" w:hAnsi="Arial" w:cs="Arial"/>
                <w:b/>
                <w:bCs/>
                <w:color w:val="CF0A2C"/>
                <w:sz w:val="14"/>
                <w:szCs w:val="14"/>
              </w:rPr>
              <w:t>(g)</w:t>
            </w:r>
          </w:p>
        </w:tc>
        <w:tc>
          <w:tcPr>
            <w:tcW w:w="720" w:type="dxa"/>
            <w:vAlign w:val="bottom"/>
          </w:tcPr>
          <w:p w:rsidR="00CC2C66" w:rsidRDefault="00F80B74">
            <w:pPr>
              <w:ind w:right="196"/>
              <w:jc w:val="right"/>
              <w:rPr>
                <w:sz w:val="20"/>
                <w:szCs w:val="20"/>
              </w:rPr>
            </w:pPr>
            <w:r>
              <w:rPr>
                <w:rFonts w:ascii="Arial" w:eastAsia="Arial" w:hAnsi="Arial" w:cs="Arial"/>
                <w:b/>
                <w:bCs/>
                <w:color w:val="CF0A2C"/>
                <w:sz w:val="14"/>
                <w:szCs w:val="14"/>
              </w:rPr>
              <w:t>(h)</w:t>
            </w:r>
          </w:p>
        </w:tc>
        <w:tc>
          <w:tcPr>
            <w:tcW w:w="840" w:type="dxa"/>
            <w:vAlign w:val="bottom"/>
          </w:tcPr>
          <w:p w:rsidR="00CC2C66" w:rsidRDefault="00F80B74">
            <w:pPr>
              <w:jc w:val="center"/>
              <w:rPr>
                <w:sz w:val="20"/>
                <w:szCs w:val="20"/>
              </w:rPr>
            </w:pPr>
            <w:r>
              <w:rPr>
                <w:rFonts w:ascii="Arial" w:eastAsia="Arial" w:hAnsi="Arial" w:cs="Arial"/>
                <w:b/>
                <w:bCs/>
                <w:color w:val="CF0A2C"/>
                <w:sz w:val="14"/>
                <w:szCs w:val="14"/>
              </w:rPr>
              <w:t>(i)</w:t>
            </w:r>
          </w:p>
        </w:tc>
        <w:tc>
          <w:tcPr>
            <w:tcW w:w="820" w:type="dxa"/>
            <w:vAlign w:val="bottom"/>
          </w:tcPr>
          <w:p w:rsidR="00CC2C66" w:rsidRDefault="00F80B74">
            <w:pPr>
              <w:jc w:val="center"/>
              <w:rPr>
                <w:sz w:val="20"/>
                <w:szCs w:val="20"/>
              </w:rPr>
            </w:pPr>
            <w:r>
              <w:rPr>
                <w:rFonts w:ascii="Arial" w:eastAsia="Arial" w:hAnsi="Arial" w:cs="Arial"/>
                <w:b/>
                <w:bCs/>
                <w:color w:val="CF0A2C"/>
                <w:w w:val="90"/>
                <w:sz w:val="14"/>
                <w:szCs w:val="14"/>
              </w:rPr>
              <w:t>(j)</w:t>
            </w:r>
          </w:p>
        </w:tc>
        <w:tc>
          <w:tcPr>
            <w:tcW w:w="860" w:type="dxa"/>
            <w:vAlign w:val="bottom"/>
          </w:tcPr>
          <w:p w:rsidR="00CC2C66" w:rsidRDefault="00F80B74">
            <w:pPr>
              <w:jc w:val="center"/>
              <w:rPr>
                <w:sz w:val="20"/>
                <w:szCs w:val="20"/>
              </w:rPr>
            </w:pPr>
            <w:r>
              <w:rPr>
                <w:rFonts w:ascii="Arial" w:eastAsia="Arial" w:hAnsi="Arial" w:cs="Arial"/>
                <w:b/>
                <w:bCs/>
                <w:color w:val="CF0A2C"/>
                <w:sz w:val="14"/>
                <w:szCs w:val="14"/>
              </w:rPr>
              <w:t>(k)</w:t>
            </w:r>
          </w:p>
        </w:tc>
        <w:tc>
          <w:tcPr>
            <w:tcW w:w="900" w:type="dxa"/>
            <w:vAlign w:val="bottom"/>
          </w:tcPr>
          <w:p w:rsidR="00CC2C66" w:rsidRDefault="00F80B74">
            <w:pPr>
              <w:ind w:right="315"/>
              <w:jc w:val="right"/>
              <w:rPr>
                <w:sz w:val="20"/>
                <w:szCs w:val="20"/>
              </w:rPr>
            </w:pPr>
            <w:r>
              <w:rPr>
                <w:rFonts w:ascii="Arial" w:eastAsia="Arial" w:hAnsi="Arial" w:cs="Arial"/>
                <w:b/>
                <w:bCs/>
                <w:color w:val="CF0A2C"/>
                <w:sz w:val="14"/>
                <w:szCs w:val="14"/>
              </w:rPr>
              <w:t>(l)</w:t>
            </w:r>
          </w:p>
        </w:tc>
        <w:tc>
          <w:tcPr>
            <w:tcW w:w="0" w:type="dxa"/>
            <w:vAlign w:val="bottom"/>
          </w:tcPr>
          <w:p w:rsidR="00CC2C66" w:rsidRDefault="00CC2C66">
            <w:pPr>
              <w:rPr>
                <w:sz w:val="1"/>
                <w:szCs w:val="1"/>
              </w:rPr>
            </w:pPr>
          </w:p>
        </w:tc>
      </w:tr>
      <w:tr w:rsidR="00CC2C66">
        <w:trPr>
          <w:trHeight w:val="176"/>
        </w:trPr>
        <w:tc>
          <w:tcPr>
            <w:tcW w:w="1200" w:type="dxa"/>
            <w:vAlign w:val="bottom"/>
          </w:tcPr>
          <w:p w:rsidR="00CC2C66" w:rsidRDefault="00F80B74">
            <w:pPr>
              <w:rPr>
                <w:sz w:val="20"/>
                <w:szCs w:val="20"/>
              </w:rPr>
            </w:pPr>
            <w:r>
              <w:rPr>
                <w:rFonts w:ascii="Arial" w:eastAsia="Arial" w:hAnsi="Arial" w:cs="Arial"/>
                <w:b/>
                <w:bCs/>
                <w:color w:val="CF0A2C"/>
                <w:sz w:val="14"/>
                <w:szCs w:val="14"/>
              </w:rPr>
              <w:t>Ms. Wat</w:t>
            </w:r>
          </w:p>
        </w:tc>
        <w:tc>
          <w:tcPr>
            <w:tcW w:w="1260" w:type="dxa"/>
            <w:vAlign w:val="bottom"/>
          </w:tcPr>
          <w:p w:rsidR="00CC2C66" w:rsidRDefault="00F80B74">
            <w:pPr>
              <w:ind w:right="77"/>
              <w:jc w:val="right"/>
              <w:rPr>
                <w:sz w:val="20"/>
                <w:szCs w:val="20"/>
              </w:rPr>
            </w:pPr>
            <w:r>
              <w:rPr>
                <w:rFonts w:ascii="Arial" w:eastAsia="Arial" w:hAnsi="Arial" w:cs="Arial"/>
                <w:sz w:val="13"/>
                <w:szCs w:val="13"/>
              </w:rPr>
              <w:t>—</w:t>
            </w:r>
          </w:p>
        </w:tc>
        <w:tc>
          <w:tcPr>
            <w:tcW w:w="80" w:type="dxa"/>
            <w:vAlign w:val="bottom"/>
          </w:tcPr>
          <w:p w:rsidR="00CC2C66" w:rsidRDefault="00CC2C66">
            <w:pPr>
              <w:rPr>
                <w:sz w:val="15"/>
                <w:szCs w:val="15"/>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2,642,671</w:t>
            </w:r>
          </w:p>
        </w:tc>
        <w:tc>
          <w:tcPr>
            <w:tcW w:w="740" w:type="dxa"/>
            <w:vAlign w:val="bottom"/>
          </w:tcPr>
          <w:p w:rsidR="00CC2C66" w:rsidRDefault="00F80B74">
            <w:pPr>
              <w:jc w:val="right"/>
              <w:rPr>
                <w:sz w:val="20"/>
                <w:szCs w:val="20"/>
              </w:rPr>
            </w:pPr>
            <w:r>
              <w:rPr>
                <w:rFonts w:ascii="Arial" w:eastAsia="Arial" w:hAnsi="Arial" w:cs="Arial"/>
                <w:sz w:val="13"/>
                <w:szCs w:val="13"/>
              </w:rPr>
              <w:t>7,928,013</w:t>
            </w:r>
          </w:p>
        </w:tc>
        <w:tc>
          <w:tcPr>
            <w:tcW w:w="180" w:type="dxa"/>
            <w:vAlign w:val="bottom"/>
          </w:tcPr>
          <w:p w:rsidR="00CC2C66" w:rsidRDefault="00CC2C66">
            <w:pPr>
              <w:rPr>
                <w:sz w:val="15"/>
                <w:szCs w:val="15"/>
              </w:rPr>
            </w:pPr>
          </w:p>
        </w:tc>
        <w:tc>
          <w:tcPr>
            <w:tcW w:w="80" w:type="dxa"/>
            <w:vAlign w:val="bottom"/>
          </w:tcPr>
          <w:p w:rsidR="00CC2C66" w:rsidRDefault="00CC2C66">
            <w:pPr>
              <w:rPr>
                <w:sz w:val="15"/>
                <w:szCs w:val="15"/>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171,989</w:t>
            </w:r>
          </w:p>
        </w:tc>
        <w:tc>
          <w:tcPr>
            <w:tcW w:w="860" w:type="dxa"/>
            <w:vAlign w:val="bottom"/>
          </w:tcPr>
          <w:p w:rsidR="00CC2C66" w:rsidRDefault="00F80B74">
            <w:pPr>
              <w:jc w:val="right"/>
              <w:rPr>
                <w:sz w:val="20"/>
                <w:szCs w:val="20"/>
              </w:rPr>
            </w:pPr>
            <w:r>
              <w:rPr>
                <w:rFonts w:ascii="Arial" w:eastAsia="Arial" w:hAnsi="Arial" w:cs="Arial"/>
                <w:sz w:val="13"/>
                <w:szCs w:val="13"/>
              </w:rPr>
              <w:t>57.39</w:t>
            </w:r>
          </w:p>
        </w:tc>
        <w:tc>
          <w:tcPr>
            <w:tcW w:w="900" w:type="dxa"/>
            <w:vAlign w:val="bottom"/>
          </w:tcPr>
          <w:p w:rsidR="00CC2C66" w:rsidRDefault="00F80B74">
            <w:pPr>
              <w:jc w:val="right"/>
              <w:rPr>
                <w:sz w:val="20"/>
                <w:szCs w:val="20"/>
              </w:rPr>
            </w:pPr>
            <w:r>
              <w:rPr>
                <w:rFonts w:ascii="Arial" w:eastAsia="Arial" w:hAnsi="Arial" w:cs="Arial"/>
                <w:sz w:val="13"/>
                <w:szCs w:val="13"/>
              </w:rPr>
              <w:t>3,000,004</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43,562</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2,500,023</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spacing w:line="166" w:lineRule="exact"/>
              <w:jc w:val="right"/>
              <w:rPr>
                <w:sz w:val="20"/>
                <w:szCs w:val="20"/>
              </w:rPr>
            </w:pPr>
            <w:r>
              <w:rPr>
                <w:rFonts w:ascii="Arial" w:eastAsia="Arial" w:hAnsi="Arial" w:cs="Arial"/>
                <w:sz w:val="13"/>
                <w:szCs w:val="13"/>
              </w:rPr>
              <w:t>2/5/2021</w:t>
            </w:r>
            <w:r>
              <w:rPr>
                <w:rFonts w:ascii="Arial" w:eastAsia="Arial" w:hAnsi="Arial" w:cs="Arial"/>
                <w:sz w:val="19"/>
                <w:szCs w:val="19"/>
                <w:vertAlign w:val="superscript"/>
              </w:rPr>
              <w:t>(6)</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980" w:type="dxa"/>
            <w:gridSpan w:val="3"/>
            <w:vAlign w:val="bottom"/>
          </w:tcPr>
          <w:p w:rsidR="00CC2C66" w:rsidRDefault="00F80B74">
            <w:pPr>
              <w:jc w:val="right"/>
              <w:rPr>
                <w:sz w:val="20"/>
                <w:szCs w:val="20"/>
              </w:rPr>
            </w:pPr>
            <w:r>
              <w:rPr>
                <w:rFonts w:ascii="Arial" w:eastAsia="Arial" w:hAnsi="Arial" w:cs="Arial"/>
                <w:sz w:val="13"/>
                <w:szCs w:val="13"/>
              </w:rPr>
              <w:t>10,262</w:t>
            </w:r>
          </w:p>
        </w:tc>
        <w:tc>
          <w:tcPr>
            <w:tcW w:w="560" w:type="dxa"/>
            <w:vAlign w:val="bottom"/>
          </w:tcPr>
          <w:p w:rsidR="00CC2C66" w:rsidRDefault="00F80B74">
            <w:pPr>
              <w:jc w:val="right"/>
              <w:rPr>
                <w:sz w:val="20"/>
                <w:szCs w:val="20"/>
              </w:rPr>
            </w:pPr>
            <w:r>
              <w:rPr>
                <w:rFonts w:ascii="Arial" w:eastAsia="Arial" w:hAnsi="Arial" w:cs="Arial"/>
                <w:sz w:val="13"/>
                <w:szCs w:val="13"/>
              </w:rPr>
              <w:t>20,523</w:t>
            </w:r>
          </w:p>
        </w:tc>
        <w:tc>
          <w:tcPr>
            <w:tcW w:w="720" w:type="dxa"/>
            <w:vAlign w:val="bottom"/>
          </w:tcPr>
          <w:p w:rsidR="00CC2C66" w:rsidRDefault="00F80B74">
            <w:pPr>
              <w:jc w:val="right"/>
              <w:rPr>
                <w:sz w:val="20"/>
                <w:szCs w:val="20"/>
              </w:rPr>
            </w:pPr>
            <w:r>
              <w:rPr>
                <w:rFonts w:ascii="Arial" w:eastAsia="Arial" w:hAnsi="Arial" w:cs="Arial"/>
                <w:sz w:val="13"/>
                <w:szCs w:val="13"/>
              </w:rPr>
              <w:t>41,046</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1,500,026</w:t>
            </w:r>
          </w:p>
        </w:tc>
        <w:tc>
          <w:tcPr>
            <w:tcW w:w="0" w:type="dxa"/>
            <w:vAlign w:val="bottom"/>
          </w:tcPr>
          <w:p w:rsidR="00CC2C66" w:rsidRDefault="00CC2C66">
            <w:pPr>
              <w:rPr>
                <w:sz w:val="1"/>
                <w:szCs w:val="1"/>
              </w:rPr>
            </w:pPr>
          </w:p>
        </w:tc>
      </w:tr>
      <w:tr w:rsidR="00CC2C66">
        <w:trPr>
          <w:trHeight w:val="153"/>
        </w:trPr>
        <w:tc>
          <w:tcPr>
            <w:tcW w:w="1200" w:type="dxa"/>
            <w:tcBorders>
              <w:bottom w:val="single" w:sz="8" w:space="0" w:color="CF0A2C"/>
            </w:tcBorders>
            <w:vAlign w:val="bottom"/>
          </w:tcPr>
          <w:p w:rsidR="00CC2C66" w:rsidRDefault="00CC2C66">
            <w:pPr>
              <w:rPr>
                <w:sz w:val="13"/>
                <w:szCs w:val="13"/>
              </w:rPr>
            </w:pPr>
          </w:p>
        </w:tc>
        <w:tc>
          <w:tcPr>
            <w:tcW w:w="1260" w:type="dxa"/>
            <w:tcBorders>
              <w:bottom w:val="single" w:sz="8" w:space="0" w:color="CF0A2C"/>
            </w:tcBorders>
            <w:vAlign w:val="bottom"/>
          </w:tcPr>
          <w:p w:rsidR="00CC2C66" w:rsidRDefault="00F80B74">
            <w:pPr>
              <w:spacing w:line="154" w:lineRule="exact"/>
              <w:jc w:val="right"/>
              <w:rPr>
                <w:sz w:val="20"/>
                <w:szCs w:val="20"/>
              </w:rPr>
            </w:pPr>
            <w:r>
              <w:rPr>
                <w:rFonts w:ascii="Arial" w:eastAsia="Arial" w:hAnsi="Arial" w:cs="Arial"/>
                <w:sz w:val="12"/>
                <w:szCs w:val="12"/>
              </w:rPr>
              <w:t>5/25/2021</w:t>
            </w:r>
            <w:r>
              <w:rPr>
                <w:rFonts w:ascii="Arial" w:eastAsia="Arial" w:hAnsi="Arial" w:cs="Arial"/>
                <w:sz w:val="17"/>
                <w:szCs w:val="17"/>
                <w:vertAlign w:val="superscript"/>
              </w:rPr>
              <w:t>(6)</w:t>
            </w:r>
          </w:p>
        </w:tc>
        <w:tc>
          <w:tcPr>
            <w:tcW w:w="80" w:type="dxa"/>
            <w:tcBorders>
              <w:bottom w:val="single" w:sz="8" w:space="0" w:color="CF0A2C"/>
            </w:tcBorders>
            <w:vAlign w:val="bottom"/>
          </w:tcPr>
          <w:p w:rsidR="00CC2C66" w:rsidRDefault="00CC2C66">
            <w:pPr>
              <w:rPr>
                <w:sz w:val="13"/>
                <w:szCs w:val="13"/>
              </w:rPr>
            </w:pPr>
          </w:p>
        </w:tc>
        <w:tc>
          <w:tcPr>
            <w:tcW w:w="760" w:type="dxa"/>
            <w:tcBorders>
              <w:bottom w:val="single" w:sz="8" w:space="0" w:color="CF0A2C"/>
            </w:tcBorders>
            <w:vAlign w:val="bottom"/>
          </w:tcPr>
          <w:p w:rsidR="00CC2C66" w:rsidRDefault="00F80B74">
            <w:pPr>
              <w:ind w:right="16"/>
              <w:jc w:val="right"/>
              <w:rPr>
                <w:sz w:val="20"/>
                <w:szCs w:val="20"/>
              </w:rPr>
            </w:pPr>
            <w:r>
              <w:rPr>
                <w:rFonts w:ascii="Arial" w:eastAsia="Arial" w:hAnsi="Arial" w:cs="Arial"/>
                <w:sz w:val="13"/>
                <w:szCs w:val="13"/>
              </w:rPr>
              <w:t>—</w:t>
            </w:r>
          </w:p>
        </w:tc>
        <w:tc>
          <w:tcPr>
            <w:tcW w:w="7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80" w:type="dxa"/>
            <w:gridSpan w:val="3"/>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13,069</w:t>
            </w:r>
          </w:p>
        </w:tc>
        <w:tc>
          <w:tcPr>
            <w:tcW w:w="5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26,137</w:t>
            </w:r>
          </w:p>
        </w:tc>
        <w:tc>
          <w:tcPr>
            <w:tcW w:w="7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52,274</w:t>
            </w: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1,703,871</w:t>
            </w:r>
          </w:p>
        </w:tc>
        <w:tc>
          <w:tcPr>
            <w:tcW w:w="0" w:type="dxa"/>
            <w:vAlign w:val="bottom"/>
          </w:tcPr>
          <w:p w:rsidR="00CC2C66" w:rsidRDefault="00CC2C66">
            <w:pPr>
              <w:rPr>
                <w:sz w:val="1"/>
                <w:szCs w:val="1"/>
              </w:rPr>
            </w:pPr>
          </w:p>
        </w:tc>
      </w:tr>
      <w:tr w:rsidR="00CC2C66">
        <w:trPr>
          <w:trHeight w:val="172"/>
        </w:trPr>
        <w:tc>
          <w:tcPr>
            <w:tcW w:w="1200" w:type="dxa"/>
            <w:vAlign w:val="bottom"/>
          </w:tcPr>
          <w:p w:rsidR="00CC2C66" w:rsidRDefault="00F80B74">
            <w:pPr>
              <w:rPr>
                <w:sz w:val="20"/>
                <w:szCs w:val="20"/>
              </w:rPr>
            </w:pPr>
            <w:r>
              <w:rPr>
                <w:rFonts w:ascii="Arial" w:eastAsia="Arial" w:hAnsi="Arial" w:cs="Arial"/>
                <w:b/>
                <w:bCs/>
                <w:color w:val="CF0A2C"/>
                <w:sz w:val="14"/>
                <w:szCs w:val="14"/>
              </w:rPr>
              <w:t>Mr. Yeung</w:t>
            </w:r>
          </w:p>
        </w:tc>
        <w:tc>
          <w:tcPr>
            <w:tcW w:w="1260" w:type="dxa"/>
            <w:vAlign w:val="bottom"/>
          </w:tcPr>
          <w:p w:rsidR="00CC2C66" w:rsidRDefault="00F80B74">
            <w:pPr>
              <w:ind w:right="77"/>
              <w:jc w:val="right"/>
              <w:rPr>
                <w:sz w:val="20"/>
                <w:szCs w:val="20"/>
              </w:rPr>
            </w:pPr>
            <w:r>
              <w:rPr>
                <w:rFonts w:ascii="Arial" w:eastAsia="Arial" w:hAnsi="Arial" w:cs="Arial"/>
                <w:sz w:val="13"/>
                <w:szCs w:val="13"/>
              </w:rPr>
              <w:t>—</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786,411</w:t>
            </w:r>
          </w:p>
        </w:tc>
        <w:tc>
          <w:tcPr>
            <w:tcW w:w="740" w:type="dxa"/>
            <w:vAlign w:val="bottom"/>
          </w:tcPr>
          <w:p w:rsidR="00CC2C66" w:rsidRDefault="00F80B74">
            <w:pPr>
              <w:jc w:val="right"/>
              <w:rPr>
                <w:sz w:val="20"/>
                <w:szCs w:val="20"/>
              </w:rPr>
            </w:pPr>
            <w:r>
              <w:rPr>
                <w:rFonts w:ascii="Arial" w:eastAsia="Arial" w:hAnsi="Arial" w:cs="Arial"/>
                <w:sz w:val="13"/>
                <w:szCs w:val="13"/>
              </w:rPr>
              <w:t>2,359,233</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42,998</w:t>
            </w:r>
          </w:p>
        </w:tc>
        <w:tc>
          <w:tcPr>
            <w:tcW w:w="860" w:type="dxa"/>
            <w:vAlign w:val="bottom"/>
          </w:tcPr>
          <w:p w:rsidR="00CC2C66" w:rsidRDefault="00F80B74">
            <w:pPr>
              <w:jc w:val="right"/>
              <w:rPr>
                <w:sz w:val="20"/>
                <w:szCs w:val="20"/>
              </w:rPr>
            </w:pPr>
            <w:r>
              <w:rPr>
                <w:rFonts w:ascii="Arial" w:eastAsia="Arial" w:hAnsi="Arial" w:cs="Arial"/>
                <w:sz w:val="13"/>
                <w:szCs w:val="13"/>
              </w:rPr>
              <w:t>57.39</w:t>
            </w:r>
          </w:p>
        </w:tc>
        <w:tc>
          <w:tcPr>
            <w:tcW w:w="900" w:type="dxa"/>
            <w:vAlign w:val="bottom"/>
          </w:tcPr>
          <w:p w:rsidR="00CC2C66" w:rsidRDefault="00F80B74">
            <w:pPr>
              <w:jc w:val="right"/>
              <w:rPr>
                <w:sz w:val="20"/>
                <w:szCs w:val="20"/>
              </w:rPr>
            </w:pPr>
            <w:r>
              <w:rPr>
                <w:rFonts w:ascii="Arial" w:eastAsia="Arial" w:hAnsi="Arial" w:cs="Arial"/>
                <w:sz w:val="13"/>
                <w:szCs w:val="13"/>
              </w:rPr>
              <w:t>750,014</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27,880</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1,600,033</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spacing w:line="166" w:lineRule="exact"/>
              <w:jc w:val="right"/>
              <w:rPr>
                <w:sz w:val="20"/>
                <w:szCs w:val="20"/>
              </w:rPr>
            </w:pPr>
            <w:r>
              <w:rPr>
                <w:rFonts w:ascii="Arial" w:eastAsia="Arial" w:hAnsi="Arial" w:cs="Arial"/>
                <w:sz w:val="13"/>
                <w:szCs w:val="13"/>
              </w:rPr>
              <w:t>2/5/2021</w:t>
            </w:r>
            <w:r>
              <w:rPr>
                <w:rFonts w:ascii="Arial" w:eastAsia="Arial" w:hAnsi="Arial" w:cs="Arial"/>
                <w:sz w:val="19"/>
                <w:szCs w:val="19"/>
                <w:vertAlign w:val="superscript"/>
              </w:rPr>
              <w:t>(6)</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980" w:type="dxa"/>
            <w:gridSpan w:val="3"/>
            <w:vAlign w:val="bottom"/>
          </w:tcPr>
          <w:p w:rsidR="00CC2C66" w:rsidRDefault="00F80B74">
            <w:pPr>
              <w:jc w:val="right"/>
              <w:rPr>
                <w:sz w:val="20"/>
                <w:szCs w:val="20"/>
              </w:rPr>
            </w:pPr>
            <w:r>
              <w:rPr>
                <w:rFonts w:ascii="Arial" w:eastAsia="Arial" w:hAnsi="Arial" w:cs="Arial"/>
                <w:sz w:val="13"/>
                <w:szCs w:val="13"/>
              </w:rPr>
              <w:t>2,566</w:t>
            </w:r>
          </w:p>
        </w:tc>
        <w:tc>
          <w:tcPr>
            <w:tcW w:w="560" w:type="dxa"/>
            <w:vAlign w:val="bottom"/>
          </w:tcPr>
          <w:p w:rsidR="00CC2C66" w:rsidRDefault="00F80B74">
            <w:pPr>
              <w:jc w:val="right"/>
              <w:rPr>
                <w:sz w:val="20"/>
                <w:szCs w:val="20"/>
              </w:rPr>
            </w:pPr>
            <w:r>
              <w:rPr>
                <w:rFonts w:ascii="Arial" w:eastAsia="Arial" w:hAnsi="Arial" w:cs="Arial"/>
                <w:sz w:val="13"/>
                <w:szCs w:val="13"/>
              </w:rPr>
              <w:t>5,131</w:t>
            </w:r>
          </w:p>
        </w:tc>
        <w:tc>
          <w:tcPr>
            <w:tcW w:w="720" w:type="dxa"/>
            <w:vAlign w:val="bottom"/>
          </w:tcPr>
          <w:p w:rsidR="00CC2C66" w:rsidRDefault="00F80B74">
            <w:pPr>
              <w:jc w:val="right"/>
              <w:rPr>
                <w:sz w:val="20"/>
                <w:szCs w:val="20"/>
              </w:rPr>
            </w:pPr>
            <w:r>
              <w:rPr>
                <w:rFonts w:ascii="Arial" w:eastAsia="Arial" w:hAnsi="Arial" w:cs="Arial"/>
                <w:sz w:val="13"/>
                <w:szCs w:val="13"/>
              </w:rPr>
              <w:t>10,262</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375,025</w:t>
            </w:r>
          </w:p>
        </w:tc>
        <w:tc>
          <w:tcPr>
            <w:tcW w:w="0" w:type="dxa"/>
            <w:vAlign w:val="bottom"/>
          </w:tcPr>
          <w:p w:rsidR="00CC2C66" w:rsidRDefault="00CC2C66">
            <w:pPr>
              <w:rPr>
                <w:sz w:val="1"/>
                <w:szCs w:val="1"/>
              </w:rPr>
            </w:pPr>
          </w:p>
        </w:tc>
      </w:tr>
      <w:tr w:rsidR="00CC2C66">
        <w:trPr>
          <w:trHeight w:val="153"/>
        </w:trPr>
        <w:tc>
          <w:tcPr>
            <w:tcW w:w="1200" w:type="dxa"/>
            <w:tcBorders>
              <w:bottom w:val="single" w:sz="8" w:space="0" w:color="CF0A2C"/>
            </w:tcBorders>
            <w:vAlign w:val="bottom"/>
          </w:tcPr>
          <w:p w:rsidR="00CC2C66" w:rsidRDefault="00CC2C66">
            <w:pPr>
              <w:rPr>
                <w:sz w:val="13"/>
                <w:szCs w:val="13"/>
              </w:rPr>
            </w:pPr>
          </w:p>
        </w:tc>
        <w:tc>
          <w:tcPr>
            <w:tcW w:w="1260" w:type="dxa"/>
            <w:tcBorders>
              <w:bottom w:val="single" w:sz="8" w:space="0" w:color="CF0A2C"/>
            </w:tcBorders>
            <w:vAlign w:val="bottom"/>
          </w:tcPr>
          <w:p w:rsidR="00CC2C66" w:rsidRDefault="00F80B74">
            <w:pPr>
              <w:spacing w:line="154" w:lineRule="exact"/>
              <w:jc w:val="right"/>
              <w:rPr>
                <w:sz w:val="20"/>
                <w:szCs w:val="20"/>
              </w:rPr>
            </w:pPr>
            <w:r>
              <w:rPr>
                <w:rFonts w:ascii="Arial" w:eastAsia="Arial" w:hAnsi="Arial" w:cs="Arial"/>
                <w:sz w:val="12"/>
                <w:szCs w:val="12"/>
              </w:rPr>
              <w:t>5/25/2021</w:t>
            </w:r>
            <w:r>
              <w:rPr>
                <w:rFonts w:ascii="Arial" w:eastAsia="Arial" w:hAnsi="Arial" w:cs="Arial"/>
                <w:sz w:val="17"/>
                <w:szCs w:val="17"/>
                <w:vertAlign w:val="superscript"/>
              </w:rPr>
              <w:t>(6)</w:t>
            </w:r>
          </w:p>
        </w:tc>
        <w:tc>
          <w:tcPr>
            <w:tcW w:w="80" w:type="dxa"/>
            <w:tcBorders>
              <w:bottom w:val="single" w:sz="8" w:space="0" w:color="CF0A2C"/>
            </w:tcBorders>
            <w:vAlign w:val="bottom"/>
          </w:tcPr>
          <w:p w:rsidR="00CC2C66" w:rsidRDefault="00CC2C66">
            <w:pPr>
              <w:rPr>
                <w:sz w:val="13"/>
                <w:szCs w:val="13"/>
              </w:rPr>
            </w:pPr>
          </w:p>
        </w:tc>
        <w:tc>
          <w:tcPr>
            <w:tcW w:w="760" w:type="dxa"/>
            <w:tcBorders>
              <w:bottom w:val="single" w:sz="8" w:space="0" w:color="CF0A2C"/>
            </w:tcBorders>
            <w:vAlign w:val="bottom"/>
          </w:tcPr>
          <w:p w:rsidR="00CC2C66" w:rsidRDefault="00F80B74">
            <w:pPr>
              <w:ind w:right="16"/>
              <w:jc w:val="right"/>
              <w:rPr>
                <w:sz w:val="20"/>
                <w:szCs w:val="20"/>
              </w:rPr>
            </w:pPr>
            <w:r>
              <w:rPr>
                <w:rFonts w:ascii="Arial" w:eastAsia="Arial" w:hAnsi="Arial" w:cs="Arial"/>
                <w:sz w:val="13"/>
                <w:szCs w:val="13"/>
              </w:rPr>
              <w:t>—</w:t>
            </w:r>
          </w:p>
        </w:tc>
        <w:tc>
          <w:tcPr>
            <w:tcW w:w="7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80" w:type="dxa"/>
            <w:gridSpan w:val="3"/>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3,268</w:t>
            </w:r>
          </w:p>
        </w:tc>
        <w:tc>
          <w:tcPr>
            <w:tcW w:w="5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6,535</w:t>
            </w:r>
          </w:p>
        </w:tc>
        <w:tc>
          <w:tcPr>
            <w:tcW w:w="7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13,070</w:t>
            </w: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426,017</w:t>
            </w:r>
          </w:p>
        </w:tc>
        <w:tc>
          <w:tcPr>
            <w:tcW w:w="0" w:type="dxa"/>
            <w:vAlign w:val="bottom"/>
          </w:tcPr>
          <w:p w:rsidR="00CC2C66" w:rsidRDefault="00CC2C66">
            <w:pPr>
              <w:rPr>
                <w:sz w:val="1"/>
                <w:szCs w:val="1"/>
              </w:rPr>
            </w:pPr>
          </w:p>
        </w:tc>
      </w:tr>
      <w:tr w:rsidR="00CC2C66">
        <w:trPr>
          <w:trHeight w:val="172"/>
        </w:trPr>
        <w:tc>
          <w:tcPr>
            <w:tcW w:w="1200" w:type="dxa"/>
            <w:vAlign w:val="bottom"/>
          </w:tcPr>
          <w:p w:rsidR="00CC2C66" w:rsidRDefault="00F80B74">
            <w:pPr>
              <w:rPr>
                <w:sz w:val="20"/>
                <w:szCs w:val="20"/>
              </w:rPr>
            </w:pPr>
            <w:r>
              <w:rPr>
                <w:rFonts w:ascii="Arial" w:eastAsia="Arial" w:hAnsi="Arial" w:cs="Arial"/>
                <w:b/>
                <w:bCs/>
                <w:color w:val="CF0A2C"/>
                <w:sz w:val="14"/>
                <w:szCs w:val="14"/>
              </w:rPr>
              <w:t>Mr. Chan</w:t>
            </w:r>
          </w:p>
        </w:tc>
        <w:tc>
          <w:tcPr>
            <w:tcW w:w="1260" w:type="dxa"/>
            <w:vAlign w:val="bottom"/>
          </w:tcPr>
          <w:p w:rsidR="00CC2C66" w:rsidRDefault="00F80B74">
            <w:pPr>
              <w:ind w:right="77"/>
              <w:jc w:val="right"/>
              <w:rPr>
                <w:sz w:val="20"/>
                <w:szCs w:val="20"/>
              </w:rPr>
            </w:pPr>
            <w:r>
              <w:rPr>
                <w:rFonts w:ascii="Arial" w:eastAsia="Arial" w:hAnsi="Arial" w:cs="Arial"/>
                <w:sz w:val="13"/>
                <w:szCs w:val="13"/>
              </w:rPr>
              <w:t>—</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472,356</w:t>
            </w:r>
          </w:p>
        </w:tc>
        <w:tc>
          <w:tcPr>
            <w:tcW w:w="740" w:type="dxa"/>
            <w:vAlign w:val="bottom"/>
          </w:tcPr>
          <w:p w:rsidR="00CC2C66" w:rsidRDefault="00F80B74">
            <w:pPr>
              <w:jc w:val="right"/>
              <w:rPr>
                <w:sz w:val="20"/>
                <w:szCs w:val="20"/>
              </w:rPr>
            </w:pPr>
            <w:r>
              <w:rPr>
                <w:rFonts w:ascii="Arial" w:eastAsia="Arial" w:hAnsi="Arial" w:cs="Arial"/>
                <w:sz w:val="13"/>
                <w:szCs w:val="13"/>
              </w:rPr>
              <w:t>1,417,068</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32,248</w:t>
            </w:r>
          </w:p>
        </w:tc>
        <w:tc>
          <w:tcPr>
            <w:tcW w:w="860" w:type="dxa"/>
            <w:vAlign w:val="bottom"/>
          </w:tcPr>
          <w:p w:rsidR="00CC2C66" w:rsidRDefault="00F80B74">
            <w:pPr>
              <w:jc w:val="right"/>
              <w:rPr>
                <w:sz w:val="20"/>
                <w:szCs w:val="20"/>
              </w:rPr>
            </w:pPr>
            <w:r>
              <w:rPr>
                <w:rFonts w:ascii="Arial" w:eastAsia="Arial" w:hAnsi="Arial" w:cs="Arial"/>
                <w:sz w:val="13"/>
                <w:szCs w:val="13"/>
              </w:rPr>
              <w:t>57.39</w:t>
            </w:r>
          </w:p>
        </w:tc>
        <w:tc>
          <w:tcPr>
            <w:tcW w:w="900" w:type="dxa"/>
            <w:vAlign w:val="bottom"/>
          </w:tcPr>
          <w:p w:rsidR="00CC2C66" w:rsidRDefault="00F80B74">
            <w:pPr>
              <w:jc w:val="right"/>
              <w:rPr>
                <w:sz w:val="20"/>
                <w:szCs w:val="20"/>
              </w:rPr>
            </w:pPr>
            <w:r>
              <w:rPr>
                <w:rFonts w:ascii="Arial" w:eastAsia="Arial" w:hAnsi="Arial" w:cs="Arial"/>
                <w:sz w:val="13"/>
                <w:szCs w:val="13"/>
              </w:rPr>
              <w:t>562,502</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26,137</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1,500,002</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spacing w:line="166" w:lineRule="exact"/>
              <w:jc w:val="right"/>
              <w:rPr>
                <w:sz w:val="20"/>
                <w:szCs w:val="20"/>
              </w:rPr>
            </w:pPr>
            <w:r>
              <w:rPr>
                <w:rFonts w:ascii="Arial" w:eastAsia="Arial" w:hAnsi="Arial" w:cs="Arial"/>
                <w:sz w:val="13"/>
                <w:szCs w:val="13"/>
              </w:rPr>
              <w:t>2/5/2021</w:t>
            </w:r>
            <w:r>
              <w:rPr>
                <w:rFonts w:ascii="Arial" w:eastAsia="Arial" w:hAnsi="Arial" w:cs="Arial"/>
                <w:sz w:val="19"/>
                <w:szCs w:val="19"/>
                <w:vertAlign w:val="superscript"/>
              </w:rPr>
              <w:t>(6)</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980" w:type="dxa"/>
            <w:gridSpan w:val="3"/>
            <w:vAlign w:val="bottom"/>
          </w:tcPr>
          <w:p w:rsidR="00CC2C66" w:rsidRDefault="00F80B74">
            <w:pPr>
              <w:jc w:val="right"/>
              <w:rPr>
                <w:sz w:val="20"/>
                <w:szCs w:val="20"/>
              </w:rPr>
            </w:pPr>
            <w:r>
              <w:rPr>
                <w:rFonts w:ascii="Arial" w:eastAsia="Arial" w:hAnsi="Arial" w:cs="Arial"/>
                <w:sz w:val="13"/>
                <w:szCs w:val="13"/>
              </w:rPr>
              <w:t>1,924</w:t>
            </w:r>
          </w:p>
        </w:tc>
        <w:tc>
          <w:tcPr>
            <w:tcW w:w="560" w:type="dxa"/>
            <w:vAlign w:val="bottom"/>
          </w:tcPr>
          <w:p w:rsidR="00CC2C66" w:rsidRDefault="00F80B74">
            <w:pPr>
              <w:jc w:val="right"/>
              <w:rPr>
                <w:sz w:val="20"/>
                <w:szCs w:val="20"/>
              </w:rPr>
            </w:pPr>
            <w:r>
              <w:rPr>
                <w:rFonts w:ascii="Arial" w:eastAsia="Arial" w:hAnsi="Arial" w:cs="Arial"/>
                <w:sz w:val="13"/>
                <w:szCs w:val="13"/>
              </w:rPr>
              <w:t>3,848</w:t>
            </w:r>
          </w:p>
        </w:tc>
        <w:tc>
          <w:tcPr>
            <w:tcW w:w="720" w:type="dxa"/>
            <w:vAlign w:val="bottom"/>
          </w:tcPr>
          <w:p w:rsidR="00CC2C66" w:rsidRDefault="00F80B74">
            <w:pPr>
              <w:jc w:val="right"/>
              <w:rPr>
                <w:sz w:val="20"/>
                <w:szCs w:val="20"/>
              </w:rPr>
            </w:pPr>
            <w:r>
              <w:rPr>
                <w:rFonts w:ascii="Arial" w:eastAsia="Arial" w:hAnsi="Arial" w:cs="Arial"/>
                <w:sz w:val="13"/>
                <w:szCs w:val="13"/>
              </w:rPr>
              <w:t>7,696</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281,250</w:t>
            </w:r>
          </w:p>
        </w:tc>
        <w:tc>
          <w:tcPr>
            <w:tcW w:w="0" w:type="dxa"/>
            <w:vAlign w:val="bottom"/>
          </w:tcPr>
          <w:p w:rsidR="00CC2C66" w:rsidRDefault="00CC2C66">
            <w:pPr>
              <w:rPr>
                <w:sz w:val="1"/>
                <w:szCs w:val="1"/>
              </w:rPr>
            </w:pPr>
          </w:p>
        </w:tc>
      </w:tr>
      <w:tr w:rsidR="00CC2C66">
        <w:trPr>
          <w:trHeight w:val="153"/>
        </w:trPr>
        <w:tc>
          <w:tcPr>
            <w:tcW w:w="1200" w:type="dxa"/>
            <w:tcBorders>
              <w:bottom w:val="single" w:sz="8" w:space="0" w:color="CF0A2C"/>
            </w:tcBorders>
            <w:vAlign w:val="bottom"/>
          </w:tcPr>
          <w:p w:rsidR="00CC2C66" w:rsidRDefault="00CC2C66">
            <w:pPr>
              <w:rPr>
                <w:sz w:val="13"/>
                <w:szCs w:val="13"/>
              </w:rPr>
            </w:pPr>
          </w:p>
        </w:tc>
        <w:tc>
          <w:tcPr>
            <w:tcW w:w="1260" w:type="dxa"/>
            <w:tcBorders>
              <w:bottom w:val="single" w:sz="8" w:space="0" w:color="CF0A2C"/>
            </w:tcBorders>
            <w:vAlign w:val="bottom"/>
          </w:tcPr>
          <w:p w:rsidR="00CC2C66" w:rsidRDefault="00F80B74">
            <w:pPr>
              <w:spacing w:line="154" w:lineRule="exact"/>
              <w:jc w:val="right"/>
              <w:rPr>
                <w:sz w:val="20"/>
                <w:szCs w:val="20"/>
              </w:rPr>
            </w:pPr>
            <w:r>
              <w:rPr>
                <w:rFonts w:ascii="Arial" w:eastAsia="Arial" w:hAnsi="Arial" w:cs="Arial"/>
                <w:sz w:val="12"/>
                <w:szCs w:val="12"/>
              </w:rPr>
              <w:t>5/25/2021</w:t>
            </w:r>
            <w:r>
              <w:rPr>
                <w:rFonts w:ascii="Arial" w:eastAsia="Arial" w:hAnsi="Arial" w:cs="Arial"/>
                <w:sz w:val="17"/>
                <w:szCs w:val="17"/>
                <w:vertAlign w:val="superscript"/>
              </w:rPr>
              <w:t>(6)</w:t>
            </w:r>
          </w:p>
        </w:tc>
        <w:tc>
          <w:tcPr>
            <w:tcW w:w="80" w:type="dxa"/>
            <w:tcBorders>
              <w:bottom w:val="single" w:sz="8" w:space="0" w:color="CF0A2C"/>
            </w:tcBorders>
            <w:vAlign w:val="bottom"/>
          </w:tcPr>
          <w:p w:rsidR="00CC2C66" w:rsidRDefault="00CC2C66">
            <w:pPr>
              <w:rPr>
                <w:sz w:val="13"/>
                <w:szCs w:val="13"/>
              </w:rPr>
            </w:pPr>
          </w:p>
        </w:tc>
        <w:tc>
          <w:tcPr>
            <w:tcW w:w="760" w:type="dxa"/>
            <w:tcBorders>
              <w:bottom w:val="single" w:sz="8" w:space="0" w:color="CF0A2C"/>
            </w:tcBorders>
            <w:vAlign w:val="bottom"/>
          </w:tcPr>
          <w:p w:rsidR="00CC2C66" w:rsidRDefault="00CC2C66">
            <w:pPr>
              <w:rPr>
                <w:sz w:val="13"/>
                <w:szCs w:val="13"/>
              </w:rPr>
            </w:pPr>
          </w:p>
        </w:tc>
        <w:tc>
          <w:tcPr>
            <w:tcW w:w="7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80" w:type="dxa"/>
            <w:gridSpan w:val="3"/>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2,451</w:t>
            </w:r>
          </w:p>
        </w:tc>
        <w:tc>
          <w:tcPr>
            <w:tcW w:w="5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4,901</w:t>
            </w:r>
          </w:p>
        </w:tc>
        <w:tc>
          <w:tcPr>
            <w:tcW w:w="7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9,802</w:t>
            </w: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319,496</w:t>
            </w:r>
          </w:p>
        </w:tc>
        <w:tc>
          <w:tcPr>
            <w:tcW w:w="0" w:type="dxa"/>
            <w:vAlign w:val="bottom"/>
          </w:tcPr>
          <w:p w:rsidR="00CC2C66" w:rsidRDefault="00CC2C66">
            <w:pPr>
              <w:rPr>
                <w:sz w:val="1"/>
                <w:szCs w:val="1"/>
              </w:rPr>
            </w:pPr>
          </w:p>
        </w:tc>
      </w:tr>
      <w:tr w:rsidR="00CC2C66">
        <w:trPr>
          <w:trHeight w:val="172"/>
        </w:trPr>
        <w:tc>
          <w:tcPr>
            <w:tcW w:w="1200" w:type="dxa"/>
            <w:vAlign w:val="bottom"/>
          </w:tcPr>
          <w:p w:rsidR="00CC2C66" w:rsidRDefault="00F80B74">
            <w:pPr>
              <w:rPr>
                <w:sz w:val="20"/>
                <w:szCs w:val="20"/>
              </w:rPr>
            </w:pPr>
            <w:r>
              <w:rPr>
                <w:rFonts w:ascii="Arial" w:eastAsia="Arial" w:hAnsi="Arial" w:cs="Arial"/>
                <w:b/>
                <w:bCs/>
                <w:color w:val="CF0A2C"/>
                <w:sz w:val="14"/>
                <w:szCs w:val="14"/>
              </w:rPr>
              <w:t>Mr. Huang</w:t>
            </w:r>
          </w:p>
        </w:tc>
        <w:tc>
          <w:tcPr>
            <w:tcW w:w="1260" w:type="dxa"/>
            <w:vAlign w:val="bottom"/>
          </w:tcPr>
          <w:p w:rsidR="00CC2C66" w:rsidRDefault="00F80B74">
            <w:pPr>
              <w:ind w:right="77"/>
              <w:jc w:val="right"/>
              <w:rPr>
                <w:sz w:val="20"/>
                <w:szCs w:val="20"/>
              </w:rPr>
            </w:pPr>
            <w:r>
              <w:rPr>
                <w:rFonts w:ascii="Arial" w:eastAsia="Arial" w:hAnsi="Arial" w:cs="Arial"/>
                <w:sz w:val="13"/>
                <w:szCs w:val="13"/>
              </w:rPr>
              <w:t>—</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733,715</w:t>
            </w:r>
          </w:p>
        </w:tc>
        <w:tc>
          <w:tcPr>
            <w:tcW w:w="740" w:type="dxa"/>
            <w:vAlign w:val="bottom"/>
          </w:tcPr>
          <w:p w:rsidR="00CC2C66" w:rsidRDefault="00F80B74">
            <w:pPr>
              <w:jc w:val="right"/>
              <w:rPr>
                <w:sz w:val="20"/>
                <w:szCs w:val="20"/>
              </w:rPr>
            </w:pPr>
            <w:r>
              <w:rPr>
                <w:rFonts w:ascii="Arial" w:eastAsia="Arial" w:hAnsi="Arial" w:cs="Arial"/>
                <w:sz w:val="13"/>
                <w:szCs w:val="13"/>
              </w:rPr>
              <w:t>2,201,145</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35,831</w:t>
            </w:r>
          </w:p>
        </w:tc>
        <w:tc>
          <w:tcPr>
            <w:tcW w:w="860" w:type="dxa"/>
            <w:vAlign w:val="bottom"/>
          </w:tcPr>
          <w:p w:rsidR="00CC2C66" w:rsidRDefault="00F80B74">
            <w:pPr>
              <w:jc w:val="right"/>
              <w:rPr>
                <w:sz w:val="20"/>
                <w:szCs w:val="20"/>
              </w:rPr>
            </w:pPr>
            <w:r>
              <w:rPr>
                <w:rFonts w:ascii="Arial" w:eastAsia="Arial" w:hAnsi="Arial" w:cs="Arial"/>
                <w:sz w:val="13"/>
                <w:szCs w:val="13"/>
              </w:rPr>
              <w:t>57.39</w:t>
            </w:r>
          </w:p>
        </w:tc>
        <w:tc>
          <w:tcPr>
            <w:tcW w:w="900" w:type="dxa"/>
            <w:vAlign w:val="bottom"/>
          </w:tcPr>
          <w:p w:rsidR="00CC2C66" w:rsidRDefault="00F80B74">
            <w:pPr>
              <w:jc w:val="right"/>
              <w:rPr>
                <w:sz w:val="20"/>
                <w:szCs w:val="20"/>
              </w:rPr>
            </w:pPr>
            <w:r>
              <w:rPr>
                <w:rFonts w:ascii="Arial" w:eastAsia="Arial" w:hAnsi="Arial" w:cs="Arial"/>
                <w:sz w:val="13"/>
                <w:szCs w:val="13"/>
              </w:rPr>
              <w:t>625,000</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spacing w:line="166" w:lineRule="exact"/>
              <w:jc w:val="right"/>
              <w:rPr>
                <w:sz w:val="20"/>
                <w:szCs w:val="20"/>
              </w:rPr>
            </w:pPr>
            <w:r>
              <w:rPr>
                <w:rFonts w:ascii="Arial" w:eastAsia="Arial" w:hAnsi="Arial" w:cs="Arial"/>
                <w:sz w:val="13"/>
                <w:szCs w:val="13"/>
              </w:rPr>
              <w:t>2/5/2021</w:t>
            </w:r>
            <w:r>
              <w:rPr>
                <w:rFonts w:ascii="Arial" w:eastAsia="Arial" w:hAnsi="Arial" w:cs="Arial"/>
                <w:sz w:val="19"/>
                <w:szCs w:val="19"/>
                <w:vertAlign w:val="superscript"/>
              </w:rPr>
              <w:t>(6)</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980" w:type="dxa"/>
            <w:gridSpan w:val="3"/>
            <w:vAlign w:val="bottom"/>
          </w:tcPr>
          <w:p w:rsidR="00CC2C66" w:rsidRDefault="00F80B74">
            <w:pPr>
              <w:jc w:val="right"/>
              <w:rPr>
                <w:sz w:val="20"/>
                <w:szCs w:val="20"/>
              </w:rPr>
            </w:pPr>
            <w:r>
              <w:rPr>
                <w:rFonts w:ascii="Arial" w:eastAsia="Arial" w:hAnsi="Arial" w:cs="Arial"/>
                <w:sz w:val="13"/>
                <w:szCs w:val="13"/>
              </w:rPr>
              <w:t>2,138</w:t>
            </w:r>
          </w:p>
        </w:tc>
        <w:tc>
          <w:tcPr>
            <w:tcW w:w="560" w:type="dxa"/>
            <w:vAlign w:val="bottom"/>
          </w:tcPr>
          <w:p w:rsidR="00CC2C66" w:rsidRDefault="00F80B74">
            <w:pPr>
              <w:jc w:val="right"/>
              <w:rPr>
                <w:sz w:val="20"/>
                <w:szCs w:val="20"/>
              </w:rPr>
            </w:pPr>
            <w:r>
              <w:rPr>
                <w:rFonts w:ascii="Arial" w:eastAsia="Arial" w:hAnsi="Arial" w:cs="Arial"/>
                <w:sz w:val="13"/>
                <w:szCs w:val="13"/>
              </w:rPr>
              <w:t>4,276</w:t>
            </w:r>
          </w:p>
        </w:tc>
        <w:tc>
          <w:tcPr>
            <w:tcW w:w="720" w:type="dxa"/>
            <w:vAlign w:val="bottom"/>
          </w:tcPr>
          <w:p w:rsidR="00CC2C66" w:rsidRDefault="00F80B74">
            <w:pPr>
              <w:jc w:val="right"/>
              <w:rPr>
                <w:sz w:val="20"/>
                <w:szCs w:val="20"/>
              </w:rPr>
            </w:pPr>
            <w:r>
              <w:rPr>
                <w:rFonts w:ascii="Arial" w:eastAsia="Arial" w:hAnsi="Arial" w:cs="Arial"/>
                <w:sz w:val="13"/>
                <w:szCs w:val="13"/>
              </w:rPr>
              <w:t>8,552</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312,533</w:t>
            </w:r>
          </w:p>
        </w:tc>
        <w:tc>
          <w:tcPr>
            <w:tcW w:w="0" w:type="dxa"/>
            <w:vAlign w:val="bottom"/>
          </w:tcPr>
          <w:p w:rsidR="00CC2C66" w:rsidRDefault="00CC2C66">
            <w:pPr>
              <w:rPr>
                <w:sz w:val="1"/>
                <w:szCs w:val="1"/>
              </w:rPr>
            </w:pPr>
          </w:p>
        </w:tc>
      </w:tr>
      <w:tr w:rsidR="00CC2C66">
        <w:trPr>
          <w:trHeight w:val="153"/>
        </w:trPr>
        <w:tc>
          <w:tcPr>
            <w:tcW w:w="1200" w:type="dxa"/>
            <w:tcBorders>
              <w:bottom w:val="single" w:sz="8" w:space="0" w:color="CF0A2C"/>
            </w:tcBorders>
            <w:vAlign w:val="bottom"/>
          </w:tcPr>
          <w:p w:rsidR="00CC2C66" w:rsidRDefault="00CC2C66">
            <w:pPr>
              <w:rPr>
                <w:sz w:val="13"/>
                <w:szCs w:val="13"/>
              </w:rPr>
            </w:pPr>
          </w:p>
        </w:tc>
        <w:tc>
          <w:tcPr>
            <w:tcW w:w="1260" w:type="dxa"/>
            <w:tcBorders>
              <w:bottom w:val="single" w:sz="8" w:space="0" w:color="CF0A2C"/>
            </w:tcBorders>
            <w:vAlign w:val="bottom"/>
          </w:tcPr>
          <w:p w:rsidR="00CC2C66" w:rsidRDefault="00F80B74">
            <w:pPr>
              <w:spacing w:line="154" w:lineRule="exact"/>
              <w:jc w:val="right"/>
              <w:rPr>
                <w:sz w:val="20"/>
                <w:szCs w:val="20"/>
              </w:rPr>
            </w:pPr>
            <w:r>
              <w:rPr>
                <w:rFonts w:ascii="Arial" w:eastAsia="Arial" w:hAnsi="Arial" w:cs="Arial"/>
                <w:sz w:val="12"/>
                <w:szCs w:val="12"/>
              </w:rPr>
              <w:t>5/25/2021</w:t>
            </w:r>
            <w:r>
              <w:rPr>
                <w:rFonts w:ascii="Arial" w:eastAsia="Arial" w:hAnsi="Arial" w:cs="Arial"/>
                <w:sz w:val="17"/>
                <w:szCs w:val="17"/>
                <w:vertAlign w:val="superscript"/>
              </w:rPr>
              <w:t>(6)</w:t>
            </w:r>
          </w:p>
        </w:tc>
        <w:tc>
          <w:tcPr>
            <w:tcW w:w="80" w:type="dxa"/>
            <w:tcBorders>
              <w:bottom w:val="single" w:sz="8" w:space="0" w:color="CF0A2C"/>
            </w:tcBorders>
            <w:vAlign w:val="bottom"/>
          </w:tcPr>
          <w:p w:rsidR="00CC2C66" w:rsidRDefault="00CC2C66">
            <w:pPr>
              <w:rPr>
                <w:sz w:val="13"/>
                <w:szCs w:val="13"/>
              </w:rPr>
            </w:pPr>
          </w:p>
        </w:tc>
        <w:tc>
          <w:tcPr>
            <w:tcW w:w="760" w:type="dxa"/>
            <w:tcBorders>
              <w:bottom w:val="single" w:sz="8" w:space="0" w:color="CF0A2C"/>
            </w:tcBorders>
            <w:vAlign w:val="bottom"/>
          </w:tcPr>
          <w:p w:rsidR="00CC2C66" w:rsidRDefault="00F80B74">
            <w:pPr>
              <w:ind w:right="16"/>
              <w:jc w:val="right"/>
              <w:rPr>
                <w:sz w:val="20"/>
                <w:szCs w:val="20"/>
              </w:rPr>
            </w:pPr>
            <w:r>
              <w:rPr>
                <w:rFonts w:ascii="Arial" w:eastAsia="Arial" w:hAnsi="Arial" w:cs="Arial"/>
                <w:sz w:val="13"/>
                <w:szCs w:val="13"/>
              </w:rPr>
              <w:t>—</w:t>
            </w:r>
          </w:p>
        </w:tc>
        <w:tc>
          <w:tcPr>
            <w:tcW w:w="7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80" w:type="dxa"/>
            <w:gridSpan w:val="3"/>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2,723</w:t>
            </w:r>
          </w:p>
        </w:tc>
        <w:tc>
          <w:tcPr>
            <w:tcW w:w="5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5,446</w:t>
            </w:r>
          </w:p>
        </w:tc>
        <w:tc>
          <w:tcPr>
            <w:tcW w:w="7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10,892</w:t>
            </w: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355,025</w:t>
            </w:r>
          </w:p>
        </w:tc>
        <w:tc>
          <w:tcPr>
            <w:tcW w:w="0" w:type="dxa"/>
            <w:vAlign w:val="bottom"/>
          </w:tcPr>
          <w:p w:rsidR="00CC2C66" w:rsidRDefault="00CC2C66">
            <w:pPr>
              <w:rPr>
                <w:sz w:val="1"/>
                <w:szCs w:val="1"/>
              </w:rPr>
            </w:pPr>
          </w:p>
        </w:tc>
      </w:tr>
      <w:tr w:rsidR="00CC2C66">
        <w:trPr>
          <w:trHeight w:val="172"/>
        </w:trPr>
        <w:tc>
          <w:tcPr>
            <w:tcW w:w="1200" w:type="dxa"/>
            <w:vAlign w:val="bottom"/>
          </w:tcPr>
          <w:p w:rsidR="00CC2C66" w:rsidRDefault="00F80B74">
            <w:pPr>
              <w:rPr>
                <w:sz w:val="20"/>
                <w:szCs w:val="20"/>
              </w:rPr>
            </w:pPr>
            <w:r>
              <w:rPr>
                <w:rFonts w:ascii="Arial" w:eastAsia="Arial" w:hAnsi="Arial" w:cs="Arial"/>
                <w:b/>
                <w:bCs/>
                <w:color w:val="CF0A2C"/>
                <w:sz w:val="14"/>
                <w:szCs w:val="14"/>
              </w:rPr>
              <w:t>Mr. Yuen</w:t>
            </w:r>
          </w:p>
        </w:tc>
        <w:tc>
          <w:tcPr>
            <w:tcW w:w="1260" w:type="dxa"/>
            <w:vAlign w:val="bottom"/>
          </w:tcPr>
          <w:p w:rsidR="00CC2C66" w:rsidRDefault="00F80B74">
            <w:pPr>
              <w:ind w:right="77"/>
              <w:jc w:val="right"/>
              <w:rPr>
                <w:sz w:val="20"/>
                <w:szCs w:val="20"/>
              </w:rPr>
            </w:pPr>
            <w:r>
              <w:rPr>
                <w:rFonts w:ascii="Arial" w:eastAsia="Arial" w:hAnsi="Arial" w:cs="Arial"/>
                <w:sz w:val="13"/>
                <w:szCs w:val="13"/>
              </w:rPr>
              <w:t>—</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417,452</w:t>
            </w:r>
          </w:p>
        </w:tc>
        <w:tc>
          <w:tcPr>
            <w:tcW w:w="740" w:type="dxa"/>
            <w:vAlign w:val="bottom"/>
          </w:tcPr>
          <w:p w:rsidR="00CC2C66" w:rsidRDefault="00F80B74">
            <w:pPr>
              <w:jc w:val="right"/>
              <w:rPr>
                <w:sz w:val="20"/>
                <w:szCs w:val="20"/>
              </w:rPr>
            </w:pPr>
            <w:r>
              <w:rPr>
                <w:rFonts w:ascii="Arial" w:eastAsia="Arial" w:hAnsi="Arial" w:cs="Arial"/>
                <w:sz w:val="13"/>
                <w:szCs w:val="13"/>
              </w:rPr>
              <w:t>1,252,356</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20,066</w:t>
            </w:r>
          </w:p>
        </w:tc>
        <w:tc>
          <w:tcPr>
            <w:tcW w:w="860" w:type="dxa"/>
            <w:vAlign w:val="bottom"/>
          </w:tcPr>
          <w:p w:rsidR="00CC2C66" w:rsidRDefault="00F80B74">
            <w:pPr>
              <w:jc w:val="right"/>
              <w:rPr>
                <w:sz w:val="20"/>
                <w:szCs w:val="20"/>
              </w:rPr>
            </w:pPr>
            <w:r>
              <w:rPr>
                <w:rFonts w:ascii="Arial" w:eastAsia="Arial" w:hAnsi="Arial" w:cs="Arial"/>
                <w:sz w:val="13"/>
                <w:szCs w:val="13"/>
              </w:rPr>
              <w:t>57.39</w:t>
            </w:r>
          </w:p>
        </w:tc>
        <w:tc>
          <w:tcPr>
            <w:tcW w:w="900" w:type="dxa"/>
            <w:vAlign w:val="bottom"/>
          </w:tcPr>
          <w:p w:rsidR="00CC2C66" w:rsidRDefault="00F80B74">
            <w:pPr>
              <w:jc w:val="right"/>
              <w:rPr>
                <w:sz w:val="20"/>
                <w:szCs w:val="20"/>
              </w:rPr>
            </w:pPr>
            <w:r>
              <w:rPr>
                <w:rFonts w:ascii="Arial" w:eastAsia="Arial" w:hAnsi="Arial" w:cs="Arial"/>
                <w:sz w:val="13"/>
                <w:szCs w:val="13"/>
              </w:rPr>
              <w:t>350,011</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spacing w:line="166" w:lineRule="exact"/>
              <w:jc w:val="right"/>
              <w:rPr>
                <w:sz w:val="20"/>
                <w:szCs w:val="20"/>
              </w:rPr>
            </w:pPr>
            <w:r>
              <w:rPr>
                <w:rFonts w:ascii="Arial" w:eastAsia="Arial" w:hAnsi="Arial" w:cs="Arial"/>
                <w:sz w:val="13"/>
                <w:szCs w:val="13"/>
              </w:rPr>
              <w:t>2/5/2021</w:t>
            </w:r>
            <w:r>
              <w:rPr>
                <w:rFonts w:ascii="Arial" w:eastAsia="Arial" w:hAnsi="Arial" w:cs="Arial"/>
                <w:sz w:val="19"/>
                <w:szCs w:val="19"/>
                <w:vertAlign w:val="superscript"/>
              </w:rPr>
              <w:t>(6)</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980" w:type="dxa"/>
            <w:gridSpan w:val="3"/>
            <w:vAlign w:val="bottom"/>
          </w:tcPr>
          <w:p w:rsidR="00CC2C66" w:rsidRDefault="00F80B74">
            <w:pPr>
              <w:jc w:val="right"/>
              <w:rPr>
                <w:sz w:val="20"/>
                <w:szCs w:val="20"/>
              </w:rPr>
            </w:pPr>
            <w:r>
              <w:rPr>
                <w:rFonts w:ascii="Arial" w:eastAsia="Arial" w:hAnsi="Arial" w:cs="Arial"/>
                <w:sz w:val="13"/>
                <w:szCs w:val="13"/>
              </w:rPr>
              <w:t>1,198</w:t>
            </w:r>
          </w:p>
        </w:tc>
        <w:tc>
          <w:tcPr>
            <w:tcW w:w="560" w:type="dxa"/>
            <w:vAlign w:val="bottom"/>
          </w:tcPr>
          <w:p w:rsidR="00CC2C66" w:rsidRDefault="00F80B74">
            <w:pPr>
              <w:jc w:val="right"/>
              <w:rPr>
                <w:sz w:val="20"/>
                <w:szCs w:val="20"/>
              </w:rPr>
            </w:pPr>
            <w:r>
              <w:rPr>
                <w:rFonts w:ascii="Arial" w:eastAsia="Arial" w:hAnsi="Arial" w:cs="Arial"/>
                <w:sz w:val="13"/>
                <w:szCs w:val="13"/>
              </w:rPr>
              <w:t>2,395</w:t>
            </w:r>
          </w:p>
        </w:tc>
        <w:tc>
          <w:tcPr>
            <w:tcW w:w="720" w:type="dxa"/>
            <w:vAlign w:val="bottom"/>
          </w:tcPr>
          <w:p w:rsidR="00CC2C66" w:rsidRDefault="00F80B74">
            <w:pPr>
              <w:jc w:val="right"/>
              <w:rPr>
                <w:sz w:val="20"/>
                <w:szCs w:val="20"/>
              </w:rPr>
            </w:pPr>
            <w:r>
              <w:rPr>
                <w:rFonts w:ascii="Arial" w:eastAsia="Arial" w:hAnsi="Arial" w:cs="Arial"/>
                <w:sz w:val="13"/>
                <w:szCs w:val="13"/>
              </w:rPr>
              <w:t>4,790</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175,051</w:t>
            </w:r>
          </w:p>
        </w:tc>
        <w:tc>
          <w:tcPr>
            <w:tcW w:w="0" w:type="dxa"/>
            <w:vAlign w:val="bottom"/>
          </w:tcPr>
          <w:p w:rsidR="00CC2C66" w:rsidRDefault="00CC2C66">
            <w:pPr>
              <w:rPr>
                <w:sz w:val="1"/>
                <w:szCs w:val="1"/>
              </w:rPr>
            </w:pPr>
          </w:p>
        </w:tc>
      </w:tr>
      <w:tr w:rsidR="00CC2C66">
        <w:trPr>
          <w:trHeight w:val="153"/>
        </w:trPr>
        <w:tc>
          <w:tcPr>
            <w:tcW w:w="1200" w:type="dxa"/>
            <w:tcBorders>
              <w:bottom w:val="single" w:sz="8" w:space="0" w:color="CF0A2C"/>
            </w:tcBorders>
            <w:vAlign w:val="bottom"/>
          </w:tcPr>
          <w:p w:rsidR="00CC2C66" w:rsidRDefault="00CC2C66">
            <w:pPr>
              <w:rPr>
                <w:sz w:val="13"/>
                <w:szCs w:val="13"/>
              </w:rPr>
            </w:pPr>
          </w:p>
        </w:tc>
        <w:tc>
          <w:tcPr>
            <w:tcW w:w="1260" w:type="dxa"/>
            <w:tcBorders>
              <w:bottom w:val="single" w:sz="8" w:space="0" w:color="CF0A2C"/>
            </w:tcBorders>
            <w:vAlign w:val="bottom"/>
          </w:tcPr>
          <w:p w:rsidR="00CC2C66" w:rsidRDefault="00F80B74">
            <w:pPr>
              <w:spacing w:line="154" w:lineRule="exact"/>
              <w:jc w:val="right"/>
              <w:rPr>
                <w:sz w:val="20"/>
                <w:szCs w:val="20"/>
              </w:rPr>
            </w:pPr>
            <w:r>
              <w:rPr>
                <w:rFonts w:ascii="Arial" w:eastAsia="Arial" w:hAnsi="Arial" w:cs="Arial"/>
                <w:sz w:val="12"/>
                <w:szCs w:val="12"/>
              </w:rPr>
              <w:t>5/25/2021</w:t>
            </w:r>
            <w:r>
              <w:rPr>
                <w:rFonts w:ascii="Arial" w:eastAsia="Arial" w:hAnsi="Arial" w:cs="Arial"/>
                <w:sz w:val="17"/>
                <w:szCs w:val="17"/>
                <w:vertAlign w:val="superscript"/>
              </w:rPr>
              <w:t>(6)</w:t>
            </w:r>
          </w:p>
        </w:tc>
        <w:tc>
          <w:tcPr>
            <w:tcW w:w="80" w:type="dxa"/>
            <w:tcBorders>
              <w:bottom w:val="single" w:sz="8" w:space="0" w:color="CF0A2C"/>
            </w:tcBorders>
            <w:vAlign w:val="bottom"/>
          </w:tcPr>
          <w:p w:rsidR="00CC2C66" w:rsidRDefault="00CC2C66">
            <w:pPr>
              <w:rPr>
                <w:sz w:val="13"/>
                <w:szCs w:val="13"/>
              </w:rPr>
            </w:pPr>
          </w:p>
        </w:tc>
        <w:tc>
          <w:tcPr>
            <w:tcW w:w="760" w:type="dxa"/>
            <w:tcBorders>
              <w:bottom w:val="single" w:sz="8" w:space="0" w:color="CF0A2C"/>
            </w:tcBorders>
            <w:vAlign w:val="bottom"/>
          </w:tcPr>
          <w:p w:rsidR="00CC2C66" w:rsidRDefault="00F80B74">
            <w:pPr>
              <w:ind w:right="16"/>
              <w:jc w:val="right"/>
              <w:rPr>
                <w:sz w:val="20"/>
                <w:szCs w:val="20"/>
              </w:rPr>
            </w:pPr>
            <w:r>
              <w:rPr>
                <w:rFonts w:ascii="Arial" w:eastAsia="Arial" w:hAnsi="Arial" w:cs="Arial"/>
                <w:sz w:val="13"/>
                <w:szCs w:val="13"/>
              </w:rPr>
              <w:t>—</w:t>
            </w:r>
          </w:p>
        </w:tc>
        <w:tc>
          <w:tcPr>
            <w:tcW w:w="7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80" w:type="dxa"/>
            <w:gridSpan w:val="3"/>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1,525</w:t>
            </w:r>
          </w:p>
        </w:tc>
        <w:tc>
          <w:tcPr>
            <w:tcW w:w="5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3,050</w:t>
            </w:r>
          </w:p>
        </w:tc>
        <w:tc>
          <w:tcPr>
            <w:tcW w:w="7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6,100</w:t>
            </w: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198,830</w:t>
            </w:r>
          </w:p>
        </w:tc>
        <w:tc>
          <w:tcPr>
            <w:tcW w:w="0" w:type="dxa"/>
            <w:vAlign w:val="bottom"/>
          </w:tcPr>
          <w:p w:rsidR="00CC2C66" w:rsidRDefault="00CC2C66">
            <w:pPr>
              <w:rPr>
                <w:sz w:val="1"/>
                <w:szCs w:val="1"/>
              </w:rPr>
            </w:pPr>
          </w:p>
        </w:tc>
      </w:tr>
      <w:tr w:rsidR="00CC2C66">
        <w:trPr>
          <w:trHeight w:val="172"/>
        </w:trPr>
        <w:tc>
          <w:tcPr>
            <w:tcW w:w="1200" w:type="dxa"/>
            <w:vAlign w:val="bottom"/>
          </w:tcPr>
          <w:p w:rsidR="00CC2C66" w:rsidRDefault="00F80B74">
            <w:pPr>
              <w:rPr>
                <w:sz w:val="20"/>
                <w:szCs w:val="20"/>
              </w:rPr>
            </w:pPr>
            <w:r>
              <w:rPr>
                <w:rFonts w:ascii="Arial" w:eastAsia="Arial" w:hAnsi="Arial" w:cs="Arial"/>
                <w:b/>
                <w:bCs/>
                <w:color w:val="CF0A2C"/>
                <w:sz w:val="14"/>
                <w:szCs w:val="14"/>
              </w:rPr>
              <w:t>Mr. Tan</w:t>
            </w:r>
          </w:p>
        </w:tc>
        <w:tc>
          <w:tcPr>
            <w:tcW w:w="1260" w:type="dxa"/>
            <w:vAlign w:val="bottom"/>
          </w:tcPr>
          <w:p w:rsidR="00CC2C66" w:rsidRDefault="00F80B74">
            <w:pPr>
              <w:ind w:right="77"/>
              <w:jc w:val="right"/>
              <w:rPr>
                <w:sz w:val="20"/>
                <w:szCs w:val="20"/>
              </w:rPr>
            </w:pPr>
            <w:r>
              <w:rPr>
                <w:rFonts w:ascii="Arial" w:eastAsia="Arial" w:hAnsi="Arial" w:cs="Arial"/>
                <w:sz w:val="13"/>
                <w:szCs w:val="13"/>
              </w:rPr>
              <w:t>—</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560,000</w:t>
            </w:r>
          </w:p>
        </w:tc>
        <w:tc>
          <w:tcPr>
            <w:tcW w:w="740" w:type="dxa"/>
            <w:vAlign w:val="bottom"/>
          </w:tcPr>
          <w:p w:rsidR="00CC2C66" w:rsidRDefault="00F80B74">
            <w:pPr>
              <w:jc w:val="right"/>
              <w:rPr>
                <w:sz w:val="20"/>
                <w:szCs w:val="20"/>
              </w:rPr>
            </w:pPr>
            <w:r>
              <w:rPr>
                <w:rFonts w:ascii="Arial" w:eastAsia="Arial" w:hAnsi="Arial" w:cs="Arial"/>
                <w:sz w:val="13"/>
                <w:szCs w:val="13"/>
              </w:rPr>
              <w:t>1,680,000</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ind w:right="77"/>
              <w:jc w:val="right"/>
              <w:rPr>
                <w:sz w:val="20"/>
                <w:szCs w:val="20"/>
              </w:rPr>
            </w:pPr>
            <w:r>
              <w:rPr>
                <w:rFonts w:ascii="Arial" w:eastAsia="Arial" w:hAnsi="Arial" w:cs="Arial"/>
                <w:sz w:val="13"/>
                <w:szCs w:val="13"/>
              </w:rPr>
              <w:t>2/5/2021</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180" w:type="dxa"/>
            <w:vAlign w:val="bottom"/>
          </w:tcPr>
          <w:p w:rsidR="00CC2C66" w:rsidRDefault="00CC2C66">
            <w:pPr>
              <w:rPr>
                <w:sz w:val="14"/>
                <w:szCs w:val="14"/>
              </w:rPr>
            </w:pPr>
          </w:p>
        </w:tc>
        <w:tc>
          <w:tcPr>
            <w:tcW w:w="80" w:type="dxa"/>
            <w:vAlign w:val="bottom"/>
          </w:tcPr>
          <w:p w:rsidR="00CC2C66" w:rsidRDefault="00CC2C66">
            <w:pPr>
              <w:rPr>
                <w:sz w:val="14"/>
                <w:szCs w:val="14"/>
              </w:rPr>
            </w:pP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560" w:type="dxa"/>
            <w:vAlign w:val="bottom"/>
          </w:tcPr>
          <w:p w:rsidR="00CC2C66" w:rsidRDefault="00F80B74">
            <w:pPr>
              <w:jc w:val="right"/>
              <w:rPr>
                <w:sz w:val="20"/>
                <w:szCs w:val="20"/>
              </w:rPr>
            </w:pPr>
            <w:r>
              <w:rPr>
                <w:rFonts w:ascii="Arial" w:eastAsia="Arial" w:hAnsi="Arial" w:cs="Arial"/>
                <w:sz w:val="13"/>
                <w:szCs w:val="13"/>
              </w:rPr>
              <w:t>—</w:t>
            </w:r>
          </w:p>
        </w:tc>
        <w:tc>
          <w:tcPr>
            <w:tcW w:w="720" w:type="dxa"/>
            <w:vAlign w:val="bottom"/>
          </w:tcPr>
          <w:p w:rsidR="00CC2C66" w:rsidRDefault="00F80B74">
            <w:pPr>
              <w:jc w:val="right"/>
              <w:rPr>
                <w:sz w:val="20"/>
                <w:szCs w:val="20"/>
              </w:rPr>
            </w:pPr>
            <w:r>
              <w:rPr>
                <w:rFonts w:ascii="Arial" w:eastAsia="Arial" w:hAnsi="Arial" w:cs="Arial"/>
                <w:sz w:val="13"/>
                <w:szCs w:val="13"/>
              </w:rPr>
              <w:t>—</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28,665</w:t>
            </w:r>
          </w:p>
        </w:tc>
        <w:tc>
          <w:tcPr>
            <w:tcW w:w="860" w:type="dxa"/>
            <w:vAlign w:val="bottom"/>
          </w:tcPr>
          <w:p w:rsidR="00CC2C66" w:rsidRDefault="00F80B74">
            <w:pPr>
              <w:jc w:val="right"/>
              <w:rPr>
                <w:sz w:val="20"/>
                <w:szCs w:val="20"/>
              </w:rPr>
            </w:pPr>
            <w:r>
              <w:rPr>
                <w:rFonts w:ascii="Arial" w:eastAsia="Arial" w:hAnsi="Arial" w:cs="Arial"/>
                <w:sz w:val="13"/>
                <w:szCs w:val="13"/>
              </w:rPr>
              <w:t>57.39</w:t>
            </w:r>
          </w:p>
        </w:tc>
        <w:tc>
          <w:tcPr>
            <w:tcW w:w="900" w:type="dxa"/>
            <w:vAlign w:val="bottom"/>
          </w:tcPr>
          <w:p w:rsidR="00CC2C66" w:rsidRDefault="00F80B74">
            <w:pPr>
              <w:jc w:val="right"/>
              <w:rPr>
                <w:sz w:val="20"/>
                <w:szCs w:val="20"/>
              </w:rPr>
            </w:pPr>
            <w:r>
              <w:rPr>
                <w:rFonts w:ascii="Arial" w:eastAsia="Arial" w:hAnsi="Arial" w:cs="Arial"/>
                <w:sz w:val="13"/>
                <w:szCs w:val="13"/>
              </w:rPr>
              <w:t>500,004</w:t>
            </w:r>
          </w:p>
        </w:tc>
        <w:tc>
          <w:tcPr>
            <w:tcW w:w="0" w:type="dxa"/>
            <w:vAlign w:val="bottom"/>
          </w:tcPr>
          <w:p w:rsidR="00CC2C66" w:rsidRDefault="00CC2C66">
            <w:pPr>
              <w:rPr>
                <w:sz w:val="1"/>
                <w:szCs w:val="1"/>
              </w:rPr>
            </w:pPr>
          </w:p>
        </w:tc>
      </w:tr>
      <w:tr w:rsidR="00CC2C66">
        <w:trPr>
          <w:trHeight w:val="166"/>
        </w:trPr>
        <w:tc>
          <w:tcPr>
            <w:tcW w:w="1200" w:type="dxa"/>
            <w:vAlign w:val="bottom"/>
          </w:tcPr>
          <w:p w:rsidR="00CC2C66" w:rsidRDefault="00CC2C66">
            <w:pPr>
              <w:rPr>
                <w:sz w:val="14"/>
                <w:szCs w:val="14"/>
              </w:rPr>
            </w:pPr>
          </w:p>
        </w:tc>
        <w:tc>
          <w:tcPr>
            <w:tcW w:w="1260" w:type="dxa"/>
            <w:vAlign w:val="bottom"/>
          </w:tcPr>
          <w:p w:rsidR="00CC2C66" w:rsidRDefault="00F80B74">
            <w:pPr>
              <w:spacing w:line="166" w:lineRule="exact"/>
              <w:jc w:val="right"/>
              <w:rPr>
                <w:sz w:val="20"/>
                <w:szCs w:val="20"/>
              </w:rPr>
            </w:pPr>
            <w:r>
              <w:rPr>
                <w:rFonts w:ascii="Arial" w:eastAsia="Arial" w:hAnsi="Arial" w:cs="Arial"/>
                <w:sz w:val="13"/>
                <w:szCs w:val="13"/>
              </w:rPr>
              <w:t>2/5/2021</w:t>
            </w:r>
            <w:r>
              <w:rPr>
                <w:rFonts w:ascii="Arial" w:eastAsia="Arial" w:hAnsi="Arial" w:cs="Arial"/>
                <w:sz w:val="19"/>
                <w:szCs w:val="19"/>
                <w:vertAlign w:val="superscript"/>
              </w:rPr>
              <w:t>(6)</w:t>
            </w:r>
          </w:p>
        </w:tc>
        <w:tc>
          <w:tcPr>
            <w:tcW w:w="80" w:type="dxa"/>
            <w:vAlign w:val="bottom"/>
          </w:tcPr>
          <w:p w:rsidR="00CC2C66" w:rsidRDefault="00CC2C66">
            <w:pPr>
              <w:rPr>
                <w:sz w:val="14"/>
                <w:szCs w:val="14"/>
              </w:rPr>
            </w:pPr>
          </w:p>
        </w:tc>
        <w:tc>
          <w:tcPr>
            <w:tcW w:w="760" w:type="dxa"/>
            <w:vAlign w:val="bottom"/>
          </w:tcPr>
          <w:p w:rsidR="00CC2C66" w:rsidRDefault="00F80B74">
            <w:pPr>
              <w:ind w:right="16"/>
              <w:jc w:val="right"/>
              <w:rPr>
                <w:sz w:val="20"/>
                <w:szCs w:val="20"/>
              </w:rPr>
            </w:pPr>
            <w:r>
              <w:rPr>
                <w:rFonts w:ascii="Arial" w:eastAsia="Arial" w:hAnsi="Arial" w:cs="Arial"/>
                <w:sz w:val="13"/>
                <w:szCs w:val="13"/>
              </w:rPr>
              <w:t>—</w:t>
            </w:r>
          </w:p>
        </w:tc>
        <w:tc>
          <w:tcPr>
            <w:tcW w:w="700" w:type="dxa"/>
            <w:vAlign w:val="bottom"/>
          </w:tcPr>
          <w:p w:rsidR="00CC2C66" w:rsidRDefault="00F80B74">
            <w:pPr>
              <w:jc w:val="right"/>
              <w:rPr>
                <w:sz w:val="20"/>
                <w:szCs w:val="20"/>
              </w:rPr>
            </w:pPr>
            <w:r>
              <w:rPr>
                <w:rFonts w:ascii="Arial" w:eastAsia="Arial" w:hAnsi="Arial" w:cs="Arial"/>
                <w:sz w:val="13"/>
                <w:szCs w:val="13"/>
              </w:rPr>
              <w:t>—</w:t>
            </w:r>
          </w:p>
        </w:tc>
        <w:tc>
          <w:tcPr>
            <w:tcW w:w="740" w:type="dxa"/>
            <w:vAlign w:val="bottom"/>
          </w:tcPr>
          <w:p w:rsidR="00CC2C66" w:rsidRDefault="00F80B74">
            <w:pPr>
              <w:jc w:val="right"/>
              <w:rPr>
                <w:sz w:val="20"/>
                <w:szCs w:val="20"/>
              </w:rPr>
            </w:pPr>
            <w:r>
              <w:rPr>
                <w:rFonts w:ascii="Arial" w:eastAsia="Arial" w:hAnsi="Arial" w:cs="Arial"/>
                <w:sz w:val="13"/>
                <w:szCs w:val="13"/>
              </w:rPr>
              <w:t>—</w:t>
            </w:r>
          </w:p>
        </w:tc>
        <w:tc>
          <w:tcPr>
            <w:tcW w:w="980" w:type="dxa"/>
            <w:gridSpan w:val="3"/>
            <w:vAlign w:val="bottom"/>
          </w:tcPr>
          <w:p w:rsidR="00CC2C66" w:rsidRDefault="00F80B74">
            <w:pPr>
              <w:jc w:val="right"/>
              <w:rPr>
                <w:sz w:val="20"/>
                <w:szCs w:val="20"/>
              </w:rPr>
            </w:pPr>
            <w:r>
              <w:rPr>
                <w:rFonts w:ascii="Arial" w:eastAsia="Arial" w:hAnsi="Arial" w:cs="Arial"/>
                <w:sz w:val="13"/>
                <w:szCs w:val="13"/>
              </w:rPr>
              <w:t>1,711</w:t>
            </w:r>
          </w:p>
        </w:tc>
        <w:tc>
          <w:tcPr>
            <w:tcW w:w="560" w:type="dxa"/>
            <w:vAlign w:val="bottom"/>
          </w:tcPr>
          <w:p w:rsidR="00CC2C66" w:rsidRDefault="00F80B74">
            <w:pPr>
              <w:jc w:val="right"/>
              <w:rPr>
                <w:sz w:val="20"/>
                <w:szCs w:val="20"/>
              </w:rPr>
            </w:pPr>
            <w:r>
              <w:rPr>
                <w:rFonts w:ascii="Arial" w:eastAsia="Arial" w:hAnsi="Arial" w:cs="Arial"/>
                <w:sz w:val="13"/>
                <w:szCs w:val="13"/>
              </w:rPr>
              <w:t>3,421</w:t>
            </w:r>
          </w:p>
        </w:tc>
        <w:tc>
          <w:tcPr>
            <w:tcW w:w="720" w:type="dxa"/>
            <w:vAlign w:val="bottom"/>
          </w:tcPr>
          <w:p w:rsidR="00CC2C66" w:rsidRDefault="00F80B74">
            <w:pPr>
              <w:jc w:val="right"/>
              <w:rPr>
                <w:sz w:val="20"/>
                <w:szCs w:val="20"/>
              </w:rPr>
            </w:pPr>
            <w:r>
              <w:rPr>
                <w:rFonts w:ascii="Arial" w:eastAsia="Arial" w:hAnsi="Arial" w:cs="Arial"/>
                <w:sz w:val="13"/>
                <w:szCs w:val="13"/>
              </w:rPr>
              <w:t>6,842</w:t>
            </w:r>
          </w:p>
        </w:tc>
        <w:tc>
          <w:tcPr>
            <w:tcW w:w="840" w:type="dxa"/>
            <w:vAlign w:val="bottom"/>
          </w:tcPr>
          <w:p w:rsidR="00CC2C66" w:rsidRDefault="00F80B74">
            <w:pPr>
              <w:jc w:val="right"/>
              <w:rPr>
                <w:sz w:val="20"/>
                <w:szCs w:val="20"/>
              </w:rPr>
            </w:pPr>
            <w:r>
              <w:rPr>
                <w:rFonts w:ascii="Arial" w:eastAsia="Arial" w:hAnsi="Arial" w:cs="Arial"/>
                <w:sz w:val="13"/>
                <w:szCs w:val="13"/>
              </w:rPr>
              <w:t>—</w:t>
            </w:r>
          </w:p>
        </w:tc>
        <w:tc>
          <w:tcPr>
            <w:tcW w:w="820" w:type="dxa"/>
            <w:vAlign w:val="bottom"/>
          </w:tcPr>
          <w:p w:rsidR="00CC2C66" w:rsidRDefault="00F80B74">
            <w:pPr>
              <w:jc w:val="right"/>
              <w:rPr>
                <w:sz w:val="20"/>
                <w:szCs w:val="20"/>
              </w:rPr>
            </w:pPr>
            <w:r>
              <w:rPr>
                <w:rFonts w:ascii="Arial" w:eastAsia="Arial" w:hAnsi="Arial" w:cs="Arial"/>
                <w:sz w:val="13"/>
                <w:szCs w:val="13"/>
              </w:rPr>
              <w:t>—</w:t>
            </w:r>
          </w:p>
        </w:tc>
        <w:tc>
          <w:tcPr>
            <w:tcW w:w="860" w:type="dxa"/>
            <w:vAlign w:val="bottom"/>
          </w:tcPr>
          <w:p w:rsidR="00CC2C66" w:rsidRDefault="00F80B74">
            <w:pPr>
              <w:jc w:val="right"/>
              <w:rPr>
                <w:sz w:val="20"/>
                <w:szCs w:val="20"/>
              </w:rPr>
            </w:pPr>
            <w:r>
              <w:rPr>
                <w:rFonts w:ascii="Arial" w:eastAsia="Arial" w:hAnsi="Arial" w:cs="Arial"/>
                <w:sz w:val="13"/>
                <w:szCs w:val="13"/>
              </w:rPr>
              <w:t>—</w:t>
            </w:r>
          </w:p>
        </w:tc>
        <w:tc>
          <w:tcPr>
            <w:tcW w:w="900" w:type="dxa"/>
            <w:vAlign w:val="bottom"/>
          </w:tcPr>
          <w:p w:rsidR="00CC2C66" w:rsidRDefault="00F80B74">
            <w:pPr>
              <w:jc w:val="right"/>
              <w:rPr>
                <w:sz w:val="20"/>
                <w:szCs w:val="20"/>
              </w:rPr>
            </w:pPr>
            <w:r>
              <w:rPr>
                <w:rFonts w:ascii="Arial" w:eastAsia="Arial" w:hAnsi="Arial" w:cs="Arial"/>
                <w:sz w:val="13"/>
                <w:szCs w:val="13"/>
              </w:rPr>
              <w:t>250,041</w:t>
            </w:r>
          </w:p>
        </w:tc>
        <w:tc>
          <w:tcPr>
            <w:tcW w:w="0" w:type="dxa"/>
            <w:vAlign w:val="bottom"/>
          </w:tcPr>
          <w:p w:rsidR="00CC2C66" w:rsidRDefault="00CC2C66">
            <w:pPr>
              <w:rPr>
                <w:sz w:val="1"/>
                <w:szCs w:val="1"/>
              </w:rPr>
            </w:pPr>
          </w:p>
        </w:tc>
      </w:tr>
      <w:tr w:rsidR="00CC2C66">
        <w:trPr>
          <w:trHeight w:val="153"/>
        </w:trPr>
        <w:tc>
          <w:tcPr>
            <w:tcW w:w="1200" w:type="dxa"/>
            <w:tcBorders>
              <w:bottom w:val="single" w:sz="8" w:space="0" w:color="CF0A2C"/>
            </w:tcBorders>
            <w:vAlign w:val="bottom"/>
          </w:tcPr>
          <w:p w:rsidR="00CC2C66" w:rsidRDefault="00CC2C66">
            <w:pPr>
              <w:rPr>
                <w:sz w:val="13"/>
                <w:szCs w:val="13"/>
              </w:rPr>
            </w:pPr>
          </w:p>
        </w:tc>
        <w:tc>
          <w:tcPr>
            <w:tcW w:w="1260" w:type="dxa"/>
            <w:tcBorders>
              <w:bottom w:val="single" w:sz="8" w:space="0" w:color="CF0A2C"/>
            </w:tcBorders>
            <w:vAlign w:val="bottom"/>
          </w:tcPr>
          <w:p w:rsidR="00CC2C66" w:rsidRDefault="00F80B74">
            <w:pPr>
              <w:spacing w:line="154" w:lineRule="exact"/>
              <w:jc w:val="right"/>
              <w:rPr>
                <w:sz w:val="20"/>
                <w:szCs w:val="20"/>
              </w:rPr>
            </w:pPr>
            <w:r>
              <w:rPr>
                <w:rFonts w:ascii="Arial" w:eastAsia="Arial" w:hAnsi="Arial" w:cs="Arial"/>
                <w:sz w:val="12"/>
                <w:szCs w:val="12"/>
              </w:rPr>
              <w:t>5/25/2021</w:t>
            </w:r>
            <w:r>
              <w:rPr>
                <w:rFonts w:ascii="Arial" w:eastAsia="Arial" w:hAnsi="Arial" w:cs="Arial"/>
                <w:sz w:val="17"/>
                <w:szCs w:val="17"/>
                <w:vertAlign w:val="superscript"/>
              </w:rPr>
              <w:t>(6)</w:t>
            </w:r>
          </w:p>
        </w:tc>
        <w:tc>
          <w:tcPr>
            <w:tcW w:w="80" w:type="dxa"/>
            <w:tcBorders>
              <w:bottom w:val="single" w:sz="8" w:space="0" w:color="CF0A2C"/>
            </w:tcBorders>
            <w:vAlign w:val="bottom"/>
          </w:tcPr>
          <w:p w:rsidR="00CC2C66" w:rsidRDefault="00CC2C66">
            <w:pPr>
              <w:rPr>
                <w:sz w:val="13"/>
                <w:szCs w:val="13"/>
              </w:rPr>
            </w:pPr>
          </w:p>
        </w:tc>
        <w:tc>
          <w:tcPr>
            <w:tcW w:w="760" w:type="dxa"/>
            <w:tcBorders>
              <w:bottom w:val="single" w:sz="8" w:space="0" w:color="CF0A2C"/>
            </w:tcBorders>
            <w:vAlign w:val="bottom"/>
          </w:tcPr>
          <w:p w:rsidR="00CC2C66" w:rsidRDefault="00F80B74">
            <w:pPr>
              <w:ind w:right="16"/>
              <w:jc w:val="right"/>
              <w:rPr>
                <w:sz w:val="20"/>
                <w:szCs w:val="20"/>
              </w:rPr>
            </w:pPr>
            <w:r>
              <w:rPr>
                <w:rFonts w:ascii="Arial" w:eastAsia="Arial" w:hAnsi="Arial" w:cs="Arial"/>
                <w:sz w:val="13"/>
                <w:szCs w:val="13"/>
              </w:rPr>
              <w:t>—</w:t>
            </w:r>
          </w:p>
        </w:tc>
        <w:tc>
          <w:tcPr>
            <w:tcW w:w="7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80" w:type="dxa"/>
            <w:gridSpan w:val="3"/>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2,179</w:t>
            </w:r>
          </w:p>
        </w:tc>
        <w:tc>
          <w:tcPr>
            <w:tcW w:w="5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4,357</w:t>
            </w:r>
          </w:p>
        </w:tc>
        <w:tc>
          <w:tcPr>
            <w:tcW w:w="7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8,714</w:t>
            </w: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86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c>
          <w:tcPr>
            <w:tcW w:w="9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284,033</w:t>
            </w:r>
          </w:p>
        </w:tc>
        <w:tc>
          <w:tcPr>
            <w:tcW w:w="0" w:type="dxa"/>
            <w:vAlign w:val="bottom"/>
          </w:tcPr>
          <w:p w:rsidR="00CC2C66" w:rsidRDefault="00CC2C66">
            <w:pPr>
              <w:rPr>
                <w:sz w:val="1"/>
                <w:szCs w:val="1"/>
              </w:rPr>
            </w:pPr>
          </w:p>
        </w:tc>
      </w:tr>
    </w:tbl>
    <w:p w:rsidR="00CC2C66" w:rsidRDefault="00CC2C66">
      <w:pPr>
        <w:spacing w:line="260" w:lineRule="exact"/>
        <w:rPr>
          <w:sz w:val="20"/>
          <w:szCs w:val="20"/>
        </w:rPr>
      </w:pPr>
    </w:p>
    <w:p w:rsidR="00CC2C66" w:rsidRDefault="00F80B74">
      <w:pPr>
        <w:numPr>
          <w:ilvl w:val="0"/>
          <w:numId w:val="104"/>
        </w:numPr>
        <w:tabs>
          <w:tab w:val="left" w:pos="1020"/>
        </w:tabs>
        <w:spacing w:line="245" w:lineRule="auto"/>
        <w:ind w:left="1020" w:hanging="609"/>
        <w:jc w:val="both"/>
        <w:rPr>
          <w:rFonts w:eastAsia="Times New Roman"/>
          <w:color w:val="CF0A2C"/>
          <w:sz w:val="19"/>
          <w:szCs w:val="19"/>
        </w:rPr>
      </w:pPr>
      <w:r>
        <w:rPr>
          <w:rFonts w:eastAsia="Times New Roman"/>
          <w:sz w:val="19"/>
          <w:szCs w:val="19"/>
        </w:rPr>
        <w:t xml:space="preserve">Amounts in columns (c), (d) and (e) provide the minimum, target and maximum amounts payable as annual incentive compensation to each NEO based on </w:t>
      </w:r>
      <w:r>
        <w:rPr>
          <w:rFonts w:eastAsia="Times New Roman"/>
          <w:sz w:val="19"/>
          <w:szCs w:val="19"/>
        </w:rPr>
        <w:t>team and individual performance during 2021. The actual amounts of annual incentive compensation awards paid for 2021 performance are shown in the “Non-Equity Incentive Plan Compensation” column of the 2021 Summary Compensation Table. The performance measu</w:t>
      </w:r>
      <w:r>
        <w:rPr>
          <w:rFonts w:eastAsia="Times New Roman"/>
          <w:sz w:val="19"/>
          <w:szCs w:val="19"/>
        </w:rPr>
        <w:t>rements, performance targets and target bonus percentages are described in the CD&amp;A, beginning under the heading “Annual Performance-Based Cash Bonuses.”</w:t>
      </w:r>
    </w:p>
    <w:p w:rsidR="00CC2C66" w:rsidRDefault="00CC2C66">
      <w:pPr>
        <w:spacing w:line="251" w:lineRule="exact"/>
        <w:rPr>
          <w:rFonts w:eastAsia="Times New Roman"/>
          <w:color w:val="CF0A2C"/>
          <w:sz w:val="19"/>
          <w:szCs w:val="19"/>
        </w:rPr>
      </w:pPr>
    </w:p>
    <w:p w:rsidR="00CC2C66" w:rsidRDefault="00F80B74">
      <w:pPr>
        <w:numPr>
          <w:ilvl w:val="0"/>
          <w:numId w:val="104"/>
        </w:numPr>
        <w:tabs>
          <w:tab w:val="left" w:pos="1020"/>
        </w:tabs>
        <w:spacing w:line="252" w:lineRule="auto"/>
        <w:ind w:left="1020" w:hanging="609"/>
        <w:jc w:val="both"/>
        <w:rPr>
          <w:rFonts w:eastAsia="Times New Roman"/>
          <w:color w:val="CF0A2C"/>
          <w:sz w:val="19"/>
          <w:szCs w:val="19"/>
        </w:rPr>
      </w:pPr>
      <w:r>
        <w:rPr>
          <w:rFonts w:eastAsia="Times New Roman"/>
          <w:sz w:val="19"/>
          <w:szCs w:val="19"/>
        </w:rPr>
        <w:t>Amounts in column (i) represent the number of 2021 Chairman Grants awarded to selected Company execut</w:t>
      </w:r>
      <w:r>
        <w:rPr>
          <w:rFonts w:eastAsia="Times New Roman"/>
          <w:sz w:val="19"/>
          <w:szCs w:val="19"/>
        </w:rPr>
        <w:t>ive officers and employees, including Ms. Wat and Messrs. Yeung and Chan. The 2021 Chairman Grants were granted in RSUs on February 5, 2021 and vest 100% on the third anniversary of the grant, subject to the recipient’s</w:t>
      </w:r>
    </w:p>
    <w:p w:rsidR="00CC2C66" w:rsidRDefault="00CC2C66">
      <w:pPr>
        <w:spacing w:line="115"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57</w:t>
      </w:r>
    </w:p>
    <w:p w:rsidR="00CC2C66" w:rsidRDefault="00F80B74">
      <w:pPr>
        <w:spacing w:line="20" w:lineRule="exact"/>
        <w:rPr>
          <w:sz w:val="20"/>
          <w:szCs w:val="20"/>
        </w:rPr>
      </w:pPr>
      <w:r>
        <w:rPr>
          <w:noProof/>
          <w:sz w:val="20"/>
          <w:szCs w:val="20"/>
        </w:rPr>
        <w:drawing>
          <wp:anchor distT="0" distB="0" distL="114300" distR="114300" simplePos="0" relativeHeight="251715584"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4" w:name="page64"/>
      <w:bookmarkEnd w:id="64"/>
      <w:r>
        <w:rPr>
          <w:rFonts w:eastAsia="Times New Roman"/>
          <w:b/>
          <w:bCs/>
          <w:noProof/>
          <w:color w:val="0000EE"/>
          <w:sz w:val="17"/>
          <w:szCs w:val="17"/>
          <w:u w:val="single"/>
        </w:rPr>
        <w:drawing>
          <wp:anchor distT="0" distB="0" distL="114300" distR="114300" simplePos="0" relativeHeight="25171660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17632"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191" w:lineRule="exact"/>
        <w:rPr>
          <w:sz w:val="20"/>
          <w:szCs w:val="20"/>
        </w:rPr>
      </w:pPr>
    </w:p>
    <w:p w:rsidR="00CC2C66" w:rsidRDefault="00F80B74">
      <w:pPr>
        <w:spacing w:line="252" w:lineRule="auto"/>
        <w:ind w:left="1020" w:right="20"/>
        <w:jc w:val="both"/>
        <w:rPr>
          <w:sz w:val="20"/>
          <w:szCs w:val="20"/>
        </w:rPr>
      </w:pPr>
      <w:r>
        <w:rPr>
          <w:rFonts w:eastAsia="Times New Roman"/>
          <w:sz w:val="19"/>
          <w:szCs w:val="19"/>
        </w:rPr>
        <w:t xml:space="preserve">continued employment through the vesting date. During the vesting period, the RSUs will be adjusted to reflect the accrual of dividend equivalents, which will be distributed as additional </w:t>
      </w:r>
      <w:r>
        <w:rPr>
          <w:rFonts w:eastAsia="Times New Roman"/>
          <w:sz w:val="19"/>
          <w:szCs w:val="19"/>
        </w:rPr>
        <w:t>Company shares at the same time and to the extent the underlying shares vest.</w:t>
      </w:r>
    </w:p>
    <w:p w:rsidR="00CC2C66" w:rsidRDefault="00CC2C66">
      <w:pPr>
        <w:spacing w:line="245" w:lineRule="exact"/>
        <w:rPr>
          <w:sz w:val="20"/>
          <w:szCs w:val="20"/>
        </w:rPr>
      </w:pPr>
    </w:p>
    <w:p w:rsidR="00CC2C66" w:rsidRDefault="00F80B74">
      <w:pPr>
        <w:numPr>
          <w:ilvl w:val="0"/>
          <w:numId w:val="105"/>
        </w:numPr>
        <w:tabs>
          <w:tab w:val="left" w:pos="1020"/>
        </w:tabs>
        <w:spacing w:line="247" w:lineRule="auto"/>
        <w:ind w:left="1020" w:hanging="609"/>
        <w:jc w:val="both"/>
        <w:rPr>
          <w:rFonts w:eastAsia="Times New Roman"/>
          <w:color w:val="CF0A2C"/>
          <w:sz w:val="19"/>
          <w:szCs w:val="19"/>
        </w:rPr>
      </w:pPr>
      <w:r>
        <w:rPr>
          <w:rFonts w:eastAsia="Times New Roman"/>
          <w:sz w:val="19"/>
          <w:szCs w:val="19"/>
        </w:rPr>
        <w:t>SARs allow the grantee to receive the number of shares of the underlying common stock that is equal in value to the appreciation in the underlying common stock with respect to t</w:t>
      </w:r>
      <w:r>
        <w:rPr>
          <w:rFonts w:eastAsia="Times New Roman"/>
          <w:sz w:val="19"/>
          <w:szCs w:val="19"/>
        </w:rPr>
        <w:t>he number of SARs granted from the date of grant to the date of exercise. SARs become exercisable in equal installments on the first, second, third and fourth anniversaries of the grant date, subject to the recipient’s continued employment through the appl</w:t>
      </w:r>
      <w:r>
        <w:rPr>
          <w:rFonts w:eastAsia="Times New Roman"/>
          <w:sz w:val="19"/>
          <w:szCs w:val="19"/>
        </w:rPr>
        <w:t>icable vesting date.</w:t>
      </w:r>
    </w:p>
    <w:p w:rsidR="00CC2C66" w:rsidRDefault="00CC2C66">
      <w:pPr>
        <w:spacing w:line="250" w:lineRule="exact"/>
        <w:rPr>
          <w:rFonts w:eastAsia="Times New Roman"/>
          <w:color w:val="CF0A2C"/>
          <w:sz w:val="19"/>
          <w:szCs w:val="19"/>
        </w:rPr>
      </w:pPr>
    </w:p>
    <w:p w:rsidR="00CC2C66" w:rsidRDefault="00F80B74">
      <w:pPr>
        <w:numPr>
          <w:ilvl w:val="0"/>
          <w:numId w:val="105"/>
        </w:numPr>
        <w:tabs>
          <w:tab w:val="left" w:pos="1020"/>
        </w:tabs>
        <w:ind w:left="1020" w:hanging="609"/>
        <w:rPr>
          <w:rFonts w:eastAsia="Times New Roman"/>
          <w:color w:val="CF0A2C"/>
          <w:sz w:val="19"/>
          <w:szCs w:val="19"/>
        </w:rPr>
      </w:pPr>
      <w:r>
        <w:rPr>
          <w:rFonts w:eastAsia="Times New Roman"/>
          <w:sz w:val="19"/>
          <w:szCs w:val="19"/>
        </w:rPr>
        <w:t>The exercise price of the SARs equals the closing price of the underlying common stock on the grant date.</w:t>
      </w:r>
    </w:p>
    <w:p w:rsidR="00CC2C66" w:rsidRDefault="00CC2C66">
      <w:pPr>
        <w:spacing w:line="279" w:lineRule="exact"/>
        <w:rPr>
          <w:rFonts w:eastAsia="Times New Roman"/>
          <w:color w:val="CF0A2C"/>
          <w:sz w:val="19"/>
          <w:szCs w:val="19"/>
        </w:rPr>
      </w:pPr>
    </w:p>
    <w:p w:rsidR="00CC2C66" w:rsidRDefault="00F80B74">
      <w:pPr>
        <w:numPr>
          <w:ilvl w:val="0"/>
          <w:numId w:val="105"/>
        </w:numPr>
        <w:tabs>
          <w:tab w:val="left" w:pos="1020"/>
        </w:tabs>
        <w:spacing w:line="242" w:lineRule="auto"/>
        <w:ind w:left="1020" w:hanging="609"/>
        <w:jc w:val="both"/>
        <w:rPr>
          <w:rFonts w:eastAsia="Times New Roman"/>
          <w:color w:val="CF0A2C"/>
          <w:sz w:val="19"/>
          <w:szCs w:val="19"/>
        </w:rPr>
      </w:pPr>
      <w:r>
        <w:rPr>
          <w:rFonts w:eastAsia="Times New Roman"/>
          <w:sz w:val="19"/>
          <w:szCs w:val="19"/>
        </w:rPr>
        <w:t>The amounts reported in this column for 2021 represent the grant date fair value of the annual SAR awards, the Annual PSU Award</w:t>
      </w:r>
      <w:r>
        <w:rPr>
          <w:rFonts w:eastAsia="Times New Roman"/>
          <w:sz w:val="19"/>
          <w:szCs w:val="19"/>
        </w:rPr>
        <w:t>s granted to each of the NEOs and the Chairman Grants awarded to Ms. Wat and Messrs. Yeung and Chan, calculated in accordance with ASC 718. The aggregate fair value of PSU awards with performance-based conditions are based on the closing price of our commo</w:t>
      </w:r>
      <w:r>
        <w:rPr>
          <w:rFonts w:eastAsia="Times New Roman"/>
          <w:sz w:val="19"/>
          <w:szCs w:val="19"/>
        </w:rPr>
        <w:t>n stock on the date of grant and the probable satisfaction of the performance conditions as of the date of grant. The fair value of PSU awards with market–based conditions has been determined based on the outcome of a Monte-Carlo simulation model. The gran</w:t>
      </w:r>
      <w:r>
        <w:rPr>
          <w:rFonts w:eastAsia="Times New Roman"/>
          <w:sz w:val="19"/>
          <w:szCs w:val="19"/>
        </w:rPr>
        <w:t>t date fair value of the RSUs was determined based on the closing stock price of Company common stock on the date of grant. See Note 15 to the Company’s Audited Financial Statements for further discussion of the relevant assumptions used in calculating the</w:t>
      </w:r>
      <w:r>
        <w:rPr>
          <w:rFonts w:eastAsia="Times New Roman"/>
          <w:sz w:val="19"/>
          <w:szCs w:val="19"/>
        </w:rPr>
        <w:t xml:space="preserve"> grant date fair value for the SAR, RSU and PSU awards.</w:t>
      </w:r>
    </w:p>
    <w:p w:rsidR="00CC2C66" w:rsidRDefault="00CC2C66">
      <w:pPr>
        <w:spacing w:line="256" w:lineRule="exact"/>
        <w:rPr>
          <w:rFonts w:eastAsia="Times New Roman"/>
          <w:color w:val="CF0A2C"/>
          <w:sz w:val="19"/>
          <w:szCs w:val="19"/>
        </w:rPr>
      </w:pPr>
    </w:p>
    <w:p w:rsidR="00CC2C66" w:rsidRDefault="00F80B74">
      <w:pPr>
        <w:numPr>
          <w:ilvl w:val="0"/>
          <w:numId w:val="105"/>
        </w:numPr>
        <w:tabs>
          <w:tab w:val="left" w:pos="1020"/>
        </w:tabs>
        <w:spacing w:line="242" w:lineRule="auto"/>
        <w:ind w:left="1020" w:hanging="609"/>
        <w:jc w:val="both"/>
        <w:rPr>
          <w:rFonts w:eastAsia="Times New Roman"/>
          <w:color w:val="CF0A2C"/>
          <w:sz w:val="19"/>
          <w:szCs w:val="19"/>
        </w:rPr>
      </w:pPr>
      <w:r>
        <w:rPr>
          <w:rFonts w:eastAsia="Times New Roman"/>
          <w:sz w:val="19"/>
          <w:szCs w:val="19"/>
        </w:rPr>
        <w:t xml:space="preserve">Amounts reported in this row and associated with columns (f), (g) and (h) provide the threshold, target and maximum numbers of shares of common stock that may be received by the grantee upon vesting </w:t>
      </w:r>
      <w:r>
        <w:rPr>
          <w:rFonts w:eastAsia="Times New Roman"/>
          <w:sz w:val="19"/>
          <w:szCs w:val="19"/>
        </w:rPr>
        <w:t xml:space="preserve">of the Annual PSU Awards. The Annual PSU Awards granted to each of the NEOs on February 5, 2021 and May 25, 2021 will be settled in shares of common stock, subject to the achievement of performance goals relating to rTSR, Adjusted Total Revenue Growth and </w:t>
      </w:r>
      <w:r>
        <w:rPr>
          <w:rFonts w:eastAsia="Times New Roman"/>
          <w:sz w:val="19"/>
          <w:szCs w:val="19"/>
        </w:rPr>
        <w:t>Adjusted Diluted Earnings Per Common Share Growth during a performance period beginning on January 1, 2021 and extending through December 31, 2023, and the NEO’s continued employment through the last day of the performance period. Amounts reported in the “</w:t>
      </w:r>
      <w:r>
        <w:rPr>
          <w:rFonts w:eastAsia="Times New Roman"/>
          <w:sz w:val="19"/>
          <w:szCs w:val="19"/>
        </w:rPr>
        <w:t>Threshold” column represent payout of 50% of target PSUs awarded, and amounts reported in the “Maximum” column represent payout of 200% of the target PSUs awarded.</w:t>
      </w:r>
    </w:p>
    <w:p w:rsidR="00CC2C66" w:rsidRDefault="00CC2C66">
      <w:pPr>
        <w:spacing w:line="129" w:lineRule="exact"/>
        <w:rPr>
          <w:sz w:val="20"/>
          <w:szCs w:val="20"/>
        </w:rPr>
      </w:pPr>
    </w:p>
    <w:p w:rsidR="00CC2C66" w:rsidRDefault="00F80B74">
      <w:pPr>
        <w:numPr>
          <w:ilvl w:val="0"/>
          <w:numId w:val="106"/>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18656"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5" w:name="page65"/>
      <w:bookmarkEnd w:id="65"/>
      <w:r>
        <w:rPr>
          <w:rFonts w:eastAsia="Times New Roman"/>
          <w:b/>
          <w:bCs/>
          <w:noProof/>
          <w:color w:val="0000EE"/>
          <w:sz w:val="17"/>
          <w:szCs w:val="17"/>
          <w:u w:val="single"/>
        </w:rPr>
        <w:drawing>
          <wp:anchor distT="0" distB="0" distL="114300" distR="114300" simplePos="0" relativeHeight="25171968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20704"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520"/>
        <w:rPr>
          <w:sz w:val="20"/>
          <w:szCs w:val="20"/>
        </w:rPr>
      </w:pPr>
      <w:r>
        <w:rPr>
          <w:rFonts w:ascii="Arial" w:eastAsia="Arial" w:hAnsi="Arial" w:cs="Arial"/>
          <w:b/>
          <w:bCs/>
          <w:color w:val="FFFFFF"/>
          <w:sz w:val="15"/>
          <w:szCs w:val="15"/>
        </w:rPr>
        <w:t xml:space="preserve">EXECUTIVE </w:t>
      </w:r>
      <w:r>
        <w:rPr>
          <w:rFonts w:ascii="Arial" w:eastAsia="Arial" w:hAnsi="Arial" w:cs="Arial"/>
          <w:b/>
          <w:bCs/>
          <w:color w:val="FFFFFF"/>
          <w:sz w:val="15"/>
          <w:szCs w:val="15"/>
        </w:rPr>
        <w:t>COMPENSATION</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OUTSTANDING EQUITY AWARDS AT 2021 YEAR-END</w:t>
      </w:r>
    </w:p>
    <w:p w:rsidR="00CC2C66" w:rsidRDefault="00F80B74">
      <w:pPr>
        <w:spacing w:line="20" w:lineRule="exact"/>
        <w:rPr>
          <w:sz w:val="20"/>
          <w:szCs w:val="20"/>
        </w:rPr>
      </w:pPr>
      <w:r>
        <w:rPr>
          <w:noProof/>
          <w:sz w:val="20"/>
          <w:szCs w:val="20"/>
        </w:rPr>
        <w:drawing>
          <wp:anchor distT="0" distB="0" distL="114300" distR="114300" simplePos="0" relativeHeight="251721728" behindDoc="1" locked="0" layoutInCell="0" allowOverlap="1">
            <wp:simplePos x="0" y="0"/>
            <wp:positionH relativeFrom="column">
              <wp:posOffset>260985</wp:posOffset>
            </wp:positionH>
            <wp:positionV relativeFrom="paragraph">
              <wp:posOffset>173355</wp:posOffset>
            </wp:positionV>
            <wp:extent cx="6620510" cy="825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87" w:lineRule="exact"/>
        <w:rPr>
          <w:sz w:val="20"/>
          <w:szCs w:val="20"/>
        </w:rPr>
      </w:pPr>
    </w:p>
    <w:p w:rsidR="00CC2C66" w:rsidRDefault="00F80B74">
      <w:pPr>
        <w:spacing w:line="252" w:lineRule="auto"/>
        <w:ind w:left="420"/>
        <w:jc w:val="both"/>
        <w:rPr>
          <w:sz w:val="20"/>
          <w:szCs w:val="20"/>
        </w:rPr>
      </w:pPr>
      <w:r>
        <w:rPr>
          <w:rFonts w:eastAsia="Times New Roman"/>
          <w:sz w:val="19"/>
          <w:szCs w:val="19"/>
        </w:rPr>
        <w:t>The following table shows the number of Company shares covered by exercisable and unexercisable SARs, unvested RSUs and unvested PSUs held by the Company’s NEOs on December 31, 2021. This table e</w:t>
      </w:r>
      <w:r>
        <w:rPr>
          <w:rFonts w:eastAsia="Times New Roman"/>
          <w:sz w:val="19"/>
          <w:szCs w:val="19"/>
        </w:rPr>
        <w:t>xcludes any YUM shares received by the NEOs upon conversion of their outstanding YUM equity awards in connection with the spin-off.</w:t>
      </w:r>
    </w:p>
    <w:p w:rsidR="00CC2C66" w:rsidRDefault="00CC2C66">
      <w:pPr>
        <w:spacing w:line="194"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0"/>
        <w:gridCol w:w="1400"/>
        <w:gridCol w:w="820"/>
        <w:gridCol w:w="1020"/>
        <w:gridCol w:w="1340"/>
        <w:gridCol w:w="720"/>
        <w:gridCol w:w="800"/>
        <w:gridCol w:w="220"/>
        <w:gridCol w:w="1040"/>
        <w:gridCol w:w="880"/>
        <w:gridCol w:w="1160"/>
        <w:gridCol w:w="580"/>
        <w:gridCol w:w="20"/>
        <w:gridCol w:w="140"/>
        <w:gridCol w:w="260"/>
        <w:gridCol w:w="20"/>
      </w:tblGrid>
      <w:tr w:rsidR="00CC2C66">
        <w:trPr>
          <w:trHeight w:val="166"/>
        </w:trPr>
        <w:tc>
          <w:tcPr>
            <w:tcW w:w="20" w:type="dxa"/>
            <w:vAlign w:val="bottom"/>
          </w:tcPr>
          <w:p w:rsidR="00CC2C66" w:rsidRDefault="00CC2C66">
            <w:pPr>
              <w:rPr>
                <w:sz w:val="14"/>
                <w:szCs w:val="14"/>
              </w:rPr>
            </w:pPr>
          </w:p>
        </w:tc>
        <w:tc>
          <w:tcPr>
            <w:tcW w:w="140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82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102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060" w:type="dxa"/>
            <w:gridSpan w:val="2"/>
            <w:tcBorders>
              <w:top w:val="single" w:sz="8" w:space="0" w:color="CF0A2C"/>
              <w:bottom w:val="single" w:sz="8" w:space="0" w:color="CF0A2C"/>
            </w:tcBorders>
            <w:shd w:val="clear" w:color="auto" w:fill="FAE6E9"/>
            <w:vAlign w:val="bottom"/>
          </w:tcPr>
          <w:p w:rsidR="00CC2C66" w:rsidRDefault="00F80B74">
            <w:pPr>
              <w:ind w:right="395"/>
              <w:jc w:val="right"/>
              <w:rPr>
                <w:sz w:val="20"/>
                <w:szCs w:val="20"/>
              </w:rPr>
            </w:pPr>
            <w:r>
              <w:rPr>
                <w:rFonts w:ascii="Arial" w:eastAsia="Arial" w:hAnsi="Arial" w:cs="Arial"/>
                <w:b/>
                <w:bCs/>
                <w:color w:val="CF0A2C"/>
                <w:sz w:val="14"/>
                <w:szCs w:val="14"/>
              </w:rPr>
              <w:t>Option/SAR Awards</w:t>
            </w:r>
          </w:p>
        </w:tc>
        <w:tc>
          <w:tcPr>
            <w:tcW w:w="80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2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104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040" w:type="dxa"/>
            <w:gridSpan w:val="2"/>
            <w:tcBorders>
              <w:top w:val="single" w:sz="8" w:space="0" w:color="CF0A2C"/>
              <w:bottom w:val="single" w:sz="8" w:space="0" w:color="CF0A2C"/>
            </w:tcBorders>
            <w:shd w:val="clear" w:color="auto" w:fill="FAE6E9"/>
            <w:vAlign w:val="bottom"/>
          </w:tcPr>
          <w:p w:rsidR="00CC2C66" w:rsidRDefault="00F80B74">
            <w:pPr>
              <w:ind w:right="498"/>
              <w:jc w:val="right"/>
              <w:rPr>
                <w:sz w:val="20"/>
                <w:szCs w:val="20"/>
              </w:rPr>
            </w:pPr>
            <w:r>
              <w:rPr>
                <w:rFonts w:ascii="Arial" w:eastAsia="Arial" w:hAnsi="Arial" w:cs="Arial"/>
                <w:b/>
                <w:bCs/>
                <w:color w:val="CF0A2C"/>
                <w:sz w:val="14"/>
                <w:szCs w:val="14"/>
              </w:rPr>
              <w:t>Stock Awards</w:t>
            </w:r>
          </w:p>
        </w:tc>
        <w:tc>
          <w:tcPr>
            <w:tcW w:w="58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14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6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0" w:type="dxa"/>
            <w:vAlign w:val="bottom"/>
          </w:tcPr>
          <w:p w:rsidR="00CC2C66" w:rsidRDefault="00CC2C66">
            <w:pPr>
              <w:rPr>
                <w:sz w:val="1"/>
                <w:szCs w:val="1"/>
              </w:rPr>
            </w:pPr>
          </w:p>
        </w:tc>
      </w:tr>
      <w:tr w:rsidR="00CC2C66">
        <w:trPr>
          <w:trHeight w:val="137"/>
        </w:trPr>
        <w:tc>
          <w:tcPr>
            <w:tcW w:w="20" w:type="dxa"/>
            <w:vAlign w:val="bottom"/>
          </w:tcPr>
          <w:p w:rsidR="00CC2C66" w:rsidRDefault="00CC2C66">
            <w:pPr>
              <w:rPr>
                <w:sz w:val="11"/>
                <w:szCs w:val="11"/>
              </w:rPr>
            </w:pPr>
          </w:p>
        </w:tc>
        <w:tc>
          <w:tcPr>
            <w:tcW w:w="1400" w:type="dxa"/>
            <w:shd w:val="clear" w:color="auto" w:fill="FAE6E9"/>
            <w:vAlign w:val="bottom"/>
          </w:tcPr>
          <w:p w:rsidR="00CC2C66" w:rsidRDefault="00CC2C66">
            <w:pPr>
              <w:rPr>
                <w:sz w:val="11"/>
                <w:szCs w:val="11"/>
              </w:rPr>
            </w:pPr>
          </w:p>
        </w:tc>
        <w:tc>
          <w:tcPr>
            <w:tcW w:w="820" w:type="dxa"/>
            <w:shd w:val="clear" w:color="auto" w:fill="FAE6E9"/>
            <w:vAlign w:val="bottom"/>
          </w:tcPr>
          <w:p w:rsidR="00CC2C66" w:rsidRDefault="00CC2C66">
            <w:pPr>
              <w:rPr>
                <w:sz w:val="11"/>
                <w:szCs w:val="11"/>
              </w:rPr>
            </w:pPr>
          </w:p>
        </w:tc>
        <w:tc>
          <w:tcPr>
            <w:tcW w:w="1020" w:type="dxa"/>
            <w:shd w:val="clear" w:color="auto" w:fill="FAE6E9"/>
            <w:vAlign w:val="bottom"/>
          </w:tcPr>
          <w:p w:rsidR="00CC2C66" w:rsidRDefault="00CC2C66">
            <w:pPr>
              <w:rPr>
                <w:sz w:val="11"/>
                <w:szCs w:val="11"/>
              </w:rPr>
            </w:pPr>
          </w:p>
        </w:tc>
        <w:tc>
          <w:tcPr>
            <w:tcW w:w="1340" w:type="dxa"/>
            <w:shd w:val="clear" w:color="auto" w:fill="FAE6E9"/>
            <w:vAlign w:val="bottom"/>
          </w:tcPr>
          <w:p w:rsidR="00CC2C66" w:rsidRDefault="00CC2C66">
            <w:pPr>
              <w:rPr>
                <w:sz w:val="11"/>
                <w:szCs w:val="11"/>
              </w:rPr>
            </w:pPr>
          </w:p>
        </w:tc>
        <w:tc>
          <w:tcPr>
            <w:tcW w:w="720" w:type="dxa"/>
            <w:shd w:val="clear" w:color="auto" w:fill="FAE6E9"/>
            <w:vAlign w:val="bottom"/>
          </w:tcPr>
          <w:p w:rsidR="00CC2C66" w:rsidRDefault="00CC2C66">
            <w:pPr>
              <w:rPr>
                <w:sz w:val="11"/>
                <w:szCs w:val="11"/>
              </w:rPr>
            </w:pPr>
          </w:p>
        </w:tc>
        <w:tc>
          <w:tcPr>
            <w:tcW w:w="800" w:type="dxa"/>
            <w:shd w:val="clear" w:color="auto" w:fill="FAE6E9"/>
            <w:vAlign w:val="bottom"/>
          </w:tcPr>
          <w:p w:rsidR="00CC2C66" w:rsidRDefault="00CC2C66">
            <w:pPr>
              <w:rPr>
                <w:sz w:val="11"/>
                <w:szCs w:val="11"/>
              </w:rPr>
            </w:pPr>
          </w:p>
        </w:tc>
        <w:tc>
          <w:tcPr>
            <w:tcW w:w="220" w:type="dxa"/>
            <w:shd w:val="clear" w:color="auto" w:fill="FAE6E9"/>
            <w:vAlign w:val="bottom"/>
          </w:tcPr>
          <w:p w:rsidR="00CC2C66" w:rsidRDefault="00CC2C66">
            <w:pPr>
              <w:rPr>
                <w:sz w:val="11"/>
                <w:szCs w:val="11"/>
              </w:rPr>
            </w:pPr>
          </w:p>
        </w:tc>
        <w:tc>
          <w:tcPr>
            <w:tcW w:w="1040" w:type="dxa"/>
            <w:shd w:val="clear" w:color="auto" w:fill="FAE6E9"/>
            <w:vAlign w:val="bottom"/>
          </w:tcPr>
          <w:p w:rsidR="00CC2C66" w:rsidRDefault="00CC2C66">
            <w:pPr>
              <w:rPr>
                <w:sz w:val="11"/>
                <w:szCs w:val="11"/>
              </w:rPr>
            </w:pPr>
          </w:p>
        </w:tc>
        <w:tc>
          <w:tcPr>
            <w:tcW w:w="880" w:type="dxa"/>
            <w:shd w:val="clear" w:color="auto" w:fill="FAE6E9"/>
            <w:vAlign w:val="bottom"/>
          </w:tcPr>
          <w:p w:rsidR="00CC2C66" w:rsidRDefault="00CC2C66">
            <w:pPr>
              <w:rPr>
                <w:sz w:val="11"/>
                <w:szCs w:val="11"/>
              </w:rPr>
            </w:pPr>
          </w:p>
        </w:tc>
        <w:tc>
          <w:tcPr>
            <w:tcW w:w="1160" w:type="dxa"/>
            <w:shd w:val="clear" w:color="auto" w:fill="FAE6E9"/>
            <w:vAlign w:val="bottom"/>
          </w:tcPr>
          <w:p w:rsidR="00CC2C66" w:rsidRDefault="00CC2C66">
            <w:pPr>
              <w:rPr>
                <w:sz w:val="11"/>
                <w:szCs w:val="11"/>
              </w:rPr>
            </w:pPr>
          </w:p>
        </w:tc>
        <w:tc>
          <w:tcPr>
            <w:tcW w:w="740" w:type="dxa"/>
            <w:gridSpan w:val="3"/>
            <w:shd w:val="clear" w:color="auto" w:fill="FAE6E9"/>
            <w:vAlign w:val="bottom"/>
          </w:tcPr>
          <w:p w:rsidR="00CC2C66" w:rsidRDefault="00F80B74">
            <w:pPr>
              <w:spacing w:line="137" w:lineRule="exact"/>
              <w:ind w:left="215"/>
              <w:jc w:val="center"/>
              <w:rPr>
                <w:sz w:val="20"/>
                <w:szCs w:val="20"/>
              </w:rPr>
            </w:pPr>
            <w:r>
              <w:rPr>
                <w:rFonts w:ascii="Arial" w:eastAsia="Arial" w:hAnsi="Arial" w:cs="Arial"/>
                <w:b/>
                <w:bCs/>
                <w:color w:val="CF0A2C"/>
                <w:w w:val="98"/>
                <w:sz w:val="14"/>
                <w:szCs w:val="14"/>
              </w:rPr>
              <w:t>Equity</w:t>
            </w:r>
          </w:p>
        </w:tc>
        <w:tc>
          <w:tcPr>
            <w:tcW w:w="260" w:type="dxa"/>
            <w:shd w:val="clear" w:color="auto" w:fill="FAE6E9"/>
            <w:vAlign w:val="bottom"/>
          </w:tcPr>
          <w:p w:rsidR="00CC2C66" w:rsidRDefault="00CC2C66">
            <w:pPr>
              <w:rPr>
                <w:sz w:val="11"/>
                <w:szCs w:val="11"/>
              </w:rPr>
            </w:pP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CC2C66">
            <w:pPr>
              <w:rPr>
                <w:sz w:val="13"/>
                <w:szCs w:val="13"/>
              </w:rPr>
            </w:pPr>
          </w:p>
        </w:tc>
        <w:tc>
          <w:tcPr>
            <w:tcW w:w="1340" w:type="dxa"/>
            <w:shd w:val="clear" w:color="auto" w:fill="FAE6E9"/>
            <w:vAlign w:val="bottom"/>
          </w:tcPr>
          <w:p w:rsidR="00CC2C66" w:rsidRDefault="00CC2C66">
            <w:pPr>
              <w:rPr>
                <w:sz w:val="13"/>
                <w:szCs w:val="13"/>
              </w:rPr>
            </w:pPr>
          </w:p>
        </w:tc>
        <w:tc>
          <w:tcPr>
            <w:tcW w:w="72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20" w:type="dxa"/>
            <w:shd w:val="clear" w:color="auto" w:fill="FAE6E9"/>
            <w:vAlign w:val="bottom"/>
          </w:tcPr>
          <w:p w:rsidR="00CC2C66" w:rsidRDefault="00CC2C66">
            <w:pPr>
              <w:rPr>
                <w:sz w:val="13"/>
                <w:szCs w:val="13"/>
              </w:rPr>
            </w:pPr>
          </w:p>
        </w:tc>
        <w:tc>
          <w:tcPr>
            <w:tcW w:w="104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CC2C66">
            <w:pPr>
              <w:rPr>
                <w:sz w:val="13"/>
                <w:szCs w:val="13"/>
              </w:rPr>
            </w:pPr>
          </w:p>
        </w:tc>
        <w:tc>
          <w:tcPr>
            <w:tcW w:w="1160" w:type="dxa"/>
            <w:shd w:val="clear" w:color="auto" w:fill="FAE6E9"/>
            <w:vAlign w:val="bottom"/>
          </w:tcPr>
          <w:p w:rsidR="00CC2C66" w:rsidRDefault="00F80B74">
            <w:pPr>
              <w:spacing w:line="153" w:lineRule="exact"/>
              <w:ind w:right="78"/>
              <w:jc w:val="center"/>
              <w:rPr>
                <w:sz w:val="20"/>
                <w:szCs w:val="20"/>
              </w:rPr>
            </w:pPr>
            <w:r>
              <w:rPr>
                <w:rFonts w:ascii="Arial" w:eastAsia="Arial" w:hAnsi="Arial" w:cs="Arial"/>
                <w:b/>
                <w:bCs/>
                <w:color w:val="CF0A2C"/>
                <w:w w:val="98"/>
                <w:sz w:val="14"/>
                <w:szCs w:val="14"/>
              </w:rPr>
              <w:t>Equity</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Incentive</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CC2C66">
            <w:pPr>
              <w:rPr>
                <w:sz w:val="13"/>
                <w:szCs w:val="13"/>
              </w:rPr>
            </w:pPr>
          </w:p>
        </w:tc>
        <w:tc>
          <w:tcPr>
            <w:tcW w:w="1340" w:type="dxa"/>
            <w:shd w:val="clear" w:color="auto" w:fill="FAE6E9"/>
            <w:vAlign w:val="bottom"/>
          </w:tcPr>
          <w:p w:rsidR="00CC2C66" w:rsidRDefault="00CC2C66">
            <w:pPr>
              <w:rPr>
                <w:sz w:val="13"/>
                <w:szCs w:val="13"/>
              </w:rPr>
            </w:pPr>
          </w:p>
        </w:tc>
        <w:tc>
          <w:tcPr>
            <w:tcW w:w="72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20" w:type="dxa"/>
            <w:shd w:val="clear" w:color="auto" w:fill="FAE6E9"/>
            <w:vAlign w:val="bottom"/>
          </w:tcPr>
          <w:p w:rsidR="00CC2C66" w:rsidRDefault="00CC2C66">
            <w:pPr>
              <w:rPr>
                <w:sz w:val="13"/>
                <w:szCs w:val="13"/>
              </w:rPr>
            </w:pPr>
          </w:p>
        </w:tc>
        <w:tc>
          <w:tcPr>
            <w:tcW w:w="104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CC2C66">
            <w:pPr>
              <w:rPr>
                <w:sz w:val="13"/>
                <w:szCs w:val="13"/>
              </w:rPr>
            </w:pPr>
          </w:p>
        </w:tc>
        <w:tc>
          <w:tcPr>
            <w:tcW w:w="1160" w:type="dxa"/>
            <w:shd w:val="clear" w:color="auto" w:fill="FAE6E9"/>
            <w:vAlign w:val="bottom"/>
          </w:tcPr>
          <w:p w:rsidR="00CC2C66" w:rsidRDefault="00F80B74">
            <w:pPr>
              <w:spacing w:line="153" w:lineRule="exact"/>
              <w:ind w:right="58"/>
              <w:jc w:val="center"/>
              <w:rPr>
                <w:sz w:val="20"/>
                <w:szCs w:val="20"/>
              </w:rPr>
            </w:pPr>
            <w:r>
              <w:rPr>
                <w:rFonts w:ascii="Arial" w:eastAsia="Arial" w:hAnsi="Arial" w:cs="Arial"/>
                <w:b/>
                <w:bCs/>
                <w:color w:val="CF0A2C"/>
                <w:w w:val="98"/>
                <w:sz w:val="14"/>
                <w:szCs w:val="14"/>
              </w:rPr>
              <w:t>Incentive</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 xml:space="preserve">Plan </w:t>
            </w:r>
            <w:r>
              <w:rPr>
                <w:rFonts w:ascii="Arial" w:eastAsia="Arial" w:hAnsi="Arial" w:cs="Arial"/>
                <w:b/>
                <w:bCs/>
                <w:color w:val="CF0A2C"/>
                <w:w w:val="94"/>
                <w:sz w:val="14"/>
                <w:szCs w:val="14"/>
              </w:rPr>
              <w:t>Awards:</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CC2C66">
            <w:pPr>
              <w:rPr>
                <w:sz w:val="13"/>
                <w:szCs w:val="13"/>
              </w:rPr>
            </w:pPr>
          </w:p>
        </w:tc>
        <w:tc>
          <w:tcPr>
            <w:tcW w:w="1340" w:type="dxa"/>
            <w:shd w:val="clear" w:color="auto" w:fill="FAE6E9"/>
            <w:vAlign w:val="bottom"/>
          </w:tcPr>
          <w:p w:rsidR="00CC2C66" w:rsidRDefault="00CC2C66">
            <w:pPr>
              <w:rPr>
                <w:sz w:val="13"/>
                <w:szCs w:val="13"/>
              </w:rPr>
            </w:pPr>
          </w:p>
        </w:tc>
        <w:tc>
          <w:tcPr>
            <w:tcW w:w="72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20" w:type="dxa"/>
            <w:shd w:val="clear" w:color="auto" w:fill="FAE6E9"/>
            <w:vAlign w:val="bottom"/>
          </w:tcPr>
          <w:p w:rsidR="00CC2C66" w:rsidRDefault="00CC2C66">
            <w:pPr>
              <w:rPr>
                <w:sz w:val="13"/>
                <w:szCs w:val="13"/>
              </w:rPr>
            </w:pPr>
          </w:p>
        </w:tc>
        <w:tc>
          <w:tcPr>
            <w:tcW w:w="104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Market</w:t>
            </w:r>
          </w:p>
        </w:tc>
        <w:tc>
          <w:tcPr>
            <w:tcW w:w="1160" w:type="dxa"/>
            <w:shd w:val="clear" w:color="auto" w:fill="FAE6E9"/>
            <w:vAlign w:val="bottom"/>
          </w:tcPr>
          <w:p w:rsidR="00CC2C66" w:rsidRDefault="00F80B74">
            <w:pPr>
              <w:spacing w:line="153" w:lineRule="exact"/>
              <w:ind w:right="78"/>
              <w:jc w:val="center"/>
              <w:rPr>
                <w:sz w:val="20"/>
                <w:szCs w:val="20"/>
              </w:rPr>
            </w:pPr>
            <w:r>
              <w:rPr>
                <w:rFonts w:ascii="Arial" w:eastAsia="Arial" w:hAnsi="Arial" w:cs="Arial"/>
                <w:b/>
                <w:bCs/>
                <w:color w:val="CF0A2C"/>
                <w:w w:val="96"/>
                <w:sz w:val="14"/>
                <w:szCs w:val="14"/>
              </w:rPr>
              <w:t>Plan Awards:</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Market or</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Number of</w:t>
            </w:r>
          </w:p>
        </w:tc>
        <w:tc>
          <w:tcPr>
            <w:tcW w:w="1340" w:type="dxa"/>
            <w:shd w:val="clear" w:color="auto" w:fill="FAE6E9"/>
            <w:vAlign w:val="bottom"/>
          </w:tcPr>
          <w:p w:rsidR="00CC2C66" w:rsidRDefault="00CC2C66">
            <w:pPr>
              <w:rPr>
                <w:sz w:val="13"/>
                <w:szCs w:val="13"/>
              </w:rPr>
            </w:pPr>
          </w:p>
        </w:tc>
        <w:tc>
          <w:tcPr>
            <w:tcW w:w="72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20" w:type="dxa"/>
            <w:shd w:val="clear" w:color="auto" w:fill="FAE6E9"/>
            <w:vAlign w:val="bottom"/>
          </w:tcPr>
          <w:p w:rsidR="00CC2C66" w:rsidRDefault="00CC2C66">
            <w:pPr>
              <w:rPr>
                <w:sz w:val="13"/>
                <w:szCs w:val="13"/>
              </w:rPr>
            </w:pPr>
          </w:p>
        </w:tc>
        <w:tc>
          <w:tcPr>
            <w:tcW w:w="104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Value</w:t>
            </w:r>
          </w:p>
        </w:tc>
        <w:tc>
          <w:tcPr>
            <w:tcW w:w="1160" w:type="dxa"/>
            <w:shd w:val="clear" w:color="auto" w:fill="FAE6E9"/>
            <w:vAlign w:val="bottom"/>
          </w:tcPr>
          <w:p w:rsidR="00CC2C66" w:rsidRDefault="00F80B74">
            <w:pPr>
              <w:spacing w:line="153" w:lineRule="exact"/>
              <w:ind w:right="58"/>
              <w:jc w:val="center"/>
              <w:rPr>
                <w:sz w:val="20"/>
                <w:szCs w:val="20"/>
              </w:rPr>
            </w:pPr>
            <w:r>
              <w:rPr>
                <w:rFonts w:ascii="Arial" w:eastAsia="Arial" w:hAnsi="Arial" w:cs="Arial"/>
                <w:b/>
                <w:bCs/>
                <w:color w:val="CF0A2C"/>
                <w:w w:val="97"/>
                <w:sz w:val="14"/>
                <w:szCs w:val="14"/>
              </w:rPr>
              <w:t>Number of</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Payout Value</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Securities</w:t>
            </w:r>
          </w:p>
        </w:tc>
        <w:tc>
          <w:tcPr>
            <w:tcW w:w="134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7"/>
                <w:sz w:val="14"/>
                <w:szCs w:val="14"/>
              </w:rPr>
              <w:t>Number of</w:t>
            </w:r>
          </w:p>
        </w:tc>
        <w:tc>
          <w:tcPr>
            <w:tcW w:w="72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20" w:type="dxa"/>
            <w:shd w:val="clear" w:color="auto" w:fill="FAE6E9"/>
            <w:vAlign w:val="bottom"/>
          </w:tcPr>
          <w:p w:rsidR="00CC2C66" w:rsidRDefault="00CC2C66">
            <w:pPr>
              <w:rPr>
                <w:sz w:val="13"/>
                <w:szCs w:val="13"/>
              </w:rPr>
            </w:pPr>
          </w:p>
        </w:tc>
        <w:tc>
          <w:tcPr>
            <w:tcW w:w="1040" w:type="dxa"/>
            <w:shd w:val="clear" w:color="auto" w:fill="FAE6E9"/>
            <w:vAlign w:val="bottom"/>
          </w:tcPr>
          <w:p w:rsidR="00CC2C66" w:rsidRDefault="00F80B74">
            <w:pPr>
              <w:spacing w:line="153" w:lineRule="exact"/>
              <w:ind w:right="16"/>
              <w:jc w:val="center"/>
              <w:rPr>
                <w:sz w:val="20"/>
                <w:szCs w:val="20"/>
              </w:rPr>
            </w:pPr>
            <w:r>
              <w:rPr>
                <w:rFonts w:ascii="Arial" w:eastAsia="Arial" w:hAnsi="Arial" w:cs="Arial"/>
                <w:b/>
                <w:bCs/>
                <w:color w:val="CF0A2C"/>
                <w:w w:val="98"/>
                <w:sz w:val="14"/>
                <w:szCs w:val="14"/>
              </w:rPr>
              <w:t>Number</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of Shares</w:t>
            </w:r>
          </w:p>
        </w:tc>
        <w:tc>
          <w:tcPr>
            <w:tcW w:w="1160" w:type="dxa"/>
            <w:shd w:val="clear" w:color="auto" w:fill="FAE6E9"/>
            <w:vAlign w:val="bottom"/>
          </w:tcPr>
          <w:p w:rsidR="00CC2C66" w:rsidRDefault="00F80B74">
            <w:pPr>
              <w:spacing w:line="153" w:lineRule="exact"/>
              <w:ind w:right="78"/>
              <w:jc w:val="center"/>
              <w:rPr>
                <w:sz w:val="20"/>
                <w:szCs w:val="20"/>
              </w:rPr>
            </w:pPr>
            <w:r>
              <w:rPr>
                <w:rFonts w:ascii="Arial" w:eastAsia="Arial" w:hAnsi="Arial" w:cs="Arial"/>
                <w:b/>
                <w:bCs/>
                <w:color w:val="CF0A2C"/>
                <w:w w:val="95"/>
                <w:sz w:val="14"/>
                <w:szCs w:val="14"/>
              </w:rPr>
              <w:t>Unearned</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of Unearned</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Underlying</w:t>
            </w:r>
          </w:p>
        </w:tc>
        <w:tc>
          <w:tcPr>
            <w:tcW w:w="134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5"/>
                <w:sz w:val="14"/>
                <w:szCs w:val="14"/>
              </w:rPr>
              <w:t>Securities</w:t>
            </w:r>
          </w:p>
        </w:tc>
        <w:tc>
          <w:tcPr>
            <w:tcW w:w="72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20" w:type="dxa"/>
            <w:shd w:val="clear" w:color="auto" w:fill="FAE6E9"/>
            <w:vAlign w:val="bottom"/>
          </w:tcPr>
          <w:p w:rsidR="00CC2C66" w:rsidRDefault="00CC2C66">
            <w:pPr>
              <w:rPr>
                <w:sz w:val="13"/>
                <w:szCs w:val="13"/>
              </w:rPr>
            </w:pPr>
          </w:p>
        </w:tc>
        <w:tc>
          <w:tcPr>
            <w:tcW w:w="1040" w:type="dxa"/>
            <w:shd w:val="clear" w:color="auto" w:fill="FAE6E9"/>
            <w:vAlign w:val="bottom"/>
          </w:tcPr>
          <w:p w:rsidR="00CC2C66" w:rsidRDefault="00F80B74">
            <w:pPr>
              <w:spacing w:line="153" w:lineRule="exact"/>
              <w:ind w:right="36"/>
              <w:jc w:val="center"/>
              <w:rPr>
                <w:sz w:val="20"/>
                <w:szCs w:val="20"/>
              </w:rPr>
            </w:pPr>
            <w:r>
              <w:rPr>
                <w:rFonts w:ascii="Arial" w:eastAsia="Arial" w:hAnsi="Arial" w:cs="Arial"/>
                <w:b/>
                <w:bCs/>
                <w:color w:val="CF0A2C"/>
                <w:w w:val="97"/>
                <w:sz w:val="14"/>
                <w:szCs w:val="14"/>
              </w:rPr>
              <w:t>of Shares</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or Units of</w:t>
            </w:r>
          </w:p>
        </w:tc>
        <w:tc>
          <w:tcPr>
            <w:tcW w:w="1160" w:type="dxa"/>
            <w:shd w:val="clear" w:color="auto" w:fill="FAE6E9"/>
            <w:vAlign w:val="bottom"/>
          </w:tcPr>
          <w:p w:rsidR="00CC2C66" w:rsidRDefault="00F80B74">
            <w:pPr>
              <w:spacing w:line="153" w:lineRule="exact"/>
              <w:ind w:right="138"/>
              <w:jc w:val="right"/>
              <w:rPr>
                <w:sz w:val="20"/>
                <w:szCs w:val="20"/>
              </w:rPr>
            </w:pPr>
            <w:r>
              <w:rPr>
                <w:rFonts w:ascii="Arial" w:eastAsia="Arial" w:hAnsi="Arial" w:cs="Arial"/>
                <w:b/>
                <w:bCs/>
                <w:color w:val="CF0A2C"/>
                <w:sz w:val="14"/>
                <w:szCs w:val="14"/>
              </w:rPr>
              <w:t>Shares, Units</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Shares, Units</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Unexercised</w:t>
            </w:r>
          </w:p>
        </w:tc>
        <w:tc>
          <w:tcPr>
            <w:tcW w:w="134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8"/>
                <w:sz w:val="14"/>
                <w:szCs w:val="14"/>
              </w:rPr>
              <w:t>Underlying</w:t>
            </w:r>
          </w:p>
        </w:tc>
        <w:tc>
          <w:tcPr>
            <w:tcW w:w="7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Option/</w:t>
            </w:r>
          </w:p>
        </w:tc>
        <w:tc>
          <w:tcPr>
            <w:tcW w:w="800" w:type="dxa"/>
            <w:shd w:val="clear" w:color="auto" w:fill="FAE6E9"/>
            <w:vAlign w:val="bottom"/>
          </w:tcPr>
          <w:p w:rsidR="00CC2C66" w:rsidRDefault="00CC2C66">
            <w:pPr>
              <w:rPr>
                <w:sz w:val="13"/>
                <w:szCs w:val="13"/>
              </w:rPr>
            </w:pPr>
          </w:p>
        </w:tc>
        <w:tc>
          <w:tcPr>
            <w:tcW w:w="220" w:type="dxa"/>
            <w:shd w:val="clear" w:color="auto" w:fill="FAE6E9"/>
            <w:vAlign w:val="bottom"/>
          </w:tcPr>
          <w:p w:rsidR="00CC2C66" w:rsidRDefault="00CC2C66">
            <w:pPr>
              <w:rPr>
                <w:sz w:val="13"/>
                <w:szCs w:val="13"/>
              </w:rPr>
            </w:pPr>
          </w:p>
        </w:tc>
        <w:tc>
          <w:tcPr>
            <w:tcW w:w="1040" w:type="dxa"/>
            <w:shd w:val="clear" w:color="auto" w:fill="FAE6E9"/>
            <w:vAlign w:val="bottom"/>
          </w:tcPr>
          <w:p w:rsidR="00CC2C66" w:rsidRDefault="00F80B74">
            <w:pPr>
              <w:spacing w:line="153" w:lineRule="exact"/>
              <w:ind w:right="16"/>
              <w:jc w:val="center"/>
              <w:rPr>
                <w:sz w:val="20"/>
                <w:szCs w:val="20"/>
              </w:rPr>
            </w:pPr>
            <w:r>
              <w:rPr>
                <w:rFonts w:ascii="Arial" w:eastAsia="Arial" w:hAnsi="Arial" w:cs="Arial"/>
                <w:b/>
                <w:bCs/>
                <w:color w:val="CF0A2C"/>
                <w:w w:val="97"/>
                <w:sz w:val="14"/>
                <w:szCs w:val="14"/>
              </w:rPr>
              <w:t>or Units of</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Stock</w:t>
            </w:r>
          </w:p>
        </w:tc>
        <w:tc>
          <w:tcPr>
            <w:tcW w:w="1160" w:type="dxa"/>
            <w:shd w:val="clear" w:color="auto" w:fill="FAE6E9"/>
            <w:vAlign w:val="bottom"/>
          </w:tcPr>
          <w:p w:rsidR="00CC2C66" w:rsidRDefault="00F80B74">
            <w:pPr>
              <w:spacing w:line="153" w:lineRule="exact"/>
              <w:ind w:right="78"/>
              <w:jc w:val="center"/>
              <w:rPr>
                <w:sz w:val="20"/>
                <w:szCs w:val="20"/>
              </w:rPr>
            </w:pPr>
            <w:r>
              <w:rPr>
                <w:rFonts w:ascii="Arial" w:eastAsia="Arial" w:hAnsi="Arial" w:cs="Arial"/>
                <w:b/>
                <w:bCs/>
                <w:color w:val="CF0A2C"/>
                <w:w w:val="97"/>
                <w:sz w:val="14"/>
                <w:szCs w:val="14"/>
              </w:rPr>
              <w:t>or Other</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or Other</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Options/</w:t>
            </w:r>
          </w:p>
        </w:tc>
        <w:tc>
          <w:tcPr>
            <w:tcW w:w="134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6"/>
                <w:sz w:val="14"/>
                <w:szCs w:val="14"/>
              </w:rPr>
              <w:t>Unexercised</w:t>
            </w:r>
          </w:p>
        </w:tc>
        <w:tc>
          <w:tcPr>
            <w:tcW w:w="7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SAR</w:t>
            </w:r>
          </w:p>
        </w:tc>
        <w:tc>
          <w:tcPr>
            <w:tcW w:w="1020" w:type="dxa"/>
            <w:gridSpan w:val="2"/>
            <w:shd w:val="clear" w:color="auto" w:fill="FAE6E9"/>
            <w:vAlign w:val="bottom"/>
          </w:tcPr>
          <w:p w:rsidR="00CC2C66" w:rsidRDefault="00F80B74">
            <w:pPr>
              <w:spacing w:line="153" w:lineRule="exact"/>
              <w:ind w:right="180"/>
              <w:jc w:val="center"/>
              <w:rPr>
                <w:sz w:val="20"/>
                <w:szCs w:val="20"/>
              </w:rPr>
            </w:pPr>
            <w:r>
              <w:rPr>
                <w:rFonts w:ascii="Arial" w:eastAsia="Arial" w:hAnsi="Arial" w:cs="Arial"/>
                <w:b/>
                <w:bCs/>
                <w:color w:val="CF0A2C"/>
                <w:w w:val="97"/>
                <w:sz w:val="14"/>
                <w:szCs w:val="14"/>
              </w:rPr>
              <w:t>Option/</w:t>
            </w:r>
          </w:p>
        </w:tc>
        <w:tc>
          <w:tcPr>
            <w:tcW w:w="1040" w:type="dxa"/>
            <w:shd w:val="clear" w:color="auto" w:fill="FAE6E9"/>
            <w:vAlign w:val="bottom"/>
          </w:tcPr>
          <w:p w:rsidR="00CC2C66" w:rsidRDefault="00F80B74">
            <w:pPr>
              <w:spacing w:line="153" w:lineRule="exact"/>
              <w:ind w:right="36"/>
              <w:jc w:val="center"/>
              <w:rPr>
                <w:sz w:val="20"/>
                <w:szCs w:val="20"/>
              </w:rPr>
            </w:pPr>
            <w:r>
              <w:rPr>
                <w:rFonts w:ascii="Arial" w:eastAsia="Arial" w:hAnsi="Arial" w:cs="Arial"/>
                <w:b/>
                <w:bCs/>
                <w:color w:val="CF0A2C"/>
                <w:w w:val="99"/>
                <w:sz w:val="14"/>
                <w:szCs w:val="14"/>
              </w:rPr>
              <w:t>Stock</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That</w:t>
            </w:r>
          </w:p>
        </w:tc>
        <w:tc>
          <w:tcPr>
            <w:tcW w:w="1160" w:type="dxa"/>
            <w:shd w:val="clear" w:color="auto" w:fill="FAE6E9"/>
            <w:vAlign w:val="bottom"/>
          </w:tcPr>
          <w:p w:rsidR="00CC2C66" w:rsidRDefault="00F80B74">
            <w:pPr>
              <w:spacing w:line="153" w:lineRule="exact"/>
              <w:ind w:right="78"/>
              <w:jc w:val="center"/>
              <w:rPr>
                <w:sz w:val="20"/>
                <w:szCs w:val="20"/>
              </w:rPr>
            </w:pPr>
            <w:r>
              <w:rPr>
                <w:rFonts w:ascii="Arial" w:eastAsia="Arial" w:hAnsi="Arial" w:cs="Arial"/>
                <w:b/>
                <w:bCs/>
                <w:color w:val="CF0A2C"/>
                <w:w w:val="96"/>
                <w:sz w:val="14"/>
                <w:szCs w:val="14"/>
              </w:rPr>
              <w:t>Rights</w:t>
            </w:r>
          </w:p>
        </w:tc>
        <w:tc>
          <w:tcPr>
            <w:tcW w:w="740" w:type="dxa"/>
            <w:gridSpan w:val="3"/>
            <w:shd w:val="clear" w:color="auto" w:fill="FAE6E9"/>
            <w:vAlign w:val="bottom"/>
          </w:tcPr>
          <w:p w:rsidR="00CC2C66" w:rsidRDefault="00F80B74">
            <w:pPr>
              <w:spacing w:line="153" w:lineRule="exact"/>
              <w:ind w:left="215"/>
              <w:jc w:val="center"/>
              <w:rPr>
                <w:sz w:val="20"/>
                <w:szCs w:val="20"/>
              </w:rPr>
            </w:pPr>
            <w:r>
              <w:rPr>
                <w:rFonts w:ascii="Arial" w:eastAsia="Arial" w:hAnsi="Arial" w:cs="Arial"/>
                <w:b/>
                <w:bCs/>
                <w:color w:val="CF0A2C"/>
                <w:w w:val="96"/>
                <w:sz w:val="14"/>
                <w:szCs w:val="14"/>
              </w:rPr>
              <w:t>Rights</w:t>
            </w:r>
          </w:p>
        </w:tc>
        <w:tc>
          <w:tcPr>
            <w:tcW w:w="260" w:type="dxa"/>
            <w:shd w:val="clear" w:color="auto" w:fill="FAE6E9"/>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SARs</w:t>
            </w:r>
          </w:p>
        </w:tc>
        <w:tc>
          <w:tcPr>
            <w:tcW w:w="134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7"/>
                <w:sz w:val="14"/>
                <w:szCs w:val="14"/>
              </w:rPr>
              <w:t>Options/ SARs</w:t>
            </w:r>
          </w:p>
        </w:tc>
        <w:tc>
          <w:tcPr>
            <w:tcW w:w="7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Exercise</w:t>
            </w:r>
          </w:p>
        </w:tc>
        <w:tc>
          <w:tcPr>
            <w:tcW w:w="1020" w:type="dxa"/>
            <w:gridSpan w:val="2"/>
            <w:shd w:val="clear" w:color="auto" w:fill="FAE6E9"/>
            <w:vAlign w:val="bottom"/>
          </w:tcPr>
          <w:p w:rsidR="00CC2C66" w:rsidRDefault="00F80B74">
            <w:pPr>
              <w:spacing w:line="153" w:lineRule="exact"/>
              <w:ind w:right="180"/>
              <w:jc w:val="center"/>
              <w:rPr>
                <w:sz w:val="20"/>
                <w:szCs w:val="20"/>
              </w:rPr>
            </w:pPr>
            <w:r>
              <w:rPr>
                <w:rFonts w:ascii="Arial" w:eastAsia="Arial" w:hAnsi="Arial" w:cs="Arial"/>
                <w:b/>
                <w:bCs/>
                <w:color w:val="CF0A2C"/>
                <w:w w:val="94"/>
                <w:sz w:val="14"/>
                <w:szCs w:val="14"/>
              </w:rPr>
              <w:t>SAR</w:t>
            </w:r>
          </w:p>
        </w:tc>
        <w:tc>
          <w:tcPr>
            <w:tcW w:w="1040" w:type="dxa"/>
            <w:shd w:val="clear" w:color="auto" w:fill="FAE6E9"/>
            <w:vAlign w:val="bottom"/>
          </w:tcPr>
          <w:p w:rsidR="00CC2C66" w:rsidRDefault="00F80B74">
            <w:pPr>
              <w:spacing w:line="153" w:lineRule="exact"/>
              <w:ind w:right="36"/>
              <w:jc w:val="center"/>
              <w:rPr>
                <w:sz w:val="20"/>
                <w:szCs w:val="20"/>
              </w:rPr>
            </w:pPr>
            <w:r>
              <w:rPr>
                <w:rFonts w:ascii="Arial" w:eastAsia="Arial" w:hAnsi="Arial" w:cs="Arial"/>
                <w:b/>
                <w:bCs/>
                <w:color w:val="CF0A2C"/>
                <w:w w:val="98"/>
                <w:sz w:val="14"/>
                <w:szCs w:val="14"/>
              </w:rPr>
              <w:t>That Have</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Have</w:t>
            </w:r>
          </w:p>
        </w:tc>
        <w:tc>
          <w:tcPr>
            <w:tcW w:w="1160" w:type="dxa"/>
            <w:shd w:val="clear" w:color="auto" w:fill="FAE6E9"/>
            <w:vAlign w:val="bottom"/>
          </w:tcPr>
          <w:p w:rsidR="00CC2C66" w:rsidRDefault="00F80B74">
            <w:pPr>
              <w:spacing w:line="153" w:lineRule="exact"/>
              <w:ind w:right="78"/>
              <w:jc w:val="center"/>
              <w:rPr>
                <w:sz w:val="20"/>
                <w:szCs w:val="20"/>
              </w:rPr>
            </w:pPr>
            <w:r>
              <w:rPr>
                <w:rFonts w:ascii="Arial" w:eastAsia="Arial" w:hAnsi="Arial" w:cs="Arial"/>
                <w:b/>
                <w:bCs/>
                <w:color w:val="CF0A2C"/>
                <w:w w:val="98"/>
                <w:sz w:val="14"/>
                <w:szCs w:val="14"/>
              </w:rPr>
              <w:t>That Have</w:t>
            </w:r>
          </w:p>
        </w:tc>
        <w:tc>
          <w:tcPr>
            <w:tcW w:w="1000" w:type="dxa"/>
            <w:gridSpan w:val="4"/>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That Have</w:t>
            </w:r>
          </w:p>
        </w:tc>
        <w:tc>
          <w:tcPr>
            <w:tcW w:w="0" w:type="dxa"/>
            <w:vAlign w:val="bottom"/>
          </w:tcPr>
          <w:p w:rsidR="00CC2C66" w:rsidRDefault="00CC2C66">
            <w:pPr>
              <w:rPr>
                <w:sz w:val="1"/>
                <w:szCs w:val="1"/>
              </w:rPr>
            </w:pPr>
          </w:p>
        </w:tc>
      </w:tr>
      <w:tr w:rsidR="00CC2C66">
        <w:trPr>
          <w:trHeight w:val="150"/>
        </w:trPr>
        <w:tc>
          <w:tcPr>
            <w:tcW w:w="20" w:type="dxa"/>
            <w:vAlign w:val="bottom"/>
          </w:tcPr>
          <w:p w:rsidR="00CC2C66" w:rsidRDefault="00CC2C66">
            <w:pPr>
              <w:rPr>
                <w:sz w:val="13"/>
                <w:szCs w:val="13"/>
              </w:rPr>
            </w:pPr>
          </w:p>
        </w:tc>
        <w:tc>
          <w:tcPr>
            <w:tcW w:w="1400" w:type="dxa"/>
            <w:shd w:val="clear" w:color="auto" w:fill="FAE6E9"/>
            <w:vAlign w:val="bottom"/>
          </w:tcPr>
          <w:p w:rsidR="00CC2C66" w:rsidRDefault="00CC2C66">
            <w:pPr>
              <w:rPr>
                <w:sz w:val="13"/>
                <w:szCs w:val="13"/>
              </w:rPr>
            </w:pPr>
          </w:p>
        </w:tc>
        <w:tc>
          <w:tcPr>
            <w:tcW w:w="820" w:type="dxa"/>
            <w:shd w:val="clear" w:color="auto" w:fill="FAE6E9"/>
            <w:vAlign w:val="bottom"/>
          </w:tcPr>
          <w:p w:rsidR="00CC2C66" w:rsidRDefault="00F80B74">
            <w:pPr>
              <w:spacing w:line="150" w:lineRule="exact"/>
              <w:ind w:left="16"/>
              <w:jc w:val="center"/>
              <w:rPr>
                <w:sz w:val="20"/>
                <w:szCs w:val="20"/>
              </w:rPr>
            </w:pPr>
            <w:r>
              <w:rPr>
                <w:rFonts w:ascii="Arial" w:eastAsia="Arial" w:hAnsi="Arial" w:cs="Arial"/>
                <w:b/>
                <w:bCs/>
                <w:color w:val="CF0A2C"/>
                <w:sz w:val="14"/>
                <w:szCs w:val="14"/>
              </w:rPr>
              <w:t>Grant</w:t>
            </w:r>
          </w:p>
        </w:tc>
        <w:tc>
          <w:tcPr>
            <w:tcW w:w="102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3"/>
                <w:sz w:val="14"/>
                <w:szCs w:val="14"/>
              </w:rPr>
              <w:t>(#)</w:t>
            </w:r>
          </w:p>
        </w:tc>
        <w:tc>
          <w:tcPr>
            <w:tcW w:w="1340" w:type="dxa"/>
            <w:shd w:val="clear" w:color="auto" w:fill="FAE6E9"/>
            <w:vAlign w:val="bottom"/>
          </w:tcPr>
          <w:p w:rsidR="00CC2C66" w:rsidRDefault="00F80B74">
            <w:pPr>
              <w:spacing w:line="150" w:lineRule="exact"/>
              <w:ind w:right="75"/>
              <w:jc w:val="center"/>
              <w:rPr>
                <w:sz w:val="20"/>
                <w:szCs w:val="20"/>
              </w:rPr>
            </w:pPr>
            <w:r>
              <w:rPr>
                <w:rFonts w:ascii="Arial" w:eastAsia="Arial" w:hAnsi="Arial" w:cs="Arial"/>
                <w:b/>
                <w:bCs/>
                <w:color w:val="CF0A2C"/>
                <w:w w:val="93"/>
                <w:sz w:val="14"/>
                <w:szCs w:val="14"/>
              </w:rPr>
              <w:t>(#)</w:t>
            </w:r>
          </w:p>
        </w:tc>
        <w:tc>
          <w:tcPr>
            <w:tcW w:w="72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3"/>
                <w:sz w:val="14"/>
                <w:szCs w:val="14"/>
              </w:rPr>
              <w:t>Price</w:t>
            </w:r>
          </w:p>
        </w:tc>
        <w:tc>
          <w:tcPr>
            <w:tcW w:w="1020" w:type="dxa"/>
            <w:gridSpan w:val="2"/>
            <w:shd w:val="clear" w:color="auto" w:fill="FAE6E9"/>
            <w:vAlign w:val="bottom"/>
          </w:tcPr>
          <w:p w:rsidR="00CC2C66" w:rsidRDefault="00F80B74">
            <w:pPr>
              <w:spacing w:line="150" w:lineRule="exact"/>
              <w:ind w:right="200"/>
              <w:jc w:val="center"/>
              <w:rPr>
                <w:sz w:val="20"/>
                <w:szCs w:val="20"/>
              </w:rPr>
            </w:pPr>
            <w:r>
              <w:rPr>
                <w:rFonts w:ascii="Arial" w:eastAsia="Arial" w:hAnsi="Arial" w:cs="Arial"/>
                <w:b/>
                <w:bCs/>
                <w:color w:val="CF0A2C"/>
                <w:w w:val="96"/>
                <w:sz w:val="14"/>
                <w:szCs w:val="14"/>
              </w:rPr>
              <w:t>Expiration</w:t>
            </w:r>
          </w:p>
        </w:tc>
        <w:tc>
          <w:tcPr>
            <w:tcW w:w="1040" w:type="dxa"/>
            <w:shd w:val="clear" w:color="auto" w:fill="FAE6E9"/>
            <w:vAlign w:val="bottom"/>
          </w:tcPr>
          <w:p w:rsidR="00CC2C66" w:rsidRDefault="00F80B74">
            <w:pPr>
              <w:spacing w:line="150" w:lineRule="exact"/>
              <w:ind w:right="156"/>
              <w:jc w:val="right"/>
              <w:rPr>
                <w:sz w:val="20"/>
                <w:szCs w:val="20"/>
              </w:rPr>
            </w:pPr>
            <w:r>
              <w:rPr>
                <w:rFonts w:ascii="Arial" w:eastAsia="Arial" w:hAnsi="Arial" w:cs="Arial"/>
                <w:b/>
                <w:bCs/>
                <w:color w:val="CF0A2C"/>
                <w:sz w:val="14"/>
                <w:szCs w:val="14"/>
              </w:rPr>
              <w:t>Not Vested</w:t>
            </w:r>
          </w:p>
        </w:tc>
        <w:tc>
          <w:tcPr>
            <w:tcW w:w="88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5"/>
                <w:sz w:val="14"/>
                <w:szCs w:val="14"/>
              </w:rPr>
              <w:t xml:space="preserve">Not </w:t>
            </w:r>
            <w:r>
              <w:rPr>
                <w:rFonts w:ascii="Arial" w:eastAsia="Arial" w:hAnsi="Arial" w:cs="Arial"/>
                <w:b/>
                <w:bCs/>
                <w:color w:val="CF0A2C"/>
                <w:w w:val="95"/>
                <w:sz w:val="14"/>
                <w:szCs w:val="14"/>
              </w:rPr>
              <w:t>Vested</w:t>
            </w:r>
          </w:p>
        </w:tc>
        <w:tc>
          <w:tcPr>
            <w:tcW w:w="1160" w:type="dxa"/>
            <w:shd w:val="clear" w:color="auto" w:fill="FAE6E9"/>
            <w:vAlign w:val="bottom"/>
          </w:tcPr>
          <w:p w:rsidR="00CC2C66" w:rsidRDefault="00F80B74">
            <w:pPr>
              <w:spacing w:line="150" w:lineRule="exact"/>
              <w:ind w:right="78"/>
              <w:jc w:val="center"/>
              <w:rPr>
                <w:sz w:val="20"/>
                <w:szCs w:val="20"/>
              </w:rPr>
            </w:pPr>
            <w:r>
              <w:rPr>
                <w:rFonts w:ascii="Arial" w:eastAsia="Arial" w:hAnsi="Arial" w:cs="Arial"/>
                <w:b/>
                <w:bCs/>
                <w:color w:val="CF0A2C"/>
                <w:w w:val="95"/>
                <w:sz w:val="14"/>
                <w:szCs w:val="14"/>
              </w:rPr>
              <w:t>Not Vested</w:t>
            </w:r>
          </w:p>
        </w:tc>
        <w:tc>
          <w:tcPr>
            <w:tcW w:w="1000" w:type="dxa"/>
            <w:gridSpan w:val="4"/>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5"/>
                <w:sz w:val="14"/>
                <w:szCs w:val="14"/>
              </w:rPr>
              <w:t>Not Vested</w:t>
            </w:r>
          </w:p>
        </w:tc>
        <w:tc>
          <w:tcPr>
            <w:tcW w:w="0" w:type="dxa"/>
            <w:vAlign w:val="bottom"/>
          </w:tcPr>
          <w:p w:rsidR="00CC2C66" w:rsidRDefault="00CC2C66">
            <w:pPr>
              <w:rPr>
                <w:sz w:val="1"/>
                <w:szCs w:val="1"/>
              </w:rPr>
            </w:pPr>
          </w:p>
        </w:tc>
      </w:tr>
      <w:tr w:rsidR="00CC2C66">
        <w:trPr>
          <w:trHeight w:val="179"/>
        </w:trPr>
        <w:tc>
          <w:tcPr>
            <w:tcW w:w="20" w:type="dxa"/>
            <w:vAlign w:val="bottom"/>
          </w:tcPr>
          <w:p w:rsidR="00CC2C66" w:rsidRDefault="00CC2C66">
            <w:pPr>
              <w:rPr>
                <w:sz w:val="15"/>
                <w:szCs w:val="15"/>
              </w:rPr>
            </w:pPr>
          </w:p>
        </w:tc>
        <w:tc>
          <w:tcPr>
            <w:tcW w:w="1400" w:type="dxa"/>
            <w:tcBorders>
              <w:bottom w:val="single" w:sz="8" w:space="0" w:color="CF0A2C"/>
            </w:tcBorders>
            <w:shd w:val="clear" w:color="auto" w:fill="FAE6E9"/>
            <w:vAlign w:val="bottom"/>
          </w:tcPr>
          <w:p w:rsidR="00CC2C66" w:rsidRDefault="00F80B74">
            <w:pPr>
              <w:rPr>
                <w:sz w:val="20"/>
                <w:szCs w:val="20"/>
              </w:rPr>
            </w:pPr>
            <w:r>
              <w:rPr>
                <w:rFonts w:ascii="Arial" w:eastAsia="Arial" w:hAnsi="Arial" w:cs="Arial"/>
                <w:b/>
                <w:bCs/>
                <w:color w:val="CF0A2C"/>
                <w:sz w:val="14"/>
                <w:szCs w:val="14"/>
              </w:rPr>
              <w:t>Name</w:t>
            </w:r>
          </w:p>
        </w:tc>
        <w:tc>
          <w:tcPr>
            <w:tcW w:w="820" w:type="dxa"/>
            <w:tcBorders>
              <w:bottom w:val="single" w:sz="8" w:space="0" w:color="CF0A2C"/>
            </w:tcBorders>
            <w:shd w:val="clear" w:color="auto" w:fill="FAE6E9"/>
            <w:vAlign w:val="bottom"/>
          </w:tcPr>
          <w:p w:rsidR="00CC2C66" w:rsidRDefault="00F80B74">
            <w:pPr>
              <w:ind w:left="16"/>
              <w:jc w:val="center"/>
              <w:rPr>
                <w:sz w:val="20"/>
                <w:szCs w:val="20"/>
              </w:rPr>
            </w:pPr>
            <w:r>
              <w:rPr>
                <w:rFonts w:ascii="Arial" w:eastAsia="Arial" w:hAnsi="Arial" w:cs="Arial"/>
                <w:b/>
                <w:bCs/>
                <w:color w:val="CF0A2C"/>
                <w:w w:val="98"/>
                <w:sz w:val="14"/>
                <w:szCs w:val="14"/>
              </w:rPr>
              <w:t>Date</w:t>
            </w:r>
          </w:p>
        </w:tc>
        <w:tc>
          <w:tcPr>
            <w:tcW w:w="102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w w:val="97"/>
                <w:sz w:val="14"/>
                <w:szCs w:val="14"/>
              </w:rPr>
              <w:t>Exercisable</w:t>
            </w:r>
          </w:p>
        </w:tc>
        <w:tc>
          <w:tcPr>
            <w:tcW w:w="1340" w:type="dxa"/>
            <w:tcBorders>
              <w:bottom w:val="single" w:sz="8" w:space="0" w:color="CF0A2C"/>
            </w:tcBorders>
            <w:shd w:val="clear" w:color="auto" w:fill="FAE6E9"/>
            <w:vAlign w:val="bottom"/>
          </w:tcPr>
          <w:p w:rsidR="00CC2C66" w:rsidRDefault="00F80B74">
            <w:pPr>
              <w:spacing w:line="179" w:lineRule="exact"/>
              <w:ind w:right="155"/>
              <w:jc w:val="right"/>
              <w:rPr>
                <w:sz w:val="20"/>
                <w:szCs w:val="20"/>
              </w:rPr>
            </w:pPr>
            <w:r>
              <w:rPr>
                <w:rFonts w:ascii="Arial" w:eastAsia="Arial" w:hAnsi="Arial" w:cs="Arial"/>
                <w:b/>
                <w:bCs/>
                <w:color w:val="CF0A2C"/>
                <w:w w:val="98"/>
                <w:sz w:val="14"/>
                <w:szCs w:val="14"/>
              </w:rPr>
              <w:t>Unexercisable</w:t>
            </w:r>
            <w:r>
              <w:rPr>
                <w:rFonts w:ascii="Arial" w:eastAsia="Arial" w:hAnsi="Arial" w:cs="Arial"/>
                <w:b/>
                <w:bCs/>
                <w:color w:val="CF0A2C"/>
                <w:w w:val="98"/>
                <w:sz w:val="20"/>
                <w:szCs w:val="20"/>
                <w:vertAlign w:val="superscript"/>
              </w:rPr>
              <w:t>(1)</w:t>
            </w:r>
          </w:p>
        </w:tc>
        <w:tc>
          <w:tcPr>
            <w:tcW w:w="72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w w:val="93"/>
                <w:sz w:val="14"/>
                <w:szCs w:val="14"/>
              </w:rPr>
              <w:t>($)</w:t>
            </w:r>
          </w:p>
        </w:tc>
        <w:tc>
          <w:tcPr>
            <w:tcW w:w="1020" w:type="dxa"/>
            <w:gridSpan w:val="2"/>
            <w:tcBorders>
              <w:bottom w:val="single" w:sz="8" w:space="0" w:color="CF0A2C"/>
            </w:tcBorders>
            <w:shd w:val="clear" w:color="auto" w:fill="FAE6E9"/>
            <w:vAlign w:val="bottom"/>
          </w:tcPr>
          <w:p w:rsidR="00CC2C66" w:rsidRDefault="00F80B74">
            <w:pPr>
              <w:ind w:right="200"/>
              <w:jc w:val="center"/>
              <w:rPr>
                <w:sz w:val="20"/>
                <w:szCs w:val="20"/>
              </w:rPr>
            </w:pPr>
            <w:r>
              <w:rPr>
                <w:rFonts w:ascii="Arial" w:eastAsia="Arial" w:hAnsi="Arial" w:cs="Arial"/>
                <w:b/>
                <w:bCs/>
                <w:color w:val="CF0A2C"/>
                <w:w w:val="98"/>
                <w:sz w:val="14"/>
                <w:szCs w:val="14"/>
              </w:rPr>
              <w:t>Date</w:t>
            </w:r>
          </w:p>
        </w:tc>
        <w:tc>
          <w:tcPr>
            <w:tcW w:w="1040" w:type="dxa"/>
            <w:tcBorders>
              <w:bottom w:val="single" w:sz="8" w:space="0" w:color="CF0A2C"/>
            </w:tcBorders>
            <w:shd w:val="clear" w:color="auto" w:fill="FAE6E9"/>
            <w:vAlign w:val="bottom"/>
          </w:tcPr>
          <w:p w:rsidR="00CC2C66" w:rsidRDefault="00F80B74">
            <w:pPr>
              <w:spacing w:line="179" w:lineRule="exact"/>
              <w:ind w:right="36"/>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(2)</w:t>
            </w:r>
          </w:p>
        </w:tc>
        <w:tc>
          <w:tcPr>
            <w:tcW w:w="88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83"/>
                <w:sz w:val="14"/>
                <w:szCs w:val="14"/>
              </w:rPr>
              <w:t>($)</w:t>
            </w:r>
            <w:r>
              <w:rPr>
                <w:rFonts w:ascii="Arial" w:eastAsia="Arial" w:hAnsi="Arial" w:cs="Arial"/>
                <w:b/>
                <w:bCs/>
                <w:color w:val="CF0A2C"/>
                <w:w w:val="83"/>
                <w:sz w:val="20"/>
                <w:szCs w:val="20"/>
                <w:vertAlign w:val="superscript"/>
              </w:rPr>
              <w:t>(3)</w:t>
            </w:r>
          </w:p>
        </w:tc>
        <w:tc>
          <w:tcPr>
            <w:tcW w:w="1160" w:type="dxa"/>
            <w:tcBorders>
              <w:bottom w:val="single" w:sz="8" w:space="0" w:color="CF0A2C"/>
            </w:tcBorders>
            <w:shd w:val="clear" w:color="auto" w:fill="FAE6E9"/>
            <w:vAlign w:val="bottom"/>
          </w:tcPr>
          <w:p w:rsidR="00CC2C66" w:rsidRDefault="00F80B74">
            <w:pPr>
              <w:spacing w:line="179" w:lineRule="exact"/>
              <w:ind w:right="78"/>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(4)</w:t>
            </w:r>
          </w:p>
        </w:tc>
        <w:tc>
          <w:tcPr>
            <w:tcW w:w="740" w:type="dxa"/>
            <w:gridSpan w:val="3"/>
            <w:tcBorders>
              <w:bottom w:val="single" w:sz="8" w:space="0" w:color="CF0A2C"/>
            </w:tcBorders>
            <w:shd w:val="clear" w:color="auto" w:fill="FAE6E9"/>
            <w:vAlign w:val="bottom"/>
          </w:tcPr>
          <w:p w:rsidR="00CC2C66" w:rsidRDefault="00F80B74">
            <w:pPr>
              <w:spacing w:line="179" w:lineRule="exact"/>
              <w:ind w:left="235"/>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(3)</w:t>
            </w:r>
          </w:p>
        </w:tc>
        <w:tc>
          <w:tcPr>
            <w:tcW w:w="260" w:type="dxa"/>
            <w:tcBorders>
              <w:bottom w:val="single" w:sz="8" w:space="0" w:color="CF0A2C"/>
            </w:tcBorders>
            <w:shd w:val="clear" w:color="auto" w:fill="FAE6E9"/>
            <w:vAlign w:val="bottom"/>
          </w:tcPr>
          <w:p w:rsidR="00CC2C66" w:rsidRDefault="00CC2C66">
            <w:pPr>
              <w:rPr>
                <w:sz w:val="15"/>
                <w:szCs w:val="15"/>
              </w:rPr>
            </w:pPr>
          </w:p>
        </w:tc>
        <w:tc>
          <w:tcPr>
            <w:tcW w:w="0" w:type="dxa"/>
            <w:vAlign w:val="bottom"/>
          </w:tcPr>
          <w:p w:rsidR="00CC2C66" w:rsidRDefault="00CC2C66">
            <w:pPr>
              <w:rPr>
                <w:sz w:val="1"/>
                <w:szCs w:val="1"/>
              </w:rPr>
            </w:pPr>
          </w:p>
        </w:tc>
      </w:tr>
      <w:tr w:rsidR="00CC2C66">
        <w:trPr>
          <w:trHeight w:val="133"/>
        </w:trPr>
        <w:tc>
          <w:tcPr>
            <w:tcW w:w="20" w:type="dxa"/>
            <w:vAlign w:val="bottom"/>
          </w:tcPr>
          <w:p w:rsidR="00CC2C66" w:rsidRDefault="00CC2C66">
            <w:pPr>
              <w:rPr>
                <w:sz w:val="11"/>
                <w:szCs w:val="11"/>
              </w:rPr>
            </w:pPr>
          </w:p>
        </w:tc>
        <w:tc>
          <w:tcPr>
            <w:tcW w:w="1400" w:type="dxa"/>
            <w:vAlign w:val="bottom"/>
          </w:tcPr>
          <w:p w:rsidR="00CC2C66" w:rsidRDefault="00F80B74">
            <w:pPr>
              <w:spacing w:line="133" w:lineRule="exact"/>
              <w:ind w:left="600"/>
              <w:rPr>
                <w:sz w:val="20"/>
                <w:szCs w:val="20"/>
              </w:rPr>
            </w:pPr>
            <w:r>
              <w:rPr>
                <w:rFonts w:ascii="Arial" w:eastAsia="Arial" w:hAnsi="Arial" w:cs="Arial"/>
                <w:b/>
                <w:bCs/>
                <w:color w:val="CF0A2C"/>
                <w:sz w:val="14"/>
                <w:szCs w:val="14"/>
              </w:rPr>
              <w:t>(a)</w:t>
            </w:r>
          </w:p>
        </w:tc>
        <w:tc>
          <w:tcPr>
            <w:tcW w:w="820" w:type="dxa"/>
            <w:vAlign w:val="bottom"/>
          </w:tcPr>
          <w:p w:rsidR="00CC2C66" w:rsidRDefault="00F80B74">
            <w:pPr>
              <w:spacing w:line="133" w:lineRule="exact"/>
              <w:ind w:left="16"/>
              <w:jc w:val="center"/>
              <w:rPr>
                <w:sz w:val="20"/>
                <w:szCs w:val="20"/>
              </w:rPr>
            </w:pPr>
            <w:r>
              <w:rPr>
                <w:rFonts w:ascii="Arial" w:eastAsia="Arial" w:hAnsi="Arial" w:cs="Arial"/>
                <w:b/>
                <w:bCs/>
                <w:color w:val="CF0A2C"/>
                <w:sz w:val="14"/>
                <w:szCs w:val="14"/>
              </w:rPr>
              <w:t>(b)</w:t>
            </w:r>
          </w:p>
        </w:tc>
        <w:tc>
          <w:tcPr>
            <w:tcW w:w="1020" w:type="dxa"/>
            <w:vAlign w:val="bottom"/>
          </w:tcPr>
          <w:p w:rsidR="00CC2C66" w:rsidRDefault="00F80B74">
            <w:pPr>
              <w:spacing w:line="133" w:lineRule="exact"/>
              <w:jc w:val="center"/>
              <w:rPr>
                <w:sz w:val="20"/>
                <w:szCs w:val="20"/>
              </w:rPr>
            </w:pPr>
            <w:r>
              <w:rPr>
                <w:rFonts w:ascii="Arial" w:eastAsia="Arial" w:hAnsi="Arial" w:cs="Arial"/>
                <w:b/>
                <w:bCs/>
                <w:color w:val="CF0A2C"/>
                <w:w w:val="93"/>
                <w:sz w:val="14"/>
                <w:szCs w:val="14"/>
              </w:rPr>
              <w:t>(c)</w:t>
            </w:r>
          </w:p>
        </w:tc>
        <w:tc>
          <w:tcPr>
            <w:tcW w:w="1340" w:type="dxa"/>
            <w:vAlign w:val="bottom"/>
          </w:tcPr>
          <w:p w:rsidR="00CC2C66" w:rsidRDefault="00F80B74">
            <w:pPr>
              <w:spacing w:line="133" w:lineRule="exact"/>
              <w:ind w:right="95"/>
              <w:jc w:val="center"/>
              <w:rPr>
                <w:sz w:val="20"/>
                <w:szCs w:val="20"/>
              </w:rPr>
            </w:pPr>
            <w:r>
              <w:rPr>
                <w:rFonts w:ascii="Arial" w:eastAsia="Arial" w:hAnsi="Arial" w:cs="Arial"/>
                <w:b/>
                <w:bCs/>
                <w:color w:val="CF0A2C"/>
                <w:sz w:val="14"/>
                <w:szCs w:val="14"/>
              </w:rPr>
              <w:t>(d)</w:t>
            </w:r>
          </w:p>
        </w:tc>
        <w:tc>
          <w:tcPr>
            <w:tcW w:w="720" w:type="dxa"/>
            <w:vAlign w:val="bottom"/>
          </w:tcPr>
          <w:p w:rsidR="00CC2C66" w:rsidRDefault="00F80B74">
            <w:pPr>
              <w:spacing w:line="133" w:lineRule="exact"/>
              <w:jc w:val="center"/>
              <w:rPr>
                <w:sz w:val="20"/>
                <w:szCs w:val="20"/>
              </w:rPr>
            </w:pPr>
            <w:r>
              <w:rPr>
                <w:rFonts w:ascii="Arial" w:eastAsia="Arial" w:hAnsi="Arial" w:cs="Arial"/>
                <w:b/>
                <w:bCs/>
                <w:color w:val="CF0A2C"/>
                <w:w w:val="93"/>
                <w:sz w:val="14"/>
                <w:szCs w:val="14"/>
              </w:rPr>
              <w:t>(e)</w:t>
            </w:r>
          </w:p>
        </w:tc>
        <w:tc>
          <w:tcPr>
            <w:tcW w:w="1020" w:type="dxa"/>
            <w:gridSpan w:val="2"/>
            <w:vAlign w:val="bottom"/>
          </w:tcPr>
          <w:p w:rsidR="00CC2C66" w:rsidRDefault="00F80B74">
            <w:pPr>
              <w:spacing w:line="133" w:lineRule="exact"/>
              <w:ind w:right="200"/>
              <w:jc w:val="center"/>
              <w:rPr>
                <w:sz w:val="20"/>
                <w:szCs w:val="20"/>
              </w:rPr>
            </w:pPr>
            <w:r>
              <w:rPr>
                <w:rFonts w:ascii="Arial" w:eastAsia="Arial" w:hAnsi="Arial" w:cs="Arial"/>
                <w:b/>
                <w:bCs/>
                <w:color w:val="CF0A2C"/>
                <w:w w:val="99"/>
                <w:sz w:val="14"/>
                <w:szCs w:val="14"/>
              </w:rPr>
              <w:t>(f)</w:t>
            </w:r>
          </w:p>
        </w:tc>
        <w:tc>
          <w:tcPr>
            <w:tcW w:w="1040" w:type="dxa"/>
            <w:vAlign w:val="bottom"/>
          </w:tcPr>
          <w:p w:rsidR="00CC2C66" w:rsidRDefault="00F80B74">
            <w:pPr>
              <w:spacing w:line="133" w:lineRule="exact"/>
              <w:ind w:right="36"/>
              <w:jc w:val="center"/>
              <w:rPr>
                <w:sz w:val="20"/>
                <w:szCs w:val="20"/>
              </w:rPr>
            </w:pPr>
            <w:r>
              <w:rPr>
                <w:rFonts w:ascii="Arial" w:eastAsia="Arial" w:hAnsi="Arial" w:cs="Arial"/>
                <w:b/>
                <w:bCs/>
                <w:color w:val="CF0A2C"/>
                <w:sz w:val="14"/>
                <w:szCs w:val="14"/>
              </w:rPr>
              <w:t>(g)</w:t>
            </w:r>
          </w:p>
        </w:tc>
        <w:tc>
          <w:tcPr>
            <w:tcW w:w="880" w:type="dxa"/>
            <w:vAlign w:val="bottom"/>
          </w:tcPr>
          <w:p w:rsidR="00CC2C66" w:rsidRDefault="00F80B74">
            <w:pPr>
              <w:spacing w:line="133" w:lineRule="exact"/>
              <w:jc w:val="center"/>
              <w:rPr>
                <w:sz w:val="20"/>
                <w:szCs w:val="20"/>
              </w:rPr>
            </w:pPr>
            <w:r>
              <w:rPr>
                <w:rFonts w:ascii="Arial" w:eastAsia="Arial" w:hAnsi="Arial" w:cs="Arial"/>
                <w:b/>
                <w:bCs/>
                <w:color w:val="CF0A2C"/>
                <w:sz w:val="14"/>
                <w:szCs w:val="14"/>
              </w:rPr>
              <w:t>(h)</w:t>
            </w:r>
          </w:p>
        </w:tc>
        <w:tc>
          <w:tcPr>
            <w:tcW w:w="1160" w:type="dxa"/>
            <w:vAlign w:val="bottom"/>
          </w:tcPr>
          <w:p w:rsidR="00CC2C66" w:rsidRDefault="00F80B74">
            <w:pPr>
              <w:spacing w:line="133" w:lineRule="exact"/>
              <w:ind w:right="58"/>
              <w:jc w:val="center"/>
              <w:rPr>
                <w:sz w:val="20"/>
                <w:szCs w:val="20"/>
              </w:rPr>
            </w:pPr>
            <w:r>
              <w:rPr>
                <w:rFonts w:ascii="Arial" w:eastAsia="Arial" w:hAnsi="Arial" w:cs="Arial"/>
                <w:b/>
                <w:bCs/>
                <w:color w:val="CF0A2C"/>
                <w:w w:val="90"/>
                <w:sz w:val="14"/>
                <w:szCs w:val="14"/>
              </w:rPr>
              <w:t>(i)</w:t>
            </w:r>
          </w:p>
        </w:tc>
        <w:tc>
          <w:tcPr>
            <w:tcW w:w="740" w:type="dxa"/>
            <w:gridSpan w:val="3"/>
            <w:vAlign w:val="bottom"/>
          </w:tcPr>
          <w:p w:rsidR="00CC2C66" w:rsidRDefault="00F80B74">
            <w:pPr>
              <w:spacing w:line="133" w:lineRule="exact"/>
              <w:ind w:left="235"/>
              <w:jc w:val="center"/>
              <w:rPr>
                <w:sz w:val="20"/>
                <w:szCs w:val="20"/>
              </w:rPr>
            </w:pPr>
            <w:r>
              <w:rPr>
                <w:rFonts w:ascii="Arial" w:eastAsia="Arial" w:hAnsi="Arial" w:cs="Arial"/>
                <w:b/>
                <w:bCs/>
                <w:color w:val="CF0A2C"/>
                <w:w w:val="90"/>
                <w:sz w:val="14"/>
                <w:szCs w:val="14"/>
              </w:rPr>
              <w:t>(j)</w:t>
            </w:r>
          </w:p>
        </w:tc>
        <w:tc>
          <w:tcPr>
            <w:tcW w:w="260" w:type="dxa"/>
            <w:vAlign w:val="bottom"/>
          </w:tcPr>
          <w:p w:rsidR="00CC2C66" w:rsidRDefault="00CC2C66">
            <w:pPr>
              <w:rPr>
                <w:sz w:val="11"/>
                <w:szCs w:val="11"/>
              </w:rPr>
            </w:pPr>
          </w:p>
        </w:tc>
        <w:tc>
          <w:tcPr>
            <w:tcW w:w="0" w:type="dxa"/>
            <w:vAlign w:val="bottom"/>
          </w:tcPr>
          <w:p w:rsidR="00CC2C66" w:rsidRDefault="00CC2C66">
            <w:pPr>
              <w:rPr>
                <w:sz w:val="1"/>
                <w:szCs w:val="1"/>
              </w:rPr>
            </w:pPr>
          </w:p>
        </w:tc>
      </w:tr>
      <w:tr w:rsidR="00CC2C66">
        <w:trPr>
          <w:trHeight w:val="166"/>
        </w:trPr>
        <w:tc>
          <w:tcPr>
            <w:tcW w:w="1420" w:type="dxa"/>
            <w:gridSpan w:val="2"/>
            <w:vAlign w:val="bottom"/>
          </w:tcPr>
          <w:p w:rsidR="00CC2C66" w:rsidRDefault="00F80B74">
            <w:pPr>
              <w:rPr>
                <w:sz w:val="20"/>
                <w:szCs w:val="20"/>
              </w:rPr>
            </w:pPr>
            <w:r>
              <w:rPr>
                <w:rFonts w:ascii="Arial" w:eastAsia="Arial" w:hAnsi="Arial" w:cs="Arial"/>
                <w:b/>
                <w:bCs/>
                <w:color w:val="CF0A2C"/>
                <w:sz w:val="13"/>
                <w:szCs w:val="13"/>
              </w:rPr>
              <w:t>Ms. Wat</w:t>
            </w:r>
          </w:p>
        </w:tc>
        <w:tc>
          <w:tcPr>
            <w:tcW w:w="820" w:type="dxa"/>
            <w:vAlign w:val="bottom"/>
          </w:tcPr>
          <w:p w:rsidR="00CC2C66" w:rsidRDefault="00F80B74">
            <w:pPr>
              <w:jc w:val="right"/>
              <w:rPr>
                <w:sz w:val="20"/>
                <w:szCs w:val="20"/>
              </w:rPr>
            </w:pPr>
            <w:r>
              <w:rPr>
                <w:rFonts w:ascii="Arial" w:eastAsia="Arial" w:hAnsi="Arial" w:cs="Arial"/>
                <w:sz w:val="13"/>
                <w:szCs w:val="13"/>
              </w:rPr>
              <w:t>2/6/2015</w:t>
            </w:r>
          </w:p>
        </w:tc>
        <w:tc>
          <w:tcPr>
            <w:tcW w:w="1020" w:type="dxa"/>
            <w:vAlign w:val="bottom"/>
          </w:tcPr>
          <w:p w:rsidR="00CC2C66" w:rsidRDefault="00F80B74">
            <w:pPr>
              <w:ind w:right="15"/>
              <w:jc w:val="right"/>
              <w:rPr>
                <w:sz w:val="20"/>
                <w:szCs w:val="20"/>
              </w:rPr>
            </w:pPr>
            <w:r>
              <w:rPr>
                <w:rFonts w:ascii="Arial" w:eastAsia="Arial" w:hAnsi="Arial" w:cs="Arial"/>
                <w:sz w:val="13"/>
                <w:szCs w:val="13"/>
              </w:rPr>
              <w:t>27,063</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22.32</w:t>
            </w:r>
          </w:p>
        </w:tc>
        <w:tc>
          <w:tcPr>
            <w:tcW w:w="800" w:type="dxa"/>
            <w:vAlign w:val="bottom"/>
          </w:tcPr>
          <w:p w:rsidR="00CC2C66" w:rsidRDefault="00F80B74">
            <w:pPr>
              <w:jc w:val="right"/>
              <w:rPr>
                <w:sz w:val="20"/>
                <w:szCs w:val="20"/>
              </w:rPr>
            </w:pPr>
            <w:r>
              <w:rPr>
                <w:rFonts w:ascii="Arial" w:eastAsia="Arial" w:hAnsi="Arial" w:cs="Arial"/>
                <w:sz w:val="13"/>
                <w:szCs w:val="13"/>
              </w:rPr>
              <w:t>2/6/2025</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3/25/2015</w:t>
            </w:r>
          </w:p>
        </w:tc>
        <w:tc>
          <w:tcPr>
            <w:tcW w:w="1020" w:type="dxa"/>
            <w:vAlign w:val="bottom"/>
          </w:tcPr>
          <w:p w:rsidR="00CC2C66" w:rsidRDefault="00F80B74">
            <w:pPr>
              <w:ind w:right="15"/>
              <w:jc w:val="right"/>
              <w:rPr>
                <w:sz w:val="20"/>
                <w:szCs w:val="20"/>
              </w:rPr>
            </w:pPr>
            <w:r>
              <w:rPr>
                <w:rFonts w:ascii="Arial" w:eastAsia="Arial" w:hAnsi="Arial" w:cs="Arial"/>
                <w:sz w:val="13"/>
                <w:szCs w:val="13"/>
              </w:rPr>
              <w:t>32,309</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23.90</w:t>
            </w:r>
          </w:p>
        </w:tc>
        <w:tc>
          <w:tcPr>
            <w:tcW w:w="800" w:type="dxa"/>
            <w:vAlign w:val="bottom"/>
          </w:tcPr>
          <w:p w:rsidR="00CC2C66" w:rsidRDefault="00F80B74">
            <w:pPr>
              <w:jc w:val="right"/>
              <w:rPr>
                <w:sz w:val="20"/>
                <w:szCs w:val="20"/>
              </w:rPr>
            </w:pPr>
            <w:r>
              <w:rPr>
                <w:rFonts w:ascii="Arial" w:eastAsia="Arial" w:hAnsi="Arial" w:cs="Arial"/>
                <w:sz w:val="13"/>
                <w:szCs w:val="13"/>
              </w:rPr>
              <w:t>3/25/2025</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2/5/2016</w:t>
            </w:r>
          </w:p>
        </w:tc>
        <w:tc>
          <w:tcPr>
            <w:tcW w:w="1020" w:type="dxa"/>
            <w:vAlign w:val="bottom"/>
          </w:tcPr>
          <w:p w:rsidR="00CC2C66" w:rsidRDefault="00F80B74">
            <w:pPr>
              <w:ind w:right="15"/>
              <w:jc w:val="right"/>
              <w:rPr>
                <w:sz w:val="20"/>
                <w:szCs w:val="20"/>
              </w:rPr>
            </w:pPr>
            <w:r>
              <w:rPr>
                <w:rFonts w:ascii="Arial" w:eastAsia="Arial" w:hAnsi="Arial" w:cs="Arial"/>
                <w:sz w:val="13"/>
                <w:szCs w:val="13"/>
              </w:rPr>
              <w:t>41,316</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21.06</w:t>
            </w:r>
          </w:p>
        </w:tc>
        <w:tc>
          <w:tcPr>
            <w:tcW w:w="800" w:type="dxa"/>
            <w:vAlign w:val="bottom"/>
          </w:tcPr>
          <w:p w:rsidR="00CC2C66" w:rsidRDefault="00F80B74">
            <w:pPr>
              <w:jc w:val="right"/>
              <w:rPr>
                <w:sz w:val="20"/>
                <w:szCs w:val="20"/>
              </w:rPr>
            </w:pPr>
            <w:r>
              <w:rPr>
                <w:rFonts w:ascii="Arial" w:eastAsia="Arial" w:hAnsi="Arial" w:cs="Arial"/>
                <w:sz w:val="13"/>
                <w:szCs w:val="13"/>
              </w:rPr>
              <w:t>2/5/2026</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11/11/2016</w:t>
            </w:r>
          </w:p>
        </w:tc>
        <w:tc>
          <w:tcPr>
            <w:tcW w:w="1020" w:type="dxa"/>
            <w:vAlign w:val="bottom"/>
          </w:tcPr>
          <w:p w:rsidR="00CC2C66" w:rsidRDefault="00F80B74">
            <w:pPr>
              <w:ind w:right="15"/>
              <w:jc w:val="right"/>
              <w:rPr>
                <w:sz w:val="20"/>
                <w:szCs w:val="20"/>
              </w:rPr>
            </w:pPr>
            <w:r>
              <w:rPr>
                <w:rFonts w:ascii="Arial" w:eastAsia="Arial" w:hAnsi="Arial" w:cs="Arial"/>
                <w:sz w:val="13"/>
                <w:szCs w:val="13"/>
              </w:rPr>
              <w:t>48,846</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26.98</w:t>
            </w:r>
          </w:p>
        </w:tc>
        <w:tc>
          <w:tcPr>
            <w:tcW w:w="800" w:type="dxa"/>
            <w:vAlign w:val="bottom"/>
          </w:tcPr>
          <w:p w:rsidR="00CC2C66" w:rsidRDefault="00F80B74">
            <w:pPr>
              <w:jc w:val="right"/>
              <w:rPr>
                <w:sz w:val="20"/>
                <w:szCs w:val="20"/>
              </w:rPr>
            </w:pPr>
            <w:r>
              <w:rPr>
                <w:rFonts w:ascii="Arial" w:eastAsia="Arial" w:hAnsi="Arial" w:cs="Arial"/>
                <w:sz w:val="13"/>
                <w:szCs w:val="13"/>
              </w:rPr>
              <w:t>11/11/2026</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2/10/2017</w:t>
            </w:r>
          </w:p>
        </w:tc>
        <w:tc>
          <w:tcPr>
            <w:tcW w:w="1020" w:type="dxa"/>
            <w:vAlign w:val="bottom"/>
          </w:tcPr>
          <w:p w:rsidR="00CC2C66" w:rsidRDefault="00F80B74">
            <w:pPr>
              <w:ind w:right="15"/>
              <w:jc w:val="right"/>
              <w:rPr>
                <w:sz w:val="20"/>
                <w:szCs w:val="20"/>
              </w:rPr>
            </w:pPr>
            <w:r>
              <w:rPr>
                <w:rFonts w:ascii="Arial" w:eastAsia="Arial" w:hAnsi="Arial" w:cs="Arial"/>
                <w:sz w:val="13"/>
                <w:szCs w:val="13"/>
              </w:rPr>
              <w:t>111,774</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26.56</w:t>
            </w:r>
          </w:p>
        </w:tc>
        <w:tc>
          <w:tcPr>
            <w:tcW w:w="800" w:type="dxa"/>
            <w:vAlign w:val="bottom"/>
          </w:tcPr>
          <w:p w:rsidR="00CC2C66" w:rsidRDefault="00F80B74">
            <w:pPr>
              <w:jc w:val="right"/>
              <w:rPr>
                <w:sz w:val="20"/>
                <w:szCs w:val="20"/>
              </w:rPr>
            </w:pPr>
            <w:r>
              <w:rPr>
                <w:rFonts w:ascii="Arial" w:eastAsia="Arial" w:hAnsi="Arial" w:cs="Arial"/>
                <w:sz w:val="13"/>
                <w:szCs w:val="13"/>
              </w:rPr>
              <w:t>2/10/2027</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2/9/2018</w:t>
            </w:r>
          </w:p>
        </w:tc>
        <w:tc>
          <w:tcPr>
            <w:tcW w:w="1020" w:type="dxa"/>
            <w:vAlign w:val="bottom"/>
          </w:tcPr>
          <w:p w:rsidR="00CC2C66" w:rsidRDefault="00F80B74">
            <w:pPr>
              <w:ind w:right="15"/>
              <w:jc w:val="right"/>
              <w:rPr>
                <w:sz w:val="20"/>
                <w:szCs w:val="20"/>
              </w:rPr>
            </w:pPr>
            <w:r>
              <w:rPr>
                <w:rFonts w:ascii="Arial" w:eastAsia="Arial" w:hAnsi="Arial" w:cs="Arial"/>
                <w:sz w:val="13"/>
                <w:szCs w:val="13"/>
              </w:rPr>
              <w:t>139,613</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46,538</w:t>
            </w:r>
            <w:r>
              <w:rPr>
                <w:rFonts w:ascii="Arial" w:eastAsia="Arial" w:hAnsi="Arial" w:cs="Arial"/>
                <w:sz w:val="19"/>
                <w:szCs w:val="19"/>
                <w:vertAlign w:val="superscript"/>
              </w:rPr>
              <w:t>(i)</w:t>
            </w:r>
          </w:p>
        </w:tc>
        <w:tc>
          <w:tcPr>
            <w:tcW w:w="720" w:type="dxa"/>
            <w:vAlign w:val="bottom"/>
          </w:tcPr>
          <w:p w:rsidR="00CC2C66" w:rsidRDefault="00F80B74">
            <w:pPr>
              <w:ind w:right="15"/>
              <w:jc w:val="right"/>
              <w:rPr>
                <w:sz w:val="20"/>
                <w:szCs w:val="20"/>
              </w:rPr>
            </w:pPr>
            <w:r>
              <w:rPr>
                <w:rFonts w:ascii="Arial" w:eastAsia="Arial" w:hAnsi="Arial" w:cs="Arial"/>
                <w:sz w:val="13"/>
                <w:szCs w:val="13"/>
              </w:rPr>
              <w:t>40.29</w:t>
            </w:r>
          </w:p>
        </w:tc>
        <w:tc>
          <w:tcPr>
            <w:tcW w:w="800" w:type="dxa"/>
            <w:vAlign w:val="bottom"/>
          </w:tcPr>
          <w:p w:rsidR="00CC2C66" w:rsidRDefault="00F80B74">
            <w:pPr>
              <w:jc w:val="right"/>
              <w:rPr>
                <w:sz w:val="20"/>
                <w:szCs w:val="20"/>
              </w:rPr>
            </w:pPr>
            <w:r>
              <w:rPr>
                <w:rFonts w:ascii="Arial" w:eastAsia="Arial" w:hAnsi="Arial" w:cs="Arial"/>
                <w:sz w:val="13"/>
                <w:szCs w:val="13"/>
              </w:rPr>
              <w:t>2/9/2028</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2/7/2019</w:t>
            </w:r>
          </w:p>
        </w:tc>
        <w:tc>
          <w:tcPr>
            <w:tcW w:w="1020" w:type="dxa"/>
            <w:vAlign w:val="bottom"/>
          </w:tcPr>
          <w:p w:rsidR="00CC2C66" w:rsidRDefault="00F80B74">
            <w:pPr>
              <w:ind w:right="15"/>
              <w:jc w:val="right"/>
              <w:rPr>
                <w:sz w:val="20"/>
                <w:szCs w:val="20"/>
              </w:rPr>
            </w:pPr>
            <w:r>
              <w:rPr>
                <w:rFonts w:ascii="Arial" w:eastAsia="Arial" w:hAnsi="Arial" w:cs="Arial"/>
                <w:sz w:val="13"/>
                <w:szCs w:val="13"/>
              </w:rPr>
              <w:t>93,050</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93,050</w:t>
            </w:r>
            <w:r>
              <w:rPr>
                <w:rFonts w:ascii="Arial" w:eastAsia="Arial" w:hAnsi="Arial" w:cs="Arial"/>
                <w:sz w:val="19"/>
                <w:szCs w:val="19"/>
                <w:vertAlign w:val="superscript"/>
              </w:rPr>
              <w:t>(ii)</w:t>
            </w:r>
          </w:p>
        </w:tc>
        <w:tc>
          <w:tcPr>
            <w:tcW w:w="720" w:type="dxa"/>
            <w:vAlign w:val="bottom"/>
          </w:tcPr>
          <w:p w:rsidR="00CC2C66" w:rsidRDefault="00F80B74">
            <w:pPr>
              <w:ind w:right="15"/>
              <w:jc w:val="right"/>
              <w:rPr>
                <w:sz w:val="20"/>
                <w:szCs w:val="20"/>
              </w:rPr>
            </w:pPr>
            <w:r>
              <w:rPr>
                <w:rFonts w:ascii="Arial" w:eastAsia="Arial" w:hAnsi="Arial" w:cs="Arial"/>
                <w:sz w:val="13"/>
                <w:szCs w:val="13"/>
              </w:rPr>
              <w:t>41.66</w:t>
            </w:r>
          </w:p>
        </w:tc>
        <w:tc>
          <w:tcPr>
            <w:tcW w:w="800" w:type="dxa"/>
            <w:vAlign w:val="bottom"/>
          </w:tcPr>
          <w:p w:rsidR="00CC2C66" w:rsidRDefault="00F80B74">
            <w:pPr>
              <w:jc w:val="right"/>
              <w:rPr>
                <w:sz w:val="20"/>
                <w:szCs w:val="20"/>
              </w:rPr>
            </w:pPr>
            <w:r>
              <w:rPr>
                <w:rFonts w:ascii="Arial" w:eastAsia="Arial" w:hAnsi="Arial" w:cs="Arial"/>
                <w:sz w:val="13"/>
                <w:szCs w:val="13"/>
              </w:rPr>
              <w:t>2/7/2029</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46,765</w:t>
            </w:r>
          </w:p>
        </w:tc>
        <w:tc>
          <w:tcPr>
            <w:tcW w:w="1340" w:type="dxa"/>
            <w:vAlign w:val="bottom"/>
          </w:tcPr>
          <w:p w:rsidR="00CC2C66" w:rsidRDefault="00F80B74">
            <w:pPr>
              <w:spacing w:line="166" w:lineRule="exact"/>
              <w:ind w:right="15"/>
              <w:jc w:val="right"/>
              <w:rPr>
                <w:sz w:val="20"/>
                <w:szCs w:val="20"/>
              </w:rPr>
            </w:pPr>
            <w:r>
              <w:rPr>
                <w:rFonts w:ascii="Arial" w:eastAsia="Arial" w:hAnsi="Arial" w:cs="Arial"/>
                <w:sz w:val="13"/>
                <w:szCs w:val="13"/>
              </w:rPr>
              <w:t>140,298</w:t>
            </w:r>
            <w:r>
              <w:rPr>
                <w:rFonts w:ascii="Arial" w:eastAsia="Arial" w:hAnsi="Arial" w:cs="Arial"/>
                <w:sz w:val="19"/>
                <w:szCs w:val="19"/>
                <w:vertAlign w:val="superscript"/>
              </w:rPr>
              <w:t>(iii)</w:t>
            </w:r>
          </w:p>
        </w:tc>
        <w:tc>
          <w:tcPr>
            <w:tcW w:w="720" w:type="dxa"/>
            <w:vAlign w:val="bottom"/>
          </w:tcPr>
          <w:p w:rsidR="00CC2C66" w:rsidRDefault="00F80B74">
            <w:pPr>
              <w:ind w:right="15"/>
              <w:jc w:val="right"/>
              <w:rPr>
                <w:sz w:val="20"/>
                <w:szCs w:val="20"/>
              </w:rPr>
            </w:pPr>
            <w:r>
              <w:rPr>
                <w:rFonts w:ascii="Arial" w:eastAsia="Arial" w:hAnsi="Arial" w:cs="Arial"/>
                <w:sz w:val="13"/>
                <w:szCs w:val="13"/>
              </w:rPr>
              <w:t>42.71</w:t>
            </w:r>
          </w:p>
        </w:tc>
        <w:tc>
          <w:tcPr>
            <w:tcW w:w="800" w:type="dxa"/>
            <w:vAlign w:val="bottom"/>
          </w:tcPr>
          <w:p w:rsidR="00CC2C66" w:rsidRDefault="00F80B74">
            <w:pPr>
              <w:jc w:val="right"/>
              <w:rPr>
                <w:sz w:val="20"/>
                <w:szCs w:val="20"/>
              </w:rPr>
            </w:pPr>
            <w:r>
              <w:rPr>
                <w:rFonts w:ascii="Arial" w:eastAsia="Arial" w:hAnsi="Arial" w:cs="Arial"/>
                <w:sz w:val="13"/>
                <w:szCs w:val="13"/>
              </w:rPr>
              <w:t>2/7/2030</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560"/>
              <w:rPr>
                <w:sz w:val="20"/>
                <w:szCs w:val="20"/>
              </w:rPr>
            </w:pPr>
            <w:r>
              <w:rPr>
                <w:rFonts w:ascii="Arial" w:eastAsia="Arial" w:hAnsi="Arial" w:cs="Arial"/>
                <w:sz w:val="13"/>
                <w:szCs w:val="13"/>
              </w:rPr>
              <w:t>23,213</w:t>
            </w:r>
            <w:r>
              <w:rPr>
                <w:rFonts w:ascii="Arial" w:eastAsia="Arial" w:hAnsi="Arial" w:cs="Arial"/>
                <w:sz w:val="19"/>
                <w:szCs w:val="19"/>
                <w:vertAlign w:val="superscript"/>
              </w:rPr>
              <w:t>(i)</w:t>
            </w:r>
          </w:p>
        </w:tc>
        <w:tc>
          <w:tcPr>
            <w:tcW w:w="1000" w:type="dxa"/>
            <w:gridSpan w:val="4"/>
            <w:vAlign w:val="bottom"/>
          </w:tcPr>
          <w:p w:rsidR="00CC2C66" w:rsidRDefault="00F80B74">
            <w:pPr>
              <w:jc w:val="right"/>
              <w:rPr>
                <w:sz w:val="20"/>
                <w:szCs w:val="20"/>
              </w:rPr>
            </w:pPr>
            <w:r>
              <w:rPr>
                <w:rFonts w:ascii="Arial" w:eastAsia="Arial" w:hAnsi="Arial" w:cs="Arial"/>
                <w:sz w:val="13"/>
                <w:szCs w:val="13"/>
              </w:rPr>
              <w:t>1,156,926</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vAlign w:val="bottom"/>
          </w:tcPr>
          <w:p w:rsidR="00CC2C66" w:rsidRDefault="00F80B74">
            <w:pPr>
              <w:ind w:right="260"/>
              <w:jc w:val="right"/>
              <w:rPr>
                <w:sz w:val="20"/>
                <w:szCs w:val="20"/>
              </w:rPr>
            </w:pPr>
            <w:r>
              <w:rPr>
                <w:rFonts w:ascii="Arial" w:eastAsia="Arial" w:hAnsi="Arial" w:cs="Arial"/>
                <w:sz w:val="13"/>
                <w:szCs w:val="13"/>
              </w:rPr>
              <w:t>—</w:t>
            </w: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right="38"/>
              <w:jc w:val="right"/>
              <w:rPr>
                <w:sz w:val="20"/>
                <w:szCs w:val="20"/>
              </w:rPr>
            </w:pPr>
            <w:r>
              <w:rPr>
                <w:rFonts w:ascii="Arial" w:eastAsia="Arial" w:hAnsi="Arial" w:cs="Arial"/>
                <w:sz w:val="13"/>
                <w:szCs w:val="13"/>
              </w:rPr>
              <w:t>312,666</w:t>
            </w:r>
            <w:r>
              <w:rPr>
                <w:rFonts w:ascii="Arial" w:eastAsia="Arial" w:hAnsi="Arial" w:cs="Arial"/>
                <w:sz w:val="19"/>
                <w:szCs w:val="19"/>
                <w:vertAlign w:val="superscript"/>
              </w:rPr>
              <w:t>(ii)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15,583,273</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2/5/2021</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spacing w:line="166" w:lineRule="exact"/>
              <w:ind w:right="15"/>
              <w:jc w:val="right"/>
              <w:rPr>
                <w:sz w:val="20"/>
                <w:szCs w:val="20"/>
              </w:rPr>
            </w:pPr>
            <w:r>
              <w:rPr>
                <w:rFonts w:ascii="Arial" w:eastAsia="Arial" w:hAnsi="Arial" w:cs="Arial"/>
                <w:sz w:val="13"/>
                <w:szCs w:val="13"/>
              </w:rPr>
              <w:t>171,989</w:t>
            </w:r>
            <w:r>
              <w:rPr>
                <w:rFonts w:ascii="Arial" w:eastAsia="Arial" w:hAnsi="Arial" w:cs="Arial"/>
                <w:sz w:val="19"/>
                <w:szCs w:val="19"/>
                <w:vertAlign w:val="superscript"/>
              </w:rPr>
              <w:t>(iv)</w:t>
            </w:r>
          </w:p>
        </w:tc>
        <w:tc>
          <w:tcPr>
            <w:tcW w:w="720" w:type="dxa"/>
            <w:vAlign w:val="bottom"/>
          </w:tcPr>
          <w:p w:rsidR="00CC2C66" w:rsidRDefault="00F80B74">
            <w:pPr>
              <w:ind w:right="15"/>
              <w:jc w:val="right"/>
              <w:rPr>
                <w:sz w:val="20"/>
                <w:szCs w:val="20"/>
              </w:rPr>
            </w:pPr>
            <w:r>
              <w:rPr>
                <w:rFonts w:ascii="Arial" w:eastAsia="Arial" w:hAnsi="Arial" w:cs="Arial"/>
                <w:sz w:val="13"/>
                <w:szCs w:val="13"/>
              </w:rPr>
              <w:t>57.39</w:t>
            </w:r>
          </w:p>
        </w:tc>
        <w:tc>
          <w:tcPr>
            <w:tcW w:w="800" w:type="dxa"/>
            <w:vAlign w:val="bottom"/>
          </w:tcPr>
          <w:p w:rsidR="00CC2C66" w:rsidRDefault="00F80B74">
            <w:pPr>
              <w:jc w:val="right"/>
              <w:rPr>
                <w:sz w:val="20"/>
                <w:szCs w:val="20"/>
              </w:rPr>
            </w:pPr>
            <w:r>
              <w:rPr>
                <w:rFonts w:ascii="Arial" w:eastAsia="Arial" w:hAnsi="Arial" w:cs="Arial"/>
                <w:sz w:val="13"/>
                <w:szCs w:val="13"/>
              </w:rPr>
              <w:t>2/5/2031</w:t>
            </w:r>
          </w:p>
        </w:tc>
        <w:tc>
          <w:tcPr>
            <w:tcW w:w="220" w:type="dxa"/>
            <w:vAlign w:val="bottom"/>
          </w:tcPr>
          <w:p w:rsidR="00CC2C66" w:rsidRDefault="00CC2C66">
            <w:pPr>
              <w:rPr>
                <w:sz w:val="14"/>
                <w:szCs w:val="14"/>
              </w:rPr>
            </w:pPr>
          </w:p>
        </w:tc>
        <w:tc>
          <w:tcPr>
            <w:tcW w:w="1040" w:type="dxa"/>
            <w:vAlign w:val="bottom"/>
          </w:tcPr>
          <w:p w:rsidR="00CC2C66" w:rsidRDefault="00F80B74">
            <w:pPr>
              <w:spacing w:line="166" w:lineRule="exact"/>
              <w:ind w:left="440"/>
              <w:rPr>
                <w:sz w:val="20"/>
                <w:szCs w:val="20"/>
              </w:rPr>
            </w:pPr>
            <w:r>
              <w:rPr>
                <w:rFonts w:ascii="Arial" w:eastAsia="Arial" w:hAnsi="Arial" w:cs="Arial"/>
                <w:sz w:val="13"/>
                <w:szCs w:val="13"/>
              </w:rPr>
              <w:t>43,931</w:t>
            </w:r>
            <w:r>
              <w:rPr>
                <w:rFonts w:ascii="Arial" w:eastAsia="Arial" w:hAnsi="Arial" w:cs="Arial"/>
                <w:sz w:val="19"/>
                <w:szCs w:val="19"/>
                <w:vertAlign w:val="superscript"/>
              </w:rPr>
              <w:t>(i)</w:t>
            </w:r>
          </w:p>
        </w:tc>
        <w:tc>
          <w:tcPr>
            <w:tcW w:w="880" w:type="dxa"/>
            <w:vAlign w:val="bottom"/>
          </w:tcPr>
          <w:p w:rsidR="00CC2C66" w:rsidRDefault="00F80B74">
            <w:pPr>
              <w:ind w:right="15"/>
              <w:jc w:val="right"/>
              <w:rPr>
                <w:sz w:val="20"/>
                <w:szCs w:val="20"/>
              </w:rPr>
            </w:pPr>
            <w:r>
              <w:rPr>
                <w:rFonts w:ascii="Arial" w:eastAsia="Arial" w:hAnsi="Arial" w:cs="Arial"/>
                <w:sz w:val="13"/>
                <w:szCs w:val="13"/>
              </w:rPr>
              <w:t>2,189,536</w:t>
            </w:r>
          </w:p>
        </w:tc>
        <w:tc>
          <w:tcPr>
            <w:tcW w:w="1160" w:type="dxa"/>
            <w:vAlign w:val="bottom"/>
          </w:tcPr>
          <w:p w:rsidR="00CC2C66" w:rsidRDefault="00F80B74">
            <w:pPr>
              <w:spacing w:line="166" w:lineRule="exact"/>
              <w:ind w:left="560"/>
              <w:rPr>
                <w:sz w:val="20"/>
                <w:szCs w:val="20"/>
              </w:rPr>
            </w:pPr>
            <w:r>
              <w:rPr>
                <w:rFonts w:ascii="Arial" w:eastAsia="Arial" w:hAnsi="Arial" w:cs="Arial"/>
                <w:sz w:val="13"/>
                <w:szCs w:val="13"/>
              </w:rPr>
              <w:t>10,262</w:t>
            </w:r>
            <w:r>
              <w:rPr>
                <w:rFonts w:ascii="Arial" w:eastAsia="Arial" w:hAnsi="Arial" w:cs="Arial"/>
                <w:sz w:val="19"/>
                <w:szCs w:val="19"/>
                <w:vertAlign w:val="superscript"/>
              </w:rPr>
              <w:t>(iii)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511,433</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tcBorders>
              <w:bottom w:val="single" w:sz="8" w:space="0" w:color="CF0A2C"/>
            </w:tcBorders>
            <w:vAlign w:val="bottom"/>
          </w:tcPr>
          <w:p w:rsidR="00CC2C66" w:rsidRDefault="00CC2C66">
            <w:pPr>
              <w:rPr>
                <w:sz w:val="13"/>
                <w:szCs w:val="13"/>
              </w:rPr>
            </w:pP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5/25/2021</w:t>
            </w:r>
          </w:p>
        </w:tc>
        <w:tc>
          <w:tcPr>
            <w:tcW w:w="10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340" w:type="dxa"/>
            <w:tcBorders>
              <w:bottom w:val="single" w:sz="8" w:space="0" w:color="CF0A2C"/>
            </w:tcBorders>
            <w:vAlign w:val="bottom"/>
          </w:tcPr>
          <w:p w:rsidR="00CC2C66" w:rsidRDefault="00F80B74">
            <w:pPr>
              <w:ind w:right="155"/>
              <w:jc w:val="right"/>
              <w:rPr>
                <w:sz w:val="20"/>
                <w:szCs w:val="20"/>
              </w:rPr>
            </w:pPr>
            <w:r>
              <w:rPr>
                <w:rFonts w:ascii="Arial" w:eastAsia="Arial" w:hAnsi="Arial" w:cs="Arial"/>
                <w:sz w:val="13"/>
                <w:szCs w:val="13"/>
              </w:rPr>
              <w:t>—</w:t>
            </w:r>
          </w:p>
        </w:tc>
        <w:tc>
          <w:tcPr>
            <w:tcW w:w="7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tcBorders>
              <w:bottom w:val="single" w:sz="8" w:space="0" w:color="CF0A2C"/>
            </w:tcBorders>
            <w:vAlign w:val="bottom"/>
          </w:tcPr>
          <w:p w:rsidR="00CC2C66" w:rsidRDefault="00F80B74">
            <w:pPr>
              <w:ind w:right="260"/>
              <w:jc w:val="right"/>
              <w:rPr>
                <w:sz w:val="20"/>
                <w:szCs w:val="20"/>
              </w:rPr>
            </w:pPr>
            <w:r>
              <w:rPr>
                <w:rFonts w:ascii="Arial" w:eastAsia="Arial" w:hAnsi="Arial" w:cs="Arial"/>
                <w:sz w:val="13"/>
                <w:szCs w:val="13"/>
              </w:rPr>
              <w:t>—</w:t>
            </w:r>
          </w:p>
        </w:tc>
        <w:tc>
          <w:tcPr>
            <w:tcW w:w="1040" w:type="dxa"/>
            <w:tcBorders>
              <w:bottom w:val="single" w:sz="8" w:space="0" w:color="CF0A2C"/>
            </w:tcBorders>
            <w:vAlign w:val="bottom"/>
          </w:tcPr>
          <w:p w:rsidR="00CC2C66" w:rsidRDefault="00CC2C66">
            <w:pPr>
              <w:rPr>
                <w:sz w:val="13"/>
                <w:szCs w:val="13"/>
              </w:rPr>
            </w:pPr>
          </w:p>
        </w:tc>
        <w:tc>
          <w:tcPr>
            <w:tcW w:w="880" w:type="dxa"/>
            <w:tcBorders>
              <w:bottom w:val="single" w:sz="8" w:space="0" w:color="CF0A2C"/>
            </w:tcBorders>
            <w:vAlign w:val="bottom"/>
          </w:tcPr>
          <w:p w:rsidR="00CC2C66" w:rsidRDefault="00CC2C66">
            <w:pPr>
              <w:rPr>
                <w:sz w:val="13"/>
                <w:szCs w:val="13"/>
              </w:rPr>
            </w:pPr>
          </w:p>
        </w:tc>
        <w:tc>
          <w:tcPr>
            <w:tcW w:w="1160" w:type="dxa"/>
            <w:tcBorders>
              <w:bottom w:val="single" w:sz="8" w:space="0" w:color="CF0A2C"/>
            </w:tcBorders>
            <w:vAlign w:val="bottom"/>
          </w:tcPr>
          <w:p w:rsidR="00CC2C66" w:rsidRDefault="00F80B74">
            <w:pPr>
              <w:spacing w:line="154" w:lineRule="exact"/>
              <w:ind w:left="560"/>
              <w:rPr>
                <w:sz w:val="20"/>
                <w:szCs w:val="20"/>
              </w:rPr>
            </w:pPr>
            <w:r>
              <w:rPr>
                <w:rFonts w:ascii="Arial" w:eastAsia="Arial" w:hAnsi="Arial" w:cs="Arial"/>
                <w:sz w:val="12"/>
                <w:szCs w:val="12"/>
              </w:rPr>
              <w:t>13,069</w:t>
            </w:r>
            <w:r>
              <w:rPr>
                <w:rFonts w:ascii="Arial" w:eastAsia="Arial" w:hAnsi="Arial" w:cs="Arial"/>
                <w:sz w:val="17"/>
                <w:szCs w:val="17"/>
                <w:vertAlign w:val="superscript"/>
              </w:rPr>
              <w:t>(iii)</w:t>
            </w:r>
          </w:p>
        </w:tc>
        <w:tc>
          <w:tcPr>
            <w:tcW w:w="1000" w:type="dxa"/>
            <w:gridSpan w:val="4"/>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651,334</w:t>
            </w:r>
          </w:p>
        </w:tc>
        <w:tc>
          <w:tcPr>
            <w:tcW w:w="0" w:type="dxa"/>
            <w:vAlign w:val="bottom"/>
          </w:tcPr>
          <w:p w:rsidR="00CC2C66" w:rsidRDefault="00CC2C66">
            <w:pPr>
              <w:rPr>
                <w:sz w:val="1"/>
                <w:szCs w:val="1"/>
              </w:rPr>
            </w:pPr>
          </w:p>
        </w:tc>
      </w:tr>
      <w:tr w:rsidR="00CC2C66">
        <w:trPr>
          <w:trHeight w:val="146"/>
        </w:trPr>
        <w:tc>
          <w:tcPr>
            <w:tcW w:w="20" w:type="dxa"/>
            <w:vAlign w:val="bottom"/>
          </w:tcPr>
          <w:p w:rsidR="00CC2C66" w:rsidRDefault="00CC2C66">
            <w:pPr>
              <w:rPr>
                <w:sz w:val="12"/>
                <w:szCs w:val="12"/>
              </w:rPr>
            </w:pPr>
          </w:p>
        </w:tc>
        <w:tc>
          <w:tcPr>
            <w:tcW w:w="1400" w:type="dxa"/>
            <w:vAlign w:val="bottom"/>
          </w:tcPr>
          <w:p w:rsidR="00CC2C66" w:rsidRDefault="00F80B74">
            <w:pPr>
              <w:spacing w:line="146" w:lineRule="exact"/>
              <w:rPr>
                <w:sz w:val="20"/>
                <w:szCs w:val="20"/>
              </w:rPr>
            </w:pPr>
            <w:r>
              <w:rPr>
                <w:rFonts w:ascii="Arial" w:eastAsia="Arial" w:hAnsi="Arial" w:cs="Arial"/>
                <w:b/>
                <w:bCs/>
                <w:color w:val="CF0A2C"/>
                <w:sz w:val="13"/>
                <w:szCs w:val="13"/>
              </w:rPr>
              <w:t>Mr. Yeung</w:t>
            </w:r>
          </w:p>
        </w:tc>
        <w:tc>
          <w:tcPr>
            <w:tcW w:w="820" w:type="dxa"/>
            <w:vAlign w:val="bottom"/>
          </w:tcPr>
          <w:p w:rsidR="00CC2C66" w:rsidRDefault="00F80B74">
            <w:pPr>
              <w:spacing w:line="146" w:lineRule="exact"/>
              <w:jc w:val="right"/>
              <w:rPr>
                <w:sz w:val="20"/>
                <w:szCs w:val="20"/>
              </w:rPr>
            </w:pPr>
            <w:r>
              <w:rPr>
                <w:rFonts w:ascii="Arial" w:eastAsia="Arial" w:hAnsi="Arial" w:cs="Arial"/>
                <w:sz w:val="13"/>
                <w:szCs w:val="13"/>
              </w:rPr>
              <w:t>11/1/2019</w:t>
            </w:r>
          </w:p>
        </w:tc>
        <w:tc>
          <w:tcPr>
            <w:tcW w:w="1020" w:type="dxa"/>
            <w:vAlign w:val="bottom"/>
          </w:tcPr>
          <w:p w:rsidR="00CC2C66" w:rsidRDefault="00F80B74">
            <w:pPr>
              <w:spacing w:line="146" w:lineRule="exact"/>
              <w:ind w:right="15"/>
              <w:jc w:val="right"/>
              <w:rPr>
                <w:sz w:val="20"/>
                <w:szCs w:val="20"/>
              </w:rPr>
            </w:pPr>
            <w:r>
              <w:rPr>
                <w:rFonts w:ascii="Arial" w:eastAsia="Arial" w:hAnsi="Arial" w:cs="Arial"/>
                <w:sz w:val="13"/>
                <w:szCs w:val="13"/>
              </w:rPr>
              <w:t>—</w:t>
            </w:r>
          </w:p>
        </w:tc>
        <w:tc>
          <w:tcPr>
            <w:tcW w:w="1340" w:type="dxa"/>
            <w:vAlign w:val="bottom"/>
          </w:tcPr>
          <w:p w:rsidR="00CC2C66" w:rsidRDefault="00F80B74">
            <w:pPr>
              <w:spacing w:line="146" w:lineRule="exact"/>
              <w:ind w:right="155"/>
              <w:jc w:val="right"/>
              <w:rPr>
                <w:sz w:val="20"/>
                <w:szCs w:val="20"/>
              </w:rPr>
            </w:pPr>
            <w:r>
              <w:rPr>
                <w:rFonts w:ascii="Arial" w:eastAsia="Arial" w:hAnsi="Arial" w:cs="Arial"/>
                <w:sz w:val="13"/>
                <w:szCs w:val="13"/>
              </w:rPr>
              <w:t>—</w:t>
            </w:r>
          </w:p>
        </w:tc>
        <w:tc>
          <w:tcPr>
            <w:tcW w:w="720" w:type="dxa"/>
            <w:vAlign w:val="bottom"/>
          </w:tcPr>
          <w:p w:rsidR="00CC2C66" w:rsidRDefault="00F80B74">
            <w:pPr>
              <w:spacing w:line="146" w:lineRule="exact"/>
              <w:ind w:right="15"/>
              <w:jc w:val="right"/>
              <w:rPr>
                <w:sz w:val="20"/>
                <w:szCs w:val="20"/>
              </w:rPr>
            </w:pPr>
            <w:r>
              <w:rPr>
                <w:rFonts w:ascii="Arial" w:eastAsia="Arial" w:hAnsi="Arial" w:cs="Arial"/>
                <w:sz w:val="13"/>
                <w:szCs w:val="13"/>
              </w:rPr>
              <w:t>—</w:t>
            </w:r>
          </w:p>
        </w:tc>
        <w:tc>
          <w:tcPr>
            <w:tcW w:w="1020" w:type="dxa"/>
            <w:gridSpan w:val="2"/>
            <w:vAlign w:val="bottom"/>
          </w:tcPr>
          <w:p w:rsidR="00CC2C66" w:rsidRDefault="00F80B74">
            <w:pPr>
              <w:spacing w:line="146" w:lineRule="exact"/>
              <w:ind w:right="260"/>
              <w:jc w:val="right"/>
              <w:rPr>
                <w:sz w:val="20"/>
                <w:szCs w:val="20"/>
              </w:rPr>
            </w:pPr>
            <w:r>
              <w:rPr>
                <w:rFonts w:ascii="Arial" w:eastAsia="Arial" w:hAnsi="Arial" w:cs="Arial"/>
                <w:sz w:val="13"/>
                <w:szCs w:val="13"/>
              </w:rPr>
              <w:t>—</w:t>
            </w:r>
          </w:p>
        </w:tc>
        <w:tc>
          <w:tcPr>
            <w:tcW w:w="1040" w:type="dxa"/>
            <w:vAlign w:val="bottom"/>
          </w:tcPr>
          <w:p w:rsidR="00CC2C66" w:rsidRDefault="00F80B74">
            <w:pPr>
              <w:spacing w:line="146" w:lineRule="exact"/>
              <w:ind w:left="520"/>
              <w:rPr>
                <w:sz w:val="20"/>
                <w:szCs w:val="20"/>
              </w:rPr>
            </w:pPr>
            <w:r>
              <w:rPr>
                <w:rFonts w:ascii="Arial" w:eastAsia="Arial" w:hAnsi="Arial" w:cs="Arial"/>
                <w:sz w:val="11"/>
                <w:szCs w:val="11"/>
              </w:rPr>
              <w:t>8,335</w:t>
            </w:r>
            <w:r>
              <w:rPr>
                <w:rFonts w:ascii="Arial" w:eastAsia="Arial" w:hAnsi="Arial" w:cs="Arial"/>
                <w:sz w:val="16"/>
                <w:szCs w:val="16"/>
                <w:vertAlign w:val="superscript"/>
              </w:rPr>
              <w:t>(ii)</w:t>
            </w:r>
          </w:p>
        </w:tc>
        <w:tc>
          <w:tcPr>
            <w:tcW w:w="880" w:type="dxa"/>
            <w:vAlign w:val="bottom"/>
          </w:tcPr>
          <w:p w:rsidR="00CC2C66" w:rsidRDefault="00F80B74">
            <w:pPr>
              <w:spacing w:line="146" w:lineRule="exact"/>
              <w:ind w:right="15"/>
              <w:jc w:val="right"/>
              <w:rPr>
                <w:sz w:val="20"/>
                <w:szCs w:val="20"/>
              </w:rPr>
            </w:pPr>
            <w:r>
              <w:rPr>
                <w:rFonts w:ascii="Arial" w:eastAsia="Arial" w:hAnsi="Arial" w:cs="Arial"/>
                <w:sz w:val="13"/>
                <w:szCs w:val="13"/>
              </w:rPr>
              <w:t>415,440</w:t>
            </w:r>
          </w:p>
        </w:tc>
        <w:tc>
          <w:tcPr>
            <w:tcW w:w="1160" w:type="dxa"/>
            <w:vAlign w:val="bottom"/>
          </w:tcPr>
          <w:p w:rsidR="00CC2C66" w:rsidRDefault="00F80B74">
            <w:pPr>
              <w:spacing w:line="146" w:lineRule="exact"/>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2"/>
                <w:szCs w:val="12"/>
              </w:rPr>
            </w:pPr>
          </w:p>
        </w:tc>
        <w:tc>
          <w:tcPr>
            <w:tcW w:w="20" w:type="dxa"/>
            <w:vAlign w:val="bottom"/>
          </w:tcPr>
          <w:p w:rsidR="00CC2C66" w:rsidRDefault="00CC2C66">
            <w:pPr>
              <w:rPr>
                <w:sz w:val="12"/>
                <w:szCs w:val="12"/>
              </w:rPr>
            </w:pPr>
          </w:p>
        </w:tc>
        <w:tc>
          <w:tcPr>
            <w:tcW w:w="140" w:type="dxa"/>
            <w:vAlign w:val="bottom"/>
          </w:tcPr>
          <w:p w:rsidR="00CC2C66" w:rsidRDefault="00CC2C66">
            <w:pPr>
              <w:rPr>
                <w:sz w:val="12"/>
                <w:szCs w:val="12"/>
              </w:rPr>
            </w:pPr>
          </w:p>
        </w:tc>
        <w:tc>
          <w:tcPr>
            <w:tcW w:w="260" w:type="dxa"/>
            <w:vAlign w:val="bottom"/>
          </w:tcPr>
          <w:p w:rsidR="00CC2C66" w:rsidRDefault="00F80B74">
            <w:pPr>
              <w:spacing w:line="146" w:lineRule="exact"/>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11,224</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33,672</w:t>
            </w:r>
            <w:r>
              <w:rPr>
                <w:rFonts w:ascii="Arial" w:eastAsia="Arial" w:hAnsi="Arial" w:cs="Arial"/>
                <w:sz w:val="19"/>
                <w:szCs w:val="19"/>
                <w:vertAlign w:val="superscript"/>
              </w:rPr>
              <w:t>(iii)</w:t>
            </w:r>
          </w:p>
        </w:tc>
        <w:tc>
          <w:tcPr>
            <w:tcW w:w="720" w:type="dxa"/>
            <w:vAlign w:val="bottom"/>
          </w:tcPr>
          <w:p w:rsidR="00CC2C66" w:rsidRDefault="00F80B74">
            <w:pPr>
              <w:ind w:right="15"/>
              <w:jc w:val="right"/>
              <w:rPr>
                <w:sz w:val="20"/>
                <w:szCs w:val="20"/>
              </w:rPr>
            </w:pPr>
            <w:r>
              <w:rPr>
                <w:rFonts w:ascii="Arial" w:eastAsia="Arial" w:hAnsi="Arial" w:cs="Arial"/>
                <w:sz w:val="13"/>
                <w:szCs w:val="13"/>
              </w:rPr>
              <w:t>42.71</w:t>
            </w:r>
          </w:p>
        </w:tc>
        <w:tc>
          <w:tcPr>
            <w:tcW w:w="800" w:type="dxa"/>
            <w:vAlign w:val="bottom"/>
          </w:tcPr>
          <w:p w:rsidR="00CC2C66" w:rsidRDefault="00F80B74">
            <w:pPr>
              <w:jc w:val="right"/>
              <w:rPr>
                <w:sz w:val="20"/>
                <w:szCs w:val="20"/>
              </w:rPr>
            </w:pPr>
            <w:r>
              <w:rPr>
                <w:rFonts w:ascii="Arial" w:eastAsia="Arial" w:hAnsi="Arial" w:cs="Arial"/>
                <w:sz w:val="13"/>
                <w:szCs w:val="13"/>
              </w:rPr>
              <w:t>2/7/2030</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640"/>
              <w:rPr>
                <w:sz w:val="20"/>
                <w:szCs w:val="20"/>
              </w:rPr>
            </w:pPr>
            <w:r>
              <w:rPr>
                <w:rFonts w:ascii="Arial" w:eastAsia="Arial" w:hAnsi="Arial" w:cs="Arial"/>
                <w:sz w:val="13"/>
                <w:szCs w:val="13"/>
              </w:rPr>
              <w:t>5,571</w:t>
            </w:r>
            <w:r>
              <w:rPr>
                <w:rFonts w:ascii="Arial" w:eastAsia="Arial" w:hAnsi="Arial" w:cs="Arial"/>
                <w:sz w:val="19"/>
                <w:szCs w:val="19"/>
                <w:vertAlign w:val="superscript"/>
              </w:rPr>
              <w:t>(i)</w:t>
            </w:r>
          </w:p>
        </w:tc>
        <w:tc>
          <w:tcPr>
            <w:tcW w:w="1000" w:type="dxa"/>
            <w:gridSpan w:val="4"/>
            <w:vAlign w:val="bottom"/>
          </w:tcPr>
          <w:p w:rsidR="00CC2C66" w:rsidRDefault="00F80B74">
            <w:pPr>
              <w:jc w:val="right"/>
              <w:rPr>
                <w:sz w:val="20"/>
                <w:szCs w:val="20"/>
              </w:rPr>
            </w:pPr>
            <w:r>
              <w:rPr>
                <w:rFonts w:ascii="Arial" w:eastAsia="Arial" w:hAnsi="Arial" w:cs="Arial"/>
                <w:sz w:val="13"/>
                <w:szCs w:val="13"/>
              </w:rPr>
              <w:t>277,669</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vAlign w:val="bottom"/>
          </w:tcPr>
          <w:p w:rsidR="00CC2C66" w:rsidRDefault="00F80B74">
            <w:pPr>
              <w:ind w:right="260"/>
              <w:jc w:val="right"/>
              <w:rPr>
                <w:sz w:val="20"/>
                <w:szCs w:val="20"/>
              </w:rPr>
            </w:pPr>
            <w:r>
              <w:rPr>
                <w:rFonts w:ascii="Arial" w:eastAsia="Arial" w:hAnsi="Arial" w:cs="Arial"/>
                <w:sz w:val="13"/>
                <w:szCs w:val="13"/>
              </w:rPr>
              <w:t>—</w:t>
            </w: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580"/>
              <w:rPr>
                <w:sz w:val="20"/>
                <w:szCs w:val="20"/>
              </w:rPr>
            </w:pPr>
            <w:r>
              <w:rPr>
                <w:rFonts w:ascii="Arial" w:eastAsia="Arial" w:hAnsi="Arial" w:cs="Arial"/>
                <w:sz w:val="13"/>
                <w:szCs w:val="13"/>
              </w:rPr>
              <w:t>52,112</w:t>
            </w:r>
            <w:r>
              <w:rPr>
                <w:rFonts w:ascii="Arial" w:eastAsia="Arial" w:hAnsi="Arial" w:cs="Arial"/>
                <w:sz w:val="19"/>
                <w:szCs w:val="19"/>
                <w:vertAlign w:val="superscript"/>
              </w:rPr>
              <w:t>(ii)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2,597,262</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2/5/2021</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42,998</w:t>
            </w:r>
            <w:r>
              <w:rPr>
                <w:rFonts w:ascii="Arial" w:eastAsia="Arial" w:hAnsi="Arial" w:cs="Arial"/>
                <w:sz w:val="19"/>
                <w:szCs w:val="19"/>
                <w:vertAlign w:val="superscript"/>
              </w:rPr>
              <w:t>(iv)</w:t>
            </w:r>
          </w:p>
        </w:tc>
        <w:tc>
          <w:tcPr>
            <w:tcW w:w="720" w:type="dxa"/>
            <w:vAlign w:val="bottom"/>
          </w:tcPr>
          <w:p w:rsidR="00CC2C66" w:rsidRDefault="00F80B74">
            <w:pPr>
              <w:ind w:right="15"/>
              <w:jc w:val="right"/>
              <w:rPr>
                <w:sz w:val="20"/>
                <w:szCs w:val="20"/>
              </w:rPr>
            </w:pPr>
            <w:r>
              <w:rPr>
                <w:rFonts w:ascii="Arial" w:eastAsia="Arial" w:hAnsi="Arial" w:cs="Arial"/>
                <w:sz w:val="13"/>
                <w:szCs w:val="13"/>
              </w:rPr>
              <w:t>57.39</w:t>
            </w:r>
          </w:p>
        </w:tc>
        <w:tc>
          <w:tcPr>
            <w:tcW w:w="800" w:type="dxa"/>
            <w:vAlign w:val="bottom"/>
          </w:tcPr>
          <w:p w:rsidR="00CC2C66" w:rsidRDefault="00F80B74">
            <w:pPr>
              <w:jc w:val="right"/>
              <w:rPr>
                <w:sz w:val="20"/>
                <w:szCs w:val="20"/>
              </w:rPr>
            </w:pPr>
            <w:r>
              <w:rPr>
                <w:rFonts w:ascii="Arial" w:eastAsia="Arial" w:hAnsi="Arial" w:cs="Arial"/>
                <w:sz w:val="13"/>
                <w:szCs w:val="13"/>
              </w:rPr>
              <w:t>2/5/2031</w:t>
            </w:r>
          </w:p>
        </w:tc>
        <w:tc>
          <w:tcPr>
            <w:tcW w:w="220" w:type="dxa"/>
            <w:vAlign w:val="bottom"/>
          </w:tcPr>
          <w:p w:rsidR="00CC2C66" w:rsidRDefault="00CC2C66">
            <w:pPr>
              <w:rPr>
                <w:sz w:val="14"/>
                <w:szCs w:val="14"/>
              </w:rPr>
            </w:pPr>
          </w:p>
        </w:tc>
        <w:tc>
          <w:tcPr>
            <w:tcW w:w="1040" w:type="dxa"/>
            <w:vAlign w:val="bottom"/>
          </w:tcPr>
          <w:p w:rsidR="00CC2C66" w:rsidRDefault="00F80B74">
            <w:pPr>
              <w:spacing w:line="166" w:lineRule="exact"/>
              <w:ind w:left="460"/>
              <w:rPr>
                <w:sz w:val="20"/>
                <w:szCs w:val="20"/>
              </w:rPr>
            </w:pPr>
            <w:r>
              <w:rPr>
                <w:rFonts w:ascii="Arial" w:eastAsia="Arial" w:hAnsi="Arial" w:cs="Arial"/>
                <w:sz w:val="13"/>
                <w:szCs w:val="13"/>
              </w:rPr>
              <w:t>28,116</w:t>
            </w:r>
            <w:r>
              <w:rPr>
                <w:rFonts w:ascii="Arial" w:eastAsia="Arial" w:hAnsi="Arial" w:cs="Arial"/>
                <w:sz w:val="19"/>
                <w:szCs w:val="19"/>
                <w:vertAlign w:val="superscript"/>
              </w:rPr>
              <w:t>(i)</w:t>
            </w:r>
          </w:p>
        </w:tc>
        <w:tc>
          <w:tcPr>
            <w:tcW w:w="880" w:type="dxa"/>
            <w:vAlign w:val="bottom"/>
          </w:tcPr>
          <w:p w:rsidR="00CC2C66" w:rsidRDefault="00F80B74">
            <w:pPr>
              <w:ind w:right="15"/>
              <w:jc w:val="right"/>
              <w:rPr>
                <w:sz w:val="20"/>
                <w:szCs w:val="20"/>
              </w:rPr>
            </w:pPr>
            <w:r>
              <w:rPr>
                <w:rFonts w:ascii="Arial" w:eastAsia="Arial" w:hAnsi="Arial" w:cs="Arial"/>
                <w:sz w:val="13"/>
                <w:szCs w:val="13"/>
              </w:rPr>
              <w:t>1,401,319</w:t>
            </w:r>
          </w:p>
        </w:tc>
        <w:tc>
          <w:tcPr>
            <w:tcW w:w="1160" w:type="dxa"/>
            <w:vAlign w:val="bottom"/>
          </w:tcPr>
          <w:p w:rsidR="00CC2C66" w:rsidRDefault="00F80B74">
            <w:pPr>
              <w:spacing w:line="166" w:lineRule="exact"/>
              <w:ind w:left="640"/>
              <w:rPr>
                <w:sz w:val="20"/>
                <w:szCs w:val="20"/>
              </w:rPr>
            </w:pPr>
            <w:r>
              <w:rPr>
                <w:rFonts w:ascii="Arial" w:eastAsia="Arial" w:hAnsi="Arial" w:cs="Arial"/>
                <w:sz w:val="13"/>
                <w:szCs w:val="13"/>
              </w:rPr>
              <w:t>2,566</w:t>
            </w:r>
            <w:r>
              <w:rPr>
                <w:rFonts w:ascii="Arial" w:eastAsia="Arial" w:hAnsi="Arial" w:cs="Arial"/>
                <w:sz w:val="19"/>
                <w:szCs w:val="19"/>
                <w:vertAlign w:val="superscript"/>
              </w:rPr>
              <w:t>(iii)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127,865</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tcBorders>
              <w:bottom w:val="single" w:sz="8" w:space="0" w:color="CF0A2C"/>
            </w:tcBorders>
            <w:vAlign w:val="bottom"/>
          </w:tcPr>
          <w:p w:rsidR="00CC2C66" w:rsidRDefault="00CC2C66">
            <w:pPr>
              <w:rPr>
                <w:sz w:val="13"/>
                <w:szCs w:val="13"/>
              </w:rPr>
            </w:pP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5/25/2021</w:t>
            </w:r>
          </w:p>
        </w:tc>
        <w:tc>
          <w:tcPr>
            <w:tcW w:w="10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340" w:type="dxa"/>
            <w:tcBorders>
              <w:bottom w:val="single" w:sz="8" w:space="0" w:color="CF0A2C"/>
            </w:tcBorders>
            <w:vAlign w:val="bottom"/>
          </w:tcPr>
          <w:p w:rsidR="00CC2C66" w:rsidRDefault="00F80B74">
            <w:pPr>
              <w:ind w:right="155"/>
              <w:jc w:val="right"/>
              <w:rPr>
                <w:sz w:val="20"/>
                <w:szCs w:val="20"/>
              </w:rPr>
            </w:pPr>
            <w:r>
              <w:rPr>
                <w:rFonts w:ascii="Arial" w:eastAsia="Arial" w:hAnsi="Arial" w:cs="Arial"/>
                <w:sz w:val="13"/>
                <w:szCs w:val="13"/>
              </w:rPr>
              <w:t>—</w:t>
            </w:r>
          </w:p>
        </w:tc>
        <w:tc>
          <w:tcPr>
            <w:tcW w:w="7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tcBorders>
              <w:bottom w:val="single" w:sz="8" w:space="0" w:color="CF0A2C"/>
            </w:tcBorders>
            <w:vAlign w:val="bottom"/>
          </w:tcPr>
          <w:p w:rsidR="00CC2C66" w:rsidRDefault="00F80B74">
            <w:pPr>
              <w:ind w:right="260"/>
              <w:jc w:val="right"/>
              <w:rPr>
                <w:sz w:val="20"/>
                <w:szCs w:val="20"/>
              </w:rPr>
            </w:pPr>
            <w:r>
              <w:rPr>
                <w:rFonts w:ascii="Arial" w:eastAsia="Arial" w:hAnsi="Arial" w:cs="Arial"/>
                <w:sz w:val="13"/>
                <w:szCs w:val="13"/>
              </w:rPr>
              <w:t>—</w:t>
            </w:r>
          </w:p>
        </w:tc>
        <w:tc>
          <w:tcPr>
            <w:tcW w:w="1040" w:type="dxa"/>
            <w:tcBorders>
              <w:bottom w:val="single" w:sz="8" w:space="0" w:color="CF0A2C"/>
            </w:tcBorders>
            <w:vAlign w:val="bottom"/>
          </w:tcPr>
          <w:p w:rsidR="00CC2C66" w:rsidRDefault="00F80B74">
            <w:pPr>
              <w:ind w:right="136"/>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160" w:type="dxa"/>
            <w:tcBorders>
              <w:bottom w:val="single" w:sz="8" w:space="0" w:color="CF0A2C"/>
            </w:tcBorders>
            <w:vAlign w:val="bottom"/>
          </w:tcPr>
          <w:p w:rsidR="00CC2C66" w:rsidRDefault="00F80B74">
            <w:pPr>
              <w:spacing w:line="154" w:lineRule="exact"/>
              <w:ind w:left="640"/>
              <w:rPr>
                <w:sz w:val="20"/>
                <w:szCs w:val="20"/>
              </w:rPr>
            </w:pPr>
            <w:r>
              <w:rPr>
                <w:rFonts w:ascii="Arial" w:eastAsia="Arial" w:hAnsi="Arial" w:cs="Arial"/>
                <w:sz w:val="17"/>
                <w:szCs w:val="17"/>
                <w:vertAlign w:val="subscript"/>
              </w:rPr>
              <w:t>3,268</w:t>
            </w:r>
            <w:r>
              <w:rPr>
                <w:rFonts w:ascii="Arial" w:eastAsia="Arial" w:hAnsi="Arial" w:cs="Arial"/>
                <w:sz w:val="8"/>
                <w:szCs w:val="8"/>
              </w:rPr>
              <w:t>(iii)</w:t>
            </w:r>
          </w:p>
        </w:tc>
        <w:tc>
          <w:tcPr>
            <w:tcW w:w="1000" w:type="dxa"/>
            <w:gridSpan w:val="4"/>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162,852</w:t>
            </w:r>
          </w:p>
        </w:tc>
        <w:tc>
          <w:tcPr>
            <w:tcW w:w="0" w:type="dxa"/>
            <w:vAlign w:val="bottom"/>
          </w:tcPr>
          <w:p w:rsidR="00CC2C66" w:rsidRDefault="00CC2C66">
            <w:pPr>
              <w:rPr>
                <w:sz w:val="1"/>
                <w:szCs w:val="1"/>
              </w:rPr>
            </w:pPr>
          </w:p>
        </w:tc>
      </w:tr>
      <w:tr w:rsidR="00CC2C66">
        <w:trPr>
          <w:trHeight w:val="146"/>
        </w:trPr>
        <w:tc>
          <w:tcPr>
            <w:tcW w:w="20" w:type="dxa"/>
            <w:vAlign w:val="bottom"/>
          </w:tcPr>
          <w:p w:rsidR="00CC2C66" w:rsidRDefault="00CC2C66">
            <w:pPr>
              <w:rPr>
                <w:sz w:val="12"/>
                <w:szCs w:val="12"/>
              </w:rPr>
            </w:pPr>
          </w:p>
        </w:tc>
        <w:tc>
          <w:tcPr>
            <w:tcW w:w="1400" w:type="dxa"/>
            <w:vAlign w:val="bottom"/>
          </w:tcPr>
          <w:p w:rsidR="00CC2C66" w:rsidRDefault="00F80B74">
            <w:pPr>
              <w:spacing w:line="146" w:lineRule="exact"/>
              <w:rPr>
                <w:sz w:val="20"/>
                <w:szCs w:val="20"/>
              </w:rPr>
            </w:pPr>
            <w:r>
              <w:rPr>
                <w:rFonts w:ascii="Arial" w:eastAsia="Arial" w:hAnsi="Arial" w:cs="Arial"/>
                <w:b/>
                <w:bCs/>
                <w:color w:val="CF0A2C"/>
                <w:sz w:val="13"/>
                <w:szCs w:val="13"/>
              </w:rPr>
              <w:t>Mr. Chan</w:t>
            </w:r>
          </w:p>
        </w:tc>
        <w:tc>
          <w:tcPr>
            <w:tcW w:w="820" w:type="dxa"/>
            <w:vAlign w:val="bottom"/>
          </w:tcPr>
          <w:p w:rsidR="00CC2C66" w:rsidRDefault="00F80B74">
            <w:pPr>
              <w:spacing w:line="146" w:lineRule="exact"/>
              <w:jc w:val="right"/>
              <w:rPr>
                <w:sz w:val="20"/>
                <w:szCs w:val="20"/>
              </w:rPr>
            </w:pPr>
            <w:r>
              <w:rPr>
                <w:rFonts w:ascii="Arial" w:eastAsia="Arial" w:hAnsi="Arial" w:cs="Arial"/>
                <w:sz w:val="13"/>
                <w:szCs w:val="13"/>
              </w:rPr>
              <w:t>9/3/2019</w:t>
            </w:r>
          </w:p>
        </w:tc>
        <w:tc>
          <w:tcPr>
            <w:tcW w:w="1020" w:type="dxa"/>
            <w:vAlign w:val="bottom"/>
          </w:tcPr>
          <w:p w:rsidR="00CC2C66" w:rsidRDefault="00F80B74">
            <w:pPr>
              <w:spacing w:line="146" w:lineRule="exact"/>
              <w:ind w:right="15"/>
              <w:jc w:val="right"/>
              <w:rPr>
                <w:sz w:val="20"/>
                <w:szCs w:val="20"/>
              </w:rPr>
            </w:pPr>
            <w:r>
              <w:rPr>
                <w:rFonts w:ascii="Arial" w:eastAsia="Arial" w:hAnsi="Arial" w:cs="Arial"/>
                <w:sz w:val="13"/>
                <w:szCs w:val="13"/>
              </w:rPr>
              <w:t>—</w:t>
            </w:r>
          </w:p>
        </w:tc>
        <w:tc>
          <w:tcPr>
            <w:tcW w:w="1340" w:type="dxa"/>
            <w:vAlign w:val="bottom"/>
          </w:tcPr>
          <w:p w:rsidR="00CC2C66" w:rsidRDefault="00F80B74">
            <w:pPr>
              <w:spacing w:line="146" w:lineRule="exact"/>
              <w:ind w:right="155"/>
              <w:jc w:val="right"/>
              <w:rPr>
                <w:sz w:val="20"/>
                <w:szCs w:val="20"/>
              </w:rPr>
            </w:pPr>
            <w:r>
              <w:rPr>
                <w:rFonts w:ascii="Arial" w:eastAsia="Arial" w:hAnsi="Arial" w:cs="Arial"/>
                <w:sz w:val="13"/>
                <w:szCs w:val="13"/>
              </w:rPr>
              <w:t>—</w:t>
            </w:r>
          </w:p>
        </w:tc>
        <w:tc>
          <w:tcPr>
            <w:tcW w:w="720" w:type="dxa"/>
            <w:vAlign w:val="bottom"/>
          </w:tcPr>
          <w:p w:rsidR="00CC2C66" w:rsidRDefault="00F80B74">
            <w:pPr>
              <w:spacing w:line="146" w:lineRule="exact"/>
              <w:ind w:right="15"/>
              <w:jc w:val="right"/>
              <w:rPr>
                <w:sz w:val="20"/>
                <w:szCs w:val="20"/>
              </w:rPr>
            </w:pPr>
            <w:r>
              <w:rPr>
                <w:rFonts w:ascii="Arial" w:eastAsia="Arial" w:hAnsi="Arial" w:cs="Arial"/>
                <w:sz w:val="13"/>
                <w:szCs w:val="13"/>
              </w:rPr>
              <w:t>—</w:t>
            </w:r>
          </w:p>
        </w:tc>
        <w:tc>
          <w:tcPr>
            <w:tcW w:w="1020" w:type="dxa"/>
            <w:gridSpan w:val="2"/>
            <w:vAlign w:val="bottom"/>
          </w:tcPr>
          <w:p w:rsidR="00CC2C66" w:rsidRDefault="00F80B74">
            <w:pPr>
              <w:spacing w:line="146" w:lineRule="exact"/>
              <w:ind w:right="260"/>
              <w:jc w:val="right"/>
              <w:rPr>
                <w:sz w:val="20"/>
                <w:szCs w:val="20"/>
              </w:rPr>
            </w:pPr>
            <w:r>
              <w:rPr>
                <w:rFonts w:ascii="Arial" w:eastAsia="Arial" w:hAnsi="Arial" w:cs="Arial"/>
                <w:sz w:val="13"/>
                <w:szCs w:val="13"/>
              </w:rPr>
              <w:t>—</w:t>
            </w:r>
          </w:p>
        </w:tc>
        <w:tc>
          <w:tcPr>
            <w:tcW w:w="1040" w:type="dxa"/>
            <w:vAlign w:val="bottom"/>
          </w:tcPr>
          <w:p w:rsidR="00CC2C66" w:rsidRDefault="00F80B74">
            <w:pPr>
              <w:spacing w:line="146" w:lineRule="exact"/>
              <w:ind w:left="520"/>
              <w:rPr>
                <w:sz w:val="20"/>
                <w:szCs w:val="20"/>
              </w:rPr>
            </w:pPr>
            <w:r>
              <w:rPr>
                <w:rFonts w:ascii="Arial" w:eastAsia="Arial" w:hAnsi="Arial" w:cs="Arial"/>
                <w:sz w:val="11"/>
                <w:szCs w:val="11"/>
              </w:rPr>
              <w:t>3,571</w:t>
            </w:r>
            <w:r>
              <w:rPr>
                <w:rFonts w:ascii="Arial" w:eastAsia="Arial" w:hAnsi="Arial" w:cs="Arial"/>
                <w:sz w:val="16"/>
                <w:szCs w:val="16"/>
                <w:vertAlign w:val="superscript"/>
              </w:rPr>
              <w:t>(iv)</w:t>
            </w:r>
          </w:p>
        </w:tc>
        <w:tc>
          <w:tcPr>
            <w:tcW w:w="880" w:type="dxa"/>
            <w:vAlign w:val="bottom"/>
          </w:tcPr>
          <w:p w:rsidR="00CC2C66" w:rsidRDefault="00F80B74">
            <w:pPr>
              <w:spacing w:line="146" w:lineRule="exact"/>
              <w:ind w:right="15"/>
              <w:jc w:val="right"/>
              <w:rPr>
                <w:sz w:val="20"/>
                <w:szCs w:val="20"/>
              </w:rPr>
            </w:pPr>
            <w:r>
              <w:rPr>
                <w:rFonts w:ascii="Arial" w:eastAsia="Arial" w:hAnsi="Arial" w:cs="Arial"/>
                <w:sz w:val="13"/>
                <w:szCs w:val="13"/>
              </w:rPr>
              <w:t>177,970</w:t>
            </w:r>
          </w:p>
        </w:tc>
        <w:tc>
          <w:tcPr>
            <w:tcW w:w="1160" w:type="dxa"/>
            <w:vAlign w:val="bottom"/>
          </w:tcPr>
          <w:p w:rsidR="00CC2C66" w:rsidRDefault="00F80B74">
            <w:pPr>
              <w:spacing w:line="146" w:lineRule="exact"/>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2"/>
                <w:szCs w:val="12"/>
              </w:rPr>
            </w:pPr>
          </w:p>
        </w:tc>
        <w:tc>
          <w:tcPr>
            <w:tcW w:w="20" w:type="dxa"/>
            <w:vAlign w:val="bottom"/>
          </w:tcPr>
          <w:p w:rsidR="00CC2C66" w:rsidRDefault="00CC2C66">
            <w:pPr>
              <w:rPr>
                <w:sz w:val="12"/>
                <w:szCs w:val="12"/>
              </w:rPr>
            </w:pPr>
          </w:p>
        </w:tc>
        <w:tc>
          <w:tcPr>
            <w:tcW w:w="140" w:type="dxa"/>
            <w:vAlign w:val="bottom"/>
          </w:tcPr>
          <w:p w:rsidR="00CC2C66" w:rsidRDefault="00CC2C66">
            <w:pPr>
              <w:rPr>
                <w:sz w:val="12"/>
                <w:szCs w:val="12"/>
              </w:rPr>
            </w:pPr>
          </w:p>
        </w:tc>
        <w:tc>
          <w:tcPr>
            <w:tcW w:w="260" w:type="dxa"/>
            <w:vAlign w:val="bottom"/>
          </w:tcPr>
          <w:p w:rsidR="00CC2C66" w:rsidRDefault="00F80B74">
            <w:pPr>
              <w:spacing w:line="146" w:lineRule="exact"/>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7,482</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22,449</w:t>
            </w:r>
            <w:r>
              <w:rPr>
                <w:rFonts w:ascii="Arial" w:eastAsia="Arial" w:hAnsi="Arial" w:cs="Arial"/>
                <w:sz w:val="19"/>
                <w:szCs w:val="19"/>
                <w:vertAlign w:val="superscript"/>
              </w:rPr>
              <w:t>(iii)</w:t>
            </w:r>
          </w:p>
        </w:tc>
        <w:tc>
          <w:tcPr>
            <w:tcW w:w="720" w:type="dxa"/>
            <w:vAlign w:val="bottom"/>
          </w:tcPr>
          <w:p w:rsidR="00CC2C66" w:rsidRDefault="00F80B74">
            <w:pPr>
              <w:ind w:right="15"/>
              <w:jc w:val="right"/>
              <w:rPr>
                <w:sz w:val="20"/>
                <w:szCs w:val="20"/>
              </w:rPr>
            </w:pPr>
            <w:r>
              <w:rPr>
                <w:rFonts w:ascii="Arial" w:eastAsia="Arial" w:hAnsi="Arial" w:cs="Arial"/>
                <w:sz w:val="13"/>
                <w:szCs w:val="13"/>
              </w:rPr>
              <w:t>42.71</w:t>
            </w:r>
          </w:p>
        </w:tc>
        <w:tc>
          <w:tcPr>
            <w:tcW w:w="800" w:type="dxa"/>
            <w:vAlign w:val="bottom"/>
          </w:tcPr>
          <w:p w:rsidR="00CC2C66" w:rsidRDefault="00F80B74">
            <w:pPr>
              <w:jc w:val="right"/>
              <w:rPr>
                <w:sz w:val="20"/>
                <w:szCs w:val="20"/>
              </w:rPr>
            </w:pPr>
            <w:r>
              <w:rPr>
                <w:rFonts w:ascii="Arial" w:eastAsia="Arial" w:hAnsi="Arial" w:cs="Arial"/>
                <w:sz w:val="13"/>
                <w:szCs w:val="13"/>
              </w:rPr>
              <w:t>2/7/2030</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640"/>
              <w:rPr>
                <w:sz w:val="20"/>
                <w:szCs w:val="20"/>
              </w:rPr>
            </w:pPr>
            <w:r>
              <w:rPr>
                <w:rFonts w:ascii="Arial" w:eastAsia="Arial" w:hAnsi="Arial" w:cs="Arial"/>
                <w:sz w:val="13"/>
                <w:szCs w:val="13"/>
              </w:rPr>
              <w:t>3,714</w:t>
            </w:r>
            <w:r>
              <w:rPr>
                <w:rFonts w:ascii="Arial" w:eastAsia="Arial" w:hAnsi="Arial" w:cs="Arial"/>
                <w:sz w:val="19"/>
                <w:szCs w:val="19"/>
                <w:vertAlign w:val="superscript"/>
              </w:rPr>
              <w:t>(i)</w:t>
            </w:r>
          </w:p>
        </w:tc>
        <w:tc>
          <w:tcPr>
            <w:tcW w:w="1000" w:type="dxa"/>
            <w:gridSpan w:val="4"/>
            <w:vAlign w:val="bottom"/>
          </w:tcPr>
          <w:p w:rsidR="00CC2C66" w:rsidRDefault="00F80B74">
            <w:pPr>
              <w:jc w:val="right"/>
              <w:rPr>
                <w:sz w:val="20"/>
                <w:szCs w:val="20"/>
              </w:rPr>
            </w:pPr>
            <w:r>
              <w:rPr>
                <w:rFonts w:ascii="Arial" w:eastAsia="Arial" w:hAnsi="Arial" w:cs="Arial"/>
                <w:sz w:val="13"/>
                <w:szCs w:val="13"/>
              </w:rPr>
              <w:t>185,126</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vAlign w:val="bottom"/>
          </w:tcPr>
          <w:p w:rsidR="00CC2C66" w:rsidRDefault="00F80B74">
            <w:pPr>
              <w:ind w:right="260"/>
              <w:jc w:val="right"/>
              <w:rPr>
                <w:sz w:val="20"/>
                <w:szCs w:val="20"/>
              </w:rPr>
            </w:pPr>
            <w:r>
              <w:rPr>
                <w:rFonts w:ascii="Arial" w:eastAsia="Arial" w:hAnsi="Arial" w:cs="Arial"/>
                <w:sz w:val="13"/>
                <w:szCs w:val="13"/>
              </w:rPr>
              <w:t>—</w:t>
            </w: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560"/>
              <w:rPr>
                <w:sz w:val="20"/>
                <w:szCs w:val="20"/>
              </w:rPr>
            </w:pPr>
            <w:r>
              <w:rPr>
                <w:rFonts w:ascii="Arial" w:eastAsia="Arial" w:hAnsi="Arial" w:cs="Arial"/>
                <w:sz w:val="13"/>
                <w:szCs w:val="13"/>
              </w:rPr>
              <w:t>39,084</w:t>
            </w:r>
            <w:r>
              <w:rPr>
                <w:rFonts w:ascii="Arial" w:eastAsia="Arial" w:hAnsi="Arial" w:cs="Arial"/>
                <w:sz w:val="19"/>
                <w:szCs w:val="19"/>
                <w:vertAlign w:val="superscript"/>
              </w:rPr>
              <w:t>(ii)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1,947,947</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2/5/2021</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32,248</w:t>
            </w:r>
            <w:r>
              <w:rPr>
                <w:rFonts w:ascii="Arial" w:eastAsia="Arial" w:hAnsi="Arial" w:cs="Arial"/>
                <w:sz w:val="19"/>
                <w:szCs w:val="19"/>
                <w:vertAlign w:val="superscript"/>
              </w:rPr>
              <w:t>(iv)</w:t>
            </w:r>
          </w:p>
        </w:tc>
        <w:tc>
          <w:tcPr>
            <w:tcW w:w="720" w:type="dxa"/>
            <w:vAlign w:val="bottom"/>
          </w:tcPr>
          <w:p w:rsidR="00CC2C66" w:rsidRDefault="00F80B74">
            <w:pPr>
              <w:ind w:right="15"/>
              <w:jc w:val="right"/>
              <w:rPr>
                <w:sz w:val="20"/>
                <w:szCs w:val="20"/>
              </w:rPr>
            </w:pPr>
            <w:r>
              <w:rPr>
                <w:rFonts w:ascii="Arial" w:eastAsia="Arial" w:hAnsi="Arial" w:cs="Arial"/>
                <w:sz w:val="13"/>
                <w:szCs w:val="13"/>
              </w:rPr>
              <w:t>57.39</w:t>
            </w:r>
          </w:p>
        </w:tc>
        <w:tc>
          <w:tcPr>
            <w:tcW w:w="800" w:type="dxa"/>
            <w:vAlign w:val="bottom"/>
          </w:tcPr>
          <w:p w:rsidR="00CC2C66" w:rsidRDefault="00F80B74">
            <w:pPr>
              <w:jc w:val="right"/>
              <w:rPr>
                <w:sz w:val="20"/>
                <w:szCs w:val="20"/>
              </w:rPr>
            </w:pPr>
            <w:r>
              <w:rPr>
                <w:rFonts w:ascii="Arial" w:eastAsia="Arial" w:hAnsi="Arial" w:cs="Arial"/>
                <w:sz w:val="13"/>
                <w:szCs w:val="13"/>
              </w:rPr>
              <w:t>2/5/2031</w:t>
            </w:r>
          </w:p>
        </w:tc>
        <w:tc>
          <w:tcPr>
            <w:tcW w:w="220" w:type="dxa"/>
            <w:vAlign w:val="bottom"/>
          </w:tcPr>
          <w:p w:rsidR="00CC2C66" w:rsidRDefault="00CC2C66">
            <w:pPr>
              <w:rPr>
                <w:sz w:val="14"/>
                <w:szCs w:val="14"/>
              </w:rPr>
            </w:pPr>
          </w:p>
        </w:tc>
        <w:tc>
          <w:tcPr>
            <w:tcW w:w="1040" w:type="dxa"/>
            <w:vAlign w:val="bottom"/>
          </w:tcPr>
          <w:p w:rsidR="00CC2C66" w:rsidRDefault="00F80B74">
            <w:pPr>
              <w:spacing w:line="166" w:lineRule="exact"/>
              <w:ind w:left="440"/>
              <w:rPr>
                <w:sz w:val="20"/>
                <w:szCs w:val="20"/>
              </w:rPr>
            </w:pPr>
            <w:r>
              <w:rPr>
                <w:rFonts w:ascii="Arial" w:eastAsia="Arial" w:hAnsi="Arial" w:cs="Arial"/>
                <w:sz w:val="13"/>
                <w:szCs w:val="13"/>
              </w:rPr>
              <w:t>26,359</w:t>
            </w:r>
            <w:r>
              <w:rPr>
                <w:rFonts w:ascii="Arial" w:eastAsia="Arial" w:hAnsi="Arial" w:cs="Arial"/>
                <w:sz w:val="19"/>
                <w:szCs w:val="19"/>
                <w:vertAlign w:val="superscript"/>
              </w:rPr>
              <w:t>(i)</w:t>
            </w:r>
          </w:p>
        </w:tc>
        <w:tc>
          <w:tcPr>
            <w:tcW w:w="880" w:type="dxa"/>
            <w:vAlign w:val="bottom"/>
          </w:tcPr>
          <w:p w:rsidR="00CC2C66" w:rsidRDefault="00F80B74">
            <w:pPr>
              <w:ind w:right="15"/>
              <w:jc w:val="right"/>
              <w:rPr>
                <w:sz w:val="20"/>
                <w:szCs w:val="20"/>
              </w:rPr>
            </w:pPr>
            <w:r>
              <w:rPr>
                <w:rFonts w:ascii="Arial" w:eastAsia="Arial" w:hAnsi="Arial" w:cs="Arial"/>
                <w:sz w:val="13"/>
                <w:szCs w:val="13"/>
              </w:rPr>
              <w:t>1,313,712</w:t>
            </w:r>
          </w:p>
        </w:tc>
        <w:tc>
          <w:tcPr>
            <w:tcW w:w="1160" w:type="dxa"/>
            <w:vAlign w:val="bottom"/>
          </w:tcPr>
          <w:p w:rsidR="00CC2C66" w:rsidRDefault="00F80B74">
            <w:pPr>
              <w:spacing w:line="166" w:lineRule="exact"/>
              <w:ind w:left="640"/>
              <w:rPr>
                <w:sz w:val="20"/>
                <w:szCs w:val="20"/>
              </w:rPr>
            </w:pPr>
            <w:r>
              <w:rPr>
                <w:rFonts w:ascii="Arial" w:eastAsia="Arial" w:hAnsi="Arial" w:cs="Arial"/>
                <w:sz w:val="19"/>
                <w:szCs w:val="19"/>
                <w:vertAlign w:val="subscript"/>
              </w:rPr>
              <w:t>1,924</w:t>
            </w:r>
            <w:r>
              <w:rPr>
                <w:rFonts w:ascii="Arial" w:eastAsia="Arial" w:hAnsi="Arial" w:cs="Arial"/>
                <w:sz w:val="8"/>
                <w:szCs w:val="8"/>
              </w:rPr>
              <w:t>(iii)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95,892</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tcBorders>
              <w:bottom w:val="single" w:sz="8" w:space="0" w:color="CF0A2C"/>
            </w:tcBorders>
            <w:vAlign w:val="bottom"/>
          </w:tcPr>
          <w:p w:rsidR="00CC2C66" w:rsidRDefault="00CC2C66">
            <w:pPr>
              <w:rPr>
                <w:sz w:val="13"/>
                <w:szCs w:val="13"/>
              </w:rPr>
            </w:pP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5/25/2021</w:t>
            </w:r>
          </w:p>
        </w:tc>
        <w:tc>
          <w:tcPr>
            <w:tcW w:w="10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340" w:type="dxa"/>
            <w:tcBorders>
              <w:bottom w:val="single" w:sz="8" w:space="0" w:color="CF0A2C"/>
            </w:tcBorders>
            <w:vAlign w:val="bottom"/>
          </w:tcPr>
          <w:p w:rsidR="00CC2C66" w:rsidRDefault="00F80B74">
            <w:pPr>
              <w:ind w:right="155"/>
              <w:jc w:val="right"/>
              <w:rPr>
                <w:sz w:val="20"/>
                <w:szCs w:val="20"/>
              </w:rPr>
            </w:pPr>
            <w:r>
              <w:rPr>
                <w:rFonts w:ascii="Arial" w:eastAsia="Arial" w:hAnsi="Arial" w:cs="Arial"/>
                <w:sz w:val="13"/>
                <w:szCs w:val="13"/>
              </w:rPr>
              <w:t>—</w:t>
            </w:r>
          </w:p>
        </w:tc>
        <w:tc>
          <w:tcPr>
            <w:tcW w:w="7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tcBorders>
              <w:bottom w:val="single" w:sz="8" w:space="0" w:color="CF0A2C"/>
            </w:tcBorders>
            <w:vAlign w:val="bottom"/>
          </w:tcPr>
          <w:p w:rsidR="00CC2C66" w:rsidRDefault="00F80B74">
            <w:pPr>
              <w:ind w:right="260"/>
              <w:jc w:val="right"/>
              <w:rPr>
                <w:sz w:val="20"/>
                <w:szCs w:val="20"/>
              </w:rPr>
            </w:pPr>
            <w:r>
              <w:rPr>
                <w:rFonts w:ascii="Arial" w:eastAsia="Arial" w:hAnsi="Arial" w:cs="Arial"/>
                <w:sz w:val="13"/>
                <w:szCs w:val="13"/>
              </w:rPr>
              <w:t>—</w:t>
            </w:r>
          </w:p>
        </w:tc>
        <w:tc>
          <w:tcPr>
            <w:tcW w:w="1040" w:type="dxa"/>
            <w:tcBorders>
              <w:bottom w:val="single" w:sz="8" w:space="0" w:color="CF0A2C"/>
            </w:tcBorders>
            <w:vAlign w:val="bottom"/>
          </w:tcPr>
          <w:p w:rsidR="00CC2C66" w:rsidRDefault="00F80B74">
            <w:pPr>
              <w:ind w:right="136"/>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160" w:type="dxa"/>
            <w:tcBorders>
              <w:bottom w:val="single" w:sz="8" w:space="0" w:color="CF0A2C"/>
            </w:tcBorders>
            <w:vAlign w:val="bottom"/>
          </w:tcPr>
          <w:p w:rsidR="00CC2C66" w:rsidRDefault="00F80B74">
            <w:pPr>
              <w:spacing w:line="154" w:lineRule="exact"/>
              <w:ind w:left="640"/>
              <w:rPr>
                <w:sz w:val="20"/>
                <w:szCs w:val="20"/>
              </w:rPr>
            </w:pPr>
            <w:r>
              <w:rPr>
                <w:rFonts w:ascii="Arial" w:eastAsia="Arial" w:hAnsi="Arial" w:cs="Arial"/>
                <w:sz w:val="12"/>
                <w:szCs w:val="12"/>
              </w:rPr>
              <w:t>2,451</w:t>
            </w:r>
            <w:r>
              <w:rPr>
                <w:rFonts w:ascii="Arial" w:eastAsia="Arial" w:hAnsi="Arial" w:cs="Arial"/>
                <w:sz w:val="17"/>
                <w:szCs w:val="17"/>
                <w:vertAlign w:val="superscript"/>
              </w:rPr>
              <w:t>(iii)</w:t>
            </w:r>
          </w:p>
        </w:tc>
        <w:tc>
          <w:tcPr>
            <w:tcW w:w="1000" w:type="dxa"/>
            <w:gridSpan w:val="4"/>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122,133</w:t>
            </w:r>
          </w:p>
        </w:tc>
        <w:tc>
          <w:tcPr>
            <w:tcW w:w="0" w:type="dxa"/>
            <w:vAlign w:val="bottom"/>
          </w:tcPr>
          <w:p w:rsidR="00CC2C66" w:rsidRDefault="00CC2C66">
            <w:pPr>
              <w:rPr>
                <w:sz w:val="1"/>
                <w:szCs w:val="1"/>
              </w:rPr>
            </w:pPr>
          </w:p>
        </w:tc>
      </w:tr>
      <w:tr w:rsidR="00CC2C66">
        <w:trPr>
          <w:trHeight w:val="146"/>
        </w:trPr>
        <w:tc>
          <w:tcPr>
            <w:tcW w:w="20" w:type="dxa"/>
            <w:vAlign w:val="bottom"/>
          </w:tcPr>
          <w:p w:rsidR="00CC2C66" w:rsidRDefault="00CC2C66">
            <w:pPr>
              <w:rPr>
                <w:sz w:val="12"/>
                <w:szCs w:val="12"/>
              </w:rPr>
            </w:pPr>
          </w:p>
        </w:tc>
        <w:tc>
          <w:tcPr>
            <w:tcW w:w="1400" w:type="dxa"/>
            <w:vAlign w:val="bottom"/>
          </w:tcPr>
          <w:p w:rsidR="00CC2C66" w:rsidRDefault="00F80B74">
            <w:pPr>
              <w:spacing w:line="146" w:lineRule="exact"/>
              <w:rPr>
                <w:sz w:val="20"/>
                <w:szCs w:val="20"/>
              </w:rPr>
            </w:pPr>
            <w:r>
              <w:rPr>
                <w:rFonts w:ascii="Arial" w:eastAsia="Arial" w:hAnsi="Arial" w:cs="Arial"/>
                <w:b/>
                <w:bCs/>
                <w:color w:val="CF0A2C"/>
                <w:sz w:val="13"/>
                <w:szCs w:val="13"/>
              </w:rPr>
              <w:t>Mr. Huang</w:t>
            </w:r>
          </w:p>
        </w:tc>
        <w:tc>
          <w:tcPr>
            <w:tcW w:w="820" w:type="dxa"/>
            <w:vAlign w:val="bottom"/>
          </w:tcPr>
          <w:p w:rsidR="00CC2C66" w:rsidRDefault="00F80B74">
            <w:pPr>
              <w:spacing w:line="146" w:lineRule="exact"/>
              <w:jc w:val="right"/>
              <w:rPr>
                <w:sz w:val="20"/>
                <w:szCs w:val="20"/>
              </w:rPr>
            </w:pPr>
            <w:r>
              <w:rPr>
                <w:rFonts w:ascii="Arial" w:eastAsia="Arial" w:hAnsi="Arial" w:cs="Arial"/>
                <w:sz w:val="13"/>
                <w:szCs w:val="13"/>
              </w:rPr>
              <w:t>2/6/2013</w:t>
            </w:r>
          </w:p>
        </w:tc>
        <w:tc>
          <w:tcPr>
            <w:tcW w:w="1020" w:type="dxa"/>
            <w:vAlign w:val="bottom"/>
          </w:tcPr>
          <w:p w:rsidR="00CC2C66" w:rsidRDefault="00F80B74">
            <w:pPr>
              <w:spacing w:line="146" w:lineRule="exact"/>
              <w:ind w:right="15"/>
              <w:jc w:val="right"/>
              <w:rPr>
                <w:sz w:val="20"/>
                <w:szCs w:val="20"/>
              </w:rPr>
            </w:pPr>
            <w:r>
              <w:rPr>
                <w:rFonts w:ascii="Arial" w:eastAsia="Arial" w:hAnsi="Arial" w:cs="Arial"/>
                <w:sz w:val="13"/>
                <w:szCs w:val="13"/>
              </w:rPr>
              <w:t>9,652</w:t>
            </w:r>
          </w:p>
        </w:tc>
        <w:tc>
          <w:tcPr>
            <w:tcW w:w="1340" w:type="dxa"/>
            <w:vAlign w:val="bottom"/>
          </w:tcPr>
          <w:p w:rsidR="00CC2C66" w:rsidRDefault="00F80B74">
            <w:pPr>
              <w:spacing w:line="146" w:lineRule="exact"/>
              <w:ind w:right="155"/>
              <w:jc w:val="right"/>
              <w:rPr>
                <w:sz w:val="20"/>
                <w:szCs w:val="20"/>
              </w:rPr>
            </w:pPr>
            <w:r>
              <w:rPr>
                <w:rFonts w:ascii="Arial" w:eastAsia="Arial" w:hAnsi="Arial" w:cs="Arial"/>
                <w:sz w:val="13"/>
                <w:szCs w:val="13"/>
              </w:rPr>
              <w:t>—</w:t>
            </w:r>
          </w:p>
        </w:tc>
        <w:tc>
          <w:tcPr>
            <w:tcW w:w="720" w:type="dxa"/>
            <w:vAlign w:val="bottom"/>
          </w:tcPr>
          <w:p w:rsidR="00CC2C66" w:rsidRDefault="00F80B74">
            <w:pPr>
              <w:spacing w:line="146" w:lineRule="exact"/>
              <w:ind w:right="15"/>
              <w:jc w:val="right"/>
              <w:rPr>
                <w:sz w:val="20"/>
                <w:szCs w:val="20"/>
              </w:rPr>
            </w:pPr>
            <w:r>
              <w:rPr>
                <w:rFonts w:ascii="Arial" w:eastAsia="Arial" w:hAnsi="Arial" w:cs="Arial"/>
                <w:sz w:val="13"/>
                <w:szCs w:val="13"/>
              </w:rPr>
              <w:t>19.00</w:t>
            </w:r>
          </w:p>
        </w:tc>
        <w:tc>
          <w:tcPr>
            <w:tcW w:w="800" w:type="dxa"/>
            <w:vAlign w:val="bottom"/>
          </w:tcPr>
          <w:p w:rsidR="00CC2C66" w:rsidRDefault="00F80B74">
            <w:pPr>
              <w:spacing w:line="146" w:lineRule="exact"/>
              <w:jc w:val="right"/>
              <w:rPr>
                <w:sz w:val="20"/>
                <w:szCs w:val="20"/>
              </w:rPr>
            </w:pPr>
            <w:r>
              <w:rPr>
                <w:rFonts w:ascii="Arial" w:eastAsia="Arial" w:hAnsi="Arial" w:cs="Arial"/>
                <w:sz w:val="13"/>
                <w:szCs w:val="13"/>
              </w:rPr>
              <w:t>2/6/2023</w:t>
            </w:r>
          </w:p>
        </w:tc>
        <w:tc>
          <w:tcPr>
            <w:tcW w:w="220" w:type="dxa"/>
            <w:vAlign w:val="bottom"/>
          </w:tcPr>
          <w:p w:rsidR="00CC2C66" w:rsidRDefault="00CC2C66">
            <w:pPr>
              <w:rPr>
                <w:sz w:val="12"/>
                <w:szCs w:val="12"/>
              </w:rPr>
            </w:pPr>
          </w:p>
        </w:tc>
        <w:tc>
          <w:tcPr>
            <w:tcW w:w="1040" w:type="dxa"/>
            <w:vAlign w:val="bottom"/>
          </w:tcPr>
          <w:p w:rsidR="00CC2C66" w:rsidRDefault="00F80B74">
            <w:pPr>
              <w:spacing w:line="146" w:lineRule="exact"/>
              <w:ind w:right="136"/>
              <w:jc w:val="right"/>
              <w:rPr>
                <w:sz w:val="20"/>
                <w:szCs w:val="20"/>
              </w:rPr>
            </w:pPr>
            <w:r>
              <w:rPr>
                <w:rFonts w:ascii="Arial" w:eastAsia="Arial" w:hAnsi="Arial" w:cs="Arial"/>
                <w:sz w:val="13"/>
                <w:szCs w:val="13"/>
              </w:rPr>
              <w:t>—</w:t>
            </w:r>
          </w:p>
        </w:tc>
        <w:tc>
          <w:tcPr>
            <w:tcW w:w="880" w:type="dxa"/>
            <w:vAlign w:val="bottom"/>
          </w:tcPr>
          <w:p w:rsidR="00CC2C66" w:rsidRDefault="00F80B74">
            <w:pPr>
              <w:spacing w:line="146" w:lineRule="exact"/>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46" w:lineRule="exact"/>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2"/>
                <w:szCs w:val="12"/>
              </w:rPr>
            </w:pPr>
          </w:p>
        </w:tc>
        <w:tc>
          <w:tcPr>
            <w:tcW w:w="20" w:type="dxa"/>
            <w:vAlign w:val="bottom"/>
          </w:tcPr>
          <w:p w:rsidR="00CC2C66" w:rsidRDefault="00CC2C66">
            <w:pPr>
              <w:rPr>
                <w:sz w:val="12"/>
                <w:szCs w:val="12"/>
              </w:rPr>
            </w:pPr>
          </w:p>
        </w:tc>
        <w:tc>
          <w:tcPr>
            <w:tcW w:w="140" w:type="dxa"/>
            <w:vAlign w:val="bottom"/>
          </w:tcPr>
          <w:p w:rsidR="00CC2C66" w:rsidRDefault="00CC2C66">
            <w:pPr>
              <w:rPr>
                <w:sz w:val="12"/>
                <w:szCs w:val="12"/>
              </w:rPr>
            </w:pPr>
          </w:p>
        </w:tc>
        <w:tc>
          <w:tcPr>
            <w:tcW w:w="260" w:type="dxa"/>
            <w:vAlign w:val="bottom"/>
          </w:tcPr>
          <w:p w:rsidR="00CC2C66" w:rsidRDefault="00F80B74">
            <w:pPr>
              <w:spacing w:line="146" w:lineRule="exact"/>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2/5/2014</w:t>
            </w:r>
          </w:p>
        </w:tc>
        <w:tc>
          <w:tcPr>
            <w:tcW w:w="1020" w:type="dxa"/>
            <w:vAlign w:val="bottom"/>
          </w:tcPr>
          <w:p w:rsidR="00CC2C66" w:rsidRDefault="00F80B74">
            <w:pPr>
              <w:ind w:right="15"/>
              <w:jc w:val="right"/>
              <w:rPr>
                <w:sz w:val="20"/>
                <w:szCs w:val="20"/>
              </w:rPr>
            </w:pPr>
            <w:r>
              <w:rPr>
                <w:rFonts w:ascii="Arial" w:eastAsia="Arial" w:hAnsi="Arial" w:cs="Arial"/>
                <w:sz w:val="13"/>
                <w:szCs w:val="13"/>
              </w:rPr>
              <w:t>6,797</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21.30</w:t>
            </w:r>
          </w:p>
        </w:tc>
        <w:tc>
          <w:tcPr>
            <w:tcW w:w="800" w:type="dxa"/>
            <w:vAlign w:val="bottom"/>
          </w:tcPr>
          <w:p w:rsidR="00CC2C66" w:rsidRDefault="00F80B74">
            <w:pPr>
              <w:jc w:val="right"/>
              <w:rPr>
                <w:sz w:val="20"/>
                <w:szCs w:val="20"/>
              </w:rPr>
            </w:pPr>
            <w:r>
              <w:rPr>
                <w:rFonts w:ascii="Arial" w:eastAsia="Arial" w:hAnsi="Arial" w:cs="Arial"/>
                <w:sz w:val="13"/>
                <w:szCs w:val="13"/>
              </w:rPr>
              <w:t>2/5/2024</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2/5/2014</w:t>
            </w:r>
          </w:p>
        </w:tc>
        <w:tc>
          <w:tcPr>
            <w:tcW w:w="1020" w:type="dxa"/>
            <w:vAlign w:val="bottom"/>
          </w:tcPr>
          <w:p w:rsidR="00CC2C66" w:rsidRDefault="00F80B74">
            <w:pPr>
              <w:ind w:right="15"/>
              <w:jc w:val="right"/>
              <w:rPr>
                <w:sz w:val="20"/>
                <w:szCs w:val="20"/>
              </w:rPr>
            </w:pPr>
            <w:r>
              <w:rPr>
                <w:rFonts w:ascii="Arial" w:eastAsia="Arial" w:hAnsi="Arial" w:cs="Arial"/>
                <w:sz w:val="13"/>
                <w:szCs w:val="13"/>
              </w:rPr>
              <w:t>9,516</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21.30</w:t>
            </w:r>
          </w:p>
        </w:tc>
        <w:tc>
          <w:tcPr>
            <w:tcW w:w="800" w:type="dxa"/>
            <w:vAlign w:val="bottom"/>
          </w:tcPr>
          <w:p w:rsidR="00CC2C66" w:rsidRDefault="00F80B74">
            <w:pPr>
              <w:jc w:val="right"/>
              <w:rPr>
                <w:sz w:val="20"/>
                <w:szCs w:val="20"/>
              </w:rPr>
            </w:pPr>
            <w:r>
              <w:rPr>
                <w:rFonts w:ascii="Arial" w:eastAsia="Arial" w:hAnsi="Arial" w:cs="Arial"/>
                <w:sz w:val="13"/>
                <w:szCs w:val="13"/>
              </w:rPr>
              <w:t>2/5/2024</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2/6/2015</w:t>
            </w:r>
          </w:p>
        </w:tc>
        <w:tc>
          <w:tcPr>
            <w:tcW w:w="1020" w:type="dxa"/>
            <w:vAlign w:val="bottom"/>
          </w:tcPr>
          <w:p w:rsidR="00CC2C66" w:rsidRDefault="00F80B74">
            <w:pPr>
              <w:ind w:right="15"/>
              <w:jc w:val="right"/>
              <w:rPr>
                <w:sz w:val="20"/>
                <w:szCs w:val="20"/>
              </w:rPr>
            </w:pPr>
            <w:r>
              <w:rPr>
                <w:rFonts w:ascii="Arial" w:eastAsia="Arial" w:hAnsi="Arial" w:cs="Arial"/>
                <w:sz w:val="13"/>
                <w:szCs w:val="13"/>
              </w:rPr>
              <w:t>10,149</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22.32</w:t>
            </w:r>
          </w:p>
        </w:tc>
        <w:tc>
          <w:tcPr>
            <w:tcW w:w="800" w:type="dxa"/>
            <w:vAlign w:val="bottom"/>
          </w:tcPr>
          <w:p w:rsidR="00CC2C66" w:rsidRDefault="00F80B74">
            <w:pPr>
              <w:jc w:val="right"/>
              <w:rPr>
                <w:sz w:val="20"/>
                <w:szCs w:val="20"/>
              </w:rPr>
            </w:pPr>
            <w:r>
              <w:rPr>
                <w:rFonts w:ascii="Arial" w:eastAsia="Arial" w:hAnsi="Arial" w:cs="Arial"/>
                <w:sz w:val="13"/>
                <w:szCs w:val="13"/>
              </w:rPr>
              <w:t>2/6/2025</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2/5/2016</w:t>
            </w:r>
          </w:p>
        </w:tc>
        <w:tc>
          <w:tcPr>
            <w:tcW w:w="1020" w:type="dxa"/>
            <w:vAlign w:val="bottom"/>
          </w:tcPr>
          <w:p w:rsidR="00CC2C66" w:rsidRDefault="00F80B74">
            <w:pPr>
              <w:ind w:right="15"/>
              <w:jc w:val="right"/>
              <w:rPr>
                <w:sz w:val="20"/>
                <w:szCs w:val="20"/>
              </w:rPr>
            </w:pPr>
            <w:r>
              <w:rPr>
                <w:rFonts w:ascii="Arial" w:eastAsia="Arial" w:hAnsi="Arial" w:cs="Arial"/>
                <w:sz w:val="13"/>
                <w:szCs w:val="13"/>
              </w:rPr>
              <w:t>13,772</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21.06</w:t>
            </w:r>
          </w:p>
        </w:tc>
        <w:tc>
          <w:tcPr>
            <w:tcW w:w="800" w:type="dxa"/>
            <w:vAlign w:val="bottom"/>
          </w:tcPr>
          <w:p w:rsidR="00CC2C66" w:rsidRDefault="00F80B74">
            <w:pPr>
              <w:jc w:val="right"/>
              <w:rPr>
                <w:sz w:val="20"/>
                <w:szCs w:val="20"/>
              </w:rPr>
            </w:pPr>
            <w:r>
              <w:rPr>
                <w:rFonts w:ascii="Arial" w:eastAsia="Arial" w:hAnsi="Arial" w:cs="Arial"/>
                <w:sz w:val="13"/>
                <w:szCs w:val="13"/>
              </w:rPr>
              <w:t>2/5/2026</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11/11/2016</w:t>
            </w:r>
          </w:p>
        </w:tc>
        <w:tc>
          <w:tcPr>
            <w:tcW w:w="1020" w:type="dxa"/>
            <w:vAlign w:val="bottom"/>
          </w:tcPr>
          <w:p w:rsidR="00CC2C66" w:rsidRDefault="00F80B74">
            <w:pPr>
              <w:ind w:right="15"/>
              <w:jc w:val="right"/>
              <w:rPr>
                <w:sz w:val="20"/>
                <w:szCs w:val="20"/>
              </w:rPr>
            </w:pPr>
            <w:r>
              <w:rPr>
                <w:rFonts w:ascii="Arial" w:eastAsia="Arial" w:hAnsi="Arial" w:cs="Arial"/>
                <w:sz w:val="13"/>
                <w:szCs w:val="13"/>
              </w:rPr>
              <w:t>24,423</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26.98</w:t>
            </w:r>
          </w:p>
        </w:tc>
        <w:tc>
          <w:tcPr>
            <w:tcW w:w="800" w:type="dxa"/>
            <w:vAlign w:val="bottom"/>
          </w:tcPr>
          <w:p w:rsidR="00CC2C66" w:rsidRDefault="00F80B74">
            <w:pPr>
              <w:jc w:val="right"/>
              <w:rPr>
                <w:sz w:val="20"/>
                <w:szCs w:val="20"/>
              </w:rPr>
            </w:pPr>
            <w:r>
              <w:rPr>
                <w:rFonts w:ascii="Arial" w:eastAsia="Arial" w:hAnsi="Arial" w:cs="Arial"/>
                <w:sz w:val="13"/>
                <w:szCs w:val="13"/>
              </w:rPr>
              <w:t>11/11/2026</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2/10/2017</w:t>
            </w:r>
          </w:p>
        </w:tc>
        <w:tc>
          <w:tcPr>
            <w:tcW w:w="1020" w:type="dxa"/>
            <w:vAlign w:val="bottom"/>
          </w:tcPr>
          <w:p w:rsidR="00CC2C66" w:rsidRDefault="00F80B74">
            <w:pPr>
              <w:ind w:right="15"/>
              <w:jc w:val="right"/>
              <w:rPr>
                <w:sz w:val="20"/>
                <w:szCs w:val="20"/>
              </w:rPr>
            </w:pPr>
            <w:r>
              <w:rPr>
                <w:rFonts w:ascii="Arial" w:eastAsia="Arial" w:hAnsi="Arial" w:cs="Arial"/>
                <w:sz w:val="13"/>
                <w:szCs w:val="13"/>
              </w:rPr>
              <w:t>37,258</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26.56</w:t>
            </w:r>
          </w:p>
        </w:tc>
        <w:tc>
          <w:tcPr>
            <w:tcW w:w="800" w:type="dxa"/>
            <w:vAlign w:val="bottom"/>
          </w:tcPr>
          <w:p w:rsidR="00CC2C66" w:rsidRDefault="00F80B74">
            <w:pPr>
              <w:jc w:val="right"/>
              <w:rPr>
                <w:sz w:val="20"/>
                <w:szCs w:val="20"/>
              </w:rPr>
            </w:pPr>
            <w:r>
              <w:rPr>
                <w:rFonts w:ascii="Arial" w:eastAsia="Arial" w:hAnsi="Arial" w:cs="Arial"/>
                <w:sz w:val="13"/>
                <w:szCs w:val="13"/>
              </w:rPr>
              <w:t>2/10/2027</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2/9/2018</w:t>
            </w:r>
          </w:p>
        </w:tc>
        <w:tc>
          <w:tcPr>
            <w:tcW w:w="1020" w:type="dxa"/>
            <w:vAlign w:val="bottom"/>
          </w:tcPr>
          <w:p w:rsidR="00CC2C66" w:rsidRDefault="00F80B74">
            <w:pPr>
              <w:ind w:right="15"/>
              <w:jc w:val="right"/>
              <w:rPr>
                <w:sz w:val="20"/>
                <w:szCs w:val="20"/>
              </w:rPr>
            </w:pPr>
            <w:r>
              <w:rPr>
                <w:rFonts w:ascii="Arial" w:eastAsia="Arial" w:hAnsi="Arial" w:cs="Arial"/>
                <w:sz w:val="13"/>
                <w:szCs w:val="13"/>
              </w:rPr>
              <w:t>24,407</w:t>
            </w:r>
          </w:p>
        </w:tc>
        <w:tc>
          <w:tcPr>
            <w:tcW w:w="1340" w:type="dxa"/>
            <w:vAlign w:val="bottom"/>
          </w:tcPr>
          <w:p w:rsidR="00CC2C66" w:rsidRDefault="00F80B74">
            <w:pPr>
              <w:spacing w:line="166" w:lineRule="exact"/>
              <w:ind w:right="55"/>
              <w:jc w:val="right"/>
              <w:rPr>
                <w:sz w:val="20"/>
                <w:szCs w:val="20"/>
              </w:rPr>
            </w:pPr>
            <w:r>
              <w:rPr>
                <w:rFonts w:ascii="Arial" w:eastAsia="Arial" w:hAnsi="Arial" w:cs="Arial"/>
                <w:sz w:val="13"/>
                <w:szCs w:val="13"/>
              </w:rPr>
              <w:t>8,136</w:t>
            </w:r>
            <w:r>
              <w:rPr>
                <w:rFonts w:ascii="Arial" w:eastAsia="Arial" w:hAnsi="Arial" w:cs="Arial"/>
                <w:sz w:val="19"/>
                <w:szCs w:val="19"/>
                <w:vertAlign w:val="superscript"/>
              </w:rPr>
              <w:t>(i)</w:t>
            </w:r>
          </w:p>
        </w:tc>
        <w:tc>
          <w:tcPr>
            <w:tcW w:w="720" w:type="dxa"/>
            <w:vAlign w:val="bottom"/>
          </w:tcPr>
          <w:p w:rsidR="00CC2C66" w:rsidRDefault="00F80B74">
            <w:pPr>
              <w:ind w:right="15"/>
              <w:jc w:val="right"/>
              <w:rPr>
                <w:sz w:val="20"/>
                <w:szCs w:val="20"/>
              </w:rPr>
            </w:pPr>
            <w:r>
              <w:rPr>
                <w:rFonts w:ascii="Arial" w:eastAsia="Arial" w:hAnsi="Arial" w:cs="Arial"/>
                <w:sz w:val="13"/>
                <w:szCs w:val="13"/>
              </w:rPr>
              <w:t>40.29</w:t>
            </w:r>
          </w:p>
        </w:tc>
        <w:tc>
          <w:tcPr>
            <w:tcW w:w="800" w:type="dxa"/>
            <w:vAlign w:val="bottom"/>
          </w:tcPr>
          <w:p w:rsidR="00CC2C66" w:rsidRDefault="00F80B74">
            <w:pPr>
              <w:jc w:val="right"/>
              <w:rPr>
                <w:sz w:val="20"/>
                <w:szCs w:val="20"/>
              </w:rPr>
            </w:pPr>
            <w:r>
              <w:rPr>
                <w:rFonts w:ascii="Arial" w:eastAsia="Arial" w:hAnsi="Arial" w:cs="Arial"/>
                <w:sz w:val="13"/>
                <w:szCs w:val="13"/>
              </w:rPr>
              <w:t>2/9/2028</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2/7/2019</w:t>
            </w:r>
          </w:p>
        </w:tc>
        <w:tc>
          <w:tcPr>
            <w:tcW w:w="1020" w:type="dxa"/>
            <w:vAlign w:val="bottom"/>
          </w:tcPr>
          <w:p w:rsidR="00CC2C66" w:rsidRDefault="00F80B74">
            <w:pPr>
              <w:ind w:right="15"/>
              <w:jc w:val="right"/>
              <w:rPr>
                <w:sz w:val="20"/>
                <w:szCs w:val="20"/>
              </w:rPr>
            </w:pPr>
            <w:r>
              <w:rPr>
                <w:rFonts w:ascii="Arial" w:eastAsia="Arial" w:hAnsi="Arial" w:cs="Arial"/>
                <w:sz w:val="13"/>
                <w:szCs w:val="13"/>
              </w:rPr>
              <w:t>16,377</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16,377</w:t>
            </w:r>
            <w:r>
              <w:rPr>
                <w:rFonts w:ascii="Arial" w:eastAsia="Arial" w:hAnsi="Arial" w:cs="Arial"/>
                <w:sz w:val="19"/>
                <w:szCs w:val="19"/>
                <w:vertAlign w:val="superscript"/>
              </w:rPr>
              <w:t>(ii)</w:t>
            </w:r>
          </w:p>
        </w:tc>
        <w:tc>
          <w:tcPr>
            <w:tcW w:w="720" w:type="dxa"/>
            <w:vAlign w:val="bottom"/>
          </w:tcPr>
          <w:p w:rsidR="00CC2C66" w:rsidRDefault="00F80B74">
            <w:pPr>
              <w:ind w:right="15"/>
              <w:jc w:val="right"/>
              <w:rPr>
                <w:sz w:val="20"/>
                <w:szCs w:val="20"/>
              </w:rPr>
            </w:pPr>
            <w:r>
              <w:rPr>
                <w:rFonts w:ascii="Arial" w:eastAsia="Arial" w:hAnsi="Arial" w:cs="Arial"/>
                <w:sz w:val="13"/>
                <w:szCs w:val="13"/>
              </w:rPr>
              <w:t>41.66</w:t>
            </w:r>
          </w:p>
        </w:tc>
        <w:tc>
          <w:tcPr>
            <w:tcW w:w="800" w:type="dxa"/>
            <w:vAlign w:val="bottom"/>
          </w:tcPr>
          <w:p w:rsidR="00CC2C66" w:rsidRDefault="00F80B74">
            <w:pPr>
              <w:jc w:val="right"/>
              <w:rPr>
                <w:sz w:val="20"/>
                <w:szCs w:val="20"/>
              </w:rPr>
            </w:pPr>
            <w:r>
              <w:rPr>
                <w:rFonts w:ascii="Arial" w:eastAsia="Arial" w:hAnsi="Arial" w:cs="Arial"/>
                <w:sz w:val="13"/>
                <w:szCs w:val="13"/>
              </w:rPr>
              <w:t>2/7/2029</w:t>
            </w:r>
          </w:p>
        </w:tc>
        <w:tc>
          <w:tcPr>
            <w:tcW w:w="220" w:type="dxa"/>
            <w:vAlign w:val="bottom"/>
          </w:tcPr>
          <w:p w:rsidR="00CC2C66" w:rsidRDefault="00CC2C66">
            <w:pPr>
              <w:rPr>
                <w:sz w:val="14"/>
                <w:szCs w:val="14"/>
              </w:rPr>
            </w:pPr>
          </w:p>
        </w:tc>
        <w:tc>
          <w:tcPr>
            <w:tcW w:w="1040" w:type="dxa"/>
            <w:vAlign w:val="bottom"/>
          </w:tcPr>
          <w:p w:rsidR="00CC2C66" w:rsidRDefault="00F80B74">
            <w:pPr>
              <w:spacing w:line="166" w:lineRule="exact"/>
              <w:ind w:left="440"/>
              <w:rPr>
                <w:sz w:val="20"/>
                <w:szCs w:val="20"/>
              </w:rPr>
            </w:pPr>
            <w:r>
              <w:rPr>
                <w:rFonts w:ascii="Arial" w:eastAsia="Arial" w:hAnsi="Arial" w:cs="Arial"/>
                <w:sz w:val="13"/>
                <w:szCs w:val="13"/>
              </w:rPr>
              <w:t>10,819</w:t>
            </w:r>
            <w:r>
              <w:rPr>
                <w:rFonts w:ascii="Arial" w:eastAsia="Arial" w:hAnsi="Arial" w:cs="Arial"/>
                <w:sz w:val="19"/>
                <w:szCs w:val="19"/>
                <w:vertAlign w:val="superscript"/>
              </w:rPr>
              <w:t>(iii)</w:t>
            </w:r>
          </w:p>
        </w:tc>
        <w:tc>
          <w:tcPr>
            <w:tcW w:w="880" w:type="dxa"/>
            <w:vAlign w:val="bottom"/>
          </w:tcPr>
          <w:p w:rsidR="00CC2C66" w:rsidRDefault="00F80B74">
            <w:pPr>
              <w:ind w:right="15"/>
              <w:jc w:val="right"/>
              <w:rPr>
                <w:sz w:val="20"/>
                <w:szCs w:val="20"/>
              </w:rPr>
            </w:pPr>
            <w:r>
              <w:rPr>
                <w:rFonts w:ascii="Arial" w:eastAsia="Arial" w:hAnsi="Arial" w:cs="Arial"/>
                <w:sz w:val="13"/>
                <w:szCs w:val="13"/>
              </w:rPr>
              <w:t>539,194</w:t>
            </w:r>
          </w:p>
        </w:tc>
        <w:tc>
          <w:tcPr>
            <w:tcW w:w="1160" w:type="dxa"/>
            <w:vAlign w:val="bottom"/>
          </w:tcPr>
          <w:p w:rsidR="00CC2C66" w:rsidRDefault="00F80B74">
            <w:pPr>
              <w:ind w:right="138"/>
              <w:jc w:val="right"/>
              <w:rPr>
                <w:sz w:val="20"/>
                <w:szCs w:val="20"/>
              </w:rPr>
            </w:pPr>
            <w:r>
              <w:rPr>
                <w:rFonts w:ascii="Arial" w:eastAsia="Arial" w:hAnsi="Arial" w:cs="Arial"/>
                <w:sz w:val="13"/>
                <w:szCs w:val="13"/>
              </w:rPr>
              <w:t>—</w:t>
            </w:r>
          </w:p>
        </w:tc>
        <w:tc>
          <w:tcPr>
            <w:tcW w:w="580" w:type="dxa"/>
            <w:vAlign w:val="bottom"/>
          </w:tcPr>
          <w:p w:rsidR="00CC2C66" w:rsidRDefault="00CC2C66">
            <w:pPr>
              <w:rPr>
                <w:sz w:val="14"/>
                <w:szCs w:val="14"/>
              </w:rPr>
            </w:pPr>
          </w:p>
        </w:tc>
        <w:tc>
          <w:tcPr>
            <w:tcW w:w="20" w:type="dxa"/>
            <w:vAlign w:val="bottom"/>
          </w:tcPr>
          <w:p w:rsidR="00CC2C66" w:rsidRDefault="00CC2C66">
            <w:pPr>
              <w:rPr>
                <w:sz w:val="14"/>
                <w:szCs w:val="14"/>
              </w:rPr>
            </w:pPr>
          </w:p>
        </w:tc>
        <w:tc>
          <w:tcPr>
            <w:tcW w:w="140" w:type="dxa"/>
            <w:vAlign w:val="bottom"/>
          </w:tcPr>
          <w:p w:rsidR="00CC2C66" w:rsidRDefault="00CC2C66">
            <w:pPr>
              <w:rPr>
                <w:sz w:val="14"/>
                <w:szCs w:val="14"/>
              </w:rPr>
            </w:pPr>
          </w:p>
        </w:tc>
        <w:tc>
          <w:tcPr>
            <w:tcW w:w="260" w:type="dxa"/>
            <w:vAlign w:val="bottom"/>
          </w:tcPr>
          <w:p w:rsidR="00CC2C66" w:rsidRDefault="00F80B74">
            <w:pPr>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11,224</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33,672</w:t>
            </w:r>
            <w:r>
              <w:rPr>
                <w:rFonts w:ascii="Arial" w:eastAsia="Arial" w:hAnsi="Arial" w:cs="Arial"/>
                <w:sz w:val="19"/>
                <w:szCs w:val="19"/>
                <w:vertAlign w:val="superscript"/>
              </w:rPr>
              <w:t>(iii)</w:t>
            </w:r>
          </w:p>
        </w:tc>
        <w:tc>
          <w:tcPr>
            <w:tcW w:w="720" w:type="dxa"/>
            <w:vAlign w:val="bottom"/>
          </w:tcPr>
          <w:p w:rsidR="00CC2C66" w:rsidRDefault="00F80B74">
            <w:pPr>
              <w:ind w:right="15"/>
              <w:jc w:val="right"/>
              <w:rPr>
                <w:sz w:val="20"/>
                <w:szCs w:val="20"/>
              </w:rPr>
            </w:pPr>
            <w:r>
              <w:rPr>
                <w:rFonts w:ascii="Arial" w:eastAsia="Arial" w:hAnsi="Arial" w:cs="Arial"/>
                <w:sz w:val="13"/>
                <w:szCs w:val="13"/>
              </w:rPr>
              <w:t>42.71</w:t>
            </w:r>
          </w:p>
        </w:tc>
        <w:tc>
          <w:tcPr>
            <w:tcW w:w="800" w:type="dxa"/>
            <w:vAlign w:val="bottom"/>
          </w:tcPr>
          <w:p w:rsidR="00CC2C66" w:rsidRDefault="00F80B74">
            <w:pPr>
              <w:jc w:val="right"/>
              <w:rPr>
                <w:sz w:val="20"/>
                <w:szCs w:val="20"/>
              </w:rPr>
            </w:pPr>
            <w:r>
              <w:rPr>
                <w:rFonts w:ascii="Arial" w:eastAsia="Arial" w:hAnsi="Arial" w:cs="Arial"/>
                <w:sz w:val="13"/>
                <w:szCs w:val="13"/>
              </w:rPr>
              <w:t>2/7/2030</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640"/>
              <w:rPr>
                <w:sz w:val="20"/>
                <w:szCs w:val="20"/>
              </w:rPr>
            </w:pPr>
            <w:r>
              <w:rPr>
                <w:rFonts w:ascii="Arial" w:eastAsia="Arial" w:hAnsi="Arial" w:cs="Arial"/>
                <w:sz w:val="13"/>
                <w:szCs w:val="13"/>
              </w:rPr>
              <w:t>5,571</w:t>
            </w:r>
            <w:r>
              <w:rPr>
                <w:rFonts w:ascii="Arial" w:eastAsia="Arial" w:hAnsi="Arial" w:cs="Arial"/>
                <w:sz w:val="19"/>
                <w:szCs w:val="19"/>
                <w:vertAlign w:val="superscript"/>
              </w:rPr>
              <w:t>(i)</w:t>
            </w:r>
          </w:p>
        </w:tc>
        <w:tc>
          <w:tcPr>
            <w:tcW w:w="1000" w:type="dxa"/>
            <w:gridSpan w:val="4"/>
            <w:vAlign w:val="bottom"/>
          </w:tcPr>
          <w:p w:rsidR="00CC2C66" w:rsidRDefault="00F80B74">
            <w:pPr>
              <w:jc w:val="right"/>
              <w:rPr>
                <w:sz w:val="20"/>
                <w:szCs w:val="20"/>
              </w:rPr>
            </w:pPr>
            <w:r>
              <w:rPr>
                <w:rFonts w:ascii="Arial" w:eastAsia="Arial" w:hAnsi="Arial" w:cs="Arial"/>
                <w:sz w:val="13"/>
                <w:szCs w:val="13"/>
              </w:rPr>
              <w:t>277,669</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ind w:right="155"/>
              <w:jc w:val="right"/>
              <w:rPr>
                <w:sz w:val="20"/>
                <w:szCs w:val="20"/>
              </w:rPr>
            </w:pPr>
            <w:r>
              <w:rPr>
                <w:rFonts w:ascii="Arial" w:eastAsia="Arial" w:hAnsi="Arial" w:cs="Arial"/>
                <w:sz w:val="13"/>
                <w:szCs w:val="13"/>
              </w:rPr>
              <w:t>—</w:t>
            </w:r>
          </w:p>
        </w:tc>
        <w:tc>
          <w:tcPr>
            <w:tcW w:w="720" w:type="dxa"/>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vAlign w:val="bottom"/>
          </w:tcPr>
          <w:p w:rsidR="00CC2C66" w:rsidRDefault="00F80B74">
            <w:pPr>
              <w:ind w:right="260"/>
              <w:jc w:val="right"/>
              <w:rPr>
                <w:sz w:val="20"/>
                <w:szCs w:val="20"/>
              </w:rPr>
            </w:pPr>
            <w:r>
              <w:rPr>
                <w:rFonts w:ascii="Arial" w:eastAsia="Arial" w:hAnsi="Arial" w:cs="Arial"/>
                <w:sz w:val="13"/>
                <w:szCs w:val="13"/>
              </w:rPr>
              <w:t>—</w:t>
            </w: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580"/>
              <w:rPr>
                <w:sz w:val="20"/>
                <w:szCs w:val="20"/>
              </w:rPr>
            </w:pPr>
            <w:r>
              <w:rPr>
                <w:rFonts w:ascii="Arial" w:eastAsia="Arial" w:hAnsi="Arial" w:cs="Arial"/>
                <w:sz w:val="13"/>
                <w:szCs w:val="13"/>
              </w:rPr>
              <w:t>52,112</w:t>
            </w:r>
            <w:r>
              <w:rPr>
                <w:rFonts w:ascii="Arial" w:eastAsia="Arial" w:hAnsi="Arial" w:cs="Arial"/>
                <w:sz w:val="19"/>
                <w:szCs w:val="19"/>
                <w:vertAlign w:val="superscript"/>
              </w:rPr>
              <w:t>(ii)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2,597,262</w:t>
            </w:r>
          </w:p>
        </w:tc>
        <w:tc>
          <w:tcPr>
            <w:tcW w:w="0" w:type="dxa"/>
            <w:vAlign w:val="bottom"/>
          </w:tcPr>
          <w:p w:rsidR="00CC2C66" w:rsidRDefault="00CC2C66">
            <w:pPr>
              <w:rPr>
                <w:sz w:val="1"/>
                <w:szCs w:val="1"/>
              </w:rPr>
            </w:pPr>
          </w:p>
        </w:tc>
      </w:tr>
      <w:tr w:rsidR="00CC2C66">
        <w:trPr>
          <w:trHeight w:val="166"/>
        </w:trPr>
        <w:tc>
          <w:tcPr>
            <w:tcW w:w="20" w:type="dxa"/>
            <w:vAlign w:val="bottom"/>
          </w:tcPr>
          <w:p w:rsidR="00CC2C66" w:rsidRDefault="00CC2C66">
            <w:pPr>
              <w:rPr>
                <w:sz w:val="14"/>
                <w:szCs w:val="14"/>
              </w:rPr>
            </w:pPr>
          </w:p>
        </w:tc>
        <w:tc>
          <w:tcPr>
            <w:tcW w:w="1400" w:type="dxa"/>
            <w:vAlign w:val="bottom"/>
          </w:tcPr>
          <w:p w:rsidR="00CC2C66" w:rsidRDefault="00CC2C66">
            <w:pPr>
              <w:rPr>
                <w:sz w:val="14"/>
                <w:szCs w:val="14"/>
              </w:rPr>
            </w:pPr>
          </w:p>
        </w:tc>
        <w:tc>
          <w:tcPr>
            <w:tcW w:w="820" w:type="dxa"/>
            <w:vAlign w:val="bottom"/>
          </w:tcPr>
          <w:p w:rsidR="00CC2C66" w:rsidRDefault="00F80B74">
            <w:pPr>
              <w:jc w:val="right"/>
              <w:rPr>
                <w:sz w:val="20"/>
                <w:szCs w:val="20"/>
              </w:rPr>
            </w:pPr>
            <w:r>
              <w:rPr>
                <w:rFonts w:ascii="Arial" w:eastAsia="Arial" w:hAnsi="Arial" w:cs="Arial"/>
                <w:sz w:val="13"/>
                <w:szCs w:val="13"/>
              </w:rPr>
              <w:t>2/5/2021</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40" w:type="dxa"/>
            <w:vAlign w:val="bottom"/>
          </w:tcPr>
          <w:p w:rsidR="00CC2C66" w:rsidRDefault="00F80B74">
            <w:pPr>
              <w:spacing w:line="166" w:lineRule="exact"/>
              <w:ind w:left="740"/>
              <w:rPr>
                <w:sz w:val="20"/>
                <w:szCs w:val="20"/>
              </w:rPr>
            </w:pPr>
            <w:r>
              <w:rPr>
                <w:rFonts w:ascii="Arial" w:eastAsia="Arial" w:hAnsi="Arial" w:cs="Arial"/>
                <w:sz w:val="13"/>
                <w:szCs w:val="13"/>
              </w:rPr>
              <w:t>35,831</w:t>
            </w:r>
            <w:r>
              <w:rPr>
                <w:rFonts w:ascii="Arial" w:eastAsia="Arial" w:hAnsi="Arial" w:cs="Arial"/>
                <w:sz w:val="19"/>
                <w:szCs w:val="19"/>
                <w:vertAlign w:val="superscript"/>
              </w:rPr>
              <w:t>(iv)</w:t>
            </w:r>
          </w:p>
        </w:tc>
        <w:tc>
          <w:tcPr>
            <w:tcW w:w="720" w:type="dxa"/>
            <w:vAlign w:val="bottom"/>
          </w:tcPr>
          <w:p w:rsidR="00CC2C66" w:rsidRDefault="00F80B74">
            <w:pPr>
              <w:ind w:right="15"/>
              <w:jc w:val="right"/>
              <w:rPr>
                <w:sz w:val="20"/>
                <w:szCs w:val="20"/>
              </w:rPr>
            </w:pPr>
            <w:r>
              <w:rPr>
                <w:rFonts w:ascii="Arial" w:eastAsia="Arial" w:hAnsi="Arial" w:cs="Arial"/>
                <w:sz w:val="13"/>
                <w:szCs w:val="13"/>
              </w:rPr>
              <w:t>57.39</w:t>
            </w:r>
          </w:p>
        </w:tc>
        <w:tc>
          <w:tcPr>
            <w:tcW w:w="800" w:type="dxa"/>
            <w:vAlign w:val="bottom"/>
          </w:tcPr>
          <w:p w:rsidR="00CC2C66" w:rsidRDefault="00F80B74">
            <w:pPr>
              <w:jc w:val="right"/>
              <w:rPr>
                <w:sz w:val="20"/>
                <w:szCs w:val="20"/>
              </w:rPr>
            </w:pPr>
            <w:r>
              <w:rPr>
                <w:rFonts w:ascii="Arial" w:eastAsia="Arial" w:hAnsi="Arial" w:cs="Arial"/>
                <w:sz w:val="13"/>
                <w:szCs w:val="13"/>
              </w:rPr>
              <w:t>2/5/2031</w:t>
            </w:r>
          </w:p>
        </w:tc>
        <w:tc>
          <w:tcPr>
            <w:tcW w:w="220" w:type="dxa"/>
            <w:vAlign w:val="bottom"/>
          </w:tcPr>
          <w:p w:rsidR="00CC2C66" w:rsidRDefault="00CC2C66">
            <w:pPr>
              <w:rPr>
                <w:sz w:val="14"/>
                <w:szCs w:val="14"/>
              </w:rPr>
            </w:pPr>
          </w:p>
        </w:tc>
        <w:tc>
          <w:tcPr>
            <w:tcW w:w="1040" w:type="dxa"/>
            <w:vAlign w:val="bottom"/>
          </w:tcPr>
          <w:p w:rsidR="00CC2C66" w:rsidRDefault="00F80B74">
            <w:pPr>
              <w:ind w:right="13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60" w:type="dxa"/>
            <w:vAlign w:val="bottom"/>
          </w:tcPr>
          <w:p w:rsidR="00CC2C66" w:rsidRDefault="00F80B74">
            <w:pPr>
              <w:spacing w:line="166" w:lineRule="exact"/>
              <w:ind w:left="640"/>
              <w:rPr>
                <w:sz w:val="20"/>
                <w:szCs w:val="20"/>
              </w:rPr>
            </w:pPr>
            <w:r>
              <w:rPr>
                <w:rFonts w:ascii="Arial" w:eastAsia="Arial" w:hAnsi="Arial" w:cs="Arial"/>
                <w:sz w:val="19"/>
                <w:szCs w:val="19"/>
                <w:vertAlign w:val="subscript"/>
              </w:rPr>
              <w:t>2,138</w:t>
            </w:r>
            <w:r>
              <w:rPr>
                <w:rFonts w:ascii="Arial" w:eastAsia="Arial" w:hAnsi="Arial" w:cs="Arial"/>
                <w:sz w:val="8"/>
                <w:szCs w:val="8"/>
              </w:rPr>
              <w:t>(iii)</w:t>
            </w:r>
          </w:p>
        </w:tc>
        <w:tc>
          <w:tcPr>
            <w:tcW w:w="1000" w:type="dxa"/>
            <w:gridSpan w:val="4"/>
            <w:vAlign w:val="bottom"/>
          </w:tcPr>
          <w:p w:rsidR="00CC2C66" w:rsidRDefault="00F80B74">
            <w:pPr>
              <w:jc w:val="right"/>
              <w:rPr>
                <w:sz w:val="20"/>
                <w:szCs w:val="20"/>
              </w:rPr>
            </w:pPr>
            <w:r>
              <w:rPr>
                <w:rFonts w:ascii="Arial" w:eastAsia="Arial" w:hAnsi="Arial" w:cs="Arial"/>
                <w:sz w:val="13"/>
                <w:szCs w:val="13"/>
              </w:rPr>
              <w:t>106,558</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tcBorders>
              <w:bottom w:val="single" w:sz="8" w:space="0" w:color="CF0A2C"/>
            </w:tcBorders>
            <w:vAlign w:val="bottom"/>
          </w:tcPr>
          <w:p w:rsidR="00CC2C66" w:rsidRDefault="00CC2C66">
            <w:pPr>
              <w:rPr>
                <w:sz w:val="13"/>
                <w:szCs w:val="13"/>
              </w:rPr>
            </w:pPr>
          </w:p>
        </w:tc>
        <w:tc>
          <w:tcPr>
            <w:tcW w:w="8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5/25/2021</w:t>
            </w:r>
          </w:p>
        </w:tc>
        <w:tc>
          <w:tcPr>
            <w:tcW w:w="10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340" w:type="dxa"/>
            <w:tcBorders>
              <w:bottom w:val="single" w:sz="8" w:space="0" w:color="CF0A2C"/>
            </w:tcBorders>
            <w:vAlign w:val="bottom"/>
          </w:tcPr>
          <w:p w:rsidR="00CC2C66" w:rsidRDefault="00F80B74">
            <w:pPr>
              <w:ind w:right="155"/>
              <w:jc w:val="right"/>
              <w:rPr>
                <w:sz w:val="20"/>
                <w:szCs w:val="20"/>
              </w:rPr>
            </w:pPr>
            <w:r>
              <w:rPr>
                <w:rFonts w:ascii="Arial" w:eastAsia="Arial" w:hAnsi="Arial" w:cs="Arial"/>
                <w:sz w:val="13"/>
                <w:szCs w:val="13"/>
              </w:rPr>
              <w:t>—</w:t>
            </w:r>
          </w:p>
        </w:tc>
        <w:tc>
          <w:tcPr>
            <w:tcW w:w="7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020" w:type="dxa"/>
            <w:gridSpan w:val="2"/>
            <w:tcBorders>
              <w:bottom w:val="single" w:sz="8" w:space="0" w:color="CF0A2C"/>
            </w:tcBorders>
            <w:vAlign w:val="bottom"/>
          </w:tcPr>
          <w:p w:rsidR="00CC2C66" w:rsidRDefault="00F80B74">
            <w:pPr>
              <w:ind w:right="260"/>
              <w:jc w:val="right"/>
              <w:rPr>
                <w:sz w:val="20"/>
                <w:szCs w:val="20"/>
              </w:rPr>
            </w:pPr>
            <w:r>
              <w:rPr>
                <w:rFonts w:ascii="Arial" w:eastAsia="Arial" w:hAnsi="Arial" w:cs="Arial"/>
                <w:sz w:val="13"/>
                <w:szCs w:val="13"/>
              </w:rPr>
              <w:t>—</w:t>
            </w:r>
          </w:p>
        </w:tc>
        <w:tc>
          <w:tcPr>
            <w:tcW w:w="1040" w:type="dxa"/>
            <w:tcBorders>
              <w:bottom w:val="single" w:sz="8" w:space="0" w:color="CF0A2C"/>
            </w:tcBorders>
            <w:vAlign w:val="bottom"/>
          </w:tcPr>
          <w:p w:rsidR="00CC2C66" w:rsidRDefault="00F80B74">
            <w:pPr>
              <w:ind w:right="136"/>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160" w:type="dxa"/>
            <w:tcBorders>
              <w:bottom w:val="single" w:sz="8" w:space="0" w:color="CF0A2C"/>
            </w:tcBorders>
            <w:vAlign w:val="bottom"/>
          </w:tcPr>
          <w:p w:rsidR="00CC2C66" w:rsidRDefault="00F80B74">
            <w:pPr>
              <w:spacing w:line="154" w:lineRule="exact"/>
              <w:ind w:left="640"/>
              <w:rPr>
                <w:sz w:val="20"/>
                <w:szCs w:val="20"/>
              </w:rPr>
            </w:pPr>
            <w:r>
              <w:rPr>
                <w:rFonts w:ascii="Arial" w:eastAsia="Arial" w:hAnsi="Arial" w:cs="Arial"/>
                <w:sz w:val="17"/>
                <w:szCs w:val="17"/>
                <w:vertAlign w:val="subscript"/>
              </w:rPr>
              <w:t>2,723</w:t>
            </w:r>
            <w:r>
              <w:rPr>
                <w:rFonts w:ascii="Arial" w:eastAsia="Arial" w:hAnsi="Arial" w:cs="Arial"/>
                <w:sz w:val="8"/>
                <w:szCs w:val="8"/>
              </w:rPr>
              <w:t>(iii)</w:t>
            </w:r>
          </w:p>
        </w:tc>
        <w:tc>
          <w:tcPr>
            <w:tcW w:w="1000" w:type="dxa"/>
            <w:gridSpan w:val="4"/>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135,714</w:t>
            </w:r>
          </w:p>
        </w:tc>
        <w:tc>
          <w:tcPr>
            <w:tcW w:w="0" w:type="dxa"/>
            <w:vAlign w:val="bottom"/>
          </w:tcPr>
          <w:p w:rsidR="00CC2C66" w:rsidRDefault="00CC2C66">
            <w:pPr>
              <w:rPr>
                <w:sz w:val="1"/>
                <w:szCs w:val="1"/>
              </w:rPr>
            </w:pPr>
          </w:p>
        </w:tc>
      </w:tr>
      <w:tr w:rsidR="00CC2C66">
        <w:trPr>
          <w:trHeight w:val="133"/>
        </w:trPr>
        <w:tc>
          <w:tcPr>
            <w:tcW w:w="20" w:type="dxa"/>
            <w:vAlign w:val="bottom"/>
          </w:tcPr>
          <w:p w:rsidR="00CC2C66" w:rsidRDefault="00CC2C66">
            <w:pPr>
              <w:rPr>
                <w:sz w:val="11"/>
                <w:szCs w:val="11"/>
              </w:rPr>
            </w:pPr>
          </w:p>
        </w:tc>
        <w:tc>
          <w:tcPr>
            <w:tcW w:w="1400" w:type="dxa"/>
            <w:vAlign w:val="bottom"/>
          </w:tcPr>
          <w:p w:rsidR="00CC2C66" w:rsidRDefault="00CC2C66">
            <w:pPr>
              <w:rPr>
                <w:sz w:val="11"/>
                <w:szCs w:val="11"/>
              </w:rPr>
            </w:pPr>
          </w:p>
        </w:tc>
        <w:tc>
          <w:tcPr>
            <w:tcW w:w="820" w:type="dxa"/>
            <w:vAlign w:val="bottom"/>
          </w:tcPr>
          <w:p w:rsidR="00CC2C66" w:rsidRDefault="00CC2C66">
            <w:pPr>
              <w:rPr>
                <w:sz w:val="11"/>
                <w:szCs w:val="11"/>
              </w:rPr>
            </w:pPr>
          </w:p>
        </w:tc>
        <w:tc>
          <w:tcPr>
            <w:tcW w:w="1020" w:type="dxa"/>
            <w:vAlign w:val="bottom"/>
          </w:tcPr>
          <w:p w:rsidR="00CC2C66" w:rsidRDefault="00CC2C66">
            <w:pPr>
              <w:rPr>
                <w:sz w:val="11"/>
                <w:szCs w:val="11"/>
              </w:rPr>
            </w:pPr>
          </w:p>
        </w:tc>
        <w:tc>
          <w:tcPr>
            <w:tcW w:w="1340" w:type="dxa"/>
            <w:vAlign w:val="bottom"/>
          </w:tcPr>
          <w:p w:rsidR="00CC2C66" w:rsidRDefault="00CC2C66">
            <w:pPr>
              <w:rPr>
                <w:sz w:val="11"/>
                <w:szCs w:val="11"/>
              </w:rPr>
            </w:pPr>
          </w:p>
        </w:tc>
        <w:tc>
          <w:tcPr>
            <w:tcW w:w="720" w:type="dxa"/>
            <w:vAlign w:val="bottom"/>
          </w:tcPr>
          <w:p w:rsidR="00CC2C66" w:rsidRDefault="00CC2C66">
            <w:pPr>
              <w:rPr>
                <w:sz w:val="11"/>
                <w:szCs w:val="11"/>
              </w:rPr>
            </w:pPr>
          </w:p>
        </w:tc>
        <w:tc>
          <w:tcPr>
            <w:tcW w:w="800" w:type="dxa"/>
            <w:vAlign w:val="bottom"/>
          </w:tcPr>
          <w:p w:rsidR="00CC2C66" w:rsidRDefault="00CC2C66">
            <w:pPr>
              <w:rPr>
                <w:sz w:val="11"/>
                <w:szCs w:val="11"/>
              </w:rPr>
            </w:pPr>
          </w:p>
        </w:tc>
        <w:tc>
          <w:tcPr>
            <w:tcW w:w="220" w:type="dxa"/>
            <w:vAlign w:val="bottom"/>
          </w:tcPr>
          <w:p w:rsidR="00CC2C66" w:rsidRDefault="00CC2C66">
            <w:pPr>
              <w:rPr>
                <w:sz w:val="11"/>
                <w:szCs w:val="11"/>
              </w:rPr>
            </w:pPr>
          </w:p>
        </w:tc>
        <w:tc>
          <w:tcPr>
            <w:tcW w:w="1040" w:type="dxa"/>
            <w:vAlign w:val="bottom"/>
          </w:tcPr>
          <w:p w:rsidR="00CC2C66" w:rsidRDefault="00CC2C66">
            <w:pPr>
              <w:rPr>
                <w:sz w:val="11"/>
                <w:szCs w:val="11"/>
              </w:rPr>
            </w:pPr>
          </w:p>
        </w:tc>
        <w:tc>
          <w:tcPr>
            <w:tcW w:w="2620" w:type="dxa"/>
            <w:gridSpan w:val="3"/>
            <w:vMerge w:val="restart"/>
            <w:vAlign w:val="bottom"/>
          </w:tcPr>
          <w:p w:rsidR="00CC2C66" w:rsidRDefault="00F80B74">
            <w:pPr>
              <w:ind w:left="620"/>
              <w:rPr>
                <w:sz w:val="20"/>
                <w:szCs w:val="20"/>
              </w:rPr>
            </w:pPr>
            <w:r>
              <w:rPr>
                <w:rFonts w:ascii="Arial" w:eastAsia="Arial" w:hAnsi="Arial" w:cs="Arial"/>
                <w:b/>
                <w:bCs/>
                <w:color w:val="4C4C4C"/>
                <w:w w:val="99"/>
                <w:sz w:val="14"/>
                <w:szCs w:val="14"/>
              </w:rPr>
              <w:t xml:space="preserve">YUM CHINA </w:t>
            </w:r>
            <w:r>
              <w:rPr>
                <w:rFonts w:ascii="Arial" w:eastAsia="Arial" w:hAnsi="Arial" w:cs="Arial"/>
                <w:i/>
                <w:iCs/>
                <w:color w:val="4C4C4C"/>
                <w:w w:val="99"/>
                <w:sz w:val="14"/>
                <w:szCs w:val="14"/>
              </w:rPr>
              <w:t>– Proxy Statement</w:t>
            </w:r>
          </w:p>
        </w:tc>
        <w:tc>
          <w:tcPr>
            <w:tcW w:w="20" w:type="dxa"/>
            <w:vAlign w:val="bottom"/>
          </w:tcPr>
          <w:p w:rsidR="00CC2C66" w:rsidRDefault="00CC2C66">
            <w:pPr>
              <w:rPr>
                <w:sz w:val="11"/>
                <w:szCs w:val="11"/>
              </w:rPr>
            </w:pPr>
          </w:p>
        </w:tc>
        <w:tc>
          <w:tcPr>
            <w:tcW w:w="140" w:type="dxa"/>
            <w:vMerge w:val="restart"/>
            <w:vAlign w:val="bottom"/>
          </w:tcPr>
          <w:p w:rsidR="00CC2C66" w:rsidRDefault="00CC2C66">
            <w:pPr>
              <w:rPr>
                <w:sz w:val="11"/>
                <w:szCs w:val="11"/>
              </w:rPr>
            </w:pPr>
          </w:p>
        </w:tc>
        <w:tc>
          <w:tcPr>
            <w:tcW w:w="260" w:type="dxa"/>
            <w:vMerge w:val="restart"/>
            <w:vAlign w:val="bottom"/>
          </w:tcPr>
          <w:p w:rsidR="00CC2C66" w:rsidRDefault="00F80B74">
            <w:pPr>
              <w:ind w:right="16"/>
              <w:jc w:val="right"/>
              <w:rPr>
                <w:sz w:val="20"/>
                <w:szCs w:val="20"/>
              </w:rPr>
            </w:pPr>
            <w:r>
              <w:rPr>
                <w:rFonts w:ascii="Arial" w:eastAsia="Arial" w:hAnsi="Arial" w:cs="Arial"/>
                <w:color w:val="CF0A2C"/>
                <w:sz w:val="14"/>
                <w:szCs w:val="14"/>
              </w:rPr>
              <w:t>59</w:t>
            </w:r>
          </w:p>
        </w:tc>
        <w:tc>
          <w:tcPr>
            <w:tcW w:w="0" w:type="dxa"/>
            <w:vAlign w:val="bottom"/>
          </w:tcPr>
          <w:p w:rsidR="00CC2C66" w:rsidRDefault="00CC2C66">
            <w:pPr>
              <w:rPr>
                <w:sz w:val="1"/>
                <w:szCs w:val="1"/>
              </w:rPr>
            </w:pPr>
          </w:p>
        </w:tc>
      </w:tr>
      <w:tr w:rsidR="00CC2C66">
        <w:trPr>
          <w:trHeight w:val="153"/>
        </w:trPr>
        <w:tc>
          <w:tcPr>
            <w:tcW w:w="20" w:type="dxa"/>
            <w:vAlign w:val="bottom"/>
          </w:tcPr>
          <w:p w:rsidR="00CC2C66" w:rsidRDefault="00CC2C66">
            <w:pPr>
              <w:rPr>
                <w:sz w:val="13"/>
                <w:szCs w:val="13"/>
              </w:rPr>
            </w:pPr>
          </w:p>
        </w:tc>
        <w:tc>
          <w:tcPr>
            <w:tcW w:w="1400" w:type="dxa"/>
            <w:vAlign w:val="bottom"/>
          </w:tcPr>
          <w:p w:rsidR="00CC2C66" w:rsidRDefault="00CC2C66">
            <w:pPr>
              <w:rPr>
                <w:sz w:val="13"/>
                <w:szCs w:val="13"/>
              </w:rPr>
            </w:pPr>
          </w:p>
        </w:tc>
        <w:tc>
          <w:tcPr>
            <w:tcW w:w="820" w:type="dxa"/>
            <w:vAlign w:val="bottom"/>
          </w:tcPr>
          <w:p w:rsidR="00CC2C66" w:rsidRDefault="00CC2C66">
            <w:pPr>
              <w:rPr>
                <w:sz w:val="13"/>
                <w:szCs w:val="13"/>
              </w:rPr>
            </w:pPr>
          </w:p>
        </w:tc>
        <w:tc>
          <w:tcPr>
            <w:tcW w:w="1020" w:type="dxa"/>
            <w:vAlign w:val="bottom"/>
          </w:tcPr>
          <w:p w:rsidR="00CC2C66" w:rsidRDefault="00CC2C66">
            <w:pPr>
              <w:rPr>
                <w:sz w:val="13"/>
                <w:szCs w:val="13"/>
              </w:rPr>
            </w:pPr>
          </w:p>
        </w:tc>
        <w:tc>
          <w:tcPr>
            <w:tcW w:w="1340" w:type="dxa"/>
            <w:vAlign w:val="bottom"/>
          </w:tcPr>
          <w:p w:rsidR="00CC2C66" w:rsidRDefault="00CC2C66">
            <w:pPr>
              <w:rPr>
                <w:sz w:val="13"/>
                <w:szCs w:val="13"/>
              </w:rPr>
            </w:pPr>
          </w:p>
        </w:tc>
        <w:tc>
          <w:tcPr>
            <w:tcW w:w="720" w:type="dxa"/>
            <w:vAlign w:val="bottom"/>
          </w:tcPr>
          <w:p w:rsidR="00CC2C66" w:rsidRDefault="00CC2C66">
            <w:pPr>
              <w:rPr>
                <w:sz w:val="13"/>
                <w:szCs w:val="13"/>
              </w:rPr>
            </w:pPr>
          </w:p>
        </w:tc>
        <w:tc>
          <w:tcPr>
            <w:tcW w:w="800" w:type="dxa"/>
            <w:vAlign w:val="bottom"/>
          </w:tcPr>
          <w:p w:rsidR="00CC2C66" w:rsidRDefault="00CC2C66">
            <w:pPr>
              <w:rPr>
                <w:sz w:val="13"/>
                <w:szCs w:val="13"/>
              </w:rPr>
            </w:pPr>
          </w:p>
        </w:tc>
        <w:tc>
          <w:tcPr>
            <w:tcW w:w="220" w:type="dxa"/>
            <w:vAlign w:val="bottom"/>
          </w:tcPr>
          <w:p w:rsidR="00CC2C66" w:rsidRDefault="00CC2C66">
            <w:pPr>
              <w:rPr>
                <w:sz w:val="13"/>
                <w:szCs w:val="13"/>
              </w:rPr>
            </w:pPr>
          </w:p>
        </w:tc>
        <w:tc>
          <w:tcPr>
            <w:tcW w:w="1040" w:type="dxa"/>
            <w:vAlign w:val="bottom"/>
          </w:tcPr>
          <w:p w:rsidR="00CC2C66" w:rsidRDefault="00CC2C66">
            <w:pPr>
              <w:rPr>
                <w:sz w:val="13"/>
                <w:szCs w:val="13"/>
              </w:rPr>
            </w:pPr>
          </w:p>
        </w:tc>
        <w:tc>
          <w:tcPr>
            <w:tcW w:w="2620" w:type="dxa"/>
            <w:gridSpan w:val="3"/>
            <w:vMerge/>
            <w:vAlign w:val="bottom"/>
          </w:tcPr>
          <w:p w:rsidR="00CC2C66" w:rsidRDefault="00CC2C66">
            <w:pPr>
              <w:rPr>
                <w:sz w:val="13"/>
                <w:szCs w:val="13"/>
              </w:rPr>
            </w:pPr>
          </w:p>
        </w:tc>
        <w:tc>
          <w:tcPr>
            <w:tcW w:w="20" w:type="dxa"/>
            <w:shd w:val="clear" w:color="auto" w:fill="CF0A2C"/>
            <w:vAlign w:val="bottom"/>
          </w:tcPr>
          <w:p w:rsidR="00CC2C66" w:rsidRDefault="00CC2C66">
            <w:pPr>
              <w:rPr>
                <w:sz w:val="13"/>
                <w:szCs w:val="13"/>
              </w:rPr>
            </w:pPr>
          </w:p>
        </w:tc>
        <w:tc>
          <w:tcPr>
            <w:tcW w:w="140" w:type="dxa"/>
            <w:vMerge/>
            <w:vAlign w:val="bottom"/>
          </w:tcPr>
          <w:p w:rsidR="00CC2C66" w:rsidRDefault="00CC2C66">
            <w:pPr>
              <w:rPr>
                <w:sz w:val="13"/>
                <w:szCs w:val="13"/>
              </w:rPr>
            </w:pPr>
          </w:p>
        </w:tc>
        <w:tc>
          <w:tcPr>
            <w:tcW w:w="260" w:type="dxa"/>
            <w:vMerge/>
            <w:vAlign w:val="bottom"/>
          </w:tcPr>
          <w:p w:rsidR="00CC2C66" w:rsidRDefault="00CC2C66">
            <w:pPr>
              <w:rPr>
                <w:sz w:val="13"/>
                <w:szCs w:val="13"/>
              </w:rPr>
            </w:pPr>
          </w:p>
        </w:tc>
        <w:tc>
          <w:tcPr>
            <w:tcW w:w="0" w:type="dxa"/>
            <w:vAlign w:val="bottom"/>
          </w:tcPr>
          <w:p w:rsidR="00CC2C66" w:rsidRDefault="00CC2C66">
            <w:pPr>
              <w:rPr>
                <w:sz w:val="1"/>
                <w:szCs w:val="1"/>
              </w:rPr>
            </w:pPr>
          </w:p>
        </w:tc>
      </w:tr>
    </w:tbl>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6" w:name="page66"/>
      <w:bookmarkEnd w:id="66"/>
      <w:r>
        <w:rPr>
          <w:rFonts w:eastAsia="Times New Roman"/>
          <w:b/>
          <w:bCs/>
          <w:noProof/>
          <w:color w:val="0000EE"/>
          <w:sz w:val="17"/>
          <w:szCs w:val="17"/>
          <w:u w:val="single"/>
        </w:rPr>
        <w:drawing>
          <wp:anchor distT="0" distB="0" distL="114300" distR="114300" simplePos="0" relativeHeight="25172275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23776"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19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0"/>
        <w:gridCol w:w="1280"/>
        <w:gridCol w:w="840"/>
        <w:gridCol w:w="1020"/>
        <w:gridCol w:w="1360"/>
        <w:gridCol w:w="740"/>
        <w:gridCol w:w="800"/>
        <w:gridCol w:w="240"/>
        <w:gridCol w:w="1060"/>
        <w:gridCol w:w="880"/>
        <w:gridCol w:w="1180"/>
        <w:gridCol w:w="1000"/>
      </w:tblGrid>
      <w:tr w:rsidR="00CC2C66">
        <w:trPr>
          <w:trHeight w:val="166"/>
        </w:trPr>
        <w:tc>
          <w:tcPr>
            <w:tcW w:w="20" w:type="dxa"/>
            <w:vAlign w:val="bottom"/>
          </w:tcPr>
          <w:p w:rsidR="00CC2C66" w:rsidRDefault="00CC2C66">
            <w:pPr>
              <w:rPr>
                <w:sz w:val="14"/>
                <w:szCs w:val="14"/>
              </w:rPr>
            </w:pPr>
          </w:p>
        </w:tc>
        <w:tc>
          <w:tcPr>
            <w:tcW w:w="128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84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102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100" w:type="dxa"/>
            <w:gridSpan w:val="2"/>
            <w:tcBorders>
              <w:top w:val="single" w:sz="8" w:space="0" w:color="CF0A2C"/>
              <w:bottom w:val="single" w:sz="8" w:space="0" w:color="CF0A2C"/>
            </w:tcBorders>
            <w:shd w:val="clear" w:color="auto" w:fill="FAE6E9"/>
            <w:vAlign w:val="bottom"/>
          </w:tcPr>
          <w:p w:rsidR="00CC2C66" w:rsidRDefault="00F80B74">
            <w:pPr>
              <w:ind w:right="415"/>
              <w:jc w:val="right"/>
              <w:rPr>
                <w:sz w:val="20"/>
                <w:szCs w:val="20"/>
              </w:rPr>
            </w:pPr>
            <w:r>
              <w:rPr>
                <w:rFonts w:ascii="Arial" w:eastAsia="Arial" w:hAnsi="Arial" w:cs="Arial"/>
                <w:b/>
                <w:bCs/>
                <w:color w:val="CF0A2C"/>
                <w:sz w:val="14"/>
                <w:szCs w:val="14"/>
              </w:rPr>
              <w:t>Option/SAR Awards</w:t>
            </w:r>
          </w:p>
        </w:tc>
        <w:tc>
          <w:tcPr>
            <w:tcW w:w="80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4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1060" w:type="dxa"/>
            <w:tcBorders>
              <w:top w:val="single" w:sz="8" w:space="0" w:color="CF0A2C"/>
              <w:bottom w:val="single" w:sz="8" w:space="0" w:color="CF0A2C"/>
            </w:tcBorders>
            <w:shd w:val="clear" w:color="auto" w:fill="FAE6E9"/>
            <w:vAlign w:val="bottom"/>
          </w:tcPr>
          <w:p w:rsidR="00CC2C66" w:rsidRDefault="00CC2C66">
            <w:pPr>
              <w:rPr>
                <w:sz w:val="14"/>
                <w:szCs w:val="14"/>
              </w:rPr>
            </w:pPr>
          </w:p>
        </w:tc>
        <w:tc>
          <w:tcPr>
            <w:tcW w:w="2060" w:type="dxa"/>
            <w:gridSpan w:val="2"/>
            <w:tcBorders>
              <w:top w:val="single" w:sz="8" w:space="0" w:color="CF0A2C"/>
              <w:bottom w:val="single" w:sz="8" w:space="0" w:color="CF0A2C"/>
            </w:tcBorders>
            <w:shd w:val="clear" w:color="auto" w:fill="FAE6E9"/>
            <w:vAlign w:val="bottom"/>
          </w:tcPr>
          <w:p w:rsidR="00CC2C66" w:rsidRDefault="00F80B74">
            <w:pPr>
              <w:ind w:right="495"/>
              <w:jc w:val="right"/>
              <w:rPr>
                <w:sz w:val="20"/>
                <w:szCs w:val="20"/>
              </w:rPr>
            </w:pPr>
            <w:r>
              <w:rPr>
                <w:rFonts w:ascii="Arial" w:eastAsia="Arial" w:hAnsi="Arial" w:cs="Arial"/>
                <w:b/>
                <w:bCs/>
                <w:color w:val="CF0A2C"/>
                <w:sz w:val="14"/>
                <w:szCs w:val="14"/>
              </w:rPr>
              <w:t>Stock Awards</w:t>
            </w:r>
          </w:p>
        </w:tc>
        <w:tc>
          <w:tcPr>
            <w:tcW w:w="1000" w:type="dxa"/>
            <w:tcBorders>
              <w:top w:val="single" w:sz="8" w:space="0" w:color="CF0A2C"/>
              <w:bottom w:val="single" w:sz="8" w:space="0" w:color="CF0A2C"/>
            </w:tcBorders>
            <w:shd w:val="clear" w:color="auto" w:fill="FAE6E9"/>
            <w:vAlign w:val="bottom"/>
          </w:tcPr>
          <w:p w:rsidR="00CC2C66" w:rsidRDefault="00CC2C66">
            <w:pPr>
              <w:rPr>
                <w:sz w:val="14"/>
                <w:szCs w:val="14"/>
              </w:rPr>
            </w:pPr>
          </w:p>
        </w:tc>
      </w:tr>
      <w:tr w:rsidR="00CC2C66">
        <w:trPr>
          <w:trHeight w:val="137"/>
        </w:trPr>
        <w:tc>
          <w:tcPr>
            <w:tcW w:w="20" w:type="dxa"/>
            <w:vAlign w:val="bottom"/>
          </w:tcPr>
          <w:p w:rsidR="00CC2C66" w:rsidRDefault="00CC2C66">
            <w:pPr>
              <w:rPr>
                <w:sz w:val="11"/>
                <w:szCs w:val="11"/>
              </w:rPr>
            </w:pPr>
          </w:p>
        </w:tc>
        <w:tc>
          <w:tcPr>
            <w:tcW w:w="1280" w:type="dxa"/>
            <w:shd w:val="clear" w:color="auto" w:fill="FAE6E9"/>
            <w:vAlign w:val="bottom"/>
          </w:tcPr>
          <w:p w:rsidR="00CC2C66" w:rsidRDefault="00CC2C66">
            <w:pPr>
              <w:rPr>
                <w:sz w:val="11"/>
                <w:szCs w:val="11"/>
              </w:rPr>
            </w:pPr>
          </w:p>
        </w:tc>
        <w:tc>
          <w:tcPr>
            <w:tcW w:w="840" w:type="dxa"/>
            <w:shd w:val="clear" w:color="auto" w:fill="FAE6E9"/>
            <w:vAlign w:val="bottom"/>
          </w:tcPr>
          <w:p w:rsidR="00CC2C66" w:rsidRDefault="00CC2C66">
            <w:pPr>
              <w:rPr>
                <w:sz w:val="11"/>
                <w:szCs w:val="11"/>
              </w:rPr>
            </w:pPr>
          </w:p>
        </w:tc>
        <w:tc>
          <w:tcPr>
            <w:tcW w:w="1020" w:type="dxa"/>
            <w:shd w:val="clear" w:color="auto" w:fill="FAE6E9"/>
            <w:vAlign w:val="bottom"/>
          </w:tcPr>
          <w:p w:rsidR="00CC2C66" w:rsidRDefault="00CC2C66">
            <w:pPr>
              <w:rPr>
                <w:sz w:val="11"/>
                <w:szCs w:val="11"/>
              </w:rPr>
            </w:pPr>
          </w:p>
        </w:tc>
        <w:tc>
          <w:tcPr>
            <w:tcW w:w="1360" w:type="dxa"/>
            <w:shd w:val="clear" w:color="auto" w:fill="FAE6E9"/>
            <w:vAlign w:val="bottom"/>
          </w:tcPr>
          <w:p w:rsidR="00CC2C66" w:rsidRDefault="00CC2C66">
            <w:pPr>
              <w:rPr>
                <w:sz w:val="11"/>
                <w:szCs w:val="11"/>
              </w:rPr>
            </w:pPr>
          </w:p>
        </w:tc>
        <w:tc>
          <w:tcPr>
            <w:tcW w:w="740" w:type="dxa"/>
            <w:shd w:val="clear" w:color="auto" w:fill="FAE6E9"/>
            <w:vAlign w:val="bottom"/>
          </w:tcPr>
          <w:p w:rsidR="00CC2C66" w:rsidRDefault="00CC2C66">
            <w:pPr>
              <w:rPr>
                <w:sz w:val="11"/>
                <w:szCs w:val="11"/>
              </w:rPr>
            </w:pPr>
          </w:p>
        </w:tc>
        <w:tc>
          <w:tcPr>
            <w:tcW w:w="800" w:type="dxa"/>
            <w:shd w:val="clear" w:color="auto" w:fill="FAE6E9"/>
            <w:vAlign w:val="bottom"/>
          </w:tcPr>
          <w:p w:rsidR="00CC2C66" w:rsidRDefault="00CC2C66">
            <w:pPr>
              <w:rPr>
                <w:sz w:val="11"/>
                <w:szCs w:val="11"/>
              </w:rPr>
            </w:pPr>
          </w:p>
        </w:tc>
        <w:tc>
          <w:tcPr>
            <w:tcW w:w="240" w:type="dxa"/>
            <w:shd w:val="clear" w:color="auto" w:fill="FAE6E9"/>
            <w:vAlign w:val="bottom"/>
          </w:tcPr>
          <w:p w:rsidR="00CC2C66" w:rsidRDefault="00CC2C66">
            <w:pPr>
              <w:rPr>
                <w:sz w:val="11"/>
                <w:szCs w:val="11"/>
              </w:rPr>
            </w:pPr>
          </w:p>
        </w:tc>
        <w:tc>
          <w:tcPr>
            <w:tcW w:w="1060" w:type="dxa"/>
            <w:shd w:val="clear" w:color="auto" w:fill="FAE6E9"/>
            <w:vAlign w:val="bottom"/>
          </w:tcPr>
          <w:p w:rsidR="00CC2C66" w:rsidRDefault="00CC2C66">
            <w:pPr>
              <w:rPr>
                <w:sz w:val="11"/>
                <w:szCs w:val="11"/>
              </w:rPr>
            </w:pPr>
          </w:p>
        </w:tc>
        <w:tc>
          <w:tcPr>
            <w:tcW w:w="880" w:type="dxa"/>
            <w:shd w:val="clear" w:color="auto" w:fill="FAE6E9"/>
            <w:vAlign w:val="bottom"/>
          </w:tcPr>
          <w:p w:rsidR="00CC2C66" w:rsidRDefault="00CC2C66">
            <w:pPr>
              <w:rPr>
                <w:sz w:val="11"/>
                <w:szCs w:val="11"/>
              </w:rPr>
            </w:pPr>
          </w:p>
        </w:tc>
        <w:tc>
          <w:tcPr>
            <w:tcW w:w="1180" w:type="dxa"/>
            <w:shd w:val="clear" w:color="auto" w:fill="FAE6E9"/>
            <w:vAlign w:val="bottom"/>
          </w:tcPr>
          <w:p w:rsidR="00CC2C66" w:rsidRDefault="00CC2C66">
            <w:pPr>
              <w:rPr>
                <w:sz w:val="11"/>
                <w:szCs w:val="11"/>
              </w:rPr>
            </w:pPr>
          </w:p>
        </w:tc>
        <w:tc>
          <w:tcPr>
            <w:tcW w:w="1000" w:type="dxa"/>
            <w:shd w:val="clear" w:color="auto" w:fill="FAE6E9"/>
            <w:vAlign w:val="bottom"/>
          </w:tcPr>
          <w:p w:rsidR="00CC2C66" w:rsidRDefault="00F80B74">
            <w:pPr>
              <w:spacing w:line="137" w:lineRule="exact"/>
              <w:jc w:val="center"/>
              <w:rPr>
                <w:sz w:val="20"/>
                <w:szCs w:val="20"/>
              </w:rPr>
            </w:pPr>
            <w:r>
              <w:rPr>
                <w:rFonts w:ascii="Arial" w:eastAsia="Arial" w:hAnsi="Arial" w:cs="Arial"/>
                <w:b/>
                <w:bCs/>
                <w:color w:val="CF0A2C"/>
                <w:w w:val="98"/>
                <w:sz w:val="14"/>
                <w:szCs w:val="14"/>
              </w:rPr>
              <w:t>Equity</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CC2C66">
            <w:pPr>
              <w:rPr>
                <w:sz w:val="13"/>
                <w:szCs w:val="13"/>
              </w:rPr>
            </w:pPr>
          </w:p>
        </w:tc>
        <w:tc>
          <w:tcPr>
            <w:tcW w:w="1360" w:type="dxa"/>
            <w:shd w:val="clear" w:color="auto" w:fill="FAE6E9"/>
            <w:vAlign w:val="bottom"/>
          </w:tcPr>
          <w:p w:rsidR="00CC2C66" w:rsidRDefault="00CC2C66">
            <w:pPr>
              <w:rPr>
                <w:sz w:val="13"/>
                <w:szCs w:val="13"/>
              </w:rPr>
            </w:pPr>
          </w:p>
        </w:tc>
        <w:tc>
          <w:tcPr>
            <w:tcW w:w="74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40" w:type="dxa"/>
            <w:shd w:val="clear" w:color="auto" w:fill="FAE6E9"/>
            <w:vAlign w:val="bottom"/>
          </w:tcPr>
          <w:p w:rsidR="00CC2C66" w:rsidRDefault="00CC2C66">
            <w:pPr>
              <w:rPr>
                <w:sz w:val="13"/>
                <w:szCs w:val="13"/>
              </w:rPr>
            </w:pPr>
          </w:p>
        </w:tc>
        <w:tc>
          <w:tcPr>
            <w:tcW w:w="106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CC2C66">
            <w:pPr>
              <w:rPr>
                <w:sz w:val="13"/>
                <w:szCs w:val="13"/>
              </w:rPr>
            </w:pPr>
          </w:p>
        </w:tc>
        <w:tc>
          <w:tcPr>
            <w:tcW w:w="118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8"/>
                <w:sz w:val="14"/>
                <w:szCs w:val="14"/>
              </w:rPr>
              <w:t>Equity</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Incentive</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CC2C66">
            <w:pPr>
              <w:rPr>
                <w:sz w:val="13"/>
                <w:szCs w:val="13"/>
              </w:rPr>
            </w:pPr>
          </w:p>
        </w:tc>
        <w:tc>
          <w:tcPr>
            <w:tcW w:w="1360" w:type="dxa"/>
            <w:shd w:val="clear" w:color="auto" w:fill="FAE6E9"/>
            <w:vAlign w:val="bottom"/>
          </w:tcPr>
          <w:p w:rsidR="00CC2C66" w:rsidRDefault="00CC2C66">
            <w:pPr>
              <w:rPr>
                <w:sz w:val="13"/>
                <w:szCs w:val="13"/>
              </w:rPr>
            </w:pPr>
          </w:p>
        </w:tc>
        <w:tc>
          <w:tcPr>
            <w:tcW w:w="74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40" w:type="dxa"/>
            <w:shd w:val="clear" w:color="auto" w:fill="FAE6E9"/>
            <w:vAlign w:val="bottom"/>
          </w:tcPr>
          <w:p w:rsidR="00CC2C66" w:rsidRDefault="00CC2C66">
            <w:pPr>
              <w:rPr>
                <w:sz w:val="13"/>
                <w:szCs w:val="13"/>
              </w:rPr>
            </w:pPr>
          </w:p>
        </w:tc>
        <w:tc>
          <w:tcPr>
            <w:tcW w:w="106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CC2C66">
            <w:pPr>
              <w:rPr>
                <w:sz w:val="13"/>
                <w:szCs w:val="13"/>
              </w:rPr>
            </w:pPr>
          </w:p>
        </w:tc>
        <w:tc>
          <w:tcPr>
            <w:tcW w:w="118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8"/>
                <w:sz w:val="14"/>
                <w:szCs w:val="14"/>
              </w:rPr>
              <w:t>Incentive</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Plan Awards:</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CC2C66">
            <w:pPr>
              <w:rPr>
                <w:sz w:val="13"/>
                <w:szCs w:val="13"/>
              </w:rPr>
            </w:pPr>
          </w:p>
        </w:tc>
        <w:tc>
          <w:tcPr>
            <w:tcW w:w="1360" w:type="dxa"/>
            <w:shd w:val="clear" w:color="auto" w:fill="FAE6E9"/>
            <w:vAlign w:val="bottom"/>
          </w:tcPr>
          <w:p w:rsidR="00CC2C66" w:rsidRDefault="00CC2C66">
            <w:pPr>
              <w:rPr>
                <w:sz w:val="13"/>
                <w:szCs w:val="13"/>
              </w:rPr>
            </w:pPr>
          </w:p>
        </w:tc>
        <w:tc>
          <w:tcPr>
            <w:tcW w:w="74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40" w:type="dxa"/>
            <w:shd w:val="clear" w:color="auto" w:fill="FAE6E9"/>
            <w:vAlign w:val="bottom"/>
          </w:tcPr>
          <w:p w:rsidR="00CC2C66" w:rsidRDefault="00CC2C66">
            <w:pPr>
              <w:rPr>
                <w:sz w:val="13"/>
                <w:szCs w:val="13"/>
              </w:rPr>
            </w:pPr>
          </w:p>
        </w:tc>
        <w:tc>
          <w:tcPr>
            <w:tcW w:w="106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Market</w:t>
            </w:r>
          </w:p>
        </w:tc>
        <w:tc>
          <w:tcPr>
            <w:tcW w:w="118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6"/>
                <w:sz w:val="14"/>
                <w:szCs w:val="14"/>
              </w:rPr>
              <w:t>Plan Awards:</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Market or</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Number of</w:t>
            </w:r>
          </w:p>
        </w:tc>
        <w:tc>
          <w:tcPr>
            <w:tcW w:w="1360" w:type="dxa"/>
            <w:shd w:val="clear" w:color="auto" w:fill="FAE6E9"/>
            <w:vAlign w:val="bottom"/>
          </w:tcPr>
          <w:p w:rsidR="00CC2C66" w:rsidRDefault="00CC2C66">
            <w:pPr>
              <w:rPr>
                <w:sz w:val="13"/>
                <w:szCs w:val="13"/>
              </w:rPr>
            </w:pPr>
          </w:p>
        </w:tc>
        <w:tc>
          <w:tcPr>
            <w:tcW w:w="74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40" w:type="dxa"/>
            <w:shd w:val="clear" w:color="auto" w:fill="FAE6E9"/>
            <w:vAlign w:val="bottom"/>
          </w:tcPr>
          <w:p w:rsidR="00CC2C66" w:rsidRDefault="00CC2C66">
            <w:pPr>
              <w:rPr>
                <w:sz w:val="13"/>
                <w:szCs w:val="13"/>
              </w:rPr>
            </w:pPr>
          </w:p>
        </w:tc>
        <w:tc>
          <w:tcPr>
            <w:tcW w:w="1060" w:type="dxa"/>
            <w:shd w:val="clear" w:color="auto" w:fill="FAE6E9"/>
            <w:vAlign w:val="bottom"/>
          </w:tcPr>
          <w:p w:rsidR="00CC2C66" w:rsidRDefault="00CC2C66">
            <w:pPr>
              <w:rPr>
                <w:sz w:val="13"/>
                <w:szCs w:val="13"/>
              </w:rPr>
            </w:pP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Value</w:t>
            </w:r>
          </w:p>
        </w:tc>
        <w:tc>
          <w:tcPr>
            <w:tcW w:w="118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7"/>
                <w:sz w:val="14"/>
                <w:szCs w:val="14"/>
              </w:rPr>
              <w:t>Number of</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Payout Value</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Securities</w:t>
            </w:r>
          </w:p>
        </w:tc>
        <w:tc>
          <w:tcPr>
            <w:tcW w:w="136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7"/>
                <w:sz w:val="14"/>
                <w:szCs w:val="14"/>
              </w:rPr>
              <w:t>Number of</w:t>
            </w:r>
          </w:p>
        </w:tc>
        <w:tc>
          <w:tcPr>
            <w:tcW w:w="74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40" w:type="dxa"/>
            <w:shd w:val="clear" w:color="auto" w:fill="FAE6E9"/>
            <w:vAlign w:val="bottom"/>
          </w:tcPr>
          <w:p w:rsidR="00CC2C66" w:rsidRDefault="00CC2C66">
            <w:pPr>
              <w:rPr>
                <w:sz w:val="13"/>
                <w:szCs w:val="13"/>
              </w:rPr>
            </w:pPr>
          </w:p>
        </w:tc>
        <w:tc>
          <w:tcPr>
            <w:tcW w:w="1060" w:type="dxa"/>
            <w:shd w:val="clear" w:color="auto" w:fill="FAE6E9"/>
            <w:vAlign w:val="bottom"/>
          </w:tcPr>
          <w:p w:rsidR="00CC2C66" w:rsidRDefault="00F80B74">
            <w:pPr>
              <w:spacing w:line="153" w:lineRule="exact"/>
              <w:ind w:right="16"/>
              <w:jc w:val="center"/>
              <w:rPr>
                <w:sz w:val="20"/>
                <w:szCs w:val="20"/>
              </w:rPr>
            </w:pPr>
            <w:r>
              <w:rPr>
                <w:rFonts w:ascii="Arial" w:eastAsia="Arial" w:hAnsi="Arial" w:cs="Arial"/>
                <w:b/>
                <w:bCs/>
                <w:color w:val="CF0A2C"/>
                <w:w w:val="94"/>
                <w:sz w:val="14"/>
                <w:szCs w:val="14"/>
              </w:rPr>
              <w:t>Number</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of Shares</w:t>
            </w:r>
          </w:p>
        </w:tc>
        <w:tc>
          <w:tcPr>
            <w:tcW w:w="118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9"/>
                <w:sz w:val="14"/>
                <w:szCs w:val="14"/>
              </w:rPr>
              <w:t>Unearned</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of Unearned</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Underlying</w:t>
            </w:r>
          </w:p>
        </w:tc>
        <w:tc>
          <w:tcPr>
            <w:tcW w:w="136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5"/>
                <w:sz w:val="14"/>
                <w:szCs w:val="14"/>
              </w:rPr>
              <w:t>Securities</w:t>
            </w:r>
          </w:p>
        </w:tc>
        <w:tc>
          <w:tcPr>
            <w:tcW w:w="740" w:type="dxa"/>
            <w:shd w:val="clear" w:color="auto" w:fill="FAE6E9"/>
            <w:vAlign w:val="bottom"/>
          </w:tcPr>
          <w:p w:rsidR="00CC2C66" w:rsidRDefault="00CC2C66">
            <w:pPr>
              <w:rPr>
                <w:sz w:val="13"/>
                <w:szCs w:val="13"/>
              </w:rPr>
            </w:pPr>
          </w:p>
        </w:tc>
        <w:tc>
          <w:tcPr>
            <w:tcW w:w="800" w:type="dxa"/>
            <w:shd w:val="clear" w:color="auto" w:fill="FAE6E9"/>
            <w:vAlign w:val="bottom"/>
          </w:tcPr>
          <w:p w:rsidR="00CC2C66" w:rsidRDefault="00CC2C66">
            <w:pPr>
              <w:rPr>
                <w:sz w:val="13"/>
                <w:szCs w:val="13"/>
              </w:rPr>
            </w:pPr>
          </w:p>
        </w:tc>
        <w:tc>
          <w:tcPr>
            <w:tcW w:w="240" w:type="dxa"/>
            <w:shd w:val="clear" w:color="auto" w:fill="FAE6E9"/>
            <w:vAlign w:val="bottom"/>
          </w:tcPr>
          <w:p w:rsidR="00CC2C66" w:rsidRDefault="00CC2C66">
            <w:pPr>
              <w:rPr>
                <w:sz w:val="13"/>
                <w:szCs w:val="13"/>
              </w:rPr>
            </w:pPr>
          </w:p>
        </w:tc>
        <w:tc>
          <w:tcPr>
            <w:tcW w:w="1060" w:type="dxa"/>
            <w:shd w:val="clear" w:color="auto" w:fill="FAE6E9"/>
            <w:vAlign w:val="bottom"/>
          </w:tcPr>
          <w:p w:rsidR="00CC2C66" w:rsidRDefault="00F80B74">
            <w:pPr>
              <w:spacing w:line="153" w:lineRule="exact"/>
              <w:ind w:right="16"/>
              <w:jc w:val="center"/>
              <w:rPr>
                <w:sz w:val="20"/>
                <w:szCs w:val="20"/>
              </w:rPr>
            </w:pPr>
            <w:r>
              <w:rPr>
                <w:rFonts w:ascii="Arial" w:eastAsia="Arial" w:hAnsi="Arial" w:cs="Arial"/>
                <w:b/>
                <w:bCs/>
                <w:color w:val="CF0A2C"/>
                <w:w w:val="97"/>
                <w:sz w:val="14"/>
                <w:szCs w:val="14"/>
              </w:rPr>
              <w:t>of Shares</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or Units of</w:t>
            </w:r>
          </w:p>
        </w:tc>
        <w:tc>
          <w:tcPr>
            <w:tcW w:w="118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8"/>
                <w:sz w:val="14"/>
                <w:szCs w:val="14"/>
              </w:rPr>
              <w:t>Shares, Units</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Shares, Units</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Unexercised</w:t>
            </w:r>
          </w:p>
        </w:tc>
        <w:tc>
          <w:tcPr>
            <w:tcW w:w="136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8"/>
                <w:sz w:val="14"/>
                <w:szCs w:val="14"/>
              </w:rPr>
              <w:t>Underlying</w:t>
            </w:r>
          </w:p>
        </w:tc>
        <w:tc>
          <w:tcPr>
            <w:tcW w:w="7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Option/</w:t>
            </w:r>
          </w:p>
        </w:tc>
        <w:tc>
          <w:tcPr>
            <w:tcW w:w="800" w:type="dxa"/>
            <w:shd w:val="clear" w:color="auto" w:fill="FAE6E9"/>
            <w:vAlign w:val="bottom"/>
          </w:tcPr>
          <w:p w:rsidR="00CC2C66" w:rsidRDefault="00CC2C66">
            <w:pPr>
              <w:rPr>
                <w:sz w:val="13"/>
                <w:szCs w:val="13"/>
              </w:rPr>
            </w:pPr>
          </w:p>
        </w:tc>
        <w:tc>
          <w:tcPr>
            <w:tcW w:w="240" w:type="dxa"/>
            <w:shd w:val="clear" w:color="auto" w:fill="FAE6E9"/>
            <w:vAlign w:val="bottom"/>
          </w:tcPr>
          <w:p w:rsidR="00CC2C66" w:rsidRDefault="00CC2C66">
            <w:pPr>
              <w:rPr>
                <w:sz w:val="13"/>
                <w:szCs w:val="13"/>
              </w:rPr>
            </w:pPr>
          </w:p>
        </w:tc>
        <w:tc>
          <w:tcPr>
            <w:tcW w:w="1060" w:type="dxa"/>
            <w:shd w:val="clear" w:color="auto" w:fill="FAE6E9"/>
            <w:vAlign w:val="bottom"/>
          </w:tcPr>
          <w:p w:rsidR="00CC2C66" w:rsidRDefault="00F80B74">
            <w:pPr>
              <w:spacing w:line="153" w:lineRule="exact"/>
              <w:ind w:right="36"/>
              <w:jc w:val="center"/>
              <w:rPr>
                <w:sz w:val="20"/>
                <w:szCs w:val="20"/>
              </w:rPr>
            </w:pPr>
            <w:r>
              <w:rPr>
                <w:rFonts w:ascii="Arial" w:eastAsia="Arial" w:hAnsi="Arial" w:cs="Arial"/>
                <w:b/>
                <w:bCs/>
                <w:color w:val="CF0A2C"/>
                <w:w w:val="97"/>
                <w:sz w:val="14"/>
                <w:szCs w:val="14"/>
              </w:rPr>
              <w:t>or Units of</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Stock</w:t>
            </w:r>
          </w:p>
        </w:tc>
        <w:tc>
          <w:tcPr>
            <w:tcW w:w="118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7"/>
                <w:sz w:val="14"/>
                <w:szCs w:val="14"/>
              </w:rPr>
              <w:t>or Other</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or Other</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Options/</w:t>
            </w:r>
          </w:p>
        </w:tc>
        <w:tc>
          <w:tcPr>
            <w:tcW w:w="136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6"/>
                <w:sz w:val="14"/>
                <w:szCs w:val="14"/>
              </w:rPr>
              <w:t>Unexercised</w:t>
            </w:r>
          </w:p>
        </w:tc>
        <w:tc>
          <w:tcPr>
            <w:tcW w:w="7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SAR</w:t>
            </w:r>
          </w:p>
        </w:tc>
        <w:tc>
          <w:tcPr>
            <w:tcW w:w="1040" w:type="dxa"/>
            <w:gridSpan w:val="2"/>
            <w:shd w:val="clear" w:color="auto" w:fill="FAE6E9"/>
            <w:vAlign w:val="bottom"/>
          </w:tcPr>
          <w:p w:rsidR="00CC2C66" w:rsidRDefault="00F80B74">
            <w:pPr>
              <w:spacing w:line="153" w:lineRule="exact"/>
              <w:ind w:right="200"/>
              <w:jc w:val="center"/>
              <w:rPr>
                <w:sz w:val="20"/>
                <w:szCs w:val="20"/>
              </w:rPr>
            </w:pPr>
            <w:r>
              <w:rPr>
                <w:rFonts w:ascii="Arial" w:eastAsia="Arial" w:hAnsi="Arial" w:cs="Arial"/>
                <w:b/>
                <w:bCs/>
                <w:color w:val="CF0A2C"/>
                <w:w w:val="97"/>
                <w:sz w:val="14"/>
                <w:szCs w:val="14"/>
              </w:rPr>
              <w:t>Option/</w:t>
            </w:r>
          </w:p>
        </w:tc>
        <w:tc>
          <w:tcPr>
            <w:tcW w:w="1060" w:type="dxa"/>
            <w:shd w:val="clear" w:color="auto" w:fill="FAE6E9"/>
            <w:vAlign w:val="bottom"/>
          </w:tcPr>
          <w:p w:rsidR="00CC2C66" w:rsidRDefault="00F80B74">
            <w:pPr>
              <w:spacing w:line="153" w:lineRule="exact"/>
              <w:ind w:right="16"/>
              <w:jc w:val="center"/>
              <w:rPr>
                <w:sz w:val="20"/>
                <w:szCs w:val="20"/>
              </w:rPr>
            </w:pPr>
            <w:r>
              <w:rPr>
                <w:rFonts w:ascii="Arial" w:eastAsia="Arial" w:hAnsi="Arial" w:cs="Arial"/>
                <w:b/>
                <w:bCs/>
                <w:color w:val="CF0A2C"/>
                <w:w w:val="99"/>
                <w:sz w:val="14"/>
                <w:szCs w:val="14"/>
              </w:rPr>
              <w:t>Stock</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4"/>
                <w:sz w:val="14"/>
                <w:szCs w:val="14"/>
              </w:rPr>
              <w:t>That</w:t>
            </w:r>
          </w:p>
        </w:tc>
        <w:tc>
          <w:tcPr>
            <w:tcW w:w="118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6"/>
                <w:sz w:val="14"/>
                <w:szCs w:val="14"/>
              </w:rPr>
              <w:t>Rights</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Rights</w:t>
            </w:r>
          </w:p>
        </w:tc>
      </w:tr>
      <w:tr w:rsidR="00CC2C66">
        <w:trPr>
          <w:trHeight w:val="153"/>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CC2C66">
            <w:pPr>
              <w:rPr>
                <w:sz w:val="13"/>
                <w:szCs w:val="13"/>
              </w:rPr>
            </w:pPr>
          </w:p>
        </w:tc>
        <w:tc>
          <w:tcPr>
            <w:tcW w:w="10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SARs</w:t>
            </w:r>
          </w:p>
        </w:tc>
        <w:tc>
          <w:tcPr>
            <w:tcW w:w="1360" w:type="dxa"/>
            <w:shd w:val="clear" w:color="auto" w:fill="FAE6E9"/>
            <w:vAlign w:val="bottom"/>
          </w:tcPr>
          <w:p w:rsidR="00CC2C66" w:rsidRDefault="00F80B74">
            <w:pPr>
              <w:spacing w:line="153" w:lineRule="exact"/>
              <w:ind w:right="55"/>
              <w:jc w:val="center"/>
              <w:rPr>
                <w:sz w:val="20"/>
                <w:szCs w:val="20"/>
              </w:rPr>
            </w:pPr>
            <w:r>
              <w:rPr>
                <w:rFonts w:ascii="Arial" w:eastAsia="Arial" w:hAnsi="Arial" w:cs="Arial"/>
                <w:b/>
                <w:bCs/>
                <w:color w:val="CF0A2C"/>
                <w:w w:val="97"/>
                <w:sz w:val="14"/>
                <w:szCs w:val="14"/>
              </w:rPr>
              <w:t>Options/ SARs</w:t>
            </w:r>
          </w:p>
        </w:tc>
        <w:tc>
          <w:tcPr>
            <w:tcW w:w="7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7"/>
                <w:sz w:val="14"/>
                <w:szCs w:val="14"/>
              </w:rPr>
              <w:t>Exercise</w:t>
            </w:r>
          </w:p>
        </w:tc>
        <w:tc>
          <w:tcPr>
            <w:tcW w:w="1040" w:type="dxa"/>
            <w:gridSpan w:val="2"/>
            <w:shd w:val="clear" w:color="auto" w:fill="FAE6E9"/>
            <w:vAlign w:val="bottom"/>
          </w:tcPr>
          <w:p w:rsidR="00CC2C66" w:rsidRDefault="00F80B74">
            <w:pPr>
              <w:spacing w:line="153" w:lineRule="exact"/>
              <w:ind w:right="200"/>
              <w:jc w:val="center"/>
              <w:rPr>
                <w:sz w:val="20"/>
                <w:szCs w:val="20"/>
              </w:rPr>
            </w:pPr>
            <w:r>
              <w:rPr>
                <w:rFonts w:ascii="Arial" w:eastAsia="Arial" w:hAnsi="Arial" w:cs="Arial"/>
                <w:b/>
                <w:bCs/>
                <w:color w:val="CF0A2C"/>
                <w:w w:val="94"/>
                <w:sz w:val="14"/>
                <w:szCs w:val="14"/>
              </w:rPr>
              <w:t>SAR</w:t>
            </w:r>
          </w:p>
        </w:tc>
        <w:tc>
          <w:tcPr>
            <w:tcW w:w="1060" w:type="dxa"/>
            <w:shd w:val="clear" w:color="auto" w:fill="FAE6E9"/>
            <w:vAlign w:val="bottom"/>
          </w:tcPr>
          <w:p w:rsidR="00CC2C66" w:rsidRDefault="00F80B74">
            <w:pPr>
              <w:spacing w:line="153" w:lineRule="exact"/>
              <w:ind w:right="16"/>
              <w:jc w:val="center"/>
              <w:rPr>
                <w:sz w:val="20"/>
                <w:szCs w:val="20"/>
              </w:rPr>
            </w:pPr>
            <w:r>
              <w:rPr>
                <w:rFonts w:ascii="Arial" w:eastAsia="Arial" w:hAnsi="Arial" w:cs="Arial"/>
                <w:b/>
                <w:bCs/>
                <w:color w:val="CF0A2C"/>
                <w:w w:val="98"/>
                <w:sz w:val="14"/>
                <w:szCs w:val="14"/>
              </w:rPr>
              <w:t>That Have</w:t>
            </w:r>
          </w:p>
        </w:tc>
        <w:tc>
          <w:tcPr>
            <w:tcW w:w="88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Have</w:t>
            </w:r>
          </w:p>
        </w:tc>
        <w:tc>
          <w:tcPr>
            <w:tcW w:w="1180" w:type="dxa"/>
            <w:shd w:val="clear" w:color="auto" w:fill="FAE6E9"/>
            <w:vAlign w:val="bottom"/>
          </w:tcPr>
          <w:p w:rsidR="00CC2C66" w:rsidRDefault="00F80B74">
            <w:pPr>
              <w:spacing w:line="153" w:lineRule="exact"/>
              <w:ind w:right="75"/>
              <w:jc w:val="center"/>
              <w:rPr>
                <w:sz w:val="20"/>
                <w:szCs w:val="20"/>
              </w:rPr>
            </w:pPr>
            <w:r>
              <w:rPr>
                <w:rFonts w:ascii="Arial" w:eastAsia="Arial" w:hAnsi="Arial" w:cs="Arial"/>
                <w:b/>
                <w:bCs/>
                <w:color w:val="CF0A2C"/>
                <w:w w:val="95"/>
                <w:sz w:val="14"/>
                <w:szCs w:val="14"/>
              </w:rPr>
              <w:t>That Have</w:t>
            </w:r>
          </w:p>
        </w:tc>
        <w:tc>
          <w:tcPr>
            <w:tcW w:w="100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That Have</w:t>
            </w:r>
          </w:p>
        </w:tc>
      </w:tr>
      <w:tr w:rsidR="00CC2C66">
        <w:trPr>
          <w:trHeight w:val="150"/>
        </w:trPr>
        <w:tc>
          <w:tcPr>
            <w:tcW w:w="20" w:type="dxa"/>
            <w:vAlign w:val="bottom"/>
          </w:tcPr>
          <w:p w:rsidR="00CC2C66" w:rsidRDefault="00CC2C66">
            <w:pPr>
              <w:rPr>
                <w:sz w:val="13"/>
                <w:szCs w:val="13"/>
              </w:rPr>
            </w:pPr>
          </w:p>
        </w:tc>
        <w:tc>
          <w:tcPr>
            <w:tcW w:w="1280" w:type="dxa"/>
            <w:shd w:val="clear" w:color="auto" w:fill="FAE6E9"/>
            <w:vAlign w:val="bottom"/>
          </w:tcPr>
          <w:p w:rsidR="00CC2C66" w:rsidRDefault="00CC2C66">
            <w:pPr>
              <w:rPr>
                <w:sz w:val="13"/>
                <w:szCs w:val="13"/>
              </w:rPr>
            </w:pPr>
          </w:p>
        </w:tc>
        <w:tc>
          <w:tcPr>
            <w:tcW w:w="840" w:type="dxa"/>
            <w:shd w:val="clear" w:color="auto" w:fill="FAE6E9"/>
            <w:vAlign w:val="bottom"/>
          </w:tcPr>
          <w:p w:rsidR="00CC2C66" w:rsidRDefault="00F80B74">
            <w:pPr>
              <w:spacing w:line="150" w:lineRule="exact"/>
              <w:ind w:left="16"/>
              <w:jc w:val="center"/>
              <w:rPr>
                <w:sz w:val="20"/>
                <w:szCs w:val="20"/>
              </w:rPr>
            </w:pPr>
            <w:r>
              <w:rPr>
                <w:rFonts w:ascii="Arial" w:eastAsia="Arial" w:hAnsi="Arial" w:cs="Arial"/>
                <w:b/>
                <w:bCs/>
                <w:color w:val="CF0A2C"/>
                <w:w w:val="96"/>
                <w:sz w:val="14"/>
                <w:szCs w:val="14"/>
              </w:rPr>
              <w:t>Grant</w:t>
            </w:r>
          </w:p>
        </w:tc>
        <w:tc>
          <w:tcPr>
            <w:tcW w:w="102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3"/>
                <w:sz w:val="14"/>
                <w:szCs w:val="14"/>
              </w:rPr>
              <w:t>(#)</w:t>
            </w:r>
          </w:p>
        </w:tc>
        <w:tc>
          <w:tcPr>
            <w:tcW w:w="1360" w:type="dxa"/>
            <w:shd w:val="clear" w:color="auto" w:fill="FAE6E9"/>
            <w:vAlign w:val="bottom"/>
          </w:tcPr>
          <w:p w:rsidR="00CC2C66" w:rsidRDefault="00F80B74">
            <w:pPr>
              <w:spacing w:line="150" w:lineRule="exact"/>
              <w:ind w:right="55"/>
              <w:jc w:val="center"/>
              <w:rPr>
                <w:sz w:val="20"/>
                <w:szCs w:val="20"/>
              </w:rPr>
            </w:pPr>
            <w:r>
              <w:rPr>
                <w:rFonts w:ascii="Arial" w:eastAsia="Arial" w:hAnsi="Arial" w:cs="Arial"/>
                <w:b/>
                <w:bCs/>
                <w:color w:val="CF0A2C"/>
                <w:w w:val="93"/>
                <w:sz w:val="14"/>
                <w:szCs w:val="14"/>
              </w:rPr>
              <w:t>(#)</w:t>
            </w:r>
          </w:p>
        </w:tc>
        <w:tc>
          <w:tcPr>
            <w:tcW w:w="74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3"/>
                <w:sz w:val="14"/>
                <w:szCs w:val="14"/>
              </w:rPr>
              <w:t>Price</w:t>
            </w:r>
          </w:p>
        </w:tc>
        <w:tc>
          <w:tcPr>
            <w:tcW w:w="1040" w:type="dxa"/>
            <w:gridSpan w:val="2"/>
            <w:shd w:val="clear" w:color="auto" w:fill="FAE6E9"/>
            <w:vAlign w:val="bottom"/>
          </w:tcPr>
          <w:p w:rsidR="00CC2C66" w:rsidRDefault="00F80B74">
            <w:pPr>
              <w:spacing w:line="150" w:lineRule="exact"/>
              <w:ind w:right="180"/>
              <w:jc w:val="center"/>
              <w:rPr>
                <w:sz w:val="20"/>
                <w:szCs w:val="20"/>
              </w:rPr>
            </w:pPr>
            <w:r>
              <w:rPr>
                <w:rFonts w:ascii="Arial" w:eastAsia="Arial" w:hAnsi="Arial" w:cs="Arial"/>
                <w:b/>
                <w:bCs/>
                <w:color w:val="CF0A2C"/>
                <w:w w:val="96"/>
                <w:sz w:val="14"/>
                <w:szCs w:val="14"/>
              </w:rPr>
              <w:t>Expiration</w:t>
            </w:r>
          </w:p>
        </w:tc>
        <w:tc>
          <w:tcPr>
            <w:tcW w:w="1060" w:type="dxa"/>
            <w:shd w:val="clear" w:color="auto" w:fill="FAE6E9"/>
            <w:vAlign w:val="bottom"/>
          </w:tcPr>
          <w:p w:rsidR="00CC2C66" w:rsidRDefault="00F80B74">
            <w:pPr>
              <w:spacing w:line="150" w:lineRule="exact"/>
              <w:ind w:right="16"/>
              <w:jc w:val="center"/>
              <w:rPr>
                <w:sz w:val="20"/>
                <w:szCs w:val="20"/>
              </w:rPr>
            </w:pPr>
            <w:r>
              <w:rPr>
                <w:rFonts w:ascii="Arial" w:eastAsia="Arial" w:hAnsi="Arial" w:cs="Arial"/>
                <w:b/>
                <w:bCs/>
                <w:color w:val="CF0A2C"/>
                <w:w w:val="95"/>
                <w:sz w:val="14"/>
                <w:szCs w:val="14"/>
              </w:rPr>
              <w:t>Not Vested</w:t>
            </w:r>
          </w:p>
        </w:tc>
        <w:tc>
          <w:tcPr>
            <w:tcW w:w="88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5"/>
                <w:sz w:val="14"/>
                <w:szCs w:val="14"/>
              </w:rPr>
              <w:t>Not Vested</w:t>
            </w:r>
          </w:p>
        </w:tc>
        <w:tc>
          <w:tcPr>
            <w:tcW w:w="1180" w:type="dxa"/>
            <w:shd w:val="clear" w:color="auto" w:fill="FAE6E9"/>
            <w:vAlign w:val="bottom"/>
          </w:tcPr>
          <w:p w:rsidR="00CC2C66" w:rsidRDefault="00F80B74">
            <w:pPr>
              <w:spacing w:line="150" w:lineRule="exact"/>
              <w:ind w:right="55"/>
              <w:jc w:val="center"/>
              <w:rPr>
                <w:sz w:val="20"/>
                <w:szCs w:val="20"/>
              </w:rPr>
            </w:pPr>
            <w:r>
              <w:rPr>
                <w:rFonts w:ascii="Arial" w:eastAsia="Arial" w:hAnsi="Arial" w:cs="Arial"/>
                <w:b/>
                <w:bCs/>
                <w:color w:val="CF0A2C"/>
                <w:w w:val="95"/>
                <w:sz w:val="14"/>
                <w:szCs w:val="14"/>
              </w:rPr>
              <w:t>Not Vested</w:t>
            </w:r>
          </w:p>
        </w:tc>
        <w:tc>
          <w:tcPr>
            <w:tcW w:w="100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5"/>
                <w:sz w:val="14"/>
                <w:szCs w:val="14"/>
              </w:rPr>
              <w:t>Not Vested</w:t>
            </w:r>
          </w:p>
        </w:tc>
      </w:tr>
      <w:tr w:rsidR="00CC2C66">
        <w:trPr>
          <w:trHeight w:val="179"/>
        </w:trPr>
        <w:tc>
          <w:tcPr>
            <w:tcW w:w="20" w:type="dxa"/>
            <w:vAlign w:val="bottom"/>
          </w:tcPr>
          <w:p w:rsidR="00CC2C66" w:rsidRDefault="00CC2C66">
            <w:pPr>
              <w:rPr>
                <w:sz w:val="15"/>
                <w:szCs w:val="15"/>
              </w:rPr>
            </w:pPr>
          </w:p>
        </w:tc>
        <w:tc>
          <w:tcPr>
            <w:tcW w:w="1280" w:type="dxa"/>
            <w:tcBorders>
              <w:bottom w:val="single" w:sz="8" w:space="0" w:color="CF0A2C"/>
            </w:tcBorders>
            <w:shd w:val="clear" w:color="auto" w:fill="FAE6E9"/>
            <w:vAlign w:val="bottom"/>
          </w:tcPr>
          <w:p w:rsidR="00CC2C66" w:rsidRDefault="00F80B74">
            <w:pPr>
              <w:rPr>
                <w:sz w:val="20"/>
                <w:szCs w:val="20"/>
              </w:rPr>
            </w:pPr>
            <w:r>
              <w:rPr>
                <w:rFonts w:ascii="Arial" w:eastAsia="Arial" w:hAnsi="Arial" w:cs="Arial"/>
                <w:b/>
                <w:bCs/>
                <w:color w:val="CF0A2C"/>
                <w:sz w:val="14"/>
                <w:szCs w:val="14"/>
              </w:rPr>
              <w:t>Name</w:t>
            </w:r>
          </w:p>
        </w:tc>
        <w:tc>
          <w:tcPr>
            <w:tcW w:w="840" w:type="dxa"/>
            <w:tcBorders>
              <w:bottom w:val="single" w:sz="8" w:space="0" w:color="CF0A2C"/>
            </w:tcBorders>
            <w:shd w:val="clear" w:color="auto" w:fill="FAE6E9"/>
            <w:vAlign w:val="bottom"/>
          </w:tcPr>
          <w:p w:rsidR="00CC2C66" w:rsidRDefault="00F80B74">
            <w:pPr>
              <w:ind w:left="36"/>
              <w:jc w:val="center"/>
              <w:rPr>
                <w:sz w:val="20"/>
                <w:szCs w:val="20"/>
              </w:rPr>
            </w:pPr>
            <w:r>
              <w:rPr>
                <w:rFonts w:ascii="Arial" w:eastAsia="Arial" w:hAnsi="Arial" w:cs="Arial"/>
                <w:b/>
                <w:bCs/>
                <w:color w:val="CF0A2C"/>
                <w:w w:val="98"/>
                <w:sz w:val="14"/>
                <w:szCs w:val="14"/>
              </w:rPr>
              <w:t>Date</w:t>
            </w:r>
          </w:p>
        </w:tc>
        <w:tc>
          <w:tcPr>
            <w:tcW w:w="102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w w:val="97"/>
                <w:sz w:val="14"/>
                <w:szCs w:val="14"/>
              </w:rPr>
              <w:t>Exercisable</w:t>
            </w:r>
          </w:p>
        </w:tc>
        <w:tc>
          <w:tcPr>
            <w:tcW w:w="1360" w:type="dxa"/>
            <w:tcBorders>
              <w:bottom w:val="single" w:sz="8" w:space="0" w:color="CF0A2C"/>
            </w:tcBorders>
            <w:shd w:val="clear" w:color="auto" w:fill="FAE6E9"/>
            <w:vAlign w:val="bottom"/>
          </w:tcPr>
          <w:p w:rsidR="00CC2C66" w:rsidRDefault="00F80B74">
            <w:pPr>
              <w:spacing w:line="179" w:lineRule="exact"/>
              <w:ind w:right="55"/>
              <w:jc w:val="center"/>
              <w:rPr>
                <w:sz w:val="20"/>
                <w:szCs w:val="20"/>
              </w:rPr>
            </w:pPr>
            <w:r>
              <w:rPr>
                <w:rFonts w:ascii="Arial" w:eastAsia="Arial" w:hAnsi="Arial" w:cs="Arial"/>
                <w:b/>
                <w:bCs/>
                <w:color w:val="CF0A2C"/>
                <w:w w:val="93"/>
                <w:sz w:val="14"/>
                <w:szCs w:val="14"/>
              </w:rPr>
              <w:t>Unexercisable</w:t>
            </w:r>
            <w:r>
              <w:rPr>
                <w:rFonts w:ascii="Arial" w:eastAsia="Arial" w:hAnsi="Arial" w:cs="Arial"/>
                <w:b/>
                <w:bCs/>
                <w:color w:val="CF0A2C"/>
                <w:w w:val="93"/>
                <w:sz w:val="20"/>
                <w:szCs w:val="20"/>
                <w:vertAlign w:val="superscript"/>
              </w:rPr>
              <w:t>(1)</w:t>
            </w:r>
          </w:p>
        </w:tc>
        <w:tc>
          <w:tcPr>
            <w:tcW w:w="740" w:type="dxa"/>
            <w:tcBorders>
              <w:bottom w:val="single" w:sz="8" w:space="0" w:color="CF0A2C"/>
            </w:tcBorders>
            <w:shd w:val="clear" w:color="auto" w:fill="FAE6E9"/>
            <w:vAlign w:val="bottom"/>
          </w:tcPr>
          <w:p w:rsidR="00CC2C66" w:rsidRDefault="00F80B74">
            <w:pPr>
              <w:jc w:val="center"/>
              <w:rPr>
                <w:sz w:val="20"/>
                <w:szCs w:val="20"/>
              </w:rPr>
            </w:pPr>
            <w:r>
              <w:rPr>
                <w:rFonts w:ascii="Arial" w:eastAsia="Arial" w:hAnsi="Arial" w:cs="Arial"/>
                <w:b/>
                <w:bCs/>
                <w:color w:val="CF0A2C"/>
                <w:w w:val="93"/>
                <w:sz w:val="14"/>
                <w:szCs w:val="14"/>
              </w:rPr>
              <w:t>($)</w:t>
            </w:r>
          </w:p>
        </w:tc>
        <w:tc>
          <w:tcPr>
            <w:tcW w:w="1040" w:type="dxa"/>
            <w:gridSpan w:val="2"/>
            <w:tcBorders>
              <w:bottom w:val="single" w:sz="8" w:space="0" w:color="CF0A2C"/>
            </w:tcBorders>
            <w:shd w:val="clear" w:color="auto" w:fill="FAE6E9"/>
            <w:vAlign w:val="bottom"/>
          </w:tcPr>
          <w:p w:rsidR="00CC2C66" w:rsidRDefault="00F80B74">
            <w:pPr>
              <w:ind w:right="180"/>
              <w:jc w:val="center"/>
              <w:rPr>
                <w:sz w:val="20"/>
                <w:szCs w:val="20"/>
              </w:rPr>
            </w:pPr>
            <w:r>
              <w:rPr>
                <w:rFonts w:ascii="Arial" w:eastAsia="Arial" w:hAnsi="Arial" w:cs="Arial"/>
                <w:b/>
                <w:bCs/>
                <w:color w:val="CF0A2C"/>
                <w:w w:val="98"/>
                <w:sz w:val="14"/>
                <w:szCs w:val="14"/>
              </w:rPr>
              <w:t>Date</w:t>
            </w:r>
          </w:p>
        </w:tc>
        <w:tc>
          <w:tcPr>
            <w:tcW w:w="1060" w:type="dxa"/>
            <w:tcBorders>
              <w:bottom w:val="single" w:sz="8" w:space="0" w:color="CF0A2C"/>
            </w:tcBorders>
            <w:shd w:val="clear" w:color="auto" w:fill="FAE6E9"/>
            <w:vAlign w:val="bottom"/>
          </w:tcPr>
          <w:p w:rsidR="00CC2C66" w:rsidRDefault="00F80B74">
            <w:pPr>
              <w:spacing w:line="179" w:lineRule="exact"/>
              <w:ind w:right="16"/>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(2)</w:t>
            </w:r>
          </w:p>
        </w:tc>
        <w:tc>
          <w:tcPr>
            <w:tcW w:w="88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83"/>
                <w:sz w:val="14"/>
                <w:szCs w:val="14"/>
              </w:rPr>
              <w:t>($)</w:t>
            </w:r>
            <w:r>
              <w:rPr>
                <w:rFonts w:ascii="Arial" w:eastAsia="Arial" w:hAnsi="Arial" w:cs="Arial"/>
                <w:b/>
                <w:bCs/>
                <w:color w:val="CF0A2C"/>
                <w:w w:val="83"/>
                <w:sz w:val="20"/>
                <w:szCs w:val="20"/>
                <w:vertAlign w:val="superscript"/>
              </w:rPr>
              <w:t>(3)</w:t>
            </w:r>
          </w:p>
        </w:tc>
        <w:tc>
          <w:tcPr>
            <w:tcW w:w="1180" w:type="dxa"/>
            <w:tcBorders>
              <w:bottom w:val="single" w:sz="8" w:space="0" w:color="CF0A2C"/>
            </w:tcBorders>
            <w:shd w:val="clear" w:color="auto" w:fill="FAE6E9"/>
            <w:vAlign w:val="bottom"/>
          </w:tcPr>
          <w:p w:rsidR="00CC2C66" w:rsidRDefault="00F80B74">
            <w:pPr>
              <w:spacing w:line="179" w:lineRule="exact"/>
              <w:ind w:right="75"/>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(4)</w:t>
            </w:r>
          </w:p>
        </w:tc>
        <w:tc>
          <w:tcPr>
            <w:tcW w:w="100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sz w:val="20"/>
                <w:szCs w:val="20"/>
                <w:vertAlign w:val="subscript"/>
              </w:rPr>
              <w:t>($)</w:t>
            </w:r>
            <w:r>
              <w:rPr>
                <w:rFonts w:ascii="Arial" w:eastAsia="Arial" w:hAnsi="Arial" w:cs="Arial"/>
                <w:b/>
                <w:bCs/>
                <w:color w:val="CF0A2C"/>
                <w:sz w:val="9"/>
                <w:szCs w:val="9"/>
              </w:rPr>
              <w:t>(3)</w:t>
            </w:r>
          </w:p>
        </w:tc>
      </w:tr>
      <w:tr w:rsidR="00CC2C66">
        <w:trPr>
          <w:trHeight w:val="133"/>
        </w:trPr>
        <w:tc>
          <w:tcPr>
            <w:tcW w:w="20" w:type="dxa"/>
            <w:vAlign w:val="bottom"/>
          </w:tcPr>
          <w:p w:rsidR="00CC2C66" w:rsidRDefault="00CC2C66">
            <w:pPr>
              <w:rPr>
                <w:sz w:val="11"/>
                <w:szCs w:val="11"/>
              </w:rPr>
            </w:pPr>
          </w:p>
        </w:tc>
        <w:tc>
          <w:tcPr>
            <w:tcW w:w="1280" w:type="dxa"/>
            <w:vAlign w:val="bottom"/>
          </w:tcPr>
          <w:p w:rsidR="00CC2C66" w:rsidRDefault="00F80B74">
            <w:pPr>
              <w:spacing w:line="133" w:lineRule="exact"/>
              <w:ind w:left="540"/>
              <w:rPr>
                <w:sz w:val="20"/>
                <w:szCs w:val="20"/>
              </w:rPr>
            </w:pPr>
            <w:r>
              <w:rPr>
                <w:rFonts w:ascii="Arial" w:eastAsia="Arial" w:hAnsi="Arial" w:cs="Arial"/>
                <w:b/>
                <w:bCs/>
                <w:color w:val="CF0A2C"/>
                <w:sz w:val="14"/>
                <w:szCs w:val="14"/>
              </w:rPr>
              <w:t>(a)</w:t>
            </w:r>
          </w:p>
        </w:tc>
        <w:tc>
          <w:tcPr>
            <w:tcW w:w="840" w:type="dxa"/>
            <w:vAlign w:val="bottom"/>
          </w:tcPr>
          <w:p w:rsidR="00CC2C66" w:rsidRDefault="00F80B74">
            <w:pPr>
              <w:spacing w:line="133" w:lineRule="exact"/>
              <w:ind w:left="36"/>
              <w:jc w:val="center"/>
              <w:rPr>
                <w:sz w:val="20"/>
                <w:szCs w:val="20"/>
              </w:rPr>
            </w:pPr>
            <w:r>
              <w:rPr>
                <w:rFonts w:ascii="Arial" w:eastAsia="Arial" w:hAnsi="Arial" w:cs="Arial"/>
                <w:b/>
                <w:bCs/>
                <w:color w:val="CF0A2C"/>
                <w:sz w:val="14"/>
                <w:szCs w:val="14"/>
              </w:rPr>
              <w:t>(b)</w:t>
            </w:r>
          </w:p>
        </w:tc>
        <w:tc>
          <w:tcPr>
            <w:tcW w:w="1020" w:type="dxa"/>
            <w:vAlign w:val="bottom"/>
          </w:tcPr>
          <w:p w:rsidR="00CC2C66" w:rsidRDefault="00F80B74">
            <w:pPr>
              <w:spacing w:line="133" w:lineRule="exact"/>
              <w:jc w:val="center"/>
              <w:rPr>
                <w:sz w:val="20"/>
                <w:szCs w:val="20"/>
              </w:rPr>
            </w:pPr>
            <w:r>
              <w:rPr>
                <w:rFonts w:ascii="Arial" w:eastAsia="Arial" w:hAnsi="Arial" w:cs="Arial"/>
                <w:b/>
                <w:bCs/>
                <w:color w:val="CF0A2C"/>
                <w:w w:val="93"/>
                <w:sz w:val="14"/>
                <w:szCs w:val="14"/>
              </w:rPr>
              <w:t>(c)</w:t>
            </w:r>
          </w:p>
        </w:tc>
        <w:tc>
          <w:tcPr>
            <w:tcW w:w="1360" w:type="dxa"/>
            <w:vAlign w:val="bottom"/>
          </w:tcPr>
          <w:p w:rsidR="00CC2C66" w:rsidRDefault="00F80B74">
            <w:pPr>
              <w:spacing w:line="133" w:lineRule="exact"/>
              <w:ind w:right="55"/>
              <w:jc w:val="center"/>
              <w:rPr>
                <w:sz w:val="20"/>
                <w:szCs w:val="20"/>
              </w:rPr>
            </w:pPr>
            <w:r>
              <w:rPr>
                <w:rFonts w:ascii="Arial" w:eastAsia="Arial" w:hAnsi="Arial" w:cs="Arial"/>
                <w:b/>
                <w:bCs/>
                <w:color w:val="CF0A2C"/>
                <w:w w:val="89"/>
                <w:sz w:val="14"/>
                <w:szCs w:val="14"/>
              </w:rPr>
              <w:t>(d)</w:t>
            </w:r>
          </w:p>
        </w:tc>
        <w:tc>
          <w:tcPr>
            <w:tcW w:w="740" w:type="dxa"/>
            <w:vAlign w:val="bottom"/>
          </w:tcPr>
          <w:p w:rsidR="00CC2C66" w:rsidRDefault="00F80B74">
            <w:pPr>
              <w:spacing w:line="133" w:lineRule="exact"/>
              <w:jc w:val="center"/>
              <w:rPr>
                <w:sz w:val="20"/>
                <w:szCs w:val="20"/>
              </w:rPr>
            </w:pPr>
            <w:r>
              <w:rPr>
                <w:rFonts w:ascii="Arial" w:eastAsia="Arial" w:hAnsi="Arial" w:cs="Arial"/>
                <w:b/>
                <w:bCs/>
                <w:color w:val="CF0A2C"/>
                <w:w w:val="93"/>
                <w:sz w:val="14"/>
                <w:szCs w:val="14"/>
              </w:rPr>
              <w:t>(e)</w:t>
            </w:r>
          </w:p>
        </w:tc>
        <w:tc>
          <w:tcPr>
            <w:tcW w:w="1040" w:type="dxa"/>
            <w:gridSpan w:val="2"/>
            <w:vAlign w:val="bottom"/>
          </w:tcPr>
          <w:p w:rsidR="00CC2C66" w:rsidRDefault="00F80B74">
            <w:pPr>
              <w:spacing w:line="133" w:lineRule="exact"/>
              <w:ind w:right="180"/>
              <w:jc w:val="center"/>
              <w:rPr>
                <w:sz w:val="20"/>
                <w:szCs w:val="20"/>
              </w:rPr>
            </w:pPr>
            <w:r>
              <w:rPr>
                <w:rFonts w:ascii="Arial" w:eastAsia="Arial" w:hAnsi="Arial" w:cs="Arial"/>
                <w:b/>
                <w:bCs/>
                <w:color w:val="CF0A2C"/>
                <w:w w:val="99"/>
                <w:sz w:val="14"/>
                <w:szCs w:val="14"/>
              </w:rPr>
              <w:t>(f)</w:t>
            </w:r>
          </w:p>
        </w:tc>
        <w:tc>
          <w:tcPr>
            <w:tcW w:w="1060" w:type="dxa"/>
            <w:vAlign w:val="bottom"/>
          </w:tcPr>
          <w:p w:rsidR="00CC2C66" w:rsidRDefault="00F80B74">
            <w:pPr>
              <w:spacing w:line="133" w:lineRule="exact"/>
              <w:ind w:right="16"/>
              <w:jc w:val="center"/>
              <w:rPr>
                <w:sz w:val="20"/>
                <w:szCs w:val="20"/>
              </w:rPr>
            </w:pPr>
            <w:r>
              <w:rPr>
                <w:rFonts w:ascii="Arial" w:eastAsia="Arial" w:hAnsi="Arial" w:cs="Arial"/>
                <w:b/>
                <w:bCs/>
                <w:color w:val="CF0A2C"/>
                <w:sz w:val="14"/>
                <w:szCs w:val="14"/>
              </w:rPr>
              <w:t>(g)</w:t>
            </w:r>
          </w:p>
        </w:tc>
        <w:tc>
          <w:tcPr>
            <w:tcW w:w="880" w:type="dxa"/>
            <w:vAlign w:val="bottom"/>
          </w:tcPr>
          <w:p w:rsidR="00CC2C66" w:rsidRDefault="00F80B74">
            <w:pPr>
              <w:spacing w:line="133" w:lineRule="exact"/>
              <w:jc w:val="center"/>
              <w:rPr>
                <w:sz w:val="20"/>
                <w:szCs w:val="20"/>
              </w:rPr>
            </w:pPr>
            <w:r>
              <w:rPr>
                <w:rFonts w:ascii="Arial" w:eastAsia="Arial" w:hAnsi="Arial" w:cs="Arial"/>
                <w:b/>
                <w:bCs/>
                <w:color w:val="CF0A2C"/>
                <w:w w:val="89"/>
                <w:sz w:val="14"/>
                <w:szCs w:val="14"/>
              </w:rPr>
              <w:t>(h)</w:t>
            </w:r>
          </w:p>
        </w:tc>
        <w:tc>
          <w:tcPr>
            <w:tcW w:w="1180" w:type="dxa"/>
            <w:vAlign w:val="bottom"/>
          </w:tcPr>
          <w:p w:rsidR="00CC2C66" w:rsidRDefault="00F80B74">
            <w:pPr>
              <w:spacing w:line="133" w:lineRule="exact"/>
              <w:ind w:right="75"/>
              <w:jc w:val="center"/>
              <w:rPr>
                <w:sz w:val="20"/>
                <w:szCs w:val="20"/>
              </w:rPr>
            </w:pPr>
            <w:r>
              <w:rPr>
                <w:rFonts w:ascii="Arial" w:eastAsia="Arial" w:hAnsi="Arial" w:cs="Arial"/>
                <w:b/>
                <w:bCs/>
                <w:color w:val="CF0A2C"/>
                <w:w w:val="90"/>
                <w:sz w:val="14"/>
                <w:szCs w:val="14"/>
              </w:rPr>
              <w:t>(i)</w:t>
            </w:r>
          </w:p>
        </w:tc>
        <w:tc>
          <w:tcPr>
            <w:tcW w:w="1000" w:type="dxa"/>
            <w:vAlign w:val="bottom"/>
          </w:tcPr>
          <w:p w:rsidR="00CC2C66" w:rsidRDefault="00F80B74">
            <w:pPr>
              <w:spacing w:line="133" w:lineRule="exact"/>
              <w:jc w:val="center"/>
              <w:rPr>
                <w:sz w:val="20"/>
                <w:szCs w:val="20"/>
              </w:rPr>
            </w:pPr>
            <w:r>
              <w:rPr>
                <w:rFonts w:ascii="Arial" w:eastAsia="Arial" w:hAnsi="Arial" w:cs="Arial"/>
                <w:b/>
                <w:bCs/>
                <w:color w:val="CF0A2C"/>
                <w:w w:val="90"/>
                <w:sz w:val="14"/>
                <w:szCs w:val="14"/>
              </w:rPr>
              <w:t>(j)</w:t>
            </w:r>
          </w:p>
        </w:tc>
      </w:tr>
      <w:tr w:rsidR="00CC2C66">
        <w:trPr>
          <w:trHeight w:val="166"/>
        </w:trPr>
        <w:tc>
          <w:tcPr>
            <w:tcW w:w="1300" w:type="dxa"/>
            <w:gridSpan w:val="2"/>
            <w:vAlign w:val="bottom"/>
          </w:tcPr>
          <w:p w:rsidR="00CC2C66" w:rsidRDefault="00F80B74">
            <w:pPr>
              <w:rPr>
                <w:sz w:val="20"/>
                <w:szCs w:val="20"/>
              </w:rPr>
            </w:pPr>
            <w:r>
              <w:rPr>
                <w:rFonts w:ascii="Arial" w:eastAsia="Arial" w:hAnsi="Arial" w:cs="Arial"/>
                <w:b/>
                <w:bCs/>
                <w:color w:val="CF0A2C"/>
                <w:sz w:val="13"/>
                <w:szCs w:val="13"/>
              </w:rPr>
              <w:t>Mr. Yuen</w:t>
            </w:r>
          </w:p>
        </w:tc>
        <w:tc>
          <w:tcPr>
            <w:tcW w:w="840" w:type="dxa"/>
            <w:vAlign w:val="bottom"/>
          </w:tcPr>
          <w:p w:rsidR="00CC2C66" w:rsidRDefault="00F80B74">
            <w:pPr>
              <w:jc w:val="right"/>
              <w:rPr>
                <w:sz w:val="20"/>
                <w:szCs w:val="20"/>
              </w:rPr>
            </w:pPr>
            <w:r>
              <w:rPr>
                <w:rFonts w:ascii="Arial" w:eastAsia="Arial" w:hAnsi="Arial" w:cs="Arial"/>
                <w:sz w:val="13"/>
                <w:szCs w:val="13"/>
              </w:rPr>
              <w:t>2/6/2013</w:t>
            </w:r>
          </w:p>
        </w:tc>
        <w:tc>
          <w:tcPr>
            <w:tcW w:w="1020" w:type="dxa"/>
            <w:vAlign w:val="bottom"/>
          </w:tcPr>
          <w:p w:rsidR="00CC2C66" w:rsidRDefault="00F80B74">
            <w:pPr>
              <w:ind w:right="15"/>
              <w:jc w:val="right"/>
              <w:rPr>
                <w:sz w:val="20"/>
                <w:szCs w:val="20"/>
              </w:rPr>
            </w:pPr>
            <w:r>
              <w:rPr>
                <w:rFonts w:ascii="Arial" w:eastAsia="Arial" w:hAnsi="Arial" w:cs="Arial"/>
                <w:sz w:val="13"/>
                <w:szCs w:val="13"/>
              </w:rPr>
              <w:t>3,591</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19.00</w:t>
            </w:r>
          </w:p>
        </w:tc>
        <w:tc>
          <w:tcPr>
            <w:tcW w:w="800" w:type="dxa"/>
            <w:vAlign w:val="bottom"/>
          </w:tcPr>
          <w:p w:rsidR="00CC2C66" w:rsidRDefault="00F80B74">
            <w:pPr>
              <w:jc w:val="right"/>
              <w:rPr>
                <w:sz w:val="20"/>
                <w:szCs w:val="20"/>
              </w:rPr>
            </w:pPr>
            <w:r>
              <w:rPr>
                <w:rFonts w:ascii="Arial" w:eastAsia="Arial" w:hAnsi="Arial" w:cs="Arial"/>
                <w:sz w:val="13"/>
                <w:szCs w:val="13"/>
              </w:rPr>
              <w:t>2/6/2023</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2/5/2014</w:t>
            </w:r>
          </w:p>
        </w:tc>
        <w:tc>
          <w:tcPr>
            <w:tcW w:w="1020" w:type="dxa"/>
            <w:vAlign w:val="bottom"/>
          </w:tcPr>
          <w:p w:rsidR="00CC2C66" w:rsidRDefault="00F80B74">
            <w:pPr>
              <w:ind w:right="15"/>
              <w:jc w:val="right"/>
              <w:rPr>
                <w:sz w:val="20"/>
                <w:szCs w:val="20"/>
              </w:rPr>
            </w:pPr>
            <w:r>
              <w:rPr>
                <w:rFonts w:ascii="Arial" w:eastAsia="Arial" w:hAnsi="Arial" w:cs="Arial"/>
                <w:sz w:val="13"/>
                <w:szCs w:val="13"/>
              </w:rPr>
              <w:t>3,602</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21.30</w:t>
            </w:r>
          </w:p>
        </w:tc>
        <w:tc>
          <w:tcPr>
            <w:tcW w:w="800" w:type="dxa"/>
            <w:vAlign w:val="bottom"/>
          </w:tcPr>
          <w:p w:rsidR="00CC2C66" w:rsidRDefault="00F80B74">
            <w:pPr>
              <w:jc w:val="right"/>
              <w:rPr>
                <w:sz w:val="20"/>
                <w:szCs w:val="20"/>
              </w:rPr>
            </w:pPr>
            <w:r>
              <w:rPr>
                <w:rFonts w:ascii="Arial" w:eastAsia="Arial" w:hAnsi="Arial" w:cs="Arial"/>
                <w:sz w:val="13"/>
                <w:szCs w:val="13"/>
              </w:rPr>
              <w:t>2/5/2024</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2/6/2015</w:t>
            </w:r>
          </w:p>
        </w:tc>
        <w:tc>
          <w:tcPr>
            <w:tcW w:w="1020" w:type="dxa"/>
            <w:vAlign w:val="bottom"/>
          </w:tcPr>
          <w:p w:rsidR="00CC2C66" w:rsidRDefault="00F80B74">
            <w:pPr>
              <w:ind w:right="15"/>
              <w:jc w:val="right"/>
              <w:rPr>
                <w:sz w:val="20"/>
                <w:szCs w:val="20"/>
              </w:rPr>
            </w:pPr>
            <w:r>
              <w:rPr>
                <w:rFonts w:ascii="Arial" w:eastAsia="Arial" w:hAnsi="Arial" w:cs="Arial"/>
                <w:sz w:val="13"/>
                <w:szCs w:val="13"/>
              </w:rPr>
              <w:t>4,060</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22.32</w:t>
            </w:r>
          </w:p>
        </w:tc>
        <w:tc>
          <w:tcPr>
            <w:tcW w:w="800" w:type="dxa"/>
            <w:vAlign w:val="bottom"/>
          </w:tcPr>
          <w:p w:rsidR="00CC2C66" w:rsidRDefault="00F80B74">
            <w:pPr>
              <w:jc w:val="right"/>
              <w:rPr>
                <w:sz w:val="20"/>
                <w:szCs w:val="20"/>
              </w:rPr>
            </w:pPr>
            <w:r>
              <w:rPr>
                <w:rFonts w:ascii="Arial" w:eastAsia="Arial" w:hAnsi="Arial" w:cs="Arial"/>
                <w:sz w:val="13"/>
                <w:szCs w:val="13"/>
              </w:rPr>
              <w:t>2/6/2025</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2/6/2015</w:t>
            </w:r>
          </w:p>
        </w:tc>
        <w:tc>
          <w:tcPr>
            <w:tcW w:w="1020" w:type="dxa"/>
            <w:vAlign w:val="bottom"/>
          </w:tcPr>
          <w:p w:rsidR="00CC2C66" w:rsidRDefault="00F80B74">
            <w:pPr>
              <w:ind w:right="15"/>
              <w:jc w:val="right"/>
              <w:rPr>
                <w:sz w:val="20"/>
                <w:szCs w:val="20"/>
              </w:rPr>
            </w:pPr>
            <w:r>
              <w:rPr>
                <w:rFonts w:ascii="Arial" w:eastAsia="Arial" w:hAnsi="Arial" w:cs="Arial"/>
                <w:sz w:val="13"/>
                <w:szCs w:val="13"/>
              </w:rPr>
              <w:t>4,060</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22.32</w:t>
            </w:r>
          </w:p>
        </w:tc>
        <w:tc>
          <w:tcPr>
            <w:tcW w:w="800" w:type="dxa"/>
            <w:vAlign w:val="bottom"/>
          </w:tcPr>
          <w:p w:rsidR="00CC2C66" w:rsidRDefault="00F80B74">
            <w:pPr>
              <w:jc w:val="right"/>
              <w:rPr>
                <w:sz w:val="20"/>
                <w:szCs w:val="20"/>
              </w:rPr>
            </w:pPr>
            <w:r>
              <w:rPr>
                <w:rFonts w:ascii="Arial" w:eastAsia="Arial" w:hAnsi="Arial" w:cs="Arial"/>
                <w:sz w:val="13"/>
                <w:szCs w:val="13"/>
              </w:rPr>
              <w:t>2/6/2025</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2/5/2016</w:t>
            </w:r>
          </w:p>
        </w:tc>
        <w:tc>
          <w:tcPr>
            <w:tcW w:w="1020" w:type="dxa"/>
            <w:vAlign w:val="bottom"/>
          </w:tcPr>
          <w:p w:rsidR="00CC2C66" w:rsidRDefault="00F80B74">
            <w:pPr>
              <w:ind w:right="15"/>
              <w:jc w:val="right"/>
              <w:rPr>
                <w:sz w:val="20"/>
                <w:szCs w:val="20"/>
              </w:rPr>
            </w:pPr>
            <w:r>
              <w:rPr>
                <w:rFonts w:ascii="Arial" w:eastAsia="Arial" w:hAnsi="Arial" w:cs="Arial"/>
                <w:sz w:val="13"/>
                <w:szCs w:val="13"/>
              </w:rPr>
              <w:t>4,614</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21.06</w:t>
            </w:r>
          </w:p>
        </w:tc>
        <w:tc>
          <w:tcPr>
            <w:tcW w:w="800" w:type="dxa"/>
            <w:vAlign w:val="bottom"/>
          </w:tcPr>
          <w:p w:rsidR="00CC2C66" w:rsidRDefault="00F80B74">
            <w:pPr>
              <w:jc w:val="right"/>
              <w:rPr>
                <w:sz w:val="20"/>
                <w:szCs w:val="20"/>
              </w:rPr>
            </w:pPr>
            <w:r>
              <w:rPr>
                <w:rFonts w:ascii="Arial" w:eastAsia="Arial" w:hAnsi="Arial" w:cs="Arial"/>
                <w:sz w:val="13"/>
                <w:szCs w:val="13"/>
              </w:rPr>
              <w:t>2/5/2026</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2/10/2017</w:t>
            </w:r>
          </w:p>
        </w:tc>
        <w:tc>
          <w:tcPr>
            <w:tcW w:w="1020" w:type="dxa"/>
            <w:vAlign w:val="bottom"/>
          </w:tcPr>
          <w:p w:rsidR="00CC2C66" w:rsidRDefault="00F80B74">
            <w:pPr>
              <w:ind w:right="15"/>
              <w:jc w:val="right"/>
              <w:rPr>
                <w:sz w:val="20"/>
                <w:szCs w:val="20"/>
              </w:rPr>
            </w:pPr>
            <w:r>
              <w:rPr>
                <w:rFonts w:ascii="Arial" w:eastAsia="Arial" w:hAnsi="Arial" w:cs="Arial"/>
                <w:sz w:val="13"/>
                <w:szCs w:val="13"/>
              </w:rPr>
              <w:t>11,364</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26.56</w:t>
            </w:r>
          </w:p>
        </w:tc>
        <w:tc>
          <w:tcPr>
            <w:tcW w:w="800" w:type="dxa"/>
            <w:vAlign w:val="bottom"/>
          </w:tcPr>
          <w:p w:rsidR="00CC2C66" w:rsidRDefault="00F80B74">
            <w:pPr>
              <w:jc w:val="right"/>
              <w:rPr>
                <w:sz w:val="20"/>
                <w:szCs w:val="20"/>
              </w:rPr>
            </w:pPr>
            <w:r>
              <w:rPr>
                <w:rFonts w:ascii="Arial" w:eastAsia="Arial" w:hAnsi="Arial" w:cs="Arial"/>
                <w:sz w:val="13"/>
                <w:szCs w:val="13"/>
              </w:rPr>
              <w:t>2/10/2027</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2/9/2018</w:t>
            </w:r>
          </w:p>
        </w:tc>
        <w:tc>
          <w:tcPr>
            <w:tcW w:w="1020" w:type="dxa"/>
            <w:vAlign w:val="bottom"/>
          </w:tcPr>
          <w:p w:rsidR="00CC2C66" w:rsidRDefault="00F80B74">
            <w:pPr>
              <w:ind w:right="15"/>
              <w:jc w:val="right"/>
              <w:rPr>
                <w:sz w:val="20"/>
                <w:szCs w:val="20"/>
              </w:rPr>
            </w:pPr>
            <w:r>
              <w:rPr>
                <w:rFonts w:ascii="Arial" w:eastAsia="Arial" w:hAnsi="Arial" w:cs="Arial"/>
                <w:sz w:val="13"/>
                <w:szCs w:val="13"/>
              </w:rPr>
              <w:t>12,647</w:t>
            </w:r>
          </w:p>
        </w:tc>
        <w:tc>
          <w:tcPr>
            <w:tcW w:w="1360" w:type="dxa"/>
            <w:vAlign w:val="bottom"/>
          </w:tcPr>
          <w:p w:rsidR="00CC2C66" w:rsidRDefault="00F80B74">
            <w:pPr>
              <w:spacing w:line="166" w:lineRule="exact"/>
              <w:ind w:left="655"/>
              <w:jc w:val="center"/>
              <w:rPr>
                <w:sz w:val="20"/>
                <w:szCs w:val="20"/>
              </w:rPr>
            </w:pPr>
            <w:r>
              <w:rPr>
                <w:rFonts w:ascii="Arial" w:eastAsia="Arial" w:hAnsi="Arial" w:cs="Arial"/>
                <w:w w:val="91"/>
                <w:sz w:val="13"/>
                <w:szCs w:val="13"/>
              </w:rPr>
              <w:t>4,216</w:t>
            </w:r>
            <w:r>
              <w:rPr>
                <w:rFonts w:ascii="Arial" w:eastAsia="Arial" w:hAnsi="Arial" w:cs="Arial"/>
                <w:w w:val="91"/>
                <w:sz w:val="19"/>
                <w:szCs w:val="19"/>
                <w:vertAlign w:val="superscript"/>
              </w:rPr>
              <w:t>(i)</w:t>
            </w:r>
          </w:p>
        </w:tc>
        <w:tc>
          <w:tcPr>
            <w:tcW w:w="740" w:type="dxa"/>
            <w:vAlign w:val="bottom"/>
          </w:tcPr>
          <w:p w:rsidR="00CC2C66" w:rsidRDefault="00F80B74">
            <w:pPr>
              <w:ind w:right="15"/>
              <w:jc w:val="right"/>
              <w:rPr>
                <w:sz w:val="20"/>
                <w:szCs w:val="20"/>
              </w:rPr>
            </w:pPr>
            <w:r>
              <w:rPr>
                <w:rFonts w:ascii="Arial" w:eastAsia="Arial" w:hAnsi="Arial" w:cs="Arial"/>
                <w:sz w:val="13"/>
                <w:szCs w:val="13"/>
              </w:rPr>
              <w:t>40.29</w:t>
            </w:r>
          </w:p>
        </w:tc>
        <w:tc>
          <w:tcPr>
            <w:tcW w:w="800" w:type="dxa"/>
            <w:vAlign w:val="bottom"/>
          </w:tcPr>
          <w:p w:rsidR="00CC2C66" w:rsidRDefault="00F80B74">
            <w:pPr>
              <w:jc w:val="right"/>
              <w:rPr>
                <w:sz w:val="20"/>
                <w:szCs w:val="20"/>
              </w:rPr>
            </w:pPr>
            <w:r>
              <w:rPr>
                <w:rFonts w:ascii="Arial" w:eastAsia="Arial" w:hAnsi="Arial" w:cs="Arial"/>
                <w:sz w:val="13"/>
                <w:szCs w:val="13"/>
              </w:rPr>
              <w:t>2/9/2028</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2/7/2019</w:t>
            </w:r>
          </w:p>
        </w:tc>
        <w:tc>
          <w:tcPr>
            <w:tcW w:w="1020" w:type="dxa"/>
            <w:vAlign w:val="bottom"/>
          </w:tcPr>
          <w:p w:rsidR="00CC2C66" w:rsidRDefault="00F80B74">
            <w:pPr>
              <w:ind w:right="15"/>
              <w:jc w:val="right"/>
              <w:rPr>
                <w:sz w:val="20"/>
                <w:szCs w:val="20"/>
              </w:rPr>
            </w:pPr>
            <w:r>
              <w:rPr>
                <w:rFonts w:ascii="Arial" w:eastAsia="Arial" w:hAnsi="Arial" w:cs="Arial"/>
                <w:sz w:val="13"/>
                <w:szCs w:val="13"/>
              </w:rPr>
              <w:t>8,486</w:t>
            </w:r>
          </w:p>
        </w:tc>
        <w:tc>
          <w:tcPr>
            <w:tcW w:w="1360" w:type="dxa"/>
            <w:vAlign w:val="bottom"/>
          </w:tcPr>
          <w:p w:rsidR="00CC2C66" w:rsidRDefault="00F80B74">
            <w:pPr>
              <w:spacing w:line="166" w:lineRule="exact"/>
              <w:ind w:left="675"/>
              <w:jc w:val="center"/>
              <w:rPr>
                <w:sz w:val="20"/>
                <w:szCs w:val="20"/>
              </w:rPr>
            </w:pPr>
            <w:r>
              <w:rPr>
                <w:rFonts w:ascii="Arial" w:eastAsia="Arial" w:hAnsi="Arial" w:cs="Arial"/>
                <w:w w:val="90"/>
                <w:sz w:val="13"/>
                <w:szCs w:val="13"/>
              </w:rPr>
              <w:t>8,487</w:t>
            </w:r>
            <w:r>
              <w:rPr>
                <w:rFonts w:ascii="Arial" w:eastAsia="Arial" w:hAnsi="Arial" w:cs="Arial"/>
                <w:w w:val="90"/>
                <w:sz w:val="19"/>
                <w:szCs w:val="19"/>
                <w:vertAlign w:val="superscript"/>
              </w:rPr>
              <w:t>(ii)</w:t>
            </w:r>
          </w:p>
        </w:tc>
        <w:tc>
          <w:tcPr>
            <w:tcW w:w="740" w:type="dxa"/>
            <w:vAlign w:val="bottom"/>
          </w:tcPr>
          <w:p w:rsidR="00CC2C66" w:rsidRDefault="00F80B74">
            <w:pPr>
              <w:ind w:right="15"/>
              <w:jc w:val="right"/>
              <w:rPr>
                <w:sz w:val="20"/>
                <w:szCs w:val="20"/>
              </w:rPr>
            </w:pPr>
            <w:r>
              <w:rPr>
                <w:rFonts w:ascii="Arial" w:eastAsia="Arial" w:hAnsi="Arial" w:cs="Arial"/>
                <w:sz w:val="13"/>
                <w:szCs w:val="13"/>
              </w:rPr>
              <w:t>41.66</w:t>
            </w:r>
          </w:p>
        </w:tc>
        <w:tc>
          <w:tcPr>
            <w:tcW w:w="800" w:type="dxa"/>
            <w:vAlign w:val="bottom"/>
          </w:tcPr>
          <w:p w:rsidR="00CC2C66" w:rsidRDefault="00F80B74">
            <w:pPr>
              <w:jc w:val="right"/>
              <w:rPr>
                <w:sz w:val="20"/>
                <w:szCs w:val="20"/>
              </w:rPr>
            </w:pPr>
            <w:r>
              <w:rPr>
                <w:rFonts w:ascii="Arial" w:eastAsia="Arial" w:hAnsi="Arial" w:cs="Arial"/>
                <w:sz w:val="13"/>
                <w:szCs w:val="13"/>
              </w:rPr>
              <w:t>2/7/2029</w:t>
            </w:r>
          </w:p>
        </w:tc>
        <w:tc>
          <w:tcPr>
            <w:tcW w:w="240" w:type="dxa"/>
            <w:vAlign w:val="bottom"/>
          </w:tcPr>
          <w:p w:rsidR="00CC2C66" w:rsidRDefault="00CC2C66">
            <w:pPr>
              <w:rPr>
                <w:sz w:val="14"/>
                <w:szCs w:val="14"/>
              </w:rPr>
            </w:pPr>
          </w:p>
        </w:tc>
        <w:tc>
          <w:tcPr>
            <w:tcW w:w="1060" w:type="dxa"/>
            <w:vAlign w:val="bottom"/>
          </w:tcPr>
          <w:p w:rsidR="00CC2C66" w:rsidRDefault="00F80B74">
            <w:pPr>
              <w:spacing w:line="166" w:lineRule="exact"/>
              <w:ind w:right="16"/>
              <w:jc w:val="right"/>
              <w:rPr>
                <w:sz w:val="20"/>
                <w:szCs w:val="20"/>
              </w:rPr>
            </w:pPr>
            <w:r>
              <w:rPr>
                <w:rFonts w:ascii="Arial" w:eastAsia="Arial" w:hAnsi="Arial" w:cs="Arial"/>
                <w:sz w:val="13"/>
                <w:szCs w:val="13"/>
              </w:rPr>
              <w:t>5,606</w:t>
            </w:r>
            <w:r>
              <w:rPr>
                <w:rFonts w:ascii="Arial" w:eastAsia="Arial" w:hAnsi="Arial" w:cs="Arial"/>
                <w:sz w:val="19"/>
                <w:szCs w:val="19"/>
                <w:vertAlign w:val="superscript"/>
              </w:rPr>
              <w:t>(iii)</w:t>
            </w:r>
          </w:p>
        </w:tc>
        <w:tc>
          <w:tcPr>
            <w:tcW w:w="880" w:type="dxa"/>
            <w:vAlign w:val="bottom"/>
          </w:tcPr>
          <w:p w:rsidR="00CC2C66" w:rsidRDefault="00F80B74">
            <w:pPr>
              <w:ind w:right="15"/>
              <w:jc w:val="right"/>
              <w:rPr>
                <w:sz w:val="20"/>
                <w:szCs w:val="20"/>
              </w:rPr>
            </w:pPr>
            <w:r>
              <w:rPr>
                <w:rFonts w:ascii="Arial" w:eastAsia="Arial" w:hAnsi="Arial" w:cs="Arial"/>
                <w:sz w:val="13"/>
                <w:szCs w:val="13"/>
              </w:rPr>
              <w:t>279,398</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6,079</w:t>
            </w:r>
          </w:p>
        </w:tc>
        <w:tc>
          <w:tcPr>
            <w:tcW w:w="1360" w:type="dxa"/>
            <w:vAlign w:val="bottom"/>
          </w:tcPr>
          <w:p w:rsidR="00CC2C66" w:rsidRDefault="00F80B74">
            <w:pPr>
              <w:spacing w:line="166" w:lineRule="exact"/>
              <w:ind w:right="35"/>
              <w:jc w:val="right"/>
              <w:rPr>
                <w:sz w:val="20"/>
                <w:szCs w:val="20"/>
              </w:rPr>
            </w:pPr>
            <w:r>
              <w:rPr>
                <w:rFonts w:ascii="Arial" w:eastAsia="Arial" w:hAnsi="Arial" w:cs="Arial"/>
                <w:sz w:val="13"/>
                <w:szCs w:val="13"/>
              </w:rPr>
              <w:t>18,240</w:t>
            </w:r>
            <w:r>
              <w:rPr>
                <w:rFonts w:ascii="Arial" w:eastAsia="Arial" w:hAnsi="Arial" w:cs="Arial"/>
                <w:sz w:val="19"/>
                <w:szCs w:val="19"/>
                <w:vertAlign w:val="superscript"/>
              </w:rPr>
              <w:t>(ii)</w:t>
            </w:r>
          </w:p>
        </w:tc>
        <w:tc>
          <w:tcPr>
            <w:tcW w:w="740" w:type="dxa"/>
            <w:vAlign w:val="bottom"/>
          </w:tcPr>
          <w:p w:rsidR="00CC2C66" w:rsidRDefault="00F80B74">
            <w:pPr>
              <w:ind w:right="15"/>
              <w:jc w:val="right"/>
              <w:rPr>
                <w:sz w:val="20"/>
                <w:szCs w:val="20"/>
              </w:rPr>
            </w:pPr>
            <w:r>
              <w:rPr>
                <w:rFonts w:ascii="Arial" w:eastAsia="Arial" w:hAnsi="Arial" w:cs="Arial"/>
                <w:sz w:val="13"/>
                <w:szCs w:val="13"/>
              </w:rPr>
              <w:t>42.71</w:t>
            </w:r>
          </w:p>
        </w:tc>
        <w:tc>
          <w:tcPr>
            <w:tcW w:w="800" w:type="dxa"/>
            <w:vAlign w:val="bottom"/>
          </w:tcPr>
          <w:p w:rsidR="00CC2C66" w:rsidRDefault="00F80B74">
            <w:pPr>
              <w:jc w:val="right"/>
              <w:rPr>
                <w:sz w:val="20"/>
                <w:szCs w:val="20"/>
              </w:rPr>
            </w:pPr>
            <w:r>
              <w:rPr>
                <w:rFonts w:ascii="Arial" w:eastAsia="Arial" w:hAnsi="Arial" w:cs="Arial"/>
                <w:sz w:val="13"/>
                <w:szCs w:val="13"/>
              </w:rPr>
              <w:t>2/7/2030</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spacing w:line="166" w:lineRule="exact"/>
              <w:ind w:left="640"/>
              <w:rPr>
                <w:sz w:val="20"/>
                <w:szCs w:val="20"/>
              </w:rPr>
            </w:pPr>
            <w:r>
              <w:rPr>
                <w:rFonts w:ascii="Arial" w:eastAsia="Arial" w:hAnsi="Arial" w:cs="Arial"/>
                <w:sz w:val="13"/>
                <w:szCs w:val="13"/>
              </w:rPr>
              <w:t>3,018</w:t>
            </w:r>
            <w:r>
              <w:rPr>
                <w:rFonts w:ascii="Arial" w:eastAsia="Arial" w:hAnsi="Arial" w:cs="Arial"/>
                <w:sz w:val="19"/>
                <w:szCs w:val="19"/>
                <w:vertAlign w:val="superscript"/>
              </w:rPr>
              <w:t>(i)</w:t>
            </w:r>
          </w:p>
        </w:tc>
        <w:tc>
          <w:tcPr>
            <w:tcW w:w="1000" w:type="dxa"/>
            <w:vAlign w:val="bottom"/>
          </w:tcPr>
          <w:p w:rsidR="00CC2C66" w:rsidRDefault="00F80B74">
            <w:pPr>
              <w:jc w:val="right"/>
              <w:rPr>
                <w:sz w:val="20"/>
                <w:szCs w:val="20"/>
              </w:rPr>
            </w:pPr>
            <w:r>
              <w:rPr>
                <w:rFonts w:ascii="Arial" w:eastAsia="Arial" w:hAnsi="Arial" w:cs="Arial"/>
                <w:sz w:val="13"/>
                <w:szCs w:val="13"/>
              </w:rPr>
              <w:t>150,417</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w:t>
            </w:r>
          </w:p>
        </w:tc>
        <w:tc>
          <w:tcPr>
            <w:tcW w:w="1040" w:type="dxa"/>
            <w:gridSpan w:val="2"/>
            <w:vAlign w:val="bottom"/>
          </w:tcPr>
          <w:p w:rsidR="00CC2C66" w:rsidRDefault="00F80B74">
            <w:pPr>
              <w:ind w:right="280"/>
              <w:jc w:val="right"/>
              <w:rPr>
                <w:sz w:val="20"/>
                <w:szCs w:val="20"/>
              </w:rPr>
            </w:pPr>
            <w:r>
              <w:rPr>
                <w:rFonts w:ascii="Arial" w:eastAsia="Arial" w:hAnsi="Arial" w:cs="Arial"/>
                <w:sz w:val="13"/>
                <w:szCs w:val="13"/>
              </w:rPr>
              <w:t>—</w:t>
            </w: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spacing w:line="166" w:lineRule="exact"/>
              <w:ind w:right="55"/>
              <w:jc w:val="right"/>
              <w:rPr>
                <w:sz w:val="20"/>
                <w:szCs w:val="20"/>
              </w:rPr>
            </w:pPr>
            <w:r>
              <w:rPr>
                <w:rFonts w:ascii="Arial" w:eastAsia="Arial" w:hAnsi="Arial" w:cs="Arial"/>
                <w:sz w:val="13"/>
                <w:szCs w:val="13"/>
              </w:rPr>
              <w:t>39,084</w:t>
            </w:r>
            <w:r>
              <w:rPr>
                <w:rFonts w:ascii="Arial" w:eastAsia="Arial" w:hAnsi="Arial" w:cs="Arial"/>
                <w:sz w:val="19"/>
                <w:szCs w:val="19"/>
                <w:vertAlign w:val="superscript"/>
              </w:rPr>
              <w:t>(ii)</w:t>
            </w:r>
          </w:p>
        </w:tc>
        <w:tc>
          <w:tcPr>
            <w:tcW w:w="1000" w:type="dxa"/>
            <w:vAlign w:val="bottom"/>
          </w:tcPr>
          <w:p w:rsidR="00CC2C66" w:rsidRDefault="00F80B74">
            <w:pPr>
              <w:jc w:val="right"/>
              <w:rPr>
                <w:sz w:val="20"/>
                <w:szCs w:val="20"/>
              </w:rPr>
            </w:pPr>
            <w:r>
              <w:rPr>
                <w:rFonts w:ascii="Arial" w:eastAsia="Arial" w:hAnsi="Arial" w:cs="Arial"/>
                <w:sz w:val="13"/>
                <w:szCs w:val="13"/>
              </w:rPr>
              <w:t>1,947,947</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2/5/2021</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60" w:type="dxa"/>
            <w:vAlign w:val="bottom"/>
          </w:tcPr>
          <w:p w:rsidR="00CC2C66" w:rsidRDefault="00F80B74">
            <w:pPr>
              <w:spacing w:line="166" w:lineRule="exact"/>
              <w:ind w:left="615"/>
              <w:jc w:val="center"/>
              <w:rPr>
                <w:sz w:val="20"/>
                <w:szCs w:val="20"/>
              </w:rPr>
            </w:pPr>
            <w:r>
              <w:rPr>
                <w:rFonts w:ascii="Arial" w:eastAsia="Arial" w:hAnsi="Arial" w:cs="Arial"/>
                <w:w w:val="90"/>
                <w:sz w:val="13"/>
                <w:szCs w:val="13"/>
              </w:rPr>
              <w:t>20,066</w:t>
            </w:r>
            <w:r>
              <w:rPr>
                <w:rFonts w:ascii="Arial" w:eastAsia="Arial" w:hAnsi="Arial" w:cs="Arial"/>
                <w:w w:val="90"/>
                <w:sz w:val="19"/>
                <w:szCs w:val="19"/>
                <w:vertAlign w:val="superscript"/>
              </w:rPr>
              <w:t>(iv)</w:t>
            </w:r>
          </w:p>
        </w:tc>
        <w:tc>
          <w:tcPr>
            <w:tcW w:w="740" w:type="dxa"/>
            <w:vAlign w:val="bottom"/>
          </w:tcPr>
          <w:p w:rsidR="00CC2C66" w:rsidRDefault="00F80B74">
            <w:pPr>
              <w:ind w:right="15"/>
              <w:jc w:val="right"/>
              <w:rPr>
                <w:sz w:val="20"/>
                <w:szCs w:val="20"/>
              </w:rPr>
            </w:pPr>
            <w:r>
              <w:rPr>
                <w:rFonts w:ascii="Arial" w:eastAsia="Arial" w:hAnsi="Arial" w:cs="Arial"/>
                <w:sz w:val="13"/>
                <w:szCs w:val="13"/>
              </w:rPr>
              <w:t>57.39</w:t>
            </w:r>
          </w:p>
        </w:tc>
        <w:tc>
          <w:tcPr>
            <w:tcW w:w="800" w:type="dxa"/>
            <w:vAlign w:val="bottom"/>
          </w:tcPr>
          <w:p w:rsidR="00CC2C66" w:rsidRDefault="00F80B74">
            <w:pPr>
              <w:jc w:val="right"/>
              <w:rPr>
                <w:sz w:val="20"/>
                <w:szCs w:val="20"/>
              </w:rPr>
            </w:pPr>
            <w:r>
              <w:rPr>
                <w:rFonts w:ascii="Arial" w:eastAsia="Arial" w:hAnsi="Arial" w:cs="Arial"/>
                <w:sz w:val="13"/>
                <w:szCs w:val="13"/>
              </w:rPr>
              <w:t>2/5/2031</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spacing w:line="166" w:lineRule="exact"/>
              <w:ind w:left="640"/>
              <w:rPr>
                <w:sz w:val="20"/>
                <w:szCs w:val="20"/>
              </w:rPr>
            </w:pPr>
            <w:r>
              <w:rPr>
                <w:rFonts w:ascii="Arial" w:eastAsia="Arial" w:hAnsi="Arial" w:cs="Arial"/>
                <w:sz w:val="13"/>
                <w:szCs w:val="13"/>
              </w:rPr>
              <w:t>1,198</w:t>
            </w:r>
            <w:r>
              <w:rPr>
                <w:rFonts w:ascii="Arial" w:eastAsia="Arial" w:hAnsi="Arial" w:cs="Arial"/>
                <w:sz w:val="19"/>
                <w:szCs w:val="19"/>
                <w:vertAlign w:val="superscript"/>
              </w:rPr>
              <w:t>(iii)</w:t>
            </w:r>
          </w:p>
        </w:tc>
        <w:tc>
          <w:tcPr>
            <w:tcW w:w="1000" w:type="dxa"/>
            <w:vAlign w:val="bottom"/>
          </w:tcPr>
          <w:p w:rsidR="00CC2C66" w:rsidRDefault="00F80B74">
            <w:pPr>
              <w:jc w:val="right"/>
              <w:rPr>
                <w:sz w:val="20"/>
                <w:szCs w:val="20"/>
              </w:rPr>
            </w:pPr>
            <w:r>
              <w:rPr>
                <w:rFonts w:ascii="Arial" w:eastAsia="Arial" w:hAnsi="Arial" w:cs="Arial"/>
                <w:sz w:val="13"/>
                <w:szCs w:val="13"/>
              </w:rPr>
              <w:t>59,683</w:t>
            </w:r>
          </w:p>
        </w:tc>
      </w:tr>
      <w:tr w:rsidR="00CC2C66">
        <w:trPr>
          <w:trHeight w:val="153"/>
        </w:trPr>
        <w:tc>
          <w:tcPr>
            <w:tcW w:w="20" w:type="dxa"/>
            <w:vAlign w:val="bottom"/>
          </w:tcPr>
          <w:p w:rsidR="00CC2C66" w:rsidRDefault="00CC2C66">
            <w:pPr>
              <w:rPr>
                <w:sz w:val="13"/>
                <w:szCs w:val="13"/>
              </w:rPr>
            </w:pPr>
          </w:p>
        </w:tc>
        <w:tc>
          <w:tcPr>
            <w:tcW w:w="1280" w:type="dxa"/>
            <w:tcBorders>
              <w:bottom w:val="single" w:sz="8" w:space="0" w:color="CF0A2C"/>
            </w:tcBorders>
            <w:vAlign w:val="bottom"/>
          </w:tcPr>
          <w:p w:rsidR="00CC2C66" w:rsidRDefault="00CC2C66">
            <w:pPr>
              <w:rPr>
                <w:sz w:val="13"/>
                <w:szCs w:val="13"/>
              </w:rPr>
            </w:pP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5/25/2021</w:t>
            </w:r>
          </w:p>
        </w:tc>
        <w:tc>
          <w:tcPr>
            <w:tcW w:w="10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360" w:type="dxa"/>
            <w:tcBorders>
              <w:bottom w:val="single" w:sz="8" w:space="0" w:color="CF0A2C"/>
            </w:tcBorders>
            <w:vAlign w:val="bottom"/>
          </w:tcPr>
          <w:p w:rsidR="00CC2C66" w:rsidRDefault="00F80B74">
            <w:pPr>
              <w:ind w:right="155"/>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040" w:type="dxa"/>
            <w:gridSpan w:val="2"/>
            <w:tcBorders>
              <w:bottom w:val="single" w:sz="8" w:space="0" w:color="CF0A2C"/>
            </w:tcBorders>
            <w:vAlign w:val="bottom"/>
          </w:tcPr>
          <w:p w:rsidR="00CC2C66" w:rsidRDefault="00F80B74">
            <w:pPr>
              <w:ind w:right="280"/>
              <w:jc w:val="right"/>
              <w:rPr>
                <w:sz w:val="20"/>
                <w:szCs w:val="20"/>
              </w:rPr>
            </w:pPr>
            <w:r>
              <w:rPr>
                <w:rFonts w:ascii="Arial" w:eastAsia="Arial" w:hAnsi="Arial" w:cs="Arial"/>
                <w:sz w:val="13"/>
                <w:szCs w:val="13"/>
              </w:rPr>
              <w:t>—</w:t>
            </w:r>
          </w:p>
        </w:tc>
        <w:tc>
          <w:tcPr>
            <w:tcW w:w="1060" w:type="dxa"/>
            <w:tcBorders>
              <w:bottom w:val="single" w:sz="8" w:space="0" w:color="CF0A2C"/>
            </w:tcBorders>
            <w:vAlign w:val="bottom"/>
          </w:tcPr>
          <w:p w:rsidR="00CC2C66" w:rsidRDefault="00F80B74">
            <w:pPr>
              <w:ind w:right="156"/>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180" w:type="dxa"/>
            <w:tcBorders>
              <w:bottom w:val="single" w:sz="8" w:space="0" w:color="CF0A2C"/>
            </w:tcBorders>
            <w:vAlign w:val="bottom"/>
          </w:tcPr>
          <w:p w:rsidR="00CC2C66" w:rsidRDefault="00F80B74">
            <w:pPr>
              <w:spacing w:line="154" w:lineRule="exact"/>
              <w:ind w:left="640"/>
              <w:rPr>
                <w:sz w:val="20"/>
                <w:szCs w:val="20"/>
              </w:rPr>
            </w:pPr>
            <w:r>
              <w:rPr>
                <w:rFonts w:ascii="Arial" w:eastAsia="Arial" w:hAnsi="Arial" w:cs="Arial"/>
                <w:sz w:val="12"/>
                <w:szCs w:val="12"/>
              </w:rPr>
              <w:t>1,525</w:t>
            </w:r>
            <w:r>
              <w:rPr>
                <w:rFonts w:ascii="Arial" w:eastAsia="Arial" w:hAnsi="Arial" w:cs="Arial"/>
                <w:sz w:val="17"/>
                <w:szCs w:val="17"/>
                <w:vertAlign w:val="superscript"/>
              </w:rPr>
              <w:t>(iii)</w:t>
            </w:r>
          </w:p>
        </w:tc>
        <w:tc>
          <w:tcPr>
            <w:tcW w:w="10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76,006</w:t>
            </w:r>
          </w:p>
        </w:tc>
      </w:tr>
      <w:tr w:rsidR="00CC2C66">
        <w:trPr>
          <w:trHeight w:val="146"/>
        </w:trPr>
        <w:tc>
          <w:tcPr>
            <w:tcW w:w="20" w:type="dxa"/>
            <w:vAlign w:val="bottom"/>
          </w:tcPr>
          <w:p w:rsidR="00CC2C66" w:rsidRDefault="00CC2C66">
            <w:pPr>
              <w:rPr>
                <w:sz w:val="12"/>
                <w:szCs w:val="12"/>
              </w:rPr>
            </w:pPr>
          </w:p>
        </w:tc>
        <w:tc>
          <w:tcPr>
            <w:tcW w:w="1280" w:type="dxa"/>
            <w:vAlign w:val="bottom"/>
          </w:tcPr>
          <w:p w:rsidR="00CC2C66" w:rsidRDefault="00F80B74">
            <w:pPr>
              <w:spacing w:line="146" w:lineRule="exact"/>
              <w:rPr>
                <w:sz w:val="20"/>
                <w:szCs w:val="20"/>
              </w:rPr>
            </w:pPr>
            <w:r>
              <w:rPr>
                <w:rFonts w:ascii="Arial" w:eastAsia="Arial" w:hAnsi="Arial" w:cs="Arial"/>
                <w:b/>
                <w:bCs/>
                <w:color w:val="CF0A2C"/>
                <w:sz w:val="11"/>
                <w:szCs w:val="11"/>
              </w:rPr>
              <w:t>Mr. Tan</w:t>
            </w:r>
            <w:r>
              <w:rPr>
                <w:rFonts w:ascii="Arial" w:eastAsia="Arial" w:hAnsi="Arial" w:cs="Arial"/>
                <w:b/>
                <w:bCs/>
                <w:color w:val="CF0A2C"/>
                <w:sz w:val="16"/>
                <w:szCs w:val="16"/>
                <w:vertAlign w:val="superscript"/>
              </w:rPr>
              <w:t>(5)</w:t>
            </w:r>
          </w:p>
        </w:tc>
        <w:tc>
          <w:tcPr>
            <w:tcW w:w="840" w:type="dxa"/>
            <w:vAlign w:val="bottom"/>
          </w:tcPr>
          <w:p w:rsidR="00CC2C66" w:rsidRDefault="00F80B74">
            <w:pPr>
              <w:spacing w:line="146" w:lineRule="exact"/>
              <w:jc w:val="right"/>
              <w:rPr>
                <w:sz w:val="20"/>
                <w:szCs w:val="20"/>
              </w:rPr>
            </w:pPr>
            <w:r>
              <w:rPr>
                <w:rFonts w:ascii="Arial" w:eastAsia="Arial" w:hAnsi="Arial" w:cs="Arial"/>
                <w:sz w:val="13"/>
                <w:szCs w:val="13"/>
              </w:rPr>
              <w:t>11/11/2016</w:t>
            </w:r>
          </w:p>
        </w:tc>
        <w:tc>
          <w:tcPr>
            <w:tcW w:w="1020" w:type="dxa"/>
            <w:vAlign w:val="bottom"/>
          </w:tcPr>
          <w:p w:rsidR="00CC2C66" w:rsidRDefault="00F80B74">
            <w:pPr>
              <w:spacing w:line="146" w:lineRule="exact"/>
              <w:ind w:right="15"/>
              <w:jc w:val="right"/>
              <w:rPr>
                <w:sz w:val="20"/>
                <w:szCs w:val="20"/>
              </w:rPr>
            </w:pPr>
            <w:r>
              <w:rPr>
                <w:rFonts w:ascii="Arial" w:eastAsia="Arial" w:hAnsi="Arial" w:cs="Arial"/>
                <w:sz w:val="13"/>
                <w:szCs w:val="13"/>
              </w:rPr>
              <w:t>24,423</w:t>
            </w:r>
          </w:p>
        </w:tc>
        <w:tc>
          <w:tcPr>
            <w:tcW w:w="1360" w:type="dxa"/>
            <w:vAlign w:val="bottom"/>
          </w:tcPr>
          <w:p w:rsidR="00CC2C66" w:rsidRDefault="00F80B74">
            <w:pPr>
              <w:spacing w:line="146" w:lineRule="exact"/>
              <w:ind w:right="155"/>
              <w:jc w:val="right"/>
              <w:rPr>
                <w:sz w:val="20"/>
                <w:szCs w:val="20"/>
              </w:rPr>
            </w:pPr>
            <w:r>
              <w:rPr>
                <w:rFonts w:ascii="Arial" w:eastAsia="Arial" w:hAnsi="Arial" w:cs="Arial"/>
                <w:sz w:val="13"/>
                <w:szCs w:val="13"/>
              </w:rPr>
              <w:t>—</w:t>
            </w:r>
          </w:p>
        </w:tc>
        <w:tc>
          <w:tcPr>
            <w:tcW w:w="740" w:type="dxa"/>
            <w:vAlign w:val="bottom"/>
          </w:tcPr>
          <w:p w:rsidR="00CC2C66" w:rsidRDefault="00F80B74">
            <w:pPr>
              <w:spacing w:line="146" w:lineRule="exact"/>
              <w:ind w:right="15"/>
              <w:jc w:val="right"/>
              <w:rPr>
                <w:sz w:val="20"/>
                <w:szCs w:val="20"/>
              </w:rPr>
            </w:pPr>
            <w:r>
              <w:rPr>
                <w:rFonts w:ascii="Arial" w:eastAsia="Arial" w:hAnsi="Arial" w:cs="Arial"/>
                <w:sz w:val="13"/>
                <w:szCs w:val="13"/>
              </w:rPr>
              <w:t>26.98</w:t>
            </w:r>
          </w:p>
        </w:tc>
        <w:tc>
          <w:tcPr>
            <w:tcW w:w="800" w:type="dxa"/>
            <w:vAlign w:val="bottom"/>
          </w:tcPr>
          <w:p w:rsidR="00CC2C66" w:rsidRDefault="00F80B74">
            <w:pPr>
              <w:spacing w:line="146" w:lineRule="exact"/>
              <w:jc w:val="right"/>
              <w:rPr>
                <w:sz w:val="20"/>
                <w:szCs w:val="20"/>
              </w:rPr>
            </w:pPr>
            <w:r>
              <w:rPr>
                <w:rFonts w:ascii="Arial" w:eastAsia="Arial" w:hAnsi="Arial" w:cs="Arial"/>
                <w:sz w:val="13"/>
                <w:szCs w:val="13"/>
              </w:rPr>
              <w:t>11/11/2026</w:t>
            </w:r>
          </w:p>
        </w:tc>
        <w:tc>
          <w:tcPr>
            <w:tcW w:w="240" w:type="dxa"/>
            <w:vAlign w:val="bottom"/>
          </w:tcPr>
          <w:p w:rsidR="00CC2C66" w:rsidRDefault="00CC2C66">
            <w:pPr>
              <w:rPr>
                <w:sz w:val="12"/>
                <w:szCs w:val="12"/>
              </w:rPr>
            </w:pPr>
          </w:p>
        </w:tc>
        <w:tc>
          <w:tcPr>
            <w:tcW w:w="1060" w:type="dxa"/>
            <w:vAlign w:val="bottom"/>
          </w:tcPr>
          <w:p w:rsidR="00CC2C66" w:rsidRDefault="00F80B74">
            <w:pPr>
              <w:spacing w:line="146" w:lineRule="exact"/>
              <w:ind w:right="156"/>
              <w:jc w:val="right"/>
              <w:rPr>
                <w:sz w:val="20"/>
                <w:szCs w:val="20"/>
              </w:rPr>
            </w:pPr>
            <w:r>
              <w:rPr>
                <w:rFonts w:ascii="Arial" w:eastAsia="Arial" w:hAnsi="Arial" w:cs="Arial"/>
                <w:sz w:val="13"/>
                <w:szCs w:val="13"/>
              </w:rPr>
              <w:t>—</w:t>
            </w:r>
          </w:p>
        </w:tc>
        <w:tc>
          <w:tcPr>
            <w:tcW w:w="880" w:type="dxa"/>
            <w:vAlign w:val="bottom"/>
          </w:tcPr>
          <w:p w:rsidR="00CC2C66" w:rsidRDefault="00F80B74">
            <w:pPr>
              <w:spacing w:line="146" w:lineRule="exact"/>
              <w:ind w:right="15"/>
              <w:jc w:val="right"/>
              <w:rPr>
                <w:sz w:val="20"/>
                <w:szCs w:val="20"/>
              </w:rPr>
            </w:pPr>
            <w:r>
              <w:rPr>
                <w:rFonts w:ascii="Arial" w:eastAsia="Arial" w:hAnsi="Arial" w:cs="Arial"/>
                <w:sz w:val="13"/>
                <w:szCs w:val="13"/>
              </w:rPr>
              <w:t>—</w:t>
            </w:r>
          </w:p>
        </w:tc>
        <w:tc>
          <w:tcPr>
            <w:tcW w:w="1180" w:type="dxa"/>
            <w:vAlign w:val="bottom"/>
          </w:tcPr>
          <w:p w:rsidR="00CC2C66" w:rsidRDefault="00F80B74">
            <w:pPr>
              <w:spacing w:line="146" w:lineRule="exact"/>
              <w:ind w:right="155"/>
              <w:jc w:val="right"/>
              <w:rPr>
                <w:sz w:val="20"/>
                <w:szCs w:val="20"/>
              </w:rPr>
            </w:pPr>
            <w:r>
              <w:rPr>
                <w:rFonts w:ascii="Arial" w:eastAsia="Arial" w:hAnsi="Arial" w:cs="Arial"/>
                <w:sz w:val="13"/>
                <w:szCs w:val="13"/>
              </w:rPr>
              <w:t>—</w:t>
            </w:r>
          </w:p>
        </w:tc>
        <w:tc>
          <w:tcPr>
            <w:tcW w:w="1000" w:type="dxa"/>
            <w:vAlign w:val="bottom"/>
          </w:tcPr>
          <w:p w:rsidR="00CC2C66" w:rsidRDefault="00F80B74">
            <w:pPr>
              <w:spacing w:line="146" w:lineRule="exact"/>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2/10/2017</w:t>
            </w:r>
          </w:p>
        </w:tc>
        <w:tc>
          <w:tcPr>
            <w:tcW w:w="1020" w:type="dxa"/>
            <w:vAlign w:val="bottom"/>
          </w:tcPr>
          <w:p w:rsidR="00CC2C66" w:rsidRDefault="00F80B74">
            <w:pPr>
              <w:ind w:right="15"/>
              <w:jc w:val="right"/>
              <w:rPr>
                <w:sz w:val="20"/>
                <w:szCs w:val="20"/>
              </w:rPr>
            </w:pPr>
            <w:r>
              <w:rPr>
                <w:rFonts w:ascii="Arial" w:eastAsia="Arial" w:hAnsi="Arial" w:cs="Arial"/>
                <w:sz w:val="13"/>
                <w:szCs w:val="13"/>
              </w:rPr>
              <w:t>37,258</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26.56</w:t>
            </w:r>
          </w:p>
        </w:tc>
        <w:tc>
          <w:tcPr>
            <w:tcW w:w="800" w:type="dxa"/>
            <w:vAlign w:val="bottom"/>
          </w:tcPr>
          <w:p w:rsidR="00CC2C66" w:rsidRDefault="00F80B74">
            <w:pPr>
              <w:jc w:val="right"/>
              <w:rPr>
                <w:sz w:val="20"/>
                <w:szCs w:val="20"/>
              </w:rPr>
            </w:pPr>
            <w:r>
              <w:rPr>
                <w:rFonts w:ascii="Arial" w:eastAsia="Arial" w:hAnsi="Arial" w:cs="Arial"/>
                <w:sz w:val="13"/>
                <w:szCs w:val="13"/>
              </w:rPr>
              <w:t>2/10/2027</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2/9/2018</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60" w:type="dxa"/>
            <w:vAlign w:val="bottom"/>
          </w:tcPr>
          <w:p w:rsidR="00CC2C66" w:rsidRDefault="00F80B74">
            <w:pPr>
              <w:ind w:right="155"/>
              <w:jc w:val="right"/>
              <w:rPr>
                <w:sz w:val="20"/>
                <w:szCs w:val="20"/>
              </w:rPr>
            </w:pPr>
            <w:r>
              <w:rPr>
                <w:rFonts w:ascii="Arial" w:eastAsia="Arial" w:hAnsi="Arial" w:cs="Arial"/>
                <w:sz w:val="13"/>
                <w:szCs w:val="13"/>
              </w:rPr>
              <w:t>7,027</w:t>
            </w:r>
          </w:p>
        </w:tc>
        <w:tc>
          <w:tcPr>
            <w:tcW w:w="740" w:type="dxa"/>
            <w:vAlign w:val="bottom"/>
          </w:tcPr>
          <w:p w:rsidR="00CC2C66" w:rsidRDefault="00F80B74">
            <w:pPr>
              <w:ind w:right="15"/>
              <w:jc w:val="right"/>
              <w:rPr>
                <w:sz w:val="20"/>
                <w:szCs w:val="20"/>
              </w:rPr>
            </w:pPr>
            <w:r>
              <w:rPr>
                <w:rFonts w:ascii="Arial" w:eastAsia="Arial" w:hAnsi="Arial" w:cs="Arial"/>
                <w:sz w:val="13"/>
                <w:szCs w:val="13"/>
              </w:rPr>
              <w:t>40.29</w:t>
            </w:r>
          </w:p>
        </w:tc>
        <w:tc>
          <w:tcPr>
            <w:tcW w:w="800" w:type="dxa"/>
            <w:vAlign w:val="bottom"/>
          </w:tcPr>
          <w:p w:rsidR="00CC2C66" w:rsidRDefault="00F80B74">
            <w:pPr>
              <w:jc w:val="right"/>
              <w:rPr>
                <w:sz w:val="20"/>
                <w:szCs w:val="20"/>
              </w:rPr>
            </w:pPr>
            <w:r>
              <w:rPr>
                <w:rFonts w:ascii="Arial" w:eastAsia="Arial" w:hAnsi="Arial" w:cs="Arial"/>
                <w:sz w:val="13"/>
                <w:szCs w:val="13"/>
              </w:rPr>
              <w:t>2/9/2028</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2/7/2019</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60" w:type="dxa"/>
            <w:vAlign w:val="bottom"/>
          </w:tcPr>
          <w:p w:rsidR="00CC2C66" w:rsidRDefault="00F80B74">
            <w:pPr>
              <w:ind w:right="155"/>
              <w:jc w:val="right"/>
              <w:rPr>
                <w:sz w:val="20"/>
                <w:szCs w:val="20"/>
              </w:rPr>
            </w:pPr>
            <w:r>
              <w:rPr>
                <w:rFonts w:ascii="Arial" w:eastAsia="Arial" w:hAnsi="Arial" w:cs="Arial"/>
                <w:sz w:val="13"/>
                <w:szCs w:val="13"/>
              </w:rPr>
              <w:t>14,144</w:t>
            </w:r>
          </w:p>
        </w:tc>
        <w:tc>
          <w:tcPr>
            <w:tcW w:w="740" w:type="dxa"/>
            <w:vAlign w:val="bottom"/>
          </w:tcPr>
          <w:p w:rsidR="00CC2C66" w:rsidRDefault="00F80B74">
            <w:pPr>
              <w:ind w:right="15"/>
              <w:jc w:val="right"/>
              <w:rPr>
                <w:sz w:val="20"/>
                <w:szCs w:val="20"/>
              </w:rPr>
            </w:pPr>
            <w:r>
              <w:rPr>
                <w:rFonts w:ascii="Arial" w:eastAsia="Arial" w:hAnsi="Arial" w:cs="Arial"/>
                <w:sz w:val="13"/>
                <w:szCs w:val="13"/>
              </w:rPr>
              <w:t>41.66</w:t>
            </w:r>
          </w:p>
        </w:tc>
        <w:tc>
          <w:tcPr>
            <w:tcW w:w="800" w:type="dxa"/>
            <w:vAlign w:val="bottom"/>
          </w:tcPr>
          <w:p w:rsidR="00CC2C66" w:rsidRDefault="00F80B74">
            <w:pPr>
              <w:jc w:val="right"/>
              <w:rPr>
                <w:sz w:val="20"/>
                <w:szCs w:val="20"/>
              </w:rPr>
            </w:pPr>
            <w:r>
              <w:rPr>
                <w:rFonts w:ascii="Arial" w:eastAsia="Arial" w:hAnsi="Arial" w:cs="Arial"/>
                <w:sz w:val="13"/>
                <w:szCs w:val="13"/>
              </w:rPr>
              <w:t>2/7/2029</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9,344</w:t>
            </w:r>
          </w:p>
        </w:tc>
        <w:tc>
          <w:tcPr>
            <w:tcW w:w="880" w:type="dxa"/>
            <w:vAlign w:val="bottom"/>
          </w:tcPr>
          <w:p w:rsidR="00CC2C66" w:rsidRDefault="00F80B74">
            <w:pPr>
              <w:ind w:right="15"/>
              <w:jc w:val="right"/>
              <w:rPr>
                <w:sz w:val="20"/>
                <w:szCs w:val="20"/>
              </w:rPr>
            </w:pPr>
            <w:r>
              <w:rPr>
                <w:rFonts w:ascii="Arial" w:eastAsia="Arial" w:hAnsi="Arial" w:cs="Arial"/>
                <w:sz w:val="13"/>
                <w:szCs w:val="13"/>
              </w:rPr>
              <w:t>465,682</w:t>
            </w:r>
          </w:p>
        </w:tc>
        <w:tc>
          <w:tcPr>
            <w:tcW w:w="1180" w:type="dxa"/>
            <w:vAlign w:val="bottom"/>
          </w:tcPr>
          <w:p w:rsidR="00CC2C66" w:rsidRDefault="00F80B74">
            <w:pPr>
              <w:ind w:right="155"/>
              <w:jc w:val="right"/>
              <w:rPr>
                <w:sz w:val="20"/>
                <w:szCs w:val="20"/>
              </w:rPr>
            </w:pPr>
            <w:r>
              <w:rPr>
                <w:rFonts w:ascii="Arial" w:eastAsia="Arial" w:hAnsi="Arial" w:cs="Arial"/>
                <w:sz w:val="13"/>
                <w:szCs w:val="13"/>
              </w:rPr>
              <w:t>—</w:t>
            </w:r>
          </w:p>
        </w:tc>
        <w:tc>
          <w:tcPr>
            <w:tcW w:w="1000" w:type="dxa"/>
            <w:vAlign w:val="bottom"/>
          </w:tcPr>
          <w:p w:rsidR="00CC2C66" w:rsidRDefault="00F80B74">
            <w:pPr>
              <w:jc w:val="right"/>
              <w:rPr>
                <w:sz w:val="20"/>
                <w:szCs w:val="20"/>
              </w:rPr>
            </w:pPr>
            <w:r>
              <w:rPr>
                <w:rFonts w:ascii="Arial" w:eastAsia="Arial" w:hAnsi="Arial" w:cs="Arial"/>
                <w:sz w:val="13"/>
                <w:szCs w:val="13"/>
              </w:rPr>
              <w:t>—</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60" w:type="dxa"/>
            <w:vAlign w:val="bottom"/>
          </w:tcPr>
          <w:p w:rsidR="00CC2C66" w:rsidRDefault="00F80B74">
            <w:pPr>
              <w:ind w:right="155"/>
              <w:jc w:val="right"/>
              <w:rPr>
                <w:sz w:val="20"/>
                <w:szCs w:val="20"/>
              </w:rPr>
            </w:pPr>
            <w:r>
              <w:rPr>
                <w:rFonts w:ascii="Arial" w:eastAsia="Arial" w:hAnsi="Arial" w:cs="Arial"/>
                <w:sz w:val="13"/>
                <w:szCs w:val="13"/>
              </w:rPr>
              <w:t>26,657</w:t>
            </w:r>
          </w:p>
        </w:tc>
        <w:tc>
          <w:tcPr>
            <w:tcW w:w="740" w:type="dxa"/>
            <w:vAlign w:val="bottom"/>
          </w:tcPr>
          <w:p w:rsidR="00CC2C66" w:rsidRDefault="00F80B74">
            <w:pPr>
              <w:ind w:right="15"/>
              <w:jc w:val="right"/>
              <w:rPr>
                <w:sz w:val="20"/>
                <w:szCs w:val="20"/>
              </w:rPr>
            </w:pPr>
            <w:r>
              <w:rPr>
                <w:rFonts w:ascii="Arial" w:eastAsia="Arial" w:hAnsi="Arial" w:cs="Arial"/>
                <w:sz w:val="13"/>
                <w:szCs w:val="13"/>
              </w:rPr>
              <w:t>42.71</w:t>
            </w:r>
          </w:p>
        </w:tc>
        <w:tc>
          <w:tcPr>
            <w:tcW w:w="800" w:type="dxa"/>
            <w:vAlign w:val="bottom"/>
          </w:tcPr>
          <w:p w:rsidR="00CC2C66" w:rsidRDefault="00F80B74">
            <w:pPr>
              <w:jc w:val="right"/>
              <w:rPr>
                <w:sz w:val="20"/>
                <w:szCs w:val="20"/>
              </w:rPr>
            </w:pPr>
            <w:r>
              <w:rPr>
                <w:rFonts w:ascii="Arial" w:eastAsia="Arial" w:hAnsi="Arial" w:cs="Arial"/>
                <w:sz w:val="13"/>
                <w:szCs w:val="13"/>
              </w:rPr>
              <w:t>2/7/2030</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4,410</w:t>
            </w:r>
          </w:p>
        </w:tc>
        <w:tc>
          <w:tcPr>
            <w:tcW w:w="1000" w:type="dxa"/>
            <w:vAlign w:val="bottom"/>
          </w:tcPr>
          <w:p w:rsidR="00CC2C66" w:rsidRDefault="00F80B74">
            <w:pPr>
              <w:jc w:val="right"/>
              <w:rPr>
                <w:sz w:val="20"/>
                <w:szCs w:val="20"/>
              </w:rPr>
            </w:pPr>
            <w:r>
              <w:rPr>
                <w:rFonts w:ascii="Arial" w:eastAsia="Arial" w:hAnsi="Arial" w:cs="Arial"/>
                <w:sz w:val="13"/>
                <w:szCs w:val="13"/>
              </w:rPr>
              <w:t>219,814</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2/7/2020</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60" w:type="dxa"/>
            <w:vAlign w:val="bottom"/>
          </w:tcPr>
          <w:p w:rsidR="00CC2C66" w:rsidRDefault="00F80B74">
            <w:pPr>
              <w:ind w:right="155"/>
              <w:jc w:val="right"/>
              <w:rPr>
                <w:sz w:val="20"/>
                <w:szCs w:val="20"/>
              </w:rPr>
            </w:pPr>
            <w:r>
              <w:rPr>
                <w:rFonts w:ascii="Arial" w:eastAsia="Arial" w:hAnsi="Arial" w:cs="Arial"/>
                <w:sz w:val="13"/>
                <w:szCs w:val="13"/>
              </w:rPr>
              <w:t>—</w:t>
            </w:r>
          </w:p>
        </w:tc>
        <w:tc>
          <w:tcPr>
            <w:tcW w:w="740" w:type="dxa"/>
            <w:vAlign w:val="bottom"/>
          </w:tcPr>
          <w:p w:rsidR="00CC2C66" w:rsidRDefault="00F80B74">
            <w:pPr>
              <w:ind w:right="15"/>
              <w:jc w:val="right"/>
              <w:rPr>
                <w:sz w:val="20"/>
                <w:szCs w:val="20"/>
              </w:rPr>
            </w:pPr>
            <w:r>
              <w:rPr>
                <w:rFonts w:ascii="Arial" w:eastAsia="Arial" w:hAnsi="Arial" w:cs="Arial"/>
                <w:sz w:val="13"/>
                <w:szCs w:val="13"/>
              </w:rPr>
              <w:t>—</w:t>
            </w:r>
          </w:p>
        </w:tc>
        <w:tc>
          <w:tcPr>
            <w:tcW w:w="1040" w:type="dxa"/>
            <w:gridSpan w:val="2"/>
            <w:vAlign w:val="bottom"/>
          </w:tcPr>
          <w:p w:rsidR="00CC2C66" w:rsidRDefault="00F80B74">
            <w:pPr>
              <w:ind w:right="280"/>
              <w:jc w:val="right"/>
              <w:rPr>
                <w:sz w:val="20"/>
                <w:szCs w:val="20"/>
              </w:rPr>
            </w:pPr>
            <w:r>
              <w:rPr>
                <w:rFonts w:ascii="Arial" w:eastAsia="Arial" w:hAnsi="Arial" w:cs="Arial"/>
                <w:sz w:val="13"/>
                <w:szCs w:val="13"/>
              </w:rPr>
              <w:t>—</w:t>
            </w: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39,084</w:t>
            </w:r>
          </w:p>
        </w:tc>
        <w:tc>
          <w:tcPr>
            <w:tcW w:w="1000" w:type="dxa"/>
            <w:vAlign w:val="bottom"/>
          </w:tcPr>
          <w:p w:rsidR="00CC2C66" w:rsidRDefault="00F80B74">
            <w:pPr>
              <w:jc w:val="right"/>
              <w:rPr>
                <w:sz w:val="20"/>
                <w:szCs w:val="20"/>
              </w:rPr>
            </w:pPr>
            <w:r>
              <w:rPr>
                <w:rFonts w:ascii="Arial" w:eastAsia="Arial" w:hAnsi="Arial" w:cs="Arial"/>
                <w:sz w:val="13"/>
                <w:szCs w:val="13"/>
              </w:rPr>
              <w:t>1,947,947</w:t>
            </w:r>
          </w:p>
        </w:tc>
      </w:tr>
      <w:tr w:rsidR="00CC2C66">
        <w:trPr>
          <w:trHeight w:val="166"/>
        </w:trPr>
        <w:tc>
          <w:tcPr>
            <w:tcW w:w="20" w:type="dxa"/>
            <w:vAlign w:val="bottom"/>
          </w:tcPr>
          <w:p w:rsidR="00CC2C66" w:rsidRDefault="00CC2C66">
            <w:pPr>
              <w:rPr>
                <w:sz w:val="14"/>
                <w:szCs w:val="14"/>
              </w:rPr>
            </w:pPr>
          </w:p>
        </w:tc>
        <w:tc>
          <w:tcPr>
            <w:tcW w:w="1280" w:type="dxa"/>
            <w:vAlign w:val="bottom"/>
          </w:tcPr>
          <w:p w:rsidR="00CC2C66" w:rsidRDefault="00CC2C66">
            <w:pPr>
              <w:rPr>
                <w:sz w:val="14"/>
                <w:szCs w:val="14"/>
              </w:rPr>
            </w:pPr>
          </w:p>
        </w:tc>
        <w:tc>
          <w:tcPr>
            <w:tcW w:w="840" w:type="dxa"/>
            <w:vAlign w:val="bottom"/>
          </w:tcPr>
          <w:p w:rsidR="00CC2C66" w:rsidRDefault="00F80B74">
            <w:pPr>
              <w:jc w:val="right"/>
              <w:rPr>
                <w:sz w:val="20"/>
                <w:szCs w:val="20"/>
              </w:rPr>
            </w:pPr>
            <w:r>
              <w:rPr>
                <w:rFonts w:ascii="Arial" w:eastAsia="Arial" w:hAnsi="Arial" w:cs="Arial"/>
                <w:sz w:val="13"/>
                <w:szCs w:val="13"/>
              </w:rPr>
              <w:t>2/5/2021</w:t>
            </w:r>
          </w:p>
        </w:tc>
        <w:tc>
          <w:tcPr>
            <w:tcW w:w="1020" w:type="dxa"/>
            <w:vAlign w:val="bottom"/>
          </w:tcPr>
          <w:p w:rsidR="00CC2C66" w:rsidRDefault="00F80B74">
            <w:pPr>
              <w:ind w:right="15"/>
              <w:jc w:val="right"/>
              <w:rPr>
                <w:sz w:val="20"/>
                <w:szCs w:val="20"/>
              </w:rPr>
            </w:pPr>
            <w:r>
              <w:rPr>
                <w:rFonts w:ascii="Arial" w:eastAsia="Arial" w:hAnsi="Arial" w:cs="Arial"/>
                <w:sz w:val="13"/>
                <w:szCs w:val="13"/>
              </w:rPr>
              <w:t>—</w:t>
            </w:r>
          </w:p>
        </w:tc>
        <w:tc>
          <w:tcPr>
            <w:tcW w:w="1360" w:type="dxa"/>
            <w:vAlign w:val="bottom"/>
          </w:tcPr>
          <w:p w:rsidR="00CC2C66" w:rsidRDefault="00F80B74">
            <w:pPr>
              <w:ind w:right="155"/>
              <w:jc w:val="right"/>
              <w:rPr>
                <w:sz w:val="20"/>
                <w:szCs w:val="20"/>
              </w:rPr>
            </w:pPr>
            <w:r>
              <w:rPr>
                <w:rFonts w:ascii="Arial" w:eastAsia="Arial" w:hAnsi="Arial" w:cs="Arial"/>
                <w:sz w:val="13"/>
                <w:szCs w:val="13"/>
              </w:rPr>
              <w:t>28,665</w:t>
            </w:r>
          </w:p>
        </w:tc>
        <w:tc>
          <w:tcPr>
            <w:tcW w:w="740" w:type="dxa"/>
            <w:vAlign w:val="bottom"/>
          </w:tcPr>
          <w:p w:rsidR="00CC2C66" w:rsidRDefault="00F80B74">
            <w:pPr>
              <w:ind w:right="15"/>
              <w:jc w:val="right"/>
              <w:rPr>
                <w:sz w:val="20"/>
                <w:szCs w:val="20"/>
              </w:rPr>
            </w:pPr>
            <w:r>
              <w:rPr>
                <w:rFonts w:ascii="Arial" w:eastAsia="Arial" w:hAnsi="Arial" w:cs="Arial"/>
                <w:sz w:val="13"/>
                <w:szCs w:val="13"/>
              </w:rPr>
              <w:t>57.39</w:t>
            </w:r>
          </w:p>
        </w:tc>
        <w:tc>
          <w:tcPr>
            <w:tcW w:w="800" w:type="dxa"/>
            <w:vAlign w:val="bottom"/>
          </w:tcPr>
          <w:p w:rsidR="00CC2C66" w:rsidRDefault="00F80B74">
            <w:pPr>
              <w:jc w:val="right"/>
              <w:rPr>
                <w:sz w:val="20"/>
                <w:szCs w:val="20"/>
              </w:rPr>
            </w:pPr>
            <w:r>
              <w:rPr>
                <w:rFonts w:ascii="Arial" w:eastAsia="Arial" w:hAnsi="Arial" w:cs="Arial"/>
                <w:sz w:val="13"/>
                <w:szCs w:val="13"/>
              </w:rPr>
              <w:t>2/5/2031</w:t>
            </w:r>
          </w:p>
        </w:tc>
        <w:tc>
          <w:tcPr>
            <w:tcW w:w="240" w:type="dxa"/>
            <w:vAlign w:val="bottom"/>
          </w:tcPr>
          <w:p w:rsidR="00CC2C66" w:rsidRDefault="00CC2C66">
            <w:pPr>
              <w:rPr>
                <w:sz w:val="14"/>
                <w:szCs w:val="14"/>
              </w:rPr>
            </w:pPr>
          </w:p>
        </w:tc>
        <w:tc>
          <w:tcPr>
            <w:tcW w:w="1060" w:type="dxa"/>
            <w:vAlign w:val="bottom"/>
          </w:tcPr>
          <w:p w:rsidR="00CC2C66" w:rsidRDefault="00F80B74">
            <w:pPr>
              <w:ind w:right="156"/>
              <w:jc w:val="right"/>
              <w:rPr>
                <w:sz w:val="20"/>
                <w:szCs w:val="20"/>
              </w:rPr>
            </w:pPr>
            <w:r>
              <w:rPr>
                <w:rFonts w:ascii="Arial" w:eastAsia="Arial" w:hAnsi="Arial" w:cs="Arial"/>
                <w:sz w:val="13"/>
                <w:szCs w:val="13"/>
              </w:rPr>
              <w:t>—</w:t>
            </w:r>
          </w:p>
        </w:tc>
        <w:tc>
          <w:tcPr>
            <w:tcW w:w="880" w:type="dxa"/>
            <w:vAlign w:val="bottom"/>
          </w:tcPr>
          <w:p w:rsidR="00CC2C66" w:rsidRDefault="00F80B74">
            <w:pPr>
              <w:ind w:right="15"/>
              <w:jc w:val="right"/>
              <w:rPr>
                <w:sz w:val="20"/>
                <w:szCs w:val="20"/>
              </w:rPr>
            </w:pPr>
            <w:r>
              <w:rPr>
                <w:rFonts w:ascii="Arial" w:eastAsia="Arial" w:hAnsi="Arial" w:cs="Arial"/>
                <w:sz w:val="13"/>
                <w:szCs w:val="13"/>
              </w:rPr>
              <w:t>—</w:t>
            </w:r>
          </w:p>
        </w:tc>
        <w:tc>
          <w:tcPr>
            <w:tcW w:w="1180" w:type="dxa"/>
            <w:vAlign w:val="bottom"/>
          </w:tcPr>
          <w:p w:rsidR="00CC2C66" w:rsidRDefault="00F80B74">
            <w:pPr>
              <w:ind w:right="155"/>
              <w:jc w:val="right"/>
              <w:rPr>
                <w:sz w:val="20"/>
                <w:szCs w:val="20"/>
              </w:rPr>
            </w:pPr>
            <w:r>
              <w:rPr>
                <w:rFonts w:ascii="Arial" w:eastAsia="Arial" w:hAnsi="Arial" w:cs="Arial"/>
                <w:sz w:val="13"/>
                <w:szCs w:val="13"/>
              </w:rPr>
              <w:t>1,711</w:t>
            </w:r>
          </w:p>
        </w:tc>
        <w:tc>
          <w:tcPr>
            <w:tcW w:w="1000" w:type="dxa"/>
            <w:vAlign w:val="bottom"/>
          </w:tcPr>
          <w:p w:rsidR="00CC2C66" w:rsidRDefault="00F80B74">
            <w:pPr>
              <w:jc w:val="right"/>
              <w:rPr>
                <w:sz w:val="20"/>
                <w:szCs w:val="20"/>
              </w:rPr>
            </w:pPr>
            <w:r>
              <w:rPr>
                <w:rFonts w:ascii="Arial" w:eastAsia="Arial" w:hAnsi="Arial" w:cs="Arial"/>
                <w:sz w:val="13"/>
                <w:szCs w:val="13"/>
              </w:rPr>
              <w:t>85,251</w:t>
            </w:r>
          </w:p>
        </w:tc>
      </w:tr>
      <w:tr w:rsidR="00CC2C66">
        <w:trPr>
          <w:trHeight w:val="153"/>
        </w:trPr>
        <w:tc>
          <w:tcPr>
            <w:tcW w:w="20" w:type="dxa"/>
            <w:vAlign w:val="bottom"/>
          </w:tcPr>
          <w:p w:rsidR="00CC2C66" w:rsidRDefault="00CC2C66">
            <w:pPr>
              <w:rPr>
                <w:sz w:val="13"/>
                <w:szCs w:val="13"/>
              </w:rPr>
            </w:pPr>
          </w:p>
        </w:tc>
        <w:tc>
          <w:tcPr>
            <w:tcW w:w="1280" w:type="dxa"/>
            <w:tcBorders>
              <w:bottom w:val="single" w:sz="8" w:space="0" w:color="CF0A2C"/>
            </w:tcBorders>
            <w:vAlign w:val="bottom"/>
          </w:tcPr>
          <w:p w:rsidR="00CC2C66" w:rsidRDefault="00CC2C66">
            <w:pPr>
              <w:rPr>
                <w:sz w:val="13"/>
                <w:szCs w:val="13"/>
              </w:rPr>
            </w:pPr>
          </w:p>
        </w:tc>
        <w:tc>
          <w:tcPr>
            <w:tcW w:w="84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5/25/2021</w:t>
            </w:r>
          </w:p>
        </w:tc>
        <w:tc>
          <w:tcPr>
            <w:tcW w:w="102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360" w:type="dxa"/>
            <w:tcBorders>
              <w:bottom w:val="single" w:sz="8" w:space="0" w:color="CF0A2C"/>
            </w:tcBorders>
            <w:vAlign w:val="bottom"/>
          </w:tcPr>
          <w:p w:rsidR="00CC2C66" w:rsidRDefault="00F80B74">
            <w:pPr>
              <w:ind w:right="155"/>
              <w:jc w:val="right"/>
              <w:rPr>
                <w:sz w:val="20"/>
                <w:szCs w:val="20"/>
              </w:rPr>
            </w:pPr>
            <w:r>
              <w:rPr>
                <w:rFonts w:ascii="Arial" w:eastAsia="Arial" w:hAnsi="Arial" w:cs="Arial"/>
                <w:sz w:val="13"/>
                <w:szCs w:val="13"/>
              </w:rPr>
              <w:t>—</w:t>
            </w:r>
          </w:p>
        </w:tc>
        <w:tc>
          <w:tcPr>
            <w:tcW w:w="74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040" w:type="dxa"/>
            <w:gridSpan w:val="2"/>
            <w:tcBorders>
              <w:bottom w:val="single" w:sz="8" w:space="0" w:color="CF0A2C"/>
            </w:tcBorders>
            <w:vAlign w:val="bottom"/>
          </w:tcPr>
          <w:p w:rsidR="00CC2C66" w:rsidRDefault="00F80B74">
            <w:pPr>
              <w:ind w:right="280"/>
              <w:jc w:val="right"/>
              <w:rPr>
                <w:sz w:val="20"/>
                <w:szCs w:val="20"/>
              </w:rPr>
            </w:pPr>
            <w:r>
              <w:rPr>
                <w:rFonts w:ascii="Arial" w:eastAsia="Arial" w:hAnsi="Arial" w:cs="Arial"/>
                <w:sz w:val="13"/>
                <w:szCs w:val="13"/>
              </w:rPr>
              <w:t>—</w:t>
            </w:r>
          </w:p>
        </w:tc>
        <w:tc>
          <w:tcPr>
            <w:tcW w:w="1060" w:type="dxa"/>
            <w:tcBorders>
              <w:bottom w:val="single" w:sz="8" w:space="0" w:color="CF0A2C"/>
            </w:tcBorders>
            <w:vAlign w:val="bottom"/>
          </w:tcPr>
          <w:p w:rsidR="00CC2C66" w:rsidRDefault="00F80B74">
            <w:pPr>
              <w:ind w:right="156"/>
              <w:jc w:val="right"/>
              <w:rPr>
                <w:sz w:val="20"/>
                <w:szCs w:val="20"/>
              </w:rPr>
            </w:pPr>
            <w:r>
              <w:rPr>
                <w:rFonts w:ascii="Arial" w:eastAsia="Arial" w:hAnsi="Arial" w:cs="Arial"/>
                <w:sz w:val="13"/>
                <w:szCs w:val="13"/>
              </w:rPr>
              <w:t>—</w:t>
            </w:r>
          </w:p>
        </w:tc>
        <w:tc>
          <w:tcPr>
            <w:tcW w:w="880" w:type="dxa"/>
            <w:tcBorders>
              <w:bottom w:val="single" w:sz="8" w:space="0" w:color="CF0A2C"/>
            </w:tcBorders>
            <w:vAlign w:val="bottom"/>
          </w:tcPr>
          <w:p w:rsidR="00CC2C66" w:rsidRDefault="00F80B74">
            <w:pPr>
              <w:ind w:right="15"/>
              <w:jc w:val="right"/>
              <w:rPr>
                <w:sz w:val="20"/>
                <w:szCs w:val="20"/>
              </w:rPr>
            </w:pPr>
            <w:r>
              <w:rPr>
                <w:rFonts w:ascii="Arial" w:eastAsia="Arial" w:hAnsi="Arial" w:cs="Arial"/>
                <w:sz w:val="13"/>
                <w:szCs w:val="13"/>
              </w:rPr>
              <w:t>—</w:t>
            </w:r>
          </w:p>
        </w:tc>
        <w:tc>
          <w:tcPr>
            <w:tcW w:w="1180" w:type="dxa"/>
            <w:tcBorders>
              <w:bottom w:val="single" w:sz="8" w:space="0" w:color="CF0A2C"/>
            </w:tcBorders>
            <w:vAlign w:val="bottom"/>
          </w:tcPr>
          <w:p w:rsidR="00CC2C66" w:rsidRDefault="00F80B74">
            <w:pPr>
              <w:ind w:right="155"/>
              <w:jc w:val="right"/>
              <w:rPr>
                <w:sz w:val="20"/>
                <w:szCs w:val="20"/>
              </w:rPr>
            </w:pPr>
            <w:r>
              <w:rPr>
                <w:rFonts w:ascii="Arial" w:eastAsia="Arial" w:hAnsi="Arial" w:cs="Arial"/>
                <w:sz w:val="13"/>
                <w:szCs w:val="13"/>
              </w:rPr>
              <w:t>2,179</w:t>
            </w:r>
          </w:p>
        </w:tc>
        <w:tc>
          <w:tcPr>
            <w:tcW w:w="10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108,576</w:t>
            </w:r>
          </w:p>
        </w:tc>
      </w:tr>
    </w:tbl>
    <w:p w:rsidR="00CC2C66" w:rsidRDefault="00CC2C66">
      <w:pPr>
        <w:spacing w:line="260" w:lineRule="exact"/>
        <w:rPr>
          <w:sz w:val="20"/>
          <w:szCs w:val="20"/>
        </w:rPr>
      </w:pPr>
    </w:p>
    <w:p w:rsidR="00CC2C66" w:rsidRDefault="00F80B74">
      <w:pPr>
        <w:numPr>
          <w:ilvl w:val="0"/>
          <w:numId w:val="107"/>
        </w:numPr>
        <w:tabs>
          <w:tab w:val="left" w:pos="1020"/>
        </w:tabs>
        <w:ind w:left="1020" w:hanging="609"/>
        <w:rPr>
          <w:rFonts w:eastAsia="Times New Roman"/>
          <w:color w:val="CF0A2C"/>
          <w:sz w:val="19"/>
          <w:szCs w:val="19"/>
        </w:rPr>
      </w:pPr>
      <w:r>
        <w:rPr>
          <w:rFonts w:eastAsia="Times New Roman"/>
          <w:sz w:val="19"/>
          <w:szCs w:val="19"/>
        </w:rPr>
        <w:t>The actual vesting dates for unexercisable SARs are as follows:</w:t>
      </w:r>
    </w:p>
    <w:p w:rsidR="00CC2C66" w:rsidRDefault="00CC2C66">
      <w:pPr>
        <w:spacing w:line="279"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 xml:space="preserve">Remainder of the unexercisable award </w:t>
      </w:r>
      <w:r>
        <w:rPr>
          <w:rFonts w:eastAsia="Times New Roman"/>
          <w:sz w:val="19"/>
          <w:szCs w:val="19"/>
        </w:rPr>
        <w:t>vested on February 9, 2022.</w:t>
      </w:r>
    </w:p>
    <w:p w:rsidR="00CC2C66" w:rsidRDefault="00CC2C66">
      <w:pPr>
        <w:spacing w:line="279"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One-half of the unexercisable award vested or will vest on each of February 7, 2022 and 2023.</w:t>
      </w:r>
    </w:p>
    <w:p w:rsidR="00CC2C66" w:rsidRDefault="00CC2C66">
      <w:pPr>
        <w:spacing w:line="279"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One-third of the unexercisable award vested or will vest on each of February 7, 2022, 2023 and 2024.</w:t>
      </w:r>
    </w:p>
    <w:p w:rsidR="00CC2C66" w:rsidRDefault="00CC2C66">
      <w:pPr>
        <w:spacing w:line="279"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One-fourth of the unexercisabl</w:t>
      </w:r>
      <w:r>
        <w:rPr>
          <w:rFonts w:eastAsia="Times New Roman"/>
          <w:sz w:val="19"/>
          <w:szCs w:val="19"/>
        </w:rPr>
        <w:t>e award vested or will vest on each of February 5, 2022, 2023, 2024 and 2025.</w:t>
      </w:r>
    </w:p>
    <w:p w:rsidR="00CC2C66" w:rsidRDefault="00CC2C66">
      <w:pPr>
        <w:spacing w:line="279" w:lineRule="exact"/>
        <w:rPr>
          <w:rFonts w:eastAsia="Times New Roman"/>
          <w:color w:val="CF0A2C"/>
          <w:sz w:val="19"/>
          <w:szCs w:val="19"/>
        </w:rPr>
      </w:pPr>
    </w:p>
    <w:p w:rsidR="00CC2C66" w:rsidRDefault="00F80B74">
      <w:pPr>
        <w:numPr>
          <w:ilvl w:val="0"/>
          <w:numId w:val="107"/>
        </w:numPr>
        <w:tabs>
          <w:tab w:val="left" w:pos="1020"/>
        </w:tabs>
        <w:spacing w:line="265" w:lineRule="auto"/>
        <w:ind w:left="1020" w:hanging="609"/>
        <w:rPr>
          <w:rFonts w:eastAsia="Times New Roman"/>
          <w:color w:val="CF0A2C"/>
          <w:sz w:val="19"/>
          <w:szCs w:val="19"/>
        </w:rPr>
      </w:pPr>
      <w:r>
        <w:rPr>
          <w:rFonts w:eastAsia="Times New Roman"/>
          <w:sz w:val="19"/>
          <w:szCs w:val="19"/>
        </w:rPr>
        <w:t xml:space="preserve">The RSUs reported in this column include additional RSUs received with respect to dividend equivalents, which remain subject to the same underlying vesting conditions. The </w:t>
      </w:r>
      <w:r>
        <w:rPr>
          <w:rFonts w:eastAsia="Times New Roman"/>
          <w:sz w:val="19"/>
          <w:szCs w:val="19"/>
        </w:rPr>
        <w:t>actual vesting dates for unvested RSUs are as follows:</w:t>
      </w:r>
    </w:p>
    <w:p w:rsidR="00CC2C66" w:rsidRDefault="00CC2C66">
      <w:pPr>
        <w:spacing w:line="233"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The RSUs will vest in full on February 5, 2024.</w:t>
      </w:r>
    </w:p>
    <w:p w:rsidR="00CC2C66" w:rsidRDefault="00CC2C66">
      <w:pPr>
        <w:spacing w:line="279"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The RSUs will vest on November 1, 2022.</w:t>
      </w:r>
    </w:p>
    <w:p w:rsidR="00CC2C66" w:rsidRDefault="00CC2C66">
      <w:pPr>
        <w:spacing w:line="279"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The RSUs vested in full on February 7, 2022.</w:t>
      </w:r>
    </w:p>
    <w:p w:rsidR="00CC2C66" w:rsidRDefault="00CC2C66">
      <w:pPr>
        <w:spacing w:line="279" w:lineRule="exact"/>
        <w:rPr>
          <w:rFonts w:eastAsia="Times New Roman"/>
          <w:color w:val="CF0A2C"/>
          <w:sz w:val="19"/>
          <w:szCs w:val="19"/>
        </w:rPr>
      </w:pPr>
    </w:p>
    <w:p w:rsidR="00CC2C66" w:rsidRDefault="00F80B74">
      <w:pPr>
        <w:numPr>
          <w:ilvl w:val="1"/>
          <w:numId w:val="107"/>
        </w:numPr>
        <w:tabs>
          <w:tab w:val="left" w:pos="1640"/>
        </w:tabs>
        <w:ind w:left="1640" w:hanging="616"/>
        <w:rPr>
          <w:rFonts w:eastAsia="Times New Roman"/>
          <w:color w:val="CF0A2C"/>
          <w:sz w:val="19"/>
          <w:szCs w:val="19"/>
        </w:rPr>
      </w:pPr>
      <w:r>
        <w:rPr>
          <w:rFonts w:eastAsia="Times New Roman"/>
          <w:sz w:val="19"/>
          <w:szCs w:val="19"/>
        </w:rPr>
        <w:t>The RSUs will vest on September 3, 2022.</w:t>
      </w:r>
    </w:p>
    <w:p w:rsidR="00CC2C66" w:rsidRDefault="00CC2C66">
      <w:pPr>
        <w:spacing w:line="153" w:lineRule="exact"/>
        <w:rPr>
          <w:sz w:val="20"/>
          <w:szCs w:val="20"/>
        </w:rPr>
      </w:pPr>
    </w:p>
    <w:p w:rsidR="00CC2C66" w:rsidRDefault="00F80B74">
      <w:pPr>
        <w:numPr>
          <w:ilvl w:val="0"/>
          <w:numId w:val="108"/>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Proxy </w:t>
      </w:r>
      <w:r>
        <w:rPr>
          <w:rFonts w:ascii="Arial" w:eastAsia="Arial" w:hAnsi="Arial" w:cs="Arial"/>
          <w:i/>
          <w:iCs/>
          <w:color w:val="4C4C4C"/>
          <w:sz w:val="14"/>
          <w:szCs w:val="14"/>
        </w:rPr>
        <w:t>Statement</w:t>
      </w:r>
    </w:p>
    <w:p w:rsidR="00CC2C66" w:rsidRDefault="00F80B74">
      <w:pPr>
        <w:spacing w:line="20" w:lineRule="exact"/>
        <w:rPr>
          <w:sz w:val="20"/>
          <w:szCs w:val="20"/>
        </w:rPr>
      </w:pPr>
      <w:r>
        <w:rPr>
          <w:noProof/>
          <w:sz w:val="20"/>
          <w:szCs w:val="20"/>
        </w:rPr>
        <w:drawing>
          <wp:anchor distT="0" distB="0" distL="114300" distR="114300" simplePos="0" relativeHeight="251724800"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7" w:name="page67"/>
      <w:bookmarkEnd w:id="67"/>
      <w:r>
        <w:rPr>
          <w:rFonts w:eastAsia="Times New Roman"/>
          <w:b/>
          <w:bCs/>
          <w:noProof/>
          <w:color w:val="0000EE"/>
          <w:sz w:val="17"/>
          <w:szCs w:val="17"/>
          <w:u w:val="single"/>
        </w:rPr>
        <w:drawing>
          <wp:anchor distT="0" distB="0" distL="114300" distR="114300" simplePos="0" relativeHeight="25172582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26848"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520"/>
        <w:rPr>
          <w:sz w:val="20"/>
          <w:szCs w:val="20"/>
        </w:rPr>
      </w:pPr>
      <w:r>
        <w:rPr>
          <w:rFonts w:ascii="Arial" w:eastAsia="Arial" w:hAnsi="Arial" w:cs="Arial"/>
          <w:b/>
          <w:bCs/>
          <w:color w:val="FFFFFF"/>
          <w:sz w:val="15"/>
          <w:szCs w:val="15"/>
        </w:rPr>
        <w:t>EXECUTIVE COMPENSATION</w:t>
      </w:r>
    </w:p>
    <w:p w:rsidR="00CC2C66" w:rsidRDefault="00CC2C66">
      <w:pPr>
        <w:spacing w:line="191" w:lineRule="exact"/>
        <w:rPr>
          <w:sz w:val="20"/>
          <w:szCs w:val="20"/>
        </w:rPr>
      </w:pPr>
    </w:p>
    <w:p w:rsidR="00CC2C66" w:rsidRDefault="00F80B74">
      <w:pPr>
        <w:numPr>
          <w:ilvl w:val="0"/>
          <w:numId w:val="109"/>
        </w:numPr>
        <w:tabs>
          <w:tab w:val="left" w:pos="1020"/>
        </w:tabs>
        <w:spacing w:line="265" w:lineRule="auto"/>
        <w:ind w:left="1020" w:right="20" w:hanging="609"/>
        <w:rPr>
          <w:rFonts w:eastAsia="Times New Roman"/>
          <w:color w:val="CF0A2C"/>
          <w:sz w:val="19"/>
          <w:szCs w:val="19"/>
        </w:rPr>
      </w:pPr>
      <w:r>
        <w:rPr>
          <w:rFonts w:eastAsia="Times New Roman"/>
          <w:sz w:val="19"/>
          <w:szCs w:val="19"/>
        </w:rPr>
        <w:t xml:space="preserve">The market value of each award is calculated by multiplying the number of shares covered by the award by $49.84, the closing price of the Company’s stock on the NYSE on December </w:t>
      </w:r>
      <w:r>
        <w:rPr>
          <w:rFonts w:eastAsia="Times New Roman"/>
          <w:sz w:val="19"/>
          <w:szCs w:val="19"/>
        </w:rPr>
        <w:t>31, 2021.</w:t>
      </w:r>
    </w:p>
    <w:p w:rsidR="00CC2C66" w:rsidRDefault="00CC2C66">
      <w:pPr>
        <w:spacing w:line="233" w:lineRule="exact"/>
        <w:rPr>
          <w:rFonts w:eastAsia="Times New Roman"/>
          <w:color w:val="CF0A2C"/>
          <w:sz w:val="19"/>
          <w:szCs w:val="19"/>
        </w:rPr>
      </w:pPr>
    </w:p>
    <w:p w:rsidR="00CC2C66" w:rsidRDefault="00F80B74">
      <w:pPr>
        <w:numPr>
          <w:ilvl w:val="0"/>
          <w:numId w:val="109"/>
        </w:numPr>
        <w:tabs>
          <w:tab w:val="left" w:pos="1020"/>
        </w:tabs>
        <w:ind w:left="1020" w:hanging="609"/>
        <w:rPr>
          <w:rFonts w:eastAsia="Times New Roman"/>
          <w:color w:val="CF0A2C"/>
          <w:sz w:val="19"/>
          <w:szCs w:val="19"/>
        </w:rPr>
      </w:pPr>
      <w:r>
        <w:rPr>
          <w:rFonts w:eastAsia="Times New Roman"/>
          <w:sz w:val="19"/>
          <w:szCs w:val="19"/>
        </w:rPr>
        <w:t>The awards reported in this column represent PSU awards granted to the NEOs with the following vesting terms:</w:t>
      </w:r>
    </w:p>
    <w:p w:rsidR="00CC2C66" w:rsidRDefault="00CC2C66">
      <w:pPr>
        <w:spacing w:line="279" w:lineRule="exact"/>
        <w:rPr>
          <w:rFonts w:eastAsia="Times New Roman"/>
          <w:color w:val="CF0A2C"/>
          <w:sz w:val="19"/>
          <w:szCs w:val="19"/>
        </w:rPr>
      </w:pPr>
    </w:p>
    <w:p w:rsidR="00CC2C66" w:rsidRDefault="00F80B74">
      <w:pPr>
        <w:numPr>
          <w:ilvl w:val="1"/>
          <w:numId w:val="109"/>
        </w:numPr>
        <w:tabs>
          <w:tab w:val="left" w:pos="1640"/>
        </w:tabs>
        <w:spacing w:line="243" w:lineRule="auto"/>
        <w:ind w:left="1640" w:hanging="616"/>
        <w:jc w:val="both"/>
        <w:rPr>
          <w:rFonts w:eastAsia="Times New Roman"/>
          <w:color w:val="CF0A2C"/>
          <w:sz w:val="19"/>
          <w:szCs w:val="19"/>
        </w:rPr>
      </w:pPr>
      <w:r>
        <w:rPr>
          <w:rFonts w:eastAsia="Times New Roman"/>
          <w:sz w:val="19"/>
          <w:szCs w:val="19"/>
        </w:rPr>
        <w:t>PSU awards that are scheduled to vest based on the Company’s Adjusted Total Revenue Growth and Adjusted Diluted Earnings Per Common Sh</w:t>
      </w:r>
      <w:r>
        <w:rPr>
          <w:rFonts w:eastAsia="Times New Roman"/>
          <w:sz w:val="19"/>
          <w:szCs w:val="19"/>
        </w:rPr>
        <w:t>are Growth, with a rTSR payout modifier, over the January 1, 2020 through December 31, 2022 performance period, subject to the NEO’s continued employment through the last day of the performance period except as otherwise provided for in the underlying equi</w:t>
      </w:r>
      <w:r>
        <w:rPr>
          <w:rFonts w:eastAsia="Times New Roman"/>
          <w:sz w:val="19"/>
          <w:szCs w:val="19"/>
        </w:rPr>
        <w:t>ty award agreement upon a qualifying termination of employment. In accordance with SEC disclosure rules, the amount reported for this award is reported assuming threshold payout. Based on performance, these PSUs will vest in full on December 31, 2022.</w:t>
      </w:r>
    </w:p>
    <w:p w:rsidR="00CC2C66" w:rsidRDefault="00CC2C66">
      <w:pPr>
        <w:spacing w:line="257" w:lineRule="exact"/>
        <w:rPr>
          <w:rFonts w:eastAsia="Times New Roman"/>
          <w:color w:val="CF0A2C"/>
          <w:sz w:val="19"/>
          <w:szCs w:val="19"/>
        </w:rPr>
      </w:pPr>
    </w:p>
    <w:p w:rsidR="00CC2C66" w:rsidRDefault="00F80B74">
      <w:pPr>
        <w:numPr>
          <w:ilvl w:val="1"/>
          <w:numId w:val="109"/>
        </w:numPr>
        <w:tabs>
          <w:tab w:val="left" w:pos="1640"/>
        </w:tabs>
        <w:spacing w:line="260" w:lineRule="auto"/>
        <w:ind w:left="1640" w:hanging="616"/>
        <w:jc w:val="both"/>
        <w:rPr>
          <w:rFonts w:eastAsia="Times New Roman"/>
          <w:color w:val="CF0A2C"/>
          <w:sz w:val="18"/>
          <w:szCs w:val="18"/>
        </w:rPr>
      </w:pPr>
      <w:r>
        <w:rPr>
          <w:rFonts w:eastAsia="Times New Roman"/>
          <w:sz w:val="18"/>
          <w:szCs w:val="18"/>
        </w:rPr>
        <w:t>PSU</w:t>
      </w:r>
      <w:r>
        <w:rPr>
          <w:rFonts w:eastAsia="Times New Roman"/>
          <w:sz w:val="18"/>
          <w:szCs w:val="18"/>
        </w:rPr>
        <w:t xml:space="preserve"> awards that are scheduled to vest based on the absolute Company stock price hurdles, Adjusted Total Revenue Growth, Adjusted EBITDA Growth and transformational objectives, over the January 1, 2020 through December 31, 2023 performance period, subject to t</w:t>
      </w:r>
      <w:r>
        <w:rPr>
          <w:rFonts w:eastAsia="Times New Roman"/>
          <w:sz w:val="18"/>
          <w:szCs w:val="18"/>
        </w:rPr>
        <w:t>he NEO’s continued employment through the last day of the performance period except as otherwise provided for in the underlying equity award agreement upon a qualifying termination of employment. The PSU swards are subject to different goals with different</w:t>
      </w:r>
      <w:r>
        <w:rPr>
          <w:rFonts w:eastAsia="Times New Roman"/>
          <w:sz w:val="18"/>
          <w:szCs w:val="18"/>
        </w:rPr>
        <w:t xml:space="preserve"> levels of projected performance and the amount reported for this award is reported assuming target payout. Based on performance, these PSUs will vest in full on December 31, 2023.</w:t>
      </w:r>
    </w:p>
    <w:p w:rsidR="00CC2C66" w:rsidRDefault="00CC2C66">
      <w:pPr>
        <w:spacing w:line="238" w:lineRule="exact"/>
        <w:rPr>
          <w:rFonts w:eastAsia="Times New Roman"/>
          <w:color w:val="CF0A2C"/>
          <w:sz w:val="18"/>
          <w:szCs w:val="18"/>
        </w:rPr>
      </w:pPr>
    </w:p>
    <w:p w:rsidR="00CC2C66" w:rsidRDefault="00F80B74">
      <w:pPr>
        <w:numPr>
          <w:ilvl w:val="1"/>
          <w:numId w:val="109"/>
        </w:numPr>
        <w:tabs>
          <w:tab w:val="left" w:pos="1640"/>
        </w:tabs>
        <w:spacing w:line="243" w:lineRule="auto"/>
        <w:ind w:left="1640" w:hanging="616"/>
        <w:jc w:val="both"/>
        <w:rPr>
          <w:rFonts w:eastAsia="Times New Roman"/>
          <w:color w:val="CF0A2C"/>
          <w:sz w:val="19"/>
          <w:szCs w:val="19"/>
        </w:rPr>
      </w:pPr>
      <w:r>
        <w:rPr>
          <w:rFonts w:eastAsia="Times New Roman"/>
          <w:sz w:val="19"/>
          <w:szCs w:val="19"/>
        </w:rPr>
        <w:t>PSU awards that are scheduled to vest based on the Company’s achievement o</w:t>
      </w:r>
      <w:r>
        <w:rPr>
          <w:rFonts w:eastAsia="Times New Roman"/>
          <w:sz w:val="19"/>
          <w:szCs w:val="19"/>
        </w:rPr>
        <w:t>f rTSR performance goals and the Company’s Adjusted Total Revenue Growth and Adjusted Diluted Earnings Per Common Share Growth, over the January 1, 2021 through December 31, 2023 performance period, subject to the NEO’s continued employment through the las</w:t>
      </w:r>
      <w:r>
        <w:rPr>
          <w:rFonts w:eastAsia="Times New Roman"/>
          <w:sz w:val="19"/>
          <w:szCs w:val="19"/>
        </w:rPr>
        <w:t>t day of the performance period except as otherwise provided for in the underlying equity award agreement upon a qualifying termination of employment. In accordance with SEC disclosure rules, the amount reported for this award is reported assuming threshol</w:t>
      </w:r>
      <w:r>
        <w:rPr>
          <w:rFonts w:eastAsia="Times New Roman"/>
          <w:sz w:val="19"/>
          <w:szCs w:val="19"/>
        </w:rPr>
        <w:t>d payout. Based on performance, these PSUs will vest in full on December 31, 2023.</w:t>
      </w:r>
    </w:p>
    <w:p w:rsidR="00CC2C66" w:rsidRDefault="00CC2C66">
      <w:pPr>
        <w:spacing w:line="257" w:lineRule="exact"/>
        <w:rPr>
          <w:rFonts w:eastAsia="Times New Roman"/>
          <w:color w:val="CF0A2C"/>
          <w:sz w:val="19"/>
          <w:szCs w:val="19"/>
        </w:rPr>
      </w:pPr>
    </w:p>
    <w:p w:rsidR="00CC2C66" w:rsidRDefault="00F80B74">
      <w:pPr>
        <w:numPr>
          <w:ilvl w:val="0"/>
          <w:numId w:val="109"/>
        </w:numPr>
        <w:tabs>
          <w:tab w:val="left" w:pos="1020"/>
        </w:tabs>
        <w:spacing w:line="265" w:lineRule="auto"/>
        <w:ind w:left="1020" w:hanging="609"/>
        <w:rPr>
          <w:rFonts w:eastAsia="Times New Roman"/>
          <w:color w:val="CF0A2C"/>
          <w:sz w:val="19"/>
          <w:szCs w:val="19"/>
        </w:rPr>
      </w:pPr>
      <w:r>
        <w:rPr>
          <w:rFonts w:eastAsia="Times New Roman"/>
          <w:sz w:val="19"/>
          <w:szCs w:val="19"/>
        </w:rPr>
        <w:t>In accordance with the terms of the award agreements, Mr. Tan has 90 days from the last day of employment to exercise his vested SARs, and all of his unvested equity awards</w:t>
      </w:r>
      <w:r>
        <w:rPr>
          <w:rFonts w:eastAsia="Times New Roman"/>
          <w:sz w:val="19"/>
          <w:szCs w:val="19"/>
        </w:rPr>
        <w:t xml:space="preserve"> were forfeited upon his departure.</w:t>
      </w:r>
    </w:p>
    <w:p w:rsidR="00CC2C66" w:rsidRDefault="00CC2C66">
      <w:pPr>
        <w:spacing w:line="104"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61</w:t>
      </w:r>
    </w:p>
    <w:p w:rsidR="00CC2C66" w:rsidRDefault="00F80B74">
      <w:pPr>
        <w:spacing w:line="20" w:lineRule="exact"/>
        <w:rPr>
          <w:sz w:val="20"/>
          <w:szCs w:val="20"/>
        </w:rPr>
      </w:pPr>
      <w:r>
        <w:rPr>
          <w:noProof/>
          <w:sz w:val="20"/>
          <w:szCs w:val="20"/>
        </w:rPr>
        <w:drawing>
          <wp:anchor distT="0" distB="0" distL="114300" distR="114300" simplePos="0" relativeHeight="251727872"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68" w:name="page68"/>
      <w:bookmarkEnd w:id="68"/>
      <w:r>
        <w:rPr>
          <w:rFonts w:eastAsia="Times New Roman"/>
          <w:b/>
          <w:bCs/>
          <w:noProof/>
          <w:color w:val="0000EE"/>
          <w:sz w:val="17"/>
          <w:szCs w:val="17"/>
          <w:u w:val="single"/>
        </w:rPr>
        <w:drawing>
          <wp:anchor distT="0" distB="0" distL="114300" distR="114300" simplePos="0" relativeHeight="25172889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29920"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2021 OPTION/SAR EXERCISES AND STOCK VESTED</w:t>
      </w:r>
    </w:p>
    <w:p w:rsidR="00CC2C66" w:rsidRDefault="00F80B74">
      <w:pPr>
        <w:spacing w:line="20" w:lineRule="exact"/>
        <w:rPr>
          <w:sz w:val="20"/>
          <w:szCs w:val="20"/>
        </w:rPr>
      </w:pPr>
      <w:r>
        <w:rPr>
          <w:noProof/>
          <w:sz w:val="20"/>
          <w:szCs w:val="20"/>
        </w:rPr>
        <w:drawing>
          <wp:anchor distT="0" distB="0" distL="114300" distR="114300" simplePos="0" relativeHeight="251730944"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87" w:lineRule="exact"/>
        <w:rPr>
          <w:sz w:val="20"/>
          <w:szCs w:val="20"/>
        </w:rPr>
      </w:pPr>
    </w:p>
    <w:p w:rsidR="00CC2C66" w:rsidRDefault="00F80B74">
      <w:pPr>
        <w:spacing w:line="252" w:lineRule="auto"/>
        <w:ind w:left="420"/>
        <w:jc w:val="both"/>
        <w:rPr>
          <w:sz w:val="20"/>
          <w:szCs w:val="20"/>
        </w:rPr>
      </w:pPr>
      <w:r>
        <w:rPr>
          <w:rFonts w:eastAsia="Times New Roman"/>
          <w:sz w:val="19"/>
          <w:szCs w:val="19"/>
        </w:rPr>
        <w:t xml:space="preserve">The table below shows the number of Company shares acquired during 2021 </w:t>
      </w:r>
      <w:r>
        <w:rPr>
          <w:rFonts w:eastAsia="Times New Roman"/>
          <w:sz w:val="19"/>
          <w:szCs w:val="19"/>
        </w:rPr>
        <w:t>upon the exercise of Company SAR awards and the vesting of Company stock awards and before payment of applicable withholding taxes and broker commissions. This table does not include any shares acquired upon the exercise or vesting of outstanding YUM equit</w:t>
      </w:r>
      <w:r>
        <w:rPr>
          <w:rFonts w:eastAsia="Times New Roman"/>
          <w:sz w:val="19"/>
          <w:szCs w:val="19"/>
        </w:rPr>
        <w:t>y awards.</w:t>
      </w:r>
    </w:p>
    <w:p w:rsidR="00CC2C66" w:rsidRDefault="00CC2C66">
      <w:pPr>
        <w:spacing w:line="194"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5720"/>
        <w:gridCol w:w="1280"/>
        <w:gridCol w:w="800"/>
        <w:gridCol w:w="400"/>
        <w:gridCol w:w="1180"/>
        <w:gridCol w:w="1040"/>
      </w:tblGrid>
      <w:tr w:rsidR="00CC2C66">
        <w:trPr>
          <w:trHeight w:val="166"/>
        </w:trPr>
        <w:tc>
          <w:tcPr>
            <w:tcW w:w="572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2080" w:type="dxa"/>
            <w:gridSpan w:val="2"/>
            <w:tcBorders>
              <w:top w:val="single" w:sz="8" w:space="0" w:color="CF0A2C"/>
              <w:bottom w:val="single" w:sz="8" w:space="0" w:color="CF0A2C"/>
            </w:tcBorders>
            <w:shd w:val="clear" w:color="auto" w:fill="FAE6E9"/>
            <w:vAlign w:val="bottom"/>
          </w:tcPr>
          <w:p w:rsidR="00CC2C66" w:rsidRDefault="00F80B74">
            <w:pPr>
              <w:ind w:right="214"/>
              <w:jc w:val="right"/>
              <w:rPr>
                <w:sz w:val="20"/>
                <w:szCs w:val="20"/>
              </w:rPr>
            </w:pPr>
            <w:r>
              <w:rPr>
                <w:rFonts w:ascii="Arial" w:eastAsia="Arial" w:hAnsi="Arial" w:cs="Arial"/>
                <w:b/>
                <w:bCs/>
                <w:color w:val="CF0A2C"/>
                <w:sz w:val="14"/>
                <w:szCs w:val="14"/>
              </w:rPr>
              <w:t>Option/SAR Awards</w:t>
            </w:r>
          </w:p>
        </w:tc>
        <w:tc>
          <w:tcPr>
            <w:tcW w:w="400" w:type="dxa"/>
            <w:tcBorders>
              <w:top w:val="single" w:sz="8" w:space="0" w:color="CF0A2C"/>
              <w:bottom w:val="single" w:sz="8" w:space="0" w:color="FAE6E9"/>
            </w:tcBorders>
            <w:shd w:val="clear" w:color="auto" w:fill="FAE6E9"/>
            <w:vAlign w:val="bottom"/>
          </w:tcPr>
          <w:p w:rsidR="00CC2C66" w:rsidRDefault="00CC2C66">
            <w:pPr>
              <w:rPr>
                <w:sz w:val="14"/>
                <w:szCs w:val="14"/>
              </w:rPr>
            </w:pPr>
          </w:p>
        </w:tc>
        <w:tc>
          <w:tcPr>
            <w:tcW w:w="2220" w:type="dxa"/>
            <w:gridSpan w:val="2"/>
            <w:tcBorders>
              <w:top w:val="single" w:sz="8" w:space="0" w:color="CF0A2C"/>
              <w:bottom w:val="single" w:sz="8" w:space="0" w:color="CF0A2C"/>
            </w:tcBorders>
            <w:shd w:val="clear" w:color="auto" w:fill="FAE6E9"/>
            <w:vAlign w:val="bottom"/>
          </w:tcPr>
          <w:p w:rsidR="00CC2C66" w:rsidRDefault="00F80B74">
            <w:pPr>
              <w:ind w:right="554"/>
              <w:jc w:val="right"/>
              <w:rPr>
                <w:sz w:val="20"/>
                <w:szCs w:val="20"/>
              </w:rPr>
            </w:pPr>
            <w:r>
              <w:rPr>
                <w:rFonts w:ascii="Arial" w:eastAsia="Arial" w:hAnsi="Arial" w:cs="Arial"/>
                <w:b/>
                <w:bCs/>
                <w:color w:val="CF0A2C"/>
                <w:sz w:val="14"/>
                <w:szCs w:val="14"/>
              </w:rPr>
              <w:t>Stock Awards</w:t>
            </w:r>
          </w:p>
        </w:tc>
      </w:tr>
      <w:tr w:rsidR="00CC2C66">
        <w:trPr>
          <w:trHeight w:val="137"/>
        </w:trPr>
        <w:tc>
          <w:tcPr>
            <w:tcW w:w="5720" w:type="dxa"/>
            <w:shd w:val="clear" w:color="auto" w:fill="FAE6E9"/>
            <w:vAlign w:val="bottom"/>
          </w:tcPr>
          <w:p w:rsidR="00CC2C66" w:rsidRDefault="00CC2C66">
            <w:pPr>
              <w:rPr>
                <w:sz w:val="11"/>
                <w:szCs w:val="11"/>
              </w:rPr>
            </w:pPr>
          </w:p>
        </w:tc>
        <w:tc>
          <w:tcPr>
            <w:tcW w:w="1280" w:type="dxa"/>
            <w:shd w:val="clear" w:color="auto" w:fill="FAE6E9"/>
            <w:vAlign w:val="bottom"/>
          </w:tcPr>
          <w:p w:rsidR="00CC2C66" w:rsidRDefault="00F80B74">
            <w:pPr>
              <w:spacing w:line="137" w:lineRule="exact"/>
              <w:ind w:left="34"/>
              <w:jc w:val="center"/>
              <w:rPr>
                <w:sz w:val="20"/>
                <w:szCs w:val="20"/>
              </w:rPr>
            </w:pPr>
            <w:r>
              <w:rPr>
                <w:rFonts w:ascii="Arial" w:eastAsia="Arial" w:hAnsi="Arial" w:cs="Arial"/>
                <w:b/>
                <w:bCs/>
                <w:color w:val="CF0A2C"/>
                <w:w w:val="94"/>
                <w:sz w:val="14"/>
                <w:szCs w:val="14"/>
              </w:rPr>
              <w:t>Number</w:t>
            </w:r>
          </w:p>
        </w:tc>
        <w:tc>
          <w:tcPr>
            <w:tcW w:w="1200" w:type="dxa"/>
            <w:gridSpan w:val="2"/>
            <w:shd w:val="clear" w:color="auto" w:fill="FAE6E9"/>
            <w:vAlign w:val="bottom"/>
          </w:tcPr>
          <w:p w:rsidR="00CC2C66" w:rsidRDefault="00F80B74">
            <w:pPr>
              <w:spacing w:line="137" w:lineRule="exact"/>
              <w:ind w:right="280"/>
              <w:jc w:val="center"/>
              <w:rPr>
                <w:sz w:val="20"/>
                <w:szCs w:val="20"/>
              </w:rPr>
            </w:pPr>
            <w:r>
              <w:rPr>
                <w:rFonts w:ascii="Arial" w:eastAsia="Arial" w:hAnsi="Arial" w:cs="Arial"/>
                <w:b/>
                <w:bCs/>
                <w:color w:val="CF0A2C"/>
                <w:w w:val="96"/>
                <w:sz w:val="14"/>
                <w:szCs w:val="14"/>
              </w:rPr>
              <w:t>Value</w:t>
            </w:r>
          </w:p>
        </w:tc>
        <w:tc>
          <w:tcPr>
            <w:tcW w:w="1180" w:type="dxa"/>
            <w:shd w:val="clear" w:color="auto" w:fill="FAE6E9"/>
            <w:vAlign w:val="bottom"/>
          </w:tcPr>
          <w:p w:rsidR="00CC2C66" w:rsidRDefault="00F80B74">
            <w:pPr>
              <w:spacing w:line="137" w:lineRule="exact"/>
              <w:ind w:left="154"/>
              <w:jc w:val="center"/>
              <w:rPr>
                <w:sz w:val="20"/>
                <w:szCs w:val="20"/>
              </w:rPr>
            </w:pPr>
            <w:r>
              <w:rPr>
                <w:rFonts w:ascii="Arial" w:eastAsia="Arial" w:hAnsi="Arial" w:cs="Arial"/>
                <w:b/>
                <w:bCs/>
                <w:color w:val="CF0A2C"/>
                <w:w w:val="98"/>
                <w:sz w:val="14"/>
                <w:szCs w:val="14"/>
              </w:rPr>
              <w:t>Number</w:t>
            </w:r>
          </w:p>
        </w:tc>
        <w:tc>
          <w:tcPr>
            <w:tcW w:w="1040" w:type="dxa"/>
            <w:shd w:val="clear" w:color="auto" w:fill="FAE6E9"/>
            <w:vAlign w:val="bottom"/>
          </w:tcPr>
          <w:p w:rsidR="00CC2C66" w:rsidRDefault="00CC2C66">
            <w:pPr>
              <w:rPr>
                <w:sz w:val="11"/>
                <w:szCs w:val="11"/>
              </w:rPr>
            </w:pPr>
          </w:p>
        </w:tc>
      </w:tr>
      <w:tr w:rsidR="00CC2C66">
        <w:trPr>
          <w:trHeight w:val="153"/>
        </w:trPr>
        <w:tc>
          <w:tcPr>
            <w:tcW w:w="5720" w:type="dxa"/>
            <w:shd w:val="clear" w:color="auto" w:fill="FAE6E9"/>
            <w:vAlign w:val="bottom"/>
          </w:tcPr>
          <w:p w:rsidR="00CC2C66" w:rsidRDefault="00CC2C66">
            <w:pPr>
              <w:rPr>
                <w:sz w:val="13"/>
                <w:szCs w:val="13"/>
              </w:rPr>
            </w:pPr>
          </w:p>
        </w:tc>
        <w:tc>
          <w:tcPr>
            <w:tcW w:w="1280" w:type="dxa"/>
            <w:shd w:val="clear" w:color="auto" w:fill="FAE6E9"/>
            <w:vAlign w:val="bottom"/>
          </w:tcPr>
          <w:p w:rsidR="00CC2C66" w:rsidRDefault="00F80B74">
            <w:pPr>
              <w:spacing w:line="153" w:lineRule="exact"/>
              <w:ind w:left="34"/>
              <w:jc w:val="center"/>
              <w:rPr>
                <w:sz w:val="20"/>
                <w:szCs w:val="20"/>
              </w:rPr>
            </w:pPr>
            <w:r>
              <w:rPr>
                <w:rFonts w:ascii="Arial" w:eastAsia="Arial" w:hAnsi="Arial" w:cs="Arial"/>
                <w:b/>
                <w:bCs/>
                <w:color w:val="CF0A2C"/>
                <w:w w:val="97"/>
                <w:sz w:val="14"/>
                <w:szCs w:val="14"/>
              </w:rPr>
              <w:t>of Shares</w:t>
            </w:r>
          </w:p>
        </w:tc>
        <w:tc>
          <w:tcPr>
            <w:tcW w:w="1200" w:type="dxa"/>
            <w:gridSpan w:val="2"/>
            <w:shd w:val="clear" w:color="auto" w:fill="FAE6E9"/>
            <w:vAlign w:val="bottom"/>
          </w:tcPr>
          <w:p w:rsidR="00CC2C66" w:rsidRDefault="00F80B74">
            <w:pPr>
              <w:spacing w:line="153" w:lineRule="exact"/>
              <w:ind w:right="300"/>
              <w:jc w:val="center"/>
              <w:rPr>
                <w:sz w:val="20"/>
                <w:szCs w:val="20"/>
              </w:rPr>
            </w:pPr>
            <w:r>
              <w:rPr>
                <w:rFonts w:ascii="Arial" w:eastAsia="Arial" w:hAnsi="Arial" w:cs="Arial"/>
                <w:b/>
                <w:bCs/>
                <w:color w:val="CF0A2C"/>
                <w:w w:val="94"/>
                <w:sz w:val="14"/>
                <w:szCs w:val="14"/>
              </w:rPr>
              <w:t>Realized</w:t>
            </w:r>
          </w:p>
        </w:tc>
        <w:tc>
          <w:tcPr>
            <w:tcW w:w="1180" w:type="dxa"/>
            <w:shd w:val="clear" w:color="auto" w:fill="FAE6E9"/>
            <w:vAlign w:val="bottom"/>
          </w:tcPr>
          <w:p w:rsidR="00CC2C66" w:rsidRDefault="00F80B74">
            <w:pPr>
              <w:spacing w:line="153" w:lineRule="exact"/>
              <w:ind w:left="174"/>
              <w:jc w:val="center"/>
              <w:rPr>
                <w:sz w:val="20"/>
                <w:szCs w:val="20"/>
              </w:rPr>
            </w:pPr>
            <w:r>
              <w:rPr>
                <w:rFonts w:ascii="Arial" w:eastAsia="Arial" w:hAnsi="Arial" w:cs="Arial"/>
                <w:b/>
                <w:bCs/>
                <w:color w:val="CF0A2C"/>
                <w:w w:val="97"/>
                <w:sz w:val="14"/>
                <w:szCs w:val="14"/>
              </w:rPr>
              <w:t>of Shares</w:t>
            </w:r>
          </w:p>
        </w:tc>
        <w:tc>
          <w:tcPr>
            <w:tcW w:w="1040" w:type="dxa"/>
            <w:shd w:val="clear" w:color="auto" w:fill="FAE6E9"/>
            <w:vAlign w:val="bottom"/>
          </w:tcPr>
          <w:p w:rsidR="00CC2C66" w:rsidRDefault="00F80B74">
            <w:pPr>
              <w:spacing w:line="153" w:lineRule="exact"/>
              <w:ind w:right="74"/>
              <w:jc w:val="center"/>
              <w:rPr>
                <w:sz w:val="20"/>
                <w:szCs w:val="20"/>
              </w:rPr>
            </w:pPr>
            <w:r>
              <w:rPr>
                <w:rFonts w:ascii="Arial" w:eastAsia="Arial" w:hAnsi="Arial" w:cs="Arial"/>
                <w:b/>
                <w:bCs/>
                <w:color w:val="CF0A2C"/>
                <w:w w:val="90"/>
                <w:sz w:val="14"/>
                <w:szCs w:val="14"/>
              </w:rPr>
              <w:t>Value</w:t>
            </w:r>
          </w:p>
        </w:tc>
      </w:tr>
      <w:tr w:rsidR="00CC2C66">
        <w:trPr>
          <w:trHeight w:val="153"/>
        </w:trPr>
        <w:tc>
          <w:tcPr>
            <w:tcW w:w="5720" w:type="dxa"/>
            <w:shd w:val="clear" w:color="auto" w:fill="FAE6E9"/>
            <w:vAlign w:val="bottom"/>
          </w:tcPr>
          <w:p w:rsidR="00CC2C66" w:rsidRDefault="00CC2C66">
            <w:pPr>
              <w:rPr>
                <w:sz w:val="13"/>
                <w:szCs w:val="13"/>
              </w:rPr>
            </w:pPr>
          </w:p>
        </w:tc>
        <w:tc>
          <w:tcPr>
            <w:tcW w:w="1280" w:type="dxa"/>
            <w:shd w:val="clear" w:color="auto" w:fill="FAE6E9"/>
            <w:vAlign w:val="bottom"/>
          </w:tcPr>
          <w:p w:rsidR="00CC2C66" w:rsidRDefault="00F80B74">
            <w:pPr>
              <w:spacing w:line="153" w:lineRule="exact"/>
              <w:ind w:left="34"/>
              <w:jc w:val="center"/>
              <w:rPr>
                <w:sz w:val="20"/>
                <w:szCs w:val="20"/>
              </w:rPr>
            </w:pPr>
            <w:r>
              <w:rPr>
                <w:rFonts w:ascii="Arial" w:eastAsia="Arial" w:hAnsi="Arial" w:cs="Arial"/>
                <w:b/>
                <w:bCs/>
                <w:color w:val="CF0A2C"/>
                <w:w w:val="95"/>
                <w:sz w:val="14"/>
                <w:szCs w:val="14"/>
              </w:rPr>
              <w:t>Acquired on</w:t>
            </w:r>
          </w:p>
        </w:tc>
        <w:tc>
          <w:tcPr>
            <w:tcW w:w="1200" w:type="dxa"/>
            <w:gridSpan w:val="2"/>
            <w:shd w:val="clear" w:color="auto" w:fill="FAE6E9"/>
            <w:vAlign w:val="bottom"/>
          </w:tcPr>
          <w:p w:rsidR="00CC2C66" w:rsidRDefault="00F80B74">
            <w:pPr>
              <w:spacing w:line="153" w:lineRule="exact"/>
              <w:ind w:right="300"/>
              <w:jc w:val="center"/>
              <w:rPr>
                <w:sz w:val="20"/>
                <w:szCs w:val="20"/>
              </w:rPr>
            </w:pPr>
            <w:r>
              <w:rPr>
                <w:rFonts w:ascii="Arial" w:eastAsia="Arial" w:hAnsi="Arial" w:cs="Arial"/>
                <w:b/>
                <w:bCs/>
                <w:color w:val="CF0A2C"/>
                <w:sz w:val="14"/>
                <w:szCs w:val="14"/>
              </w:rPr>
              <w:t>on</w:t>
            </w:r>
          </w:p>
        </w:tc>
        <w:tc>
          <w:tcPr>
            <w:tcW w:w="1180" w:type="dxa"/>
            <w:shd w:val="clear" w:color="auto" w:fill="FAE6E9"/>
            <w:vAlign w:val="bottom"/>
          </w:tcPr>
          <w:p w:rsidR="00CC2C66" w:rsidRDefault="00F80B74">
            <w:pPr>
              <w:spacing w:line="153" w:lineRule="exact"/>
              <w:ind w:left="154"/>
              <w:jc w:val="center"/>
              <w:rPr>
                <w:sz w:val="20"/>
                <w:szCs w:val="20"/>
              </w:rPr>
            </w:pPr>
            <w:r>
              <w:rPr>
                <w:rFonts w:ascii="Arial" w:eastAsia="Arial" w:hAnsi="Arial" w:cs="Arial"/>
                <w:b/>
                <w:bCs/>
                <w:color w:val="CF0A2C"/>
                <w:w w:val="97"/>
                <w:sz w:val="14"/>
                <w:szCs w:val="14"/>
              </w:rPr>
              <w:t>Acquired on</w:t>
            </w:r>
          </w:p>
        </w:tc>
        <w:tc>
          <w:tcPr>
            <w:tcW w:w="1040" w:type="dxa"/>
            <w:shd w:val="clear" w:color="auto" w:fill="FAE6E9"/>
            <w:vAlign w:val="bottom"/>
          </w:tcPr>
          <w:p w:rsidR="00CC2C66" w:rsidRDefault="00F80B74">
            <w:pPr>
              <w:spacing w:line="153" w:lineRule="exact"/>
              <w:ind w:right="74"/>
              <w:jc w:val="center"/>
              <w:rPr>
                <w:sz w:val="20"/>
                <w:szCs w:val="20"/>
              </w:rPr>
            </w:pPr>
            <w:r>
              <w:rPr>
                <w:rFonts w:ascii="Arial" w:eastAsia="Arial" w:hAnsi="Arial" w:cs="Arial"/>
                <w:b/>
                <w:bCs/>
                <w:color w:val="CF0A2C"/>
                <w:w w:val="95"/>
                <w:sz w:val="14"/>
                <w:szCs w:val="14"/>
              </w:rPr>
              <w:t>Realized on</w:t>
            </w:r>
          </w:p>
        </w:tc>
      </w:tr>
      <w:tr w:rsidR="00CC2C66">
        <w:trPr>
          <w:trHeight w:val="153"/>
        </w:trPr>
        <w:tc>
          <w:tcPr>
            <w:tcW w:w="5720" w:type="dxa"/>
            <w:shd w:val="clear" w:color="auto" w:fill="FAE6E9"/>
            <w:vAlign w:val="bottom"/>
          </w:tcPr>
          <w:p w:rsidR="00CC2C66" w:rsidRDefault="00CC2C66">
            <w:pPr>
              <w:rPr>
                <w:sz w:val="13"/>
                <w:szCs w:val="13"/>
              </w:rPr>
            </w:pPr>
          </w:p>
        </w:tc>
        <w:tc>
          <w:tcPr>
            <w:tcW w:w="1280" w:type="dxa"/>
            <w:shd w:val="clear" w:color="auto" w:fill="FAE6E9"/>
            <w:vAlign w:val="bottom"/>
          </w:tcPr>
          <w:p w:rsidR="00CC2C66" w:rsidRDefault="00F80B74">
            <w:pPr>
              <w:spacing w:line="153" w:lineRule="exact"/>
              <w:ind w:left="54"/>
              <w:jc w:val="center"/>
              <w:rPr>
                <w:sz w:val="20"/>
                <w:szCs w:val="20"/>
              </w:rPr>
            </w:pPr>
            <w:r>
              <w:rPr>
                <w:rFonts w:ascii="Arial" w:eastAsia="Arial" w:hAnsi="Arial" w:cs="Arial"/>
                <w:b/>
                <w:bCs/>
                <w:color w:val="CF0A2C"/>
                <w:w w:val="97"/>
                <w:sz w:val="14"/>
                <w:szCs w:val="14"/>
              </w:rPr>
              <w:t>Exercise</w:t>
            </w:r>
          </w:p>
        </w:tc>
        <w:tc>
          <w:tcPr>
            <w:tcW w:w="1200" w:type="dxa"/>
            <w:gridSpan w:val="2"/>
            <w:shd w:val="clear" w:color="auto" w:fill="FAE6E9"/>
            <w:vAlign w:val="bottom"/>
          </w:tcPr>
          <w:p w:rsidR="00CC2C66" w:rsidRDefault="00F80B74">
            <w:pPr>
              <w:spacing w:line="153" w:lineRule="exact"/>
              <w:ind w:right="280"/>
              <w:jc w:val="center"/>
              <w:rPr>
                <w:sz w:val="20"/>
                <w:szCs w:val="20"/>
              </w:rPr>
            </w:pPr>
            <w:r>
              <w:rPr>
                <w:rFonts w:ascii="Arial" w:eastAsia="Arial" w:hAnsi="Arial" w:cs="Arial"/>
                <w:b/>
                <w:bCs/>
                <w:color w:val="CF0A2C"/>
                <w:w w:val="97"/>
                <w:sz w:val="14"/>
                <w:szCs w:val="14"/>
              </w:rPr>
              <w:t>Exercise</w:t>
            </w:r>
          </w:p>
        </w:tc>
        <w:tc>
          <w:tcPr>
            <w:tcW w:w="1180" w:type="dxa"/>
            <w:shd w:val="clear" w:color="auto" w:fill="FAE6E9"/>
            <w:vAlign w:val="bottom"/>
          </w:tcPr>
          <w:p w:rsidR="00CC2C66" w:rsidRDefault="00F80B74">
            <w:pPr>
              <w:spacing w:line="153" w:lineRule="exact"/>
              <w:ind w:left="154"/>
              <w:jc w:val="center"/>
              <w:rPr>
                <w:sz w:val="20"/>
                <w:szCs w:val="20"/>
              </w:rPr>
            </w:pPr>
            <w:r>
              <w:rPr>
                <w:rFonts w:ascii="Arial" w:eastAsia="Arial" w:hAnsi="Arial" w:cs="Arial"/>
                <w:b/>
                <w:bCs/>
                <w:color w:val="CF0A2C"/>
                <w:w w:val="94"/>
                <w:sz w:val="14"/>
                <w:szCs w:val="14"/>
              </w:rPr>
              <w:t>Vesting</w:t>
            </w:r>
          </w:p>
        </w:tc>
        <w:tc>
          <w:tcPr>
            <w:tcW w:w="1040" w:type="dxa"/>
            <w:shd w:val="clear" w:color="auto" w:fill="FAE6E9"/>
            <w:vAlign w:val="bottom"/>
          </w:tcPr>
          <w:p w:rsidR="00CC2C66" w:rsidRDefault="00F80B74">
            <w:pPr>
              <w:spacing w:line="153" w:lineRule="exact"/>
              <w:ind w:right="74"/>
              <w:jc w:val="center"/>
              <w:rPr>
                <w:sz w:val="20"/>
                <w:szCs w:val="20"/>
              </w:rPr>
            </w:pPr>
            <w:r>
              <w:rPr>
                <w:rFonts w:ascii="Arial" w:eastAsia="Arial" w:hAnsi="Arial" w:cs="Arial"/>
                <w:b/>
                <w:bCs/>
                <w:color w:val="CF0A2C"/>
                <w:w w:val="98"/>
                <w:sz w:val="14"/>
                <w:szCs w:val="14"/>
              </w:rPr>
              <w:t>Vesting</w:t>
            </w:r>
          </w:p>
        </w:tc>
      </w:tr>
      <w:tr w:rsidR="00CC2C66">
        <w:trPr>
          <w:trHeight w:val="176"/>
        </w:trPr>
        <w:tc>
          <w:tcPr>
            <w:tcW w:w="5720" w:type="dxa"/>
            <w:tcBorders>
              <w:bottom w:val="single" w:sz="8" w:space="0" w:color="CF0A2C"/>
            </w:tcBorders>
            <w:shd w:val="clear" w:color="auto" w:fill="FAE6E9"/>
            <w:vAlign w:val="bottom"/>
          </w:tcPr>
          <w:p w:rsidR="00CC2C66" w:rsidRDefault="00F80B74">
            <w:pPr>
              <w:ind w:left="40"/>
              <w:rPr>
                <w:sz w:val="20"/>
                <w:szCs w:val="20"/>
              </w:rPr>
            </w:pPr>
            <w:r>
              <w:rPr>
                <w:rFonts w:ascii="Arial" w:eastAsia="Arial" w:hAnsi="Arial" w:cs="Arial"/>
                <w:b/>
                <w:bCs/>
                <w:color w:val="CF0A2C"/>
                <w:sz w:val="14"/>
                <w:szCs w:val="14"/>
              </w:rPr>
              <w:t>Name</w:t>
            </w:r>
          </w:p>
        </w:tc>
        <w:tc>
          <w:tcPr>
            <w:tcW w:w="1280" w:type="dxa"/>
            <w:tcBorders>
              <w:bottom w:val="single" w:sz="8" w:space="0" w:color="CF0A2C"/>
            </w:tcBorders>
            <w:shd w:val="clear" w:color="auto" w:fill="FAE6E9"/>
            <w:vAlign w:val="bottom"/>
          </w:tcPr>
          <w:p w:rsidR="00CC2C66" w:rsidRDefault="00F80B74">
            <w:pPr>
              <w:ind w:left="34"/>
              <w:jc w:val="center"/>
              <w:rPr>
                <w:sz w:val="20"/>
                <w:szCs w:val="20"/>
              </w:rPr>
            </w:pPr>
            <w:r>
              <w:rPr>
                <w:rFonts w:ascii="Arial" w:eastAsia="Arial" w:hAnsi="Arial" w:cs="Arial"/>
                <w:b/>
                <w:bCs/>
                <w:color w:val="CF0A2C"/>
                <w:sz w:val="14"/>
                <w:szCs w:val="14"/>
              </w:rPr>
              <w:t>(#)</w:t>
            </w:r>
          </w:p>
        </w:tc>
        <w:tc>
          <w:tcPr>
            <w:tcW w:w="800" w:type="dxa"/>
            <w:tcBorders>
              <w:bottom w:val="single" w:sz="8" w:space="0" w:color="CF0A2C"/>
            </w:tcBorders>
            <w:shd w:val="clear" w:color="auto" w:fill="FAE6E9"/>
            <w:vAlign w:val="bottom"/>
          </w:tcPr>
          <w:p w:rsidR="00CC2C66" w:rsidRDefault="00F80B74">
            <w:pPr>
              <w:ind w:left="34"/>
              <w:jc w:val="center"/>
              <w:rPr>
                <w:sz w:val="20"/>
                <w:szCs w:val="20"/>
              </w:rPr>
            </w:pPr>
            <w:r>
              <w:rPr>
                <w:rFonts w:ascii="Arial" w:eastAsia="Arial" w:hAnsi="Arial" w:cs="Arial"/>
                <w:b/>
                <w:bCs/>
                <w:color w:val="CF0A2C"/>
                <w:sz w:val="14"/>
                <w:szCs w:val="14"/>
              </w:rPr>
              <w:t>($)</w:t>
            </w:r>
          </w:p>
        </w:tc>
        <w:tc>
          <w:tcPr>
            <w:tcW w:w="400" w:type="dxa"/>
            <w:tcBorders>
              <w:bottom w:val="single" w:sz="8" w:space="0" w:color="CF0A2C"/>
            </w:tcBorders>
            <w:shd w:val="clear" w:color="auto" w:fill="FAE6E9"/>
            <w:vAlign w:val="bottom"/>
          </w:tcPr>
          <w:p w:rsidR="00CC2C66" w:rsidRDefault="00CC2C66">
            <w:pPr>
              <w:rPr>
                <w:sz w:val="15"/>
                <w:szCs w:val="15"/>
              </w:rPr>
            </w:pPr>
          </w:p>
        </w:tc>
        <w:tc>
          <w:tcPr>
            <w:tcW w:w="1180" w:type="dxa"/>
            <w:tcBorders>
              <w:bottom w:val="single" w:sz="8" w:space="0" w:color="CF0A2C"/>
            </w:tcBorders>
            <w:shd w:val="clear" w:color="auto" w:fill="FAE6E9"/>
            <w:vAlign w:val="bottom"/>
          </w:tcPr>
          <w:p w:rsidR="00CC2C66" w:rsidRDefault="00F80B74">
            <w:pPr>
              <w:ind w:left="154"/>
              <w:jc w:val="center"/>
              <w:rPr>
                <w:sz w:val="20"/>
                <w:szCs w:val="20"/>
              </w:rPr>
            </w:pPr>
            <w:r>
              <w:rPr>
                <w:rFonts w:ascii="Arial" w:eastAsia="Arial" w:hAnsi="Arial" w:cs="Arial"/>
                <w:b/>
                <w:bCs/>
                <w:color w:val="CF0A2C"/>
                <w:w w:val="93"/>
                <w:sz w:val="14"/>
                <w:szCs w:val="14"/>
              </w:rPr>
              <w:t>(#)</w:t>
            </w:r>
          </w:p>
        </w:tc>
        <w:tc>
          <w:tcPr>
            <w:tcW w:w="1040" w:type="dxa"/>
            <w:tcBorders>
              <w:bottom w:val="single" w:sz="8" w:space="0" w:color="CF0A2C"/>
            </w:tcBorders>
            <w:shd w:val="clear" w:color="auto" w:fill="FAE6E9"/>
            <w:vAlign w:val="bottom"/>
          </w:tcPr>
          <w:p w:rsidR="00CC2C66" w:rsidRDefault="00F80B74">
            <w:pPr>
              <w:ind w:right="74"/>
              <w:jc w:val="center"/>
              <w:rPr>
                <w:sz w:val="20"/>
                <w:szCs w:val="20"/>
              </w:rPr>
            </w:pPr>
            <w:r>
              <w:rPr>
                <w:rFonts w:ascii="Arial" w:eastAsia="Arial" w:hAnsi="Arial" w:cs="Arial"/>
                <w:b/>
                <w:bCs/>
                <w:color w:val="CF0A2C"/>
                <w:sz w:val="14"/>
                <w:szCs w:val="14"/>
              </w:rPr>
              <w:t>($)</w:t>
            </w:r>
          </w:p>
        </w:tc>
      </w:tr>
      <w:tr w:rsidR="00CC2C66">
        <w:trPr>
          <w:trHeight w:val="162"/>
        </w:trPr>
        <w:tc>
          <w:tcPr>
            <w:tcW w:w="5720" w:type="dxa"/>
            <w:vAlign w:val="bottom"/>
          </w:tcPr>
          <w:p w:rsidR="00CC2C66" w:rsidRDefault="00F80B74">
            <w:pPr>
              <w:ind w:left="40"/>
              <w:rPr>
                <w:sz w:val="20"/>
                <w:szCs w:val="20"/>
              </w:rPr>
            </w:pPr>
            <w:r>
              <w:rPr>
                <w:rFonts w:ascii="Arial" w:eastAsia="Arial" w:hAnsi="Arial" w:cs="Arial"/>
                <w:b/>
                <w:bCs/>
                <w:color w:val="CF0A2C"/>
                <w:sz w:val="14"/>
                <w:szCs w:val="14"/>
              </w:rPr>
              <w:t>(a)</w:t>
            </w:r>
          </w:p>
        </w:tc>
        <w:tc>
          <w:tcPr>
            <w:tcW w:w="1280" w:type="dxa"/>
            <w:vAlign w:val="bottom"/>
          </w:tcPr>
          <w:p w:rsidR="00CC2C66" w:rsidRDefault="00F80B74">
            <w:pPr>
              <w:ind w:left="34"/>
              <w:jc w:val="center"/>
              <w:rPr>
                <w:sz w:val="20"/>
                <w:szCs w:val="20"/>
              </w:rPr>
            </w:pPr>
            <w:r>
              <w:rPr>
                <w:rFonts w:ascii="Arial" w:eastAsia="Arial" w:hAnsi="Arial" w:cs="Arial"/>
                <w:b/>
                <w:bCs/>
                <w:color w:val="CF0A2C"/>
                <w:sz w:val="14"/>
                <w:szCs w:val="14"/>
              </w:rPr>
              <w:t>(b)</w:t>
            </w:r>
          </w:p>
        </w:tc>
        <w:tc>
          <w:tcPr>
            <w:tcW w:w="1200" w:type="dxa"/>
            <w:gridSpan w:val="2"/>
            <w:vAlign w:val="bottom"/>
          </w:tcPr>
          <w:p w:rsidR="00CC2C66" w:rsidRDefault="00F80B74">
            <w:pPr>
              <w:ind w:right="300"/>
              <w:jc w:val="center"/>
              <w:rPr>
                <w:sz w:val="20"/>
                <w:szCs w:val="20"/>
              </w:rPr>
            </w:pPr>
            <w:r>
              <w:rPr>
                <w:rFonts w:ascii="Arial" w:eastAsia="Arial" w:hAnsi="Arial" w:cs="Arial"/>
                <w:b/>
                <w:bCs/>
                <w:color w:val="CF0A2C"/>
                <w:sz w:val="14"/>
                <w:szCs w:val="14"/>
              </w:rPr>
              <w:t>(c)</w:t>
            </w:r>
          </w:p>
        </w:tc>
        <w:tc>
          <w:tcPr>
            <w:tcW w:w="1180" w:type="dxa"/>
            <w:vAlign w:val="bottom"/>
          </w:tcPr>
          <w:p w:rsidR="00CC2C66" w:rsidRDefault="00F80B74">
            <w:pPr>
              <w:ind w:left="154"/>
              <w:jc w:val="center"/>
              <w:rPr>
                <w:sz w:val="20"/>
                <w:szCs w:val="20"/>
              </w:rPr>
            </w:pPr>
            <w:r>
              <w:rPr>
                <w:rFonts w:ascii="Arial" w:eastAsia="Arial" w:hAnsi="Arial" w:cs="Arial"/>
                <w:b/>
                <w:bCs/>
                <w:color w:val="CF0A2C"/>
                <w:w w:val="89"/>
                <w:sz w:val="14"/>
                <w:szCs w:val="14"/>
              </w:rPr>
              <w:t>(d)</w:t>
            </w:r>
          </w:p>
        </w:tc>
        <w:tc>
          <w:tcPr>
            <w:tcW w:w="1040" w:type="dxa"/>
            <w:vAlign w:val="bottom"/>
          </w:tcPr>
          <w:p w:rsidR="00CC2C66" w:rsidRDefault="00F80B74">
            <w:pPr>
              <w:ind w:right="74"/>
              <w:jc w:val="center"/>
              <w:rPr>
                <w:sz w:val="20"/>
                <w:szCs w:val="20"/>
              </w:rPr>
            </w:pPr>
            <w:r>
              <w:rPr>
                <w:rFonts w:ascii="Arial" w:eastAsia="Arial" w:hAnsi="Arial" w:cs="Arial"/>
                <w:b/>
                <w:bCs/>
                <w:color w:val="CF0A2C"/>
                <w:sz w:val="14"/>
                <w:szCs w:val="14"/>
              </w:rPr>
              <w:t>(e)</w:t>
            </w:r>
          </w:p>
        </w:tc>
      </w:tr>
      <w:tr w:rsidR="00CC2C66">
        <w:trPr>
          <w:trHeight w:val="179"/>
        </w:trPr>
        <w:tc>
          <w:tcPr>
            <w:tcW w:w="5720" w:type="dxa"/>
            <w:vAlign w:val="bottom"/>
          </w:tcPr>
          <w:p w:rsidR="00CC2C66" w:rsidRDefault="00F80B74">
            <w:pPr>
              <w:rPr>
                <w:sz w:val="20"/>
                <w:szCs w:val="20"/>
              </w:rPr>
            </w:pPr>
            <w:r>
              <w:rPr>
                <w:rFonts w:ascii="Arial" w:eastAsia="Arial" w:hAnsi="Arial" w:cs="Arial"/>
                <w:b/>
                <w:bCs/>
                <w:color w:val="CF0A2C"/>
                <w:sz w:val="14"/>
                <w:szCs w:val="14"/>
              </w:rPr>
              <w:t>Ms. Wat</w:t>
            </w:r>
          </w:p>
        </w:tc>
        <w:tc>
          <w:tcPr>
            <w:tcW w:w="1280" w:type="dxa"/>
            <w:vAlign w:val="bottom"/>
          </w:tcPr>
          <w:p w:rsidR="00CC2C66" w:rsidRDefault="00F80B74">
            <w:pPr>
              <w:ind w:right="114"/>
              <w:jc w:val="right"/>
              <w:rPr>
                <w:sz w:val="20"/>
                <w:szCs w:val="20"/>
              </w:rPr>
            </w:pPr>
            <w:r>
              <w:rPr>
                <w:rFonts w:ascii="Arial" w:eastAsia="Arial" w:hAnsi="Arial" w:cs="Arial"/>
                <w:sz w:val="13"/>
                <w:szCs w:val="13"/>
              </w:rPr>
              <w:t>—</w:t>
            </w:r>
          </w:p>
        </w:tc>
        <w:tc>
          <w:tcPr>
            <w:tcW w:w="1200" w:type="dxa"/>
            <w:gridSpan w:val="2"/>
            <w:vAlign w:val="bottom"/>
          </w:tcPr>
          <w:p w:rsidR="00CC2C66" w:rsidRDefault="00F80B74">
            <w:pPr>
              <w:ind w:right="440"/>
              <w:jc w:val="right"/>
              <w:rPr>
                <w:sz w:val="20"/>
                <w:szCs w:val="20"/>
              </w:rPr>
            </w:pPr>
            <w:r>
              <w:rPr>
                <w:rFonts w:ascii="Arial" w:eastAsia="Arial" w:hAnsi="Arial" w:cs="Arial"/>
                <w:sz w:val="13"/>
                <w:szCs w:val="13"/>
              </w:rPr>
              <w:t>—</w:t>
            </w:r>
          </w:p>
        </w:tc>
        <w:tc>
          <w:tcPr>
            <w:tcW w:w="1180" w:type="dxa"/>
            <w:vAlign w:val="bottom"/>
          </w:tcPr>
          <w:p w:rsidR="00CC2C66" w:rsidRDefault="00F80B74">
            <w:pPr>
              <w:ind w:right="14"/>
              <w:jc w:val="right"/>
              <w:rPr>
                <w:sz w:val="20"/>
                <w:szCs w:val="20"/>
              </w:rPr>
            </w:pPr>
            <w:r>
              <w:rPr>
                <w:rFonts w:ascii="Arial" w:eastAsia="Arial" w:hAnsi="Arial" w:cs="Arial"/>
                <w:sz w:val="13"/>
                <w:szCs w:val="13"/>
              </w:rPr>
              <w:t>145,218</w:t>
            </w:r>
          </w:p>
        </w:tc>
        <w:tc>
          <w:tcPr>
            <w:tcW w:w="1040" w:type="dxa"/>
            <w:vAlign w:val="bottom"/>
          </w:tcPr>
          <w:p w:rsidR="00CC2C66" w:rsidRDefault="00F80B74">
            <w:pPr>
              <w:spacing w:line="179" w:lineRule="exact"/>
              <w:ind w:right="34"/>
              <w:jc w:val="right"/>
              <w:rPr>
                <w:sz w:val="20"/>
                <w:szCs w:val="20"/>
              </w:rPr>
            </w:pPr>
            <w:r>
              <w:rPr>
                <w:rFonts w:ascii="Arial" w:eastAsia="Arial" w:hAnsi="Arial" w:cs="Arial"/>
                <w:sz w:val="13"/>
                <w:szCs w:val="13"/>
              </w:rPr>
              <w:t>8,064,169</w:t>
            </w:r>
            <w:r>
              <w:rPr>
                <w:rFonts w:ascii="Arial" w:eastAsia="Arial" w:hAnsi="Arial" w:cs="Arial"/>
                <w:sz w:val="19"/>
                <w:szCs w:val="19"/>
                <w:vertAlign w:val="superscript"/>
              </w:rPr>
              <w:t>(1)</w:t>
            </w:r>
          </w:p>
        </w:tc>
      </w:tr>
      <w:tr w:rsidR="00CC2C66">
        <w:trPr>
          <w:trHeight w:val="179"/>
        </w:trPr>
        <w:tc>
          <w:tcPr>
            <w:tcW w:w="5720" w:type="dxa"/>
            <w:vAlign w:val="bottom"/>
          </w:tcPr>
          <w:p w:rsidR="00CC2C66" w:rsidRDefault="00F80B74">
            <w:pPr>
              <w:rPr>
                <w:sz w:val="20"/>
                <w:szCs w:val="20"/>
              </w:rPr>
            </w:pPr>
            <w:r>
              <w:rPr>
                <w:rFonts w:ascii="Arial" w:eastAsia="Arial" w:hAnsi="Arial" w:cs="Arial"/>
                <w:b/>
                <w:bCs/>
                <w:color w:val="CF0A2C"/>
                <w:sz w:val="14"/>
                <w:szCs w:val="14"/>
              </w:rPr>
              <w:t>Mr. Yeung</w:t>
            </w:r>
          </w:p>
        </w:tc>
        <w:tc>
          <w:tcPr>
            <w:tcW w:w="1280" w:type="dxa"/>
            <w:vAlign w:val="bottom"/>
          </w:tcPr>
          <w:p w:rsidR="00CC2C66" w:rsidRDefault="00F80B74">
            <w:pPr>
              <w:ind w:right="114"/>
              <w:jc w:val="right"/>
              <w:rPr>
                <w:sz w:val="20"/>
                <w:szCs w:val="20"/>
              </w:rPr>
            </w:pPr>
            <w:r>
              <w:rPr>
                <w:rFonts w:ascii="Arial" w:eastAsia="Arial" w:hAnsi="Arial" w:cs="Arial"/>
                <w:sz w:val="13"/>
                <w:szCs w:val="13"/>
              </w:rPr>
              <w:t>—</w:t>
            </w:r>
          </w:p>
        </w:tc>
        <w:tc>
          <w:tcPr>
            <w:tcW w:w="1200" w:type="dxa"/>
            <w:gridSpan w:val="2"/>
            <w:vAlign w:val="bottom"/>
          </w:tcPr>
          <w:p w:rsidR="00CC2C66" w:rsidRDefault="00F80B74">
            <w:pPr>
              <w:ind w:right="440"/>
              <w:jc w:val="right"/>
              <w:rPr>
                <w:sz w:val="20"/>
                <w:szCs w:val="20"/>
              </w:rPr>
            </w:pPr>
            <w:r>
              <w:rPr>
                <w:rFonts w:ascii="Arial" w:eastAsia="Arial" w:hAnsi="Arial" w:cs="Arial"/>
                <w:sz w:val="13"/>
                <w:szCs w:val="13"/>
              </w:rPr>
              <w:t>—</w:t>
            </w:r>
          </w:p>
        </w:tc>
        <w:tc>
          <w:tcPr>
            <w:tcW w:w="1180" w:type="dxa"/>
            <w:vAlign w:val="bottom"/>
          </w:tcPr>
          <w:p w:rsidR="00CC2C66" w:rsidRDefault="00F80B74">
            <w:pPr>
              <w:ind w:right="14"/>
              <w:jc w:val="right"/>
              <w:rPr>
                <w:sz w:val="20"/>
                <w:szCs w:val="20"/>
              </w:rPr>
            </w:pPr>
            <w:r>
              <w:rPr>
                <w:rFonts w:ascii="Arial" w:eastAsia="Arial" w:hAnsi="Arial" w:cs="Arial"/>
                <w:sz w:val="13"/>
                <w:szCs w:val="13"/>
              </w:rPr>
              <w:t>8,069</w:t>
            </w:r>
          </w:p>
        </w:tc>
        <w:tc>
          <w:tcPr>
            <w:tcW w:w="1040" w:type="dxa"/>
            <w:vAlign w:val="bottom"/>
          </w:tcPr>
          <w:p w:rsidR="00CC2C66" w:rsidRDefault="00F80B74">
            <w:pPr>
              <w:ind w:right="134"/>
              <w:jc w:val="right"/>
              <w:rPr>
                <w:sz w:val="20"/>
                <w:szCs w:val="20"/>
              </w:rPr>
            </w:pPr>
            <w:r>
              <w:rPr>
                <w:rFonts w:ascii="Arial" w:eastAsia="Arial" w:hAnsi="Arial" w:cs="Arial"/>
                <w:sz w:val="13"/>
                <w:szCs w:val="13"/>
              </w:rPr>
              <w:t>469,965</w:t>
            </w:r>
          </w:p>
        </w:tc>
      </w:tr>
      <w:tr w:rsidR="00CC2C66">
        <w:trPr>
          <w:trHeight w:val="179"/>
        </w:trPr>
        <w:tc>
          <w:tcPr>
            <w:tcW w:w="5720" w:type="dxa"/>
            <w:vAlign w:val="bottom"/>
          </w:tcPr>
          <w:p w:rsidR="00CC2C66" w:rsidRDefault="00F80B74">
            <w:pPr>
              <w:rPr>
                <w:sz w:val="20"/>
                <w:szCs w:val="20"/>
              </w:rPr>
            </w:pPr>
            <w:r>
              <w:rPr>
                <w:rFonts w:ascii="Arial" w:eastAsia="Arial" w:hAnsi="Arial" w:cs="Arial"/>
                <w:b/>
                <w:bCs/>
                <w:color w:val="CF0A2C"/>
                <w:sz w:val="14"/>
                <w:szCs w:val="14"/>
              </w:rPr>
              <w:t>Mr. Chan</w:t>
            </w:r>
          </w:p>
        </w:tc>
        <w:tc>
          <w:tcPr>
            <w:tcW w:w="1280" w:type="dxa"/>
            <w:vAlign w:val="bottom"/>
          </w:tcPr>
          <w:p w:rsidR="00CC2C66" w:rsidRDefault="00F80B74">
            <w:pPr>
              <w:ind w:right="114"/>
              <w:jc w:val="right"/>
              <w:rPr>
                <w:sz w:val="20"/>
                <w:szCs w:val="20"/>
              </w:rPr>
            </w:pPr>
            <w:r>
              <w:rPr>
                <w:rFonts w:ascii="Arial" w:eastAsia="Arial" w:hAnsi="Arial" w:cs="Arial"/>
                <w:sz w:val="13"/>
                <w:szCs w:val="13"/>
              </w:rPr>
              <w:t>—</w:t>
            </w:r>
          </w:p>
        </w:tc>
        <w:tc>
          <w:tcPr>
            <w:tcW w:w="1200" w:type="dxa"/>
            <w:gridSpan w:val="2"/>
            <w:vAlign w:val="bottom"/>
          </w:tcPr>
          <w:p w:rsidR="00CC2C66" w:rsidRDefault="00F80B74">
            <w:pPr>
              <w:ind w:right="440"/>
              <w:jc w:val="right"/>
              <w:rPr>
                <w:sz w:val="20"/>
                <w:szCs w:val="20"/>
              </w:rPr>
            </w:pPr>
            <w:r>
              <w:rPr>
                <w:rFonts w:ascii="Arial" w:eastAsia="Arial" w:hAnsi="Arial" w:cs="Arial"/>
                <w:sz w:val="13"/>
                <w:szCs w:val="13"/>
              </w:rPr>
              <w:t>—</w:t>
            </w:r>
          </w:p>
        </w:tc>
        <w:tc>
          <w:tcPr>
            <w:tcW w:w="1180" w:type="dxa"/>
            <w:vAlign w:val="bottom"/>
          </w:tcPr>
          <w:p w:rsidR="00CC2C66" w:rsidRDefault="00F80B74">
            <w:pPr>
              <w:ind w:right="14"/>
              <w:jc w:val="right"/>
              <w:rPr>
                <w:sz w:val="20"/>
                <w:szCs w:val="20"/>
              </w:rPr>
            </w:pPr>
            <w:r>
              <w:rPr>
                <w:rFonts w:ascii="Arial" w:eastAsia="Arial" w:hAnsi="Arial" w:cs="Arial"/>
                <w:sz w:val="13"/>
                <w:szCs w:val="13"/>
              </w:rPr>
              <w:t>3,440</w:t>
            </w:r>
          </w:p>
        </w:tc>
        <w:tc>
          <w:tcPr>
            <w:tcW w:w="1040" w:type="dxa"/>
            <w:vAlign w:val="bottom"/>
          </w:tcPr>
          <w:p w:rsidR="00CC2C66" w:rsidRDefault="00F80B74">
            <w:pPr>
              <w:ind w:right="134"/>
              <w:jc w:val="right"/>
              <w:rPr>
                <w:sz w:val="20"/>
                <w:szCs w:val="20"/>
              </w:rPr>
            </w:pPr>
            <w:r>
              <w:rPr>
                <w:rFonts w:ascii="Arial" w:eastAsia="Arial" w:hAnsi="Arial" w:cs="Arial"/>
                <w:sz w:val="13"/>
                <w:szCs w:val="13"/>
              </w:rPr>
              <w:t>215,008</w:t>
            </w:r>
          </w:p>
        </w:tc>
      </w:tr>
      <w:tr w:rsidR="00CC2C66">
        <w:trPr>
          <w:trHeight w:val="179"/>
        </w:trPr>
        <w:tc>
          <w:tcPr>
            <w:tcW w:w="5720" w:type="dxa"/>
            <w:vAlign w:val="bottom"/>
          </w:tcPr>
          <w:p w:rsidR="00CC2C66" w:rsidRDefault="00F80B74">
            <w:pPr>
              <w:rPr>
                <w:sz w:val="20"/>
                <w:szCs w:val="20"/>
              </w:rPr>
            </w:pPr>
            <w:r>
              <w:rPr>
                <w:rFonts w:ascii="Arial" w:eastAsia="Arial" w:hAnsi="Arial" w:cs="Arial"/>
                <w:b/>
                <w:bCs/>
                <w:color w:val="CF0A2C"/>
                <w:sz w:val="14"/>
                <w:szCs w:val="14"/>
              </w:rPr>
              <w:t>Mr. Huang</w:t>
            </w:r>
          </w:p>
        </w:tc>
        <w:tc>
          <w:tcPr>
            <w:tcW w:w="1280" w:type="dxa"/>
            <w:vAlign w:val="bottom"/>
          </w:tcPr>
          <w:p w:rsidR="00CC2C66" w:rsidRDefault="00F80B74">
            <w:pPr>
              <w:ind w:right="114"/>
              <w:jc w:val="right"/>
              <w:rPr>
                <w:sz w:val="20"/>
                <w:szCs w:val="20"/>
              </w:rPr>
            </w:pPr>
            <w:r>
              <w:rPr>
                <w:rFonts w:ascii="Arial" w:eastAsia="Arial" w:hAnsi="Arial" w:cs="Arial"/>
                <w:sz w:val="13"/>
                <w:szCs w:val="13"/>
              </w:rPr>
              <w:t>6,342</w:t>
            </w:r>
          </w:p>
        </w:tc>
        <w:tc>
          <w:tcPr>
            <w:tcW w:w="800" w:type="dxa"/>
            <w:vAlign w:val="bottom"/>
          </w:tcPr>
          <w:p w:rsidR="00CC2C66" w:rsidRDefault="00F80B74">
            <w:pPr>
              <w:jc w:val="right"/>
              <w:rPr>
                <w:sz w:val="20"/>
                <w:szCs w:val="20"/>
              </w:rPr>
            </w:pPr>
            <w:r>
              <w:rPr>
                <w:rFonts w:ascii="Arial" w:eastAsia="Arial" w:hAnsi="Arial" w:cs="Arial"/>
                <w:sz w:val="13"/>
                <w:szCs w:val="13"/>
              </w:rPr>
              <w:t>418,581</w:t>
            </w:r>
          </w:p>
        </w:tc>
        <w:tc>
          <w:tcPr>
            <w:tcW w:w="400" w:type="dxa"/>
            <w:vAlign w:val="bottom"/>
          </w:tcPr>
          <w:p w:rsidR="00CC2C66" w:rsidRDefault="00CC2C66">
            <w:pPr>
              <w:rPr>
                <w:sz w:val="15"/>
                <w:szCs w:val="15"/>
              </w:rPr>
            </w:pPr>
          </w:p>
        </w:tc>
        <w:tc>
          <w:tcPr>
            <w:tcW w:w="1180" w:type="dxa"/>
            <w:vAlign w:val="bottom"/>
          </w:tcPr>
          <w:p w:rsidR="00CC2C66" w:rsidRDefault="00F80B74">
            <w:pPr>
              <w:ind w:right="14"/>
              <w:jc w:val="right"/>
              <w:rPr>
                <w:sz w:val="20"/>
                <w:szCs w:val="20"/>
              </w:rPr>
            </w:pPr>
            <w:r>
              <w:rPr>
                <w:rFonts w:ascii="Arial" w:eastAsia="Arial" w:hAnsi="Arial" w:cs="Arial"/>
                <w:sz w:val="13"/>
                <w:szCs w:val="13"/>
              </w:rPr>
              <w:t>32,143</w:t>
            </w:r>
          </w:p>
        </w:tc>
        <w:tc>
          <w:tcPr>
            <w:tcW w:w="1040" w:type="dxa"/>
            <w:vAlign w:val="bottom"/>
          </w:tcPr>
          <w:p w:rsidR="00CC2C66" w:rsidRDefault="00F80B74">
            <w:pPr>
              <w:ind w:right="134"/>
              <w:jc w:val="right"/>
              <w:rPr>
                <w:sz w:val="20"/>
                <w:szCs w:val="20"/>
              </w:rPr>
            </w:pPr>
            <w:r>
              <w:rPr>
                <w:rFonts w:ascii="Arial" w:eastAsia="Arial" w:hAnsi="Arial" w:cs="Arial"/>
                <w:sz w:val="13"/>
                <w:szCs w:val="13"/>
              </w:rPr>
              <w:t>1,903,658</w:t>
            </w:r>
          </w:p>
        </w:tc>
      </w:tr>
      <w:tr w:rsidR="00CC2C66">
        <w:trPr>
          <w:trHeight w:val="179"/>
        </w:trPr>
        <w:tc>
          <w:tcPr>
            <w:tcW w:w="5720" w:type="dxa"/>
            <w:vAlign w:val="bottom"/>
          </w:tcPr>
          <w:p w:rsidR="00CC2C66" w:rsidRDefault="00F80B74">
            <w:pPr>
              <w:rPr>
                <w:sz w:val="20"/>
                <w:szCs w:val="20"/>
              </w:rPr>
            </w:pPr>
            <w:r>
              <w:rPr>
                <w:rFonts w:ascii="Arial" w:eastAsia="Arial" w:hAnsi="Arial" w:cs="Arial"/>
                <w:b/>
                <w:bCs/>
                <w:color w:val="CF0A2C"/>
                <w:sz w:val="14"/>
                <w:szCs w:val="14"/>
              </w:rPr>
              <w:t>Mr. Yuen</w:t>
            </w:r>
          </w:p>
        </w:tc>
        <w:tc>
          <w:tcPr>
            <w:tcW w:w="1280" w:type="dxa"/>
            <w:vAlign w:val="bottom"/>
          </w:tcPr>
          <w:p w:rsidR="00CC2C66" w:rsidRDefault="00F80B74">
            <w:pPr>
              <w:ind w:right="114"/>
              <w:jc w:val="right"/>
              <w:rPr>
                <w:sz w:val="20"/>
                <w:szCs w:val="20"/>
              </w:rPr>
            </w:pPr>
            <w:r>
              <w:rPr>
                <w:rFonts w:ascii="Arial" w:eastAsia="Arial" w:hAnsi="Arial" w:cs="Arial"/>
                <w:sz w:val="13"/>
                <w:szCs w:val="13"/>
              </w:rPr>
              <w:t>1,480</w:t>
            </w:r>
          </w:p>
        </w:tc>
        <w:tc>
          <w:tcPr>
            <w:tcW w:w="800" w:type="dxa"/>
            <w:vAlign w:val="bottom"/>
          </w:tcPr>
          <w:p w:rsidR="00CC2C66" w:rsidRDefault="00F80B74">
            <w:pPr>
              <w:jc w:val="right"/>
              <w:rPr>
                <w:sz w:val="20"/>
                <w:szCs w:val="20"/>
              </w:rPr>
            </w:pPr>
            <w:r>
              <w:rPr>
                <w:rFonts w:ascii="Arial" w:eastAsia="Arial" w:hAnsi="Arial" w:cs="Arial"/>
                <w:sz w:val="13"/>
                <w:szCs w:val="13"/>
              </w:rPr>
              <w:t>81,570</w:t>
            </w:r>
          </w:p>
        </w:tc>
        <w:tc>
          <w:tcPr>
            <w:tcW w:w="400" w:type="dxa"/>
            <w:vAlign w:val="bottom"/>
          </w:tcPr>
          <w:p w:rsidR="00CC2C66" w:rsidRDefault="00CC2C66">
            <w:pPr>
              <w:rPr>
                <w:sz w:val="15"/>
                <w:szCs w:val="15"/>
              </w:rPr>
            </w:pPr>
          </w:p>
        </w:tc>
        <w:tc>
          <w:tcPr>
            <w:tcW w:w="1180" w:type="dxa"/>
            <w:vAlign w:val="bottom"/>
          </w:tcPr>
          <w:p w:rsidR="00CC2C66" w:rsidRDefault="00F80B74">
            <w:pPr>
              <w:ind w:right="14"/>
              <w:jc w:val="right"/>
              <w:rPr>
                <w:sz w:val="20"/>
                <w:szCs w:val="20"/>
              </w:rPr>
            </w:pPr>
            <w:r>
              <w:rPr>
                <w:rFonts w:ascii="Arial" w:eastAsia="Arial" w:hAnsi="Arial" w:cs="Arial"/>
                <w:sz w:val="13"/>
                <w:szCs w:val="13"/>
              </w:rPr>
              <w:t>5,812</w:t>
            </w:r>
          </w:p>
        </w:tc>
        <w:tc>
          <w:tcPr>
            <w:tcW w:w="1040" w:type="dxa"/>
            <w:vAlign w:val="bottom"/>
          </w:tcPr>
          <w:p w:rsidR="00CC2C66" w:rsidRDefault="00F80B74">
            <w:pPr>
              <w:ind w:right="134"/>
              <w:jc w:val="right"/>
              <w:rPr>
                <w:sz w:val="20"/>
                <w:szCs w:val="20"/>
              </w:rPr>
            </w:pPr>
            <w:r>
              <w:rPr>
                <w:rFonts w:ascii="Arial" w:eastAsia="Arial" w:hAnsi="Arial" w:cs="Arial"/>
                <w:sz w:val="13"/>
                <w:szCs w:val="13"/>
              </w:rPr>
              <w:t>354,909</w:t>
            </w:r>
          </w:p>
        </w:tc>
      </w:tr>
      <w:tr w:rsidR="00CC2C66">
        <w:trPr>
          <w:trHeight w:val="163"/>
        </w:trPr>
        <w:tc>
          <w:tcPr>
            <w:tcW w:w="5720" w:type="dxa"/>
            <w:tcBorders>
              <w:bottom w:val="single" w:sz="8" w:space="0" w:color="CF0A2C"/>
            </w:tcBorders>
            <w:vAlign w:val="bottom"/>
          </w:tcPr>
          <w:p w:rsidR="00CC2C66" w:rsidRDefault="00F80B74">
            <w:pPr>
              <w:rPr>
                <w:sz w:val="20"/>
                <w:szCs w:val="20"/>
              </w:rPr>
            </w:pPr>
            <w:r>
              <w:rPr>
                <w:rFonts w:ascii="Arial" w:eastAsia="Arial" w:hAnsi="Arial" w:cs="Arial"/>
                <w:b/>
                <w:bCs/>
                <w:color w:val="CF0A2C"/>
                <w:sz w:val="14"/>
                <w:szCs w:val="14"/>
              </w:rPr>
              <w:t>Mr. Tan</w:t>
            </w:r>
          </w:p>
        </w:tc>
        <w:tc>
          <w:tcPr>
            <w:tcW w:w="1280" w:type="dxa"/>
            <w:tcBorders>
              <w:bottom w:val="single" w:sz="8" w:space="0" w:color="CF0A2C"/>
            </w:tcBorders>
            <w:vAlign w:val="bottom"/>
          </w:tcPr>
          <w:p w:rsidR="00CC2C66" w:rsidRDefault="00F80B74">
            <w:pPr>
              <w:ind w:right="114"/>
              <w:jc w:val="right"/>
              <w:rPr>
                <w:sz w:val="20"/>
                <w:szCs w:val="20"/>
              </w:rPr>
            </w:pPr>
            <w:r>
              <w:rPr>
                <w:rFonts w:ascii="Arial" w:eastAsia="Arial" w:hAnsi="Arial" w:cs="Arial"/>
                <w:sz w:val="13"/>
                <w:szCs w:val="13"/>
              </w:rPr>
              <w:t>34,112</w:t>
            </w:r>
          </w:p>
        </w:tc>
        <w:tc>
          <w:tcPr>
            <w:tcW w:w="80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1,668,564</w:t>
            </w:r>
          </w:p>
        </w:tc>
        <w:tc>
          <w:tcPr>
            <w:tcW w:w="400" w:type="dxa"/>
            <w:tcBorders>
              <w:bottom w:val="single" w:sz="8" w:space="0" w:color="CF0A2C"/>
            </w:tcBorders>
            <w:vAlign w:val="bottom"/>
          </w:tcPr>
          <w:p w:rsidR="00CC2C66" w:rsidRDefault="00CC2C66">
            <w:pPr>
              <w:rPr>
                <w:sz w:val="14"/>
                <w:szCs w:val="14"/>
              </w:rPr>
            </w:pPr>
          </w:p>
        </w:tc>
        <w:tc>
          <w:tcPr>
            <w:tcW w:w="1180" w:type="dxa"/>
            <w:tcBorders>
              <w:bottom w:val="single" w:sz="8" w:space="0" w:color="CF0A2C"/>
            </w:tcBorders>
            <w:vAlign w:val="bottom"/>
          </w:tcPr>
          <w:p w:rsidR="00CC2C66" w:rsidRDefault="00F80B74">
            <w:pPr>
              <w:ind w:right="14"/>
              <w:jc w:val="right"/>
              <w:rPr>
                <w:sz w:val="20"/>
                <w:szCs w:val="20"/>
              </w:rPr>
            </w:pPr>
            <w:r>
              <w:rPr>
                <w:rFonts w:ascii="Arial" w:eastAsia="Arial" w:hAnsi="Arial" w:cs="Arial"/>
                <w:sz w:val="13"/>
                <w:szCs w:val="13"/>
              </w:rPr>
              <w:t>9,688</w:t>
            </w:r>
          </w:p>
        </w:tc>
        <w:tc>
          <w:tcPr>
            <w:tcW w:w="1040" w:type="dxa"/>
            <w:tcBorders>
              <w:bottom w:val="single" w:sz="8" w:space="0" w:color="CF0A2C"/>
            </w:tcBorders>
            <w:vAlign w:val="bottom"/>
          </w:tcPr>
          <w:p w:rsidR="00CC2C66" w:rsidRDefault="00F80B74">
            <w:pPr>
              <w:ind w:right="134"/>
              <w:jc w:val="right"/>
              <w:rPr>
                <w:sz w:val="20"/>
                <w:szCs w:val="20"/>
              </w:rPr>
            </w:pPr>
            <w:r>
              <w:rPr>
                <w:rFonts w:ascii="Arial" w:eastAsia="Arial" w:hAnsi="Arial" w:cs="Arial"/>
                <w:sz w:val="13"/>
                <w:szCs w:val="13"/>
              </w:rPr>
              <w:t>591,535</w:t>
            </w:r>
          </w:p>
        </w:tc>
      </w:tr>
    </w:tbl>
    <w:p w:rsidR="00CC2C66" w:rsidRDefault="00CC2C66">
      <w:pPr>
        <w:spacing w:line="260" w:lineRule="exact"/>
        <w:rPr>
          <w:sz w:val="20"/>
          <w:szCs w:val="20"/>
        </w:rPr>
      </w:pPr>
    </w:p>
    <w:p w:rsidR="00CC2C66" w:rsidRDefault="00F80B74">
      <w:pPr>
        <w:numPr>
          <w:ilvl w:val="0"/>
          <w:numId w:val="110"/>
        </w:numPr>
        <w:tabs>
          <w:tab w:val="left" w:pos="1020"/>
        </w:tabs>
        <w:spacing w:line="252" w:lineRule="auto"/>
        <w:ind w:left="1020" w:right="20" w:hanging="609"/>
        <w:jc w:val="both"/>
        <w:rPr>
          <w:rFonts w:eastAsia="Times New Roman"/>
          <w:color w:val="CF0A2C"/>
          <w:sz w:val="19"/>
          <w:szCs w:val="19"/>
        </w:rPr>
      </w:pPr>
      <w:r>
        <w:rPr>
          <w:rFonts w:eastAsia="Times New Roman"/>
          <w:sz w:val="19"/>
          <w:szCs w:val="19"/>
        </w:rPr>
        <w:t xml:space="preserve">This amount includes the number of shares acquired upon the vesting of </w:t>
      </w:r>
      <w:r>
        <w:rPr>
          <w:rFonts w:eastAsia="Times New Roman"/>
          <w:sz w:val="19"/>
          <w:szCs w:val="19"/>
        </w:rPr>
        <w:t>the 2019 PSU award based on performance during the 2019-2021 performance period, with the value realized on vesting determined based on the closing stock price of our common stock on December 31, 2021.</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4" w:lineRule="exact"/>
        <w:rPr>
          <w:sz w:val="20"/>
          <w:szCs w:val="20"/>
        </w:rPr>
      </w:pPr>
    </w:p>
    <w:p w:rsidR="00CC2C66" w:rsidRDefault="00F80B74">
      <w:pPr>
        <w:ind w:left="420"/>
        <w:rPr>
          <w:sz w:val="20"/>
          <w:szCs w:val="20"/>
        </w:rPr>
      </w:pPr>
      <w:r>
        <w:rPr>
          <w:rFonts w:ascii="Arial" w:eastAsia="Arial" w:hAnsi="Arial" w:cs="Arial"/>
          <w:b/>
          <w:bCs/>
          <w:color w:val="CF0A2C"/>
          <w:sz w:val="24"/>
          <w:szCs w:val="24"/>
        </w:rPr>
        <w:t>Nonqualified Deferred Compensatio</w:t>
      </w:r>
      <w:r>
        <w:rPr>
          <w:rFonts w:ascii="Arial" w:eastAsia="Arial" w:hAnsi="Arial" w:cs="Arial"/>
          <w:b/>
          <w:bCs/>
          <w:color w:val="CF0A2C"/>
          <w:sz w:val="24"/>
          <w:szCs w:val="24"/>
        </w:rPr>
        <w:t>n</w:t>
      </w:r>
    </w:p>
    <w:p w:rsidR="00CC2C66" w:rsidRDefault="00CC2C66">
      <w:pPr>
        <w:spacing w:line="339" w:lineRule="exact"/>
        <w:rPr>
          <w:sz w:val="20"/>
          <w:szCs w:val="20"/>
        </w:rPr>
      </w:pPr>
    </w:p>
    <w:p w:rsidR="00CC2C66" w:rsidRDefault="00F80B74">
      <w:pPr>
        <w:spacing w:line="241" w:lineRule="auto"/>
        <w:ind w:left="420"/>
        <w:jc w:val="both"/>
        <w:rPr>
          <w:sz w:val="20"/>
          <w:szCs w:val="20"/>
        </w:rPr>
      </w:pPr>
      <w:r>
        <w:rPr>
          <w:rFonts w:eastAsia="Times New Roman"/>
          <w:sz w:val="19"/>
          <w:szCs w:val="19"/>
        </w:rPr>
        <w:t>The Company offers certain executives working in China retirement benefits under the BSRCHLRS. Under this program, executives may make personal contributions and the Company provides a company-funded contribution ranging from 5% to 10% of an executive’s</w:t>
      </w:r>
      <w:r>
        <w:rPr>
          <w:rFonts w:eastAsia="Times New Roman"/>
          <w:sz w:val="19"/>
          <w:szCs w:val="19"/>
        </w:rPr>
        <w:t xml:space="preserve"> base salary. In 2021, Mr. Tan made a personal contribution to the BSRCHLRS equal to 5% of base salary. The Company’s contribution for 2021 was equal to 5% of salary for Messrs. Yeung and Chan, and 10% of salary for each of Ms. Wat and Messrs. Huang, Yuen </w:t>
      </w:r>
      <w:r>
        <w:rPr>
          <w:rFonts w:eastAsia="Times New Roman"/>
          <w:sz w:val="19"/>
          <w:szCs w:val="19"/>
        </w:rPr>
        <w:t>and Tan. Participants may elect a variety of mutual funds in which to invest their</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99" w:lineRule="exact"/>
        <w:rPr>
          <w:sz w:val="20"/>
          <w:szCs w:val="20"/>
        </w:rPr>
      </w:pPr>
    </w:p>
    <w:p w:rsidR="00CC2C66" w:rsidRDefault="00F80B74">
      <w:pPr>
        <w:spacing w:line="241" w:lineRule="auto"/>
        <w:jc w:val="both"/>
        <w:rPr>
          <w:sz w:val="20"/>
          <w:szCs w:val="20"/>
        </w:rPr>
      </w:pPr>
      <w:r>
        <w:rPr>
          <w:rFonts w:eastAsia="Times New Roman"/>
          <w:sz w:val="19"/>
          <w:szCs w:val="19"/>
        </w:rPr>
        <w:t xml:space="preserve">account balances under the plan. Additionally, upon termination, participants receive a lump sum equal to a percentage of the Company’s contributions, including </w:t>
      </w:r>
      <w:r>
        <w:rPr>
          <w:rFonts w:eastAsia="Times New Roman"/>
          <w:sz w:val="19"/>
          <w:szCs w:val="19"/>
        </w:rPr>
        <w:t>investment returns. This percentage is based on a vesting schedule that provides participants with a vested 30% interest upon completion of a minimum of three years of service, and an additional 10% vested interest for each additional completed year, up to</w:t>
      </w:r>
      <w:r>
        <w:rPr>
          <w:rFonts w:eastAsia="Times New Roman"/>
          <w:sz w:val="19"/>
          <w:szCs w:val="19"/>
        </w:rPr>
        <w:t xml:space="preserve"> a maximum of 100%. In connection with Mr. Tan’s departure in February 2022, Mr. Tan received a lump sum distribution from the BSRCHLRS.</w:t>
      </w:r>
    </w:p>
    <w:p w:rsidR="00CC2C66" w:rsidRDefault="00CC2C66">
      <w:pPr>
        <w:spacing w:line="419"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60" w:lineRule="exact"/>
        <w:rPr>
          <w:sz w:val="20"/>
          <w:szCs w:val="20"/>
        </w:rPr>
      </w:pPr>
    </w:p>
    <w:p w:rsidR="00CC2C66" w:rsidRDefault="00F80B74">
      <w:pPr>
        <w:numPr>
          <w:ilvl w:val="0"/>
          <w:numId w:val="111"/>
        </w:numPr>
        <w:tabs>
          <w:tab w:val="left" w:pos="940"/>
        </w:tabs>
        <w:ind w:left="940" w:hanging="385"/>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31968" behindDoc="1" locked="0" layoutInCell="0" allowOverlap="1">
            <wp:simplePos x="0" y="0"/>
            <wp:positionH relativeFrom="column">
              <wp:posOffset>496570</wp:posOffset>
            </wp:positionH>
            <wp:positionV relativeFrom="paragraph">
              <wp:posOffset>-81915</wp:posOffset>
            </wp:positionV>
            <wp:extent cx="8255" cy="9715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69" w:name="page69"/>
      <w:bookmarkEnd w:id="69"/>
      <w:r>
        <w:rPr>
          <w:rFonts w:eastAsia="Times New Roman"/>
          <w:b/>
          <w:bCs/>
          <w:noProof/>
          <w:color w:val="0000EE"/>
          <w:sz w:val="17"/>
          <w:szCs w:val="17"/>
          <w:u w:val="single"/>
        </w:rPr>
        <w:drawing>
          <wp:anchor distT="0" distB="0" distL="114300" distR="114300" simplePos="0" relativeHeight="25173299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34016" behindDoc="1" locked="0" layoutInCell="0" allowOverlap="1">
            <wp:simplePos x="0" y="0"/>
            <wp:positionH relativeFrom="column">
              <wp:posOffset>5266690</wp:posOffset>
            </wp:positionH>
            <wp:positionV relativeFrom="paragraph">
              <wp:posOffset>196850</wp:posOffset>
            </wp:positionV>
            <wp:extent cx="1614805" cy="19494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520"/>
        <w:rPr>
          <w:sz w:val="20"/>
          <w:szCs w:val="20"/>
        </w:rPr>
      </w:pPr>
      <w:r>
        <w:rPr>
          <w:rFonts w:ascii="Arial" w:eastAsia="Arial" w:hAnsi="Arial" w:cs="Arial"/>
          <w:b/>
          <w:bCs/>
          <w:color w:val="FFFFFF"/>
          <w:sz w:val="15"/>
          <w:szCs w:val="15"/>
        </w:rPr>
        <w:t xml:space="preserve">EXECUTIVE </w:t>
      </w:r>
      <w:r>
        <w:rPr>
          <w:rFonts w:ascii="Arial" w:eastAsia="Arial" w:hAnsi="Arial" w:cs="Arial"/>
          <w:b/>
          <w:bCs/>
          <w:color w:val="FFFFFF"/>
          <w:sz w:val="15"/>
          <w:szCs w:val="15"/>
        </w:rPr>
        <w:t>COMPENSATION</w:t>
      </w:r>
    </w:p>
    <w:p w:rsidR="00CC2C66" w:rsidRDefault="00CC2C66">
      <w:pPr>
        <w:spacing w:line="184" w:lineRule="exact"/>
        <w:rPr>
          <w:sz w:val="20"/>
          <w:szCs w:val="20"/>
        </w:rPr>
      </w:pPr>
    </w:p>
    <w:p w:rsidR="00CC2C66" w:rsidRDefault="00F80B74">
      <w:pPr>
        <w:ind w:left="420"/>
        <w:rPr>
          <w:sz w:val="20"/>
          <w:szCs w:val="20"/>
        </w:rPr>
      </w:pPr>
      <w:r>
        <w:rPr>
          <w:rFonts w:ascii="Arial" w:eastAsia="Arial" w:hAnsi="Arial" w:cs="Arial"/>
          <w:b/>
          <w:bCs/>
          <w:color w:val="CF0A2C"/>
          <w:sz w:val="31"/>
          <w:szCs w:val="31"/>
        </w:rPr>
        <w:t>2021 NONQUALIFIED DEFERRED COMPENSATION TABLE</w:t>
      </w:r>
    </w:p>
    <w:p w:rsidR="00CC2C66" w:rsidRDefault="00F80B74">
      <w:pPr>
        <w:spacing w:line="20" w:lineRule="exact"/>
        <w:rPr>
          <w:sz w:val="20"/>
          <w:szCs w:val="20"/>
        </w:rPr>
      </w:pPr>
      <w:r>
        <w:rPr>
          <w:noProof/>
          <w:sz w:val="20"/>
          <w:szCs w:val="20"/>
        </w:rPr>
        <w:drawing>
          <wp:anchor distT="0" distB="0" distL="114300" distR="114300" simplePos="0" relativeHeight="251735040" behindDoc="1" locked="0" layoutInCell="0" allowOverlap="1">
            <wp:simplePos x="0" y="0"/>
            <wp:positionH relativeFrom="column">
              <wp:posOffset>260985</wp:posOffset>
            </wp:positionH>
            <wp:positionV relativeFrom="paragraph">
              <wp:posOffset>172720</wp:posOffset>
            </wp:positionV>
            <wp:extent cx="6620510" cy="825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365"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360"/>
        <w:gridCol w:w="2880"/>
        <w:gridCol w:w="1440"/>
        <w:gridCol w:w="1320"/>
        <w:gridCol w:w="1260"/>
        <w:gridCol w:w="1160"/>
        <w:gridCol w:w="20"/>
      </w:tblGrid>
      <w:tr w:rsidR="00CC2C66">
        <w:trPr>
          <w:trHeight w:val="157"/>
        </w:trPr>
        <w:tc>
          <w:tcPr>
            <w:tcW w:w="2360" w:type="dxa"/>
            <w:tcBorders>
              <w:top w:val="single" w:sz="8" w:space="0" w:color="CF0A2C"/>
            </w:tcBorders>
            <w:shd w:val="clear" w:color="auto" w:fill="FAE6E9"/>
            <w:vAlign w:val="bottom"/>
          </w:tcPr>
          <w:p w:rsidR="00CC2C66" w:rsidRDefault="00CC2C66">
            <w:pPr>
              <w:rPr>
                <w:sz w:val="13"/>
                <w:szCs w:val="13"/>
              </w:rPr>
            </w:pPr>
          </w:p>
        </w:tc>
        <w:tc>
          <w:tcPr>
            <w:tcW w:w="2880" w:type="dxa"/>
            <w:tcBorders>
              <w:top w:val="single" w:sz="8" w:space="0" w:color="CF0A2C"/>
            </w:tcBorders>
            <w:shd w:val="clear" w:color="auto" w:fill="FAE6E9"/>
            <w:vAlign w:val="bottom"/>
          </w:tcPr>
          <w:p w:rsidR="00CC2C66" w:rsidRDefault="00CC2C66">
            <w:pPr>
              <w:rPr>
                <w:sz w:val="13"/>
                <w:szCs w:val="13"/>
              </w:rPr>
            </w:pPr>
          </w:p>
        </w:tc>
        <w:tc>
          <w:tcPr>
            <w:tcW w:w="1440" w:type="dxa"/>
            <w:tcBorders>
              <w:top w:val="single" w:sz="8" w:space="0" w:color="CF0A2C"/>
            </w:tcBorders>
            <w:shd w:val="clear" w:color="auto" w:fill="FAE6E9"/>
            <w:vAlign w:val="bottom"/>
          </w:tcPr>
          <w:p w:rsidR="00CC2C66" w:rsidRDefault="00CC2C66">
            <w:pPr>
              <w:rPr>
                <w:sz w:val="13"/>
                <w:szCs w:val="13"/>
              </w:rPr>
            </w:pPr>
          </w:p>
        </w:tc>
        <w:tc>
          <w:tcPr>
            <w:tcW w:w="1320" w:type="dxa"/>
            <w:tcBorders>
              <w:top w:val="single" w:sz="8" w:space="0" w:color="CF0A2C"/>
            </w:tcBorders>
            <w:shd w:val="clear" w:color="auto" w:fill="FAE6E9"/>
            <w:vAlign w:val="bottom"/>
          </w:tcPr>
          <w:p w:rsidR="00CC2C66" w:rsidRDefault="00CC2C66">
            <w:pPr>
              <w:rPr>
                <w:sz w:val="13"/>
                <w:szCs w:val="13"/>
              </w:rPr>
            </w:pPr>
          </w:p>
        </w:tc>
        <w:tc>
          <w:tcPr>
            <w:tcW w:w="1260" w:type="dxa"/>
            <w:tcBorders>
              <w:top w:val="single" w:sz="8" w:space="0" w:color="CF0A2C"/>
            </w:tcBorders>
            <w:shd w:val="clear" w:color="auto" w:fill="FAE6E9"/>
            <w:vAlign w:val="bottom"/>
          </w:tcPr>
          <w:p w:rsidR="00CC2C66" w:rsidRDefault="00CC2C66">
            <w:pPr>
              <w:rPr>
                <w:sz w:val="13"/>
                <w:szCs w:val="13"/>
              </w:rPr>
            </w:pPr>
          </w:p>
        </w:tc>
        <w:tc>
          <w:tcPr>
            <w:tcW w:w="1160" w:type="dxa"/>
            <w:tcBorders>
              <w:top w:val="single" w:sz="8" w:space="0" w:color="CF0A2C"/>
            </w:tcBorders>
            <w:shd w:val="clear" w:color="auto" w:fill="FAE6E9"/>
            <w:vAlign w:val="bottom"/>
          </w:tcPr>
          <w:p w:rsidR="00CC2C66" w:rsidRDefault="00F80B74">
            <w:pPr>
              <w:spacing w:line="157" w:lineRule="exact"/>
              <w:ind w:right="134"/>
              <w:jc w:val="center"/>
              <w:rPr>
                <w:sz w:val="20"/>
                <w:szCs w:val="20"/>
              </w:rPr>
            </w:pPr>
            <w:r>
              <w:rPr>
                <w:rFonts w:ascii="Arial" w:eastAsia="Arial" w:hAnsi="Arial" w:cs="Arial"/>
                <w:b/>
                <w:bCs/>
                <w:color w:val="CF0A2C"/>
                <w:w w:val="98"/>
                <w:sz w:val="14"/>
                <w:szCs w:val="14"/>
              </w:rPr>
              <w:t>Aggregate</w:t>
            </w:r>
          </w:p>
        </w:tc>
        <w:tc>
          <w:tcPr>
            <w:tcW w:w="0" w:type="dxa"/>
            <w:vAlign w:val="bottom"/>
          </w:tcPr>
          <w:p w:rsidR="00CC2C66" w:rsidRDefault="00CC2C66">
            <w:pPr>
              <w:rPr>
                <w:sz w:val="1"/>
                <w:szCs w:val="1"/>
              </w:rPr>
            </w:pPr>
          </w:p>
        </w:tc>
      </w:tr>
      <w:tr w:rsidR="00CC2C66">
        <w:trPr>
          <w:trHeight w:val="153"/>
        </w:trPr>
        <w:tc>
          <w:tcPr>
            <w:tcW w:w="2360" w:type="dxa"/>
            <w:shd w:val="clear" w:color="auto" w:fill="FAE6E9"/>
            <w:vAlign w:val="bottom"/>
          </w:tcPr>
          <w:p w:rsidR="00CC2C66" w:rsidRDefault="00CC2C66">
            <w:pPr>
              <w:rPr>
                <w:sz w:val="13"/>
                <w:szCs w:val="13"/>
              </w:rPr>
            </w:pPr>
          </w:p>
        </w:tc>
        <w:tc>
          <w:tcPr>
            <w:tcW w:w="2880" w:type="dxa"/>
            <w:shd w:val="clear" w:color="auto" w:fill="FAE6E9"/>
            <w:vAlign w:val="bottom"/>
          </w:tcPr>
          <w:p w:rsidR="00CC2C66" w:rsidRDefault="00F80B74">
            <w:pPr>
              <w:spacing w:line="153" w:lineRule="exact"/>
              <w:ind w:left="1334"/>
              <w:jc w:val="center"/>
              <w:rPr>
                <w:sz w:val="20"/>
                <w:szCs w:val="20"/>
              </w:rPr>
            </w:pPr>
            <w:r>
              <w:rPr>
                <w:rFonts w:ascii="Arial" w:eastAsia="Arial" w:hAnsi="Arial" w:cs="Arial"/>
                <w:b/>
                <w:bCs/>
                <w:color w:val="CF0A2C"/>
                <w:w w:val="97"/>
                <w:sz w:val="14"/>
                <w:szCs w:val="14"/>
              </w:rPr>
              <w:t>Executive</w:t>
            </w:r>
          </w:p>
        </w:tc>
        <w:tc>
          <w:tcPr>
            <w:tcW w:w="14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Registrant</w:t>
            </w:r>
          </w:p>
        </w:tc>
        <w:tc>
          <w:tcPr>
            <w:tcW w:w="132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8"/>
                <w:sz w:val="14"/>
                <w:szCs w:val="14"/>
              </w:rPr>
              <w:t>Aggregate</w:t>
            </w:r>
          </w:p>
        </w:tc>
        <w:tc>
          <w:tcPr>
            <w:tcW w:w="1260" w:type="dxa"/>
            <w:shd w:val="clear" w:color="auto" w:fill="FAE6E9"/>
            <w:vAlign w:val="bottom"/>
          </w:tcPr>
          <w:p w:rsidR="00CC2C66" w:rsidRDefault="00CC2C66">
            <w:pPr>
              <w:rPr>
                <w:sz w:val="13"/>
                <w:szCs w:val="13"/>
              </w:rPr>
            </w:pPr>
          </w:p>
        </w:tc>
        <w:tc>
          <w:tcPr>
            <w:tcW w:w="1160" w:type="dxa"/>
            <w:shd w:val="clear" w:color="auto" w:fill="FAE6E9"/>
            <w:vAlign w:val="bottom"/>
          </w:tcPr>
          <w:p w:rsidR="00CC2C66" w:rsidRDefault="00F80B74">
            <w:pPr>
              <w:spacing w:line="153" w:lineRule="exact"/>
              <w:ind w:right="134"/>
              <w:jc w:val="center"/>
              <w:rPr>
                <w:sz w:val="20"/>
                <w:szCs w:val="20"/>
              </w:rPr>
            </w:pPr>
            <w:r>
              <w:rPr>
                <w:rFonts w:ascii="Arial" w:eastAsia="Arial" w:hAnsi="Arial" w:cs="Arial"/>
                <w:b/>
                <w:bCs/>
                <w:color w:val="CF0A2C"/>
                <w:w w:val="97"/>
                <w:sz w:val="14"/>
                <w:szCs w:val="14"/>
              </w:rPr>
              <w:t>Balance at</w:t>
            </w:r>
          </w:p>
        </w:tc>
        <w:tc>
          <w:tcPr>
            <w:tcW w:w="0" w:type="dxa"/>
            <w:vAlign w:val="bottom"/>
          </w:tcPr>
          <w:p w:rsidR="00CC2C66" w:rsidRDefault="00CC2C66">
            <w:pPr>
              <w:rPr>
                <w:sz w:val="1"/>
                <w:szCs w:val="1"/>
              </w:rPr>
            </w:pPr>
          </w:p>
        </w:tc>
      </w:tr>
      <w:tr w:rsidR="00CC2C66">
        <w:trPr>
          <w:trHeight w:val="153"/>
        </w:trPr>
        <w:tc>
          <w:tcPr>
            <w:tcW w:w="2360" w:type="dxa"/>
            <w:shd w:val="clear" w:color="auto" w:fill="FAE6E9"/>
            <w:vAlign w:val="bottom"/>
          </w:tcPr>
          <w:p w:rsidR="00CC2C66" w:rsidRDefault="00CC2C66">
            <w:pPr>
              <w:rPr>
                <w:sz w:val="13"/>
                <w:szCs w:val="13"/>
              </w:rPr>
            </w:pPr>
          </w:p>
        </w:tc>
        <w:tc>
          <w:tcPr>
            <w:tcW w:w="2880" w:type="dxa"/>
            <w:shd w:val="clear" w:color="auto" w:fill="FAE6E9"/>
            <w:vAlign w:val="bottom"/>
          </w:tcPr>
          <w:p w:rsidR="00CC2C66" w:rsidRDefault="00F80B74">
            <w:pPr>
              <w:spacing w:line="153" w:lineRule="exact"/>
              <w:ind w:left="1334"/>
              <w:jc w:val="center"/>
              <w:rPr>
                <w:sz w:val="20"/>
                <w:szCs w:val="20"/>
              </w:rPr>
            </w:pPr>
            <w:r>
              <w:rPr>
                <w:rFonts w:ascii="Arial" w:eastAsia="Arial" w:hAnsi="Arial" w:cs="Arial"/>
                <w:b/>
                <w:bCs/>
                <w:color w:val="CF0A2C"/>
                <w:w w:val="95"/>
                <w:sz w:val="14"/>
                <w:szCs w:val="14"/>
              </w:rPr>
              <w:t>Contributions</w:t>
            </w:r>
          </w:p>
        </w:tc>
        <w:tc>
          <w:tcPr>
            <w:tcW w:w="14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5"/>
                <w:sz w:val="14"/>
                <w:szCs w:val="14"/>
              </w:rPr>
              <w:t>Contributions</w:t>
            </w:r>
          </w:p>
        </w:tc>
        <w:tc>
          <w:tcPr>
            <w:tcW w:w="1320" w:type="dxa"/>
            <w:shd w:val="clear" w:color="auto" w:fill="FAE6E9"/>
            <w:vAlign w:val="bottom"/>
          </w:tcPr>
          <w:p w:rsidR="00CC2C66" w:rsidRDefault="00F80B74">
            <w:pPr>
              <w:spacing w:line="153" w:lineRule="exact"/>
              <w:ind w:right="214"/>
              <w:jc w:val="right"/>
              <w:rPr>
                <w:sz w:val="20"/>
                <w:szCs w:val="20"/>
              </w:rPr>
            </w:pPr>
            <w:r>
              <w:rPr>
                <w:rFonts w:ascii="Arial" w:eastAsia="Arial" w:hAnsi="Arial" w:cs="Arial"/>
                <w:b/>
                <w:bCs/>
                <w:color w:val="CF0A2C"/>
                <w:sz w:val="14"/>
                <w:szCs w:val="14"/>
              </w:rPr>
              <w:t>Earnings in</w:t>
            </w:r>
          </w:p>
        </w:tc>
        <w:tc>
          <w:tcPr>
            <w:tcW w:w="1260" w:type="dxa"/>
            <w:shd w:val="clear" w:color="auto" w:fill="FAE6E9"/>
            <w:vAlign w:val="bottom"/>
          </w:tcPr>
          <w:p w:rsidR="00CC2C66" w:rsidRDefault="00F80B74">
            <w:pPr>
              <w:spacing w:line="153" w:lineRule="exact"/>
              <w:ind w:right="154"/>
              <w:jc w:val="right"/>
              <w:rPr>
                <w:sz w:val="20"/>
                <w:szCs w:val="20"/>
              </w:rPr>
            </w:pPr>
            <w:r>
              <w:rPr>
                <w:rFonts w:ascii="Arial" w:eastAsia="Arial" w:hAnsi="Arial" w:cs="Arial"/>
                <w:b/>
                <w:bCs/>
                <w:color w:val="CF0A2C"/>
                <w:sz w:val="14"/>
                <w:szCs w:val="14"/>
              </w:rPr>
              <w:t>Aggregate</w:t>
            </w:r>
          </w:p>
        </w:tc>
        <w:tc>
          <w:tcPr>
            <w:tcW w:w="1160" w:type="dxa"/>
            <w:shd w:val="clear" w:color="auto" w:fill="FAE6E9"/>
            <w:vAlign w:val="bottom"/>
          </w:tcPr>
          <w:p w:rsidR="00CC2C66" w:rsidRDefault="00F80B74">
            <w:pPr>
              <w:spacing w:line="153" w:lineRule="exact"/>
              <w:ind w:right="134"/>
              <w:jc w:val="center"/>
              <w:rPr>
                <w:sz w:val="20"/>
                <w:szCs w:val="20"/>
              </w:rPr>
            </w:pPr>
            <w:r>
              <w:rPr>
                <w:rFonts w:ascii="Arial" w:eastAsia="Arial" w:hAnsi="Arial" w:cs="Arial"/>
                <w:b/>
                <w:bCs/>
                <w:color w:val="CF0A2C"/>
                <w:w w:val="97"/>
                <w:sz w:val="14"/>
                <w:szCs w:val="14"/>
              </w:rPr>
              <w:t>Last</w:t>
            </w:r>
          </w:p>
        </w:tc>
        <w:tc>
          <w:tcPr>
            <w:tcW w:w="0" w:type="dxa"/>
            <w:vAlign w:val="bottom"/>
          </w:tcPr>
          <w:p w:rsidR="00CC2C66" w:rsidRDefault="00CC2C66">
            <w:pPr>
              <w:rPr>
                <w:sz w:val="1"/>
                <w:szCs w:val="1"/>
              </w:rPr>
            </w:pPr>
          </w:p>
        </w:tc>
      </w:tr>
      <w:tr w:rsidR="00CC2C66">
        <w:trPr>
          <w:trHeight w:val="153"/>
        </w:trPr>
        <w:tc>
          <w:tcPr>
            <w:tcW w:w="2360" w:type="dxa"/>
            <w:shd w:val="clear" w:color="auto" w:fill="FAE6E9"/>
            <w:vAlign w:val="bottom"/>
          </w:tcPr>
          <w:p w:rsidR="00CC2C66" w:rsidRDefault="00CC2C66">
            <w:pPr>
              <w:rPr>
                <w:sz w:val="13"/>
                <w:szCs w:val="13"/>
              </w:rPr>
            </w:pPr>
          </w:p>
        </w:tc>
        <w:tc>
          <w:tcPr>
            <w:tcW w:w="2880" w:type="dxa"/>
            <w:shd w:val="clear" w:color="auto" w:fill="FAE6E9"/>
            <w:vAlign w:val="bottom"/>
          </w:tcPr>
          <w:p w:rsidR="00CC2C66" w:rsidRDefault="00F80B74">
            <w:pPr>
              <w:spacing w:line="153" w:lineRule="exact"/>
              <w:ind w:left="1354"/>
              <w:jc w:val="center"/>
              <w:rPr>
                <w:sz w:val="20"/>
                <w:szCs w:val="20"/>
              </w:rPr>
            </w:pPr>
            <w:r>
              <w:rPr>
                <w:rFonts w:ascii="Arial" w:eastAsia="Arial" w:hAnsi="Arial" w:cs="Arial"/>
                <w:b/>
                <w:bCs/>
                <w:color w:val="CF0A2C"/>
                <w:w w:val="96"/>
                <w:sz w:val="14"/>
                <w:szCs w:val="14"/>
              </w:rPr>
              <w:t>in Last Fiscal</w:t>
            </w:r>
          </w:p>
        </w:tc>
        <w:tc>
          <w:tcPr>
            <w:tcW w:w="1440" w:type="dxa"/>
            <w:shd w:val="clear" w:color="auto" w:fill="FAE6E9"/>
            <w:vAlign w:val="bottom"/>
          </w:tcPr>
          <w:p w:rsidR="00CC2C66" w:rsidRDefault="00F80B74">
            <w:pPr>
              <w:spacing w:line="153" w:lineRule="exact"/>
              <w:jc w:val="center"/>
              <w:rPr>
                <w:sz w:val="20"/>
                <w:szCs w:val="20"/>
              </w:rPr>
            </w:pPr>
            <w:r>
              <w:rPr>
                <w:rFonts w:ascii="Arial" w:eastAsia="Arial" w:hAnsi="Arial" w:cs="Arial"/>
                <w:b/>
                <w:bCs/>
                <w:color w:val="CF0A2C"/>
                <w:w w:val="96"/>
                <w:sz w:val="14"/>
                <w:szCs w:val="14"/>
              </w:rPr>
              <w:t>in Last Fiscal</w:t>
            </w:r>
          </w:p>
        </w:tc>
        <w:tc>
          <w:tcPr>
            <w:tcW w:w="1320" w:type="dxa"/>
            <w:shd w:val="clear" w:color="auto" w:fill="FAE6E9"/>
            <w:vAlign w:val="bottom"/>
          </w:tcPr>
          <w:p w:rsidR="00CC2C66" w:rsidRDefault="00F80B74">
            <w:pPr>
              <w:spacing w:line="153" w:lineRule="exact"/>
              <w:ind w:right="234"/>
              <w:jc w:val="right"/>
              <w:rPr>
                <w:sz w:val="20"/>
                <w:szCs w:val="20"/>
              </w:rPr>
            </w:pPr>
            <w:r>
              <w:rPr>
                <w:rFonts w:ascii="Arial" w:eastAsia="Arial" w:hAnsi="Arial" w:cs="Arial"/>
                <w:b/>
                <w:bCs/>
                <w:color w:val="CF0A2C"/>
                <w:sz w:val="14"/>
                <w:szCs w:val="14"/>
              </w:rPr>
              <w:t>Last Fiscal</w:t>
            </w:r>
          </w:p>
        </w:tc>
        <w:tc>
          <w:tcPr>
            <w:tcW w:w="1260" w:type="dxa"/>
            <w:shd w:val="clear" w:color="auto" w:fill="FAE6E9"/>
            <w:vAlign w:val="bottom"/>
          </w:tcPr>
          <w:p w:rsidR="00CC2C66" w:rsidRDefault="00F80B74">
            <w:pPr>
              <w:spacing w:line="153" w:lineRule="exact"/>
              <w:ind w:right="74"/>
              <w:jc w:val="right"/>
              <w:rPr>
                <w:sz w:val="20"/>
                <w:szCs w:val="20"/>
              </w:rPr>
            </w:pPr>
            <w:r>
              <w:rPr>
                <w:rFonts w:ascii="Arial" w:eastAsia="Arial" w:hAnsi="Arial" w:cs="Arial"/>
                <w:b/>
                <w:bCs/>
                <w:color w:val="CF0A2C"/>
                <w:sz w:val="14"/>
                <w:szCs w:val="14"/>
              </w:rPr>
              <w:t>Withdrawals/</w:t>
            </w:r>
          </w:p>
        </w:tc>
        <w:tc>
          <w:tcPr>
            <w:tcW w:w="1160" w:type="dxa"/>
            <w:shd w:val="clear" w:color="auto" w:fill="FAE6E9"/>
            <w:vAlign w:val="bottom"/>
          </w:tcPr>
          <w:p w:rsidR="00CC2C66" w:rsidRDefault="00F80B74">
            <w:pPr>
              <w:spacing w:line="153" w:lineRule="exact"/>
              <w:ind w:right="134"/>
              <w:jc w:val="center"/>
              <w:rPr>
                <w:sz w:val="20"/>
                <w:szCs w:val="20"/>
              </w:rPr>
            </w:pPr>
            <w:r>
              <w:rPr>
                <w:rFonts w:ascii="Arial" w:eastAsia="Arial" w:hAnsi="Arial" w:cs="Arial"/>
                <w:b/>
                <w:bCs/>
                <w:color w:val="CF0A2C"/>
                <w:sz w:val="14"/>
                <w:szCs w:val="14"/>
              </w:rPr>
              <w:t>Fiscal</w:t>
            </w:r>
          </w:p>
        </w:tc>
        <w:tc>
          <w:tcPr>
            <w:tcW w:w="0" w:type="dxa"/>
            <w:vAlign w:val="bottom"/>
          </w:tcPr>
          <w:p w:rsidR="00CC2C66" w:rsidRDefault="00CC2C66">
            <w:pPr>
              <w:rPr>
                <w:sz w:val="1"/>
                <w:szCs w:val="1"/>
              </w:rPr>
            </w:pPr>
          </w:p>
        </w:tc>
      </w:tr>
      <w:tr w:rsidR="00CC2C66">
        <w:trPr>
          <w:trHeight w:val="150"/>
        </w:trPr>
        <w:tc>
          <w:tcPr>
            <w:tcW w:w="2360" w:type="dxa"/>
            <w:shd w:val="clear" w:color="auto" w:fill="FAE6E9"/>
            <w:vAlign w:val="bottom"/>
          </w:tcPr>
          <w:p w:rsidR="00CC2C66" w:rsidRDefault="00CC2C66">
            <w:pPr>
              <w:rPr>
                <w:sz w:val="13"/>
                <w:szCs w:val="13"/>
              </w:rPr>
            </w:pPr>
          </w:p>
        </w:tc>
        <w:tc>
          <w:tcPr>
            <w:tcW w:w="2880" w:type="dxa"/>
            <w:shd w:val="clear" w:color="auto" w:fill="FAE6E9"/>
            <w:vAlign w:val="bottom"/>
          </w:tcPr>
          <w:p w:rsidR="00CC2C66" w:rsidRDefault="00F80B74">
            <w:pPr>
              <w:spacing w:line="150" w:lineRule="exact"/>
              <w:ind w:left="1334"/>
              <w:jc w:val="center"/>
              <w:rPr>
                <w:sz w:val="20"/>
                <w:szCs w:val="20"/>
              </w:rPr>
            </w:pPr>
            <w:r>
              <w:rPr>
                <w:rFonts w:ascii="Arial" w:eastAsia="Arial" w:hAnsi="Arial" w:cs="Arial"/>
                <w:b/>
                <w:bCs/>
                <w:color w:val="CF0A2C"/>
                <w:w w:val="92"/>
                <w:sz w:val="14"/>
                <w:szCs w:val="14"/>
              </w:rPr>
              <w:t>Year</w:t>
            </w:r>
          </w:p>
        </w:tc>
        <w:tc>
          <w:tcPr>
            <w:tcW w:w="144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2"/>
                <w:sz w:val="14"/>
                <w:szCs w:val="14"/>
              </w:rPr>
              <w:t>Year</w:t>
            </w:r>
          </w:p>
        </w:tc>
        <w:tc>
          <w:tcPr>
            <w:tcW w:w="132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2"/>
                <w:sz w:val="14"/>
                <w:szCs w:val="14"/>
              </w:rPr>
              <w:t>Year</w:t>
            </w:r>
          </w:p>
        </w:tc>
        <w:tc>
          <w:tcPr>
            <w:tcW w:w="1260" w:type="dxa"/>
            <w:shd w:val="clear" w:color="auto" w:fill="FAE6E9"/>
            <w:vAlign w:val="bottom"/>
          </w:tcPr>
          <w:p w:rsidR="00CC2C66" w:rsidRDefault="00F80B74">
            <w:pPr>
              <w:spacing w:line="150" w:lineRule="exact"/>
              <w:ind w:right="74"/>
              <w:jc w:val="right"/>
              <w:rPr>
                <w:sz w:val="20"/>
                <w:szCs w:val="20"/>
              </w:rPr>
            </w:pPr>
            <w:r>
              <w:rPr>
                <w:rFonts w:ascii="Arial" w:eastAsia="Arial" w:hAnsi="Arial" w:cs="Arial"/>
                <w:b/>
                <w:bCs/>
                <w:color w:val="CF0A2C"/>
                <w:sz w:val="14"/>
                <w:szCs w:val="14"/>
              </w:rPr>
              <w:t>Distributions</w:t>
            </w:r>
          </w:p>
        </w:tc>
        <w:tc>
          <w:tcPr>
            <w:tcW w:w="1160" w:type="dxa"/>
            <w:shd w:val="clear" w:color="auto" w:fill="FAE6E9"/>
            <w:vAlign w:val="bottom"/>
          </w:tcPr>
          <w:p w:rsidR="00CC2C66" w:rsidRDefault="00F80B74">
            <w:pPr>
              <w:spacing w:line="150" w:lineRule="exact"/>
              <w:ind w:right="134"/>
              <w:jc w:val="center"/>
              <w:rPr>
                <w:sz w:val="20"/>
                <w:szCs w:val="20"/>
              </w:rPr>
            </w:pPr>
            <w:r>
              <w:rPr>
                <w:rFonts w:ascii="Arial" w:eastAsia="Arial" w:hAnsi="Arial" w:cs="Arial"/>
                <w:b/>
                <w:bCs/>
                <w:color w:val="CF0A2C"/>
                <w:w w:val="98"/>
                <w:sz w:val="14"/>
                <w:szCs w:val="14"/>
              </w:rPr>
              <w:t>Year End</w:t>
            </w:r>
          </w:p>
        </w:tc>
        <w:tc>
          <w:tcPr>
            <w:tcW w:w="0" w:type="dxa"/>
            <w:vAlign w:val="bottom"/>
          </w:tcPr>
          <w:p w:rsidR="00CC2C66" w:rsidRDefault="00CC2C66">
            <w:pPr>
              <w:rPr>
                <w:sz w:val="1"/>
                <w:szCs w:val="1"/>
              </w:rPr>
            </w:pPr>
          </w:p>
        </w:tc>
      </w:tr>
      <w:tr w:rsidR="00CC2C66">
        <w:trPr>
          <w:trHeight w:val="179"/>
        </w:trPr>
        <w:tc>
          <w:tcPr>
            <w:tcW w:w="2360" w:type="dxa"/>
            <w:tcBorders>
              <w:bottom w:val="single" w:sz="8" w:space="0" w:color="CF0A2C"/>
            </w:tcBorders>
            <w:shd w:val="clear" w:color="auto" w:fill="FAE6E9"/>
            <w:vAlign w:val="bottom"/>
          </w:tcPr>
          <w:p w:rsidR="00CC2C66" w:rsidRDefault="00F80B74">
            <w:pPr>
              <w:ind w:left="40"/>
              <w:rPr>
                <w:sz w:val="20"/>
                <w:szCs w:val="20"/>
              </w:rPr>
            </w:pPr>
            <w:r>
              <w:rPr>
                <w:rFonts w:ascii="Arial" w:eastAsia="Arial" w:hAnsi="Arial" w:cs="Arial"/>
                <w:b/>
                <w:bCs/>
                <w:color w:val="CF0A2C"/>
                <w:sz w:val="14"/>
                <w:szCs w:val="14"/>
              </w:rPr>
              <w:t>Name</w:t>
            </w:r>
          </w:p>
        </w:tc>
        <w:tc>
          <w:tcPr>
            <w:tcW w:w="2880" w:type="dxa"/>
            <w:tcBorders>
              <w:bottom w:val="single" w:sz="8" w:space="0" w:color="CF0A2C"/>
            </w:tcBorders>
            <w:shd w:val="clear" w:color="auto" w:fill="FAE6E9"/>
            <w:vAlign w:val="bottom"/>
          </w:tcPr>
          <w:p w:rsidR="00CC2C66" w:rsidRDefault="00F80B74">
            <w:pPr>
              <w:spacing w:line="179" w:lineRule="exact"/>
              <w:ind w:left="1334"/>
              <w:jc w:val="center"/>
              <w:rPr>
                <w:sz w:val="20"/>
                <w:szCs w:val="20"/>
              </w:rPr>
            </w:pPr>
            <w:r>
              <w:rPr>
                <w:rFonts w:ascii="Arial" w:eastAsia="Arial" w:hAnsi="Arial" w:cs="Arial"/>
                <w:b/>
                <w:bCs/>
                <w:color w:val="CF0A2C"/>
                <w:w w:val="83"/>
                <w:sz w:val="14"/>
                <w:szCs w:val="14"/>
              </w:rPr>
              <w:t>($)</w:t>
            </w:r>
            <w:r>
              <w:rPr>
                <w:rFonts w:ascii="Arial" w:eastAsia="Arial" w:hAnsi="Arial" w:cs="Arial"/>
                <w:b/>
                <w:bCs/>
                <w:color w:val="CF0A2C"/>
                <w:w w:val="83"/>
                <w:sz w:val="20"/>
                <w:szCs w:val="20"/>
                <w:vertAlign w:val="superscript"/>
              </w:rPr>
              <w:t>(1)</w:t>
            </w:r>
          </w:p>
        </w:tc>
        <w:tc>
          <w:tcPr>
            <w:tcW w:w="144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83"/>
                <w:sz w:val="14"/>
                <w:szCs w:val="14"/>
              </w:rPr>
              <w:t>($)</w:t>
            </w:r>
            <w:r>
              <w:rPr>
                <w:rFonts w:ascii="Arial" w:eastAsia="Arial" w:hAnsi="Arial" w:cs="Arial"/>
                <w:b/>
                <w:bCs/>
                <w:color w:val="CF0A2C"/>
                <w:w w:val="83"/>
                <w:sz w:val="20"/>
                <w:szCs w:val="20"/>
                <w:vertAlign w:val="superscript"/>
              </w:rPr>
              <w:t>(2)</w:t>
            </w:r>
          </w:p>
        </w:tc>
        <w:tc>
          <w:tcPr>
            <w:tcW w:w="132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83"/>
                <w:sz w:val="14"/>
                <w:szCs w:val="14"/>
              </w:rPr>
              <w:t>($)</w:t>
            </w:r>
            <w:r>
              <w:rPr>
                <w:rFonts w:ascii="Arial" w:eastAsia="Arial" w:hAnsi="Arial" w:cs="Arial"/>
                <w:b/>
                <w:bCs/>
                <w:color w:val="CF0A2C"/>
                <w:w w:val="83"/>
                <w:sz w:val="20"/>
                <w:szCs w:val="20"/>
                <w:vertAlign w:val="superscript"/>
              </w:rPr>
              <w:t>(3)</w:t>
            </w:r>
          </w:p>
        </w:tc>
        <w:tc>
          <w:tcPr>
            <w:tcW w:w="1260" w:type="dxa"/>
            <w:tcBorders>
              <w:bottom w:val="single" w:sz="8" w:space="0" w:color="CF0A2C"/>
            </w:tcBorders>
            <w:shd w:val="clear" w:color="auto" w:fill="FAE6E9"/>
            <w:vAlign w:val="bottom"/>
          </w:tcPr>
          <w:p w:rsidR="00CC2C66" w:rsidRDefault="00F80B74">
            <w:pPr>
              <w:ind w:right="414"/>
              <w:jc w:val="right"/>
              <w:rPr>
                <w:sz w:val="20"/>
                <w:szCs w:val="20"/>
              </w:rPr>
            </w:pPr>
            <w:r>
              <w:rPr>
                <w:rFonts w:ascii="Arial" w:eastAsia="Arial" w:hAnsi="Arial" w:cs="Arial"/>
                <w:b/>
                <w:bCs/>
                <w:color w:val="CF0A2C"/>
                <w:sz w:val="14"/>
                <w:szCs w:val="14"/>
              </w:rPr>
              <w:t>($)</w:t>
            </w:r>
          </w:p>
        </w:tc>
        <w:tc>
          <w:tcPr>
            <w:tcW w:w="1160" w:type="dxa"/>
            <w:tcBorders>
              <w:bottom w:val="single" w:sz="8" w:space="0" w:color="CF0A2C"/>
            </w:tcBorders>
            <w:shd w:val="clear" w:color="auto" w:fill="FAE6E9"/>
            <w:vAlign w:val="bottom"/>
          </w:tcPr>
          <w:p w:rsidR="00CC2C66" w:rsidRDefault="00F80B74">
            <w:pPr>
              <w:spacing w:line="179" w:lineRule="exact"/>
              <w:ind w:right="134"/>
              <w:jc w:val="center"/>
              <w:rPr>
                <w:sz w:val="20"/>
                <w:szCs w:val="20"/>
              </w:rPr>
            </w:pPr>
            <w:r>
              <w:rPr>
                <w:rFonts w:ascii="Arial" w:eastAsia="Arial" w:hAnsi="Arial" w:cs="Arial"/>
                <w:b/>
                <w:bCs/>
                <w:color w:val="CF0A2C"/>
                <w:w w:val="83"/>
                <w:sz w:val="14"/>
                <w:szCs w:val="14"/>
              </w:rPr>
              <w:t>($)</w:t>
            </w:r>
            <w:r>
              <w:rPr>
                <w:rFonts w:ascii="Arial" w:eastAsia="Arial" w:hAnsi="Arial" w:cs="Arial"/>
                <w:b/>
                <w:bCs/>
                <w:color w:val="CF0A2C"/>
                <w:w w:val="83"/>
                <w:sz w:val="20"/>
                <w:szCs w:val="20"/>
                <w:vertAlign w:val="superscript"/>
              </w:rPr>
              <w:t>(4)</w:t>
            </w:r>
          </w:p>
        </w:tc>
        <w:tc>
          <w:tcPr>
            <w:tcW w:w="0" w:type="dxa"/>
            <w:vAlign w:val="bottom"/>
          </w:tcPr>
          <w:p w:rsidR="00CC2C66" w:rsidRDefault="00CC2C66">
            <w:pPr>
              <w:rPr>
                <w:sz w:val="1"/>
                <w:szCs w:val="1"/>
              </w:rPr>
            </w:pPr>
          </w:p>
        </w:tc>
      </w:tr>
      <w:tr w:rsidR="00CC2C66">
        <w:trPr>
          <w:trHeight w:val="172"/>
        </w:trPr>
        <w:tc>
          <w:tcPr>
            <w:tcW w:w="2360" w:type="dxa"/>
            <w:vMerge w:val="restart"/>
            <w:vAlign w:val="bottom"/>
          </w:tcPr>
          <w:p w:rsidR="00CC2C66" w:rsidRDefault="00F80B74">
            <w:pPr>
              <w:rPr>
                <w:sz w:val="20"/>
                <w:szCs w:val="20"/>
              </w:rPr>
            </w:pPr>
            <w:r>
              <w:rPr>
                <w:rFonts w:ascii="Arial" w:eastAsia="Arial" w:hAnsi="Arial" w:cs="Arial"/>
                <w:b/>
                <w:bCs/>
                <w:color w:val="CF0A2C"/>
                <w:sz w:val="14"/>
                <w:szCs w:val="14"/>
              </w:rPr>
              <w:t>Ms. Wat</w:t>
            </w:r>
          </w:p>
        </w:tc>
        <w:tc>
          <w:tcPr>
            <w:tcW w:w="2880" w:type="dxa"/>
            <w:vAlign w:val="bottom"/>
          </w:tcPr>
          <w:p w:rsidR="00CC2C66" w:rsidRDefault="00F80B74">
            <w:pPr>
              <w:ind w:left="1334"/>
              <w:jc w:val="center"/>
              <w:rPr>
                <w:sz w:val="20"/>
                <w:szCs w:val="20"/>
              </w:rPr>
            </w:pPr>
            <w:r>
              <w:rPr>
                <w:rFonts w:ascii="Arial" w:eastAsia="Arial" w:hAnsi="Arial" w:cs="Arial"/>
                <w:b/>
                <w:bCs/>
                <w:color w:val="CF0A2C"/>
                <w:w w:val="93"/>
                <w:sz w:val="14"/>
                <w:szCs w:val="14"/>
              </w:rPr>
              <w:t>(a)</w:t>
            </w:r>
          </w:p>
        </w:tc>
        <w:tc>
          <w:tcPr>
            <w:tcW w:w="1440" w:type="dxa"/>
            <w:vAlign w:val="bottom"/>
          </w:tcPr>
          <w:p w:rsidR="00CC2C66" w:rsidRDefault="00F80B74">
            <w:pPr>
              <w:jc w:val="center"/>
              <w:rPr>
                <w:sz w:val="20"/>
                <w:szCs w:val="20"/>
              </w:rPr>
            </w:pPr>
            <w:r>
              <w:rPr>
                <w:rFonts w:ascii="Arial" w:eastAsia="Arial" w:hAnsi="Arial" w:cs="Arial"/>
                <w:b/>
                <w:bCs/>
                <w:color w:val="CF0A2C"/>
                <w:w w:val="89"/>
                <w:sz w:val="14"/>
                <w:szCs w:val="14"/>
              </w:rPr>
              <w:t>(b)</w:t>
            </w:r>
          </w:p>
        </w:tc>
        <w:tc>
          <w:tcPr>
            <w:tcW w:w="1320" w:type="dxa"/>
            <w:vAlign w:val="bottom"/>
          </w:tcPr>
          <w:p w:rsidR="00CC2C66" w:rsidRDefault="00F80B74">
            <w:pPr>
              <w:jc w:val="center"/>
              <w:rPr>
                <w:sz w:val="20"/>
                <w:szCs w:val="20"/>
              </w:rPr>
            </w:pPr>
            <w:r>
              <w:rPr>
                <w:rFonts w:ascii="Arial" w:eastAsia="Arial" w:hAnsi="Arial" w:cs="Arial"/>
                <w:b/>
                <w:bCs/>
                <w:color w:val="CF0A2C"/>
                <w:w w:val="93"/>
                <w:sz w:val="14"/>
                <w:szCs w:val="14"/>
              </w:rPr>
              <w:t>(c)</w:t>
            </w:r>
          </w:p>
        </w:tc>
        <w:tc>
          <w:tcPr>
            <w:tcW w:w="1260" w:type="dxa"/>
            <w:vAlign w:val="bottom"/>
          </w:tcPr>
          <w:p w:rsidR="00CC2C66" w:rsidRDefault="00F80B74">
            <w:pPr>
              <w:ind w:right="394"/>
              <w:jc w:val="right"/>
              <w:rPr>
                <w:sz w:val="20"/>
                <w:szCs w:val="20"/>
              </w:rPr>
            </w:pPr>
            <w:r>
              <w:rPr>
                <w:rFonts w:ascii="Arial" w:eastAsia="Arial" w:hAnsi="Arial" w:cs="Arial"/>
                <w:b/>
                <w:bCs/>
                <w:color w:val="CF0A2C"/>
                <w:sz w:val="14"/>
                <w:szCs w:val="14"/>
              </w:rPr>
              <w:t>(d)</w:t>
            </w:r>
          </w:p>
        </w:tc>
        <w:tc>
          <w:tcPr>
            <w:tcW w:w="1160" w:type="dxa"/>
            <w:vAlign w:val="bottom"/>
          </w:tcPr>
          <w:p w:rsidR="00CC2C66" w:rsidRDefault="00F80B74">
            <w:pPr>
              <w:ind w:right="134"/>
              <w:jc w:val="center"/>
              <w:rPr>
                <w:sz w:val="20"/>
                <w:szCs w:val="20"/>
              </w:rPr>
            </w:pPr>
            <w:r>
              <w:rPr>
                <w:rFonts w:ascii="Arial" w:eastAsia="Arial" w:hAnsi="Arial" w:cs="Arial"/>
                <w:b/>
                <w:bCs/>
                <w:color w:val="CF0A2C"/>
                <w:w w:val="93"/>
                <w:sz w:val="14"/>
                <w:szCs w:val="14"/>
              </w:rPr>
              <w:t>(e)</w:t>
            </w:r>
          </w:p>
        </w:tc>
        <w:tc>
          <w:tcPr>
            <w:tcW w:w="0" w:type="dxa"/>
            <w:vAlign w:val="bottom"/>
          </w:tcPr>
          <w:p w:rsidR="00CC2C66" w:rsidRDefault="00CC2C66">
            <w:pPr>
              <w:rPr>
                <w:sz w:val="1"/>
                <w:szCs w:val="1"/>
              </w:rPr>
            </w:pPr>
          </w:p>
        </w:tc>
      </w:tr>
      <w:tr w:rsidR="00CC2C66">
        <w:trPr>
          <w:trHeight w:val="169"/>
        </w:trPr>
        <w:tc>
          <w:tcPr>
            <w:tcW w:w="2360" w:type="dxa"/>
            <w:vMerge/>
            <w:vAlign w:val="bottom"/>
          </w:tcPr>
          <w:p w:rsidR="00CC2C66" w:rsidRDefault="00CC2C66">
            <w:pPr>
              <w:rPr>
                <w:sz w:val="14"/>
                <w:szCs w:val="14"/>
              </w:rPr>
            </w:pPr>
          </w:p>
        </w:tc>
        <w:tc>
          <w:tcPr>
            <w:tcW w:w="2880" w:type="dxa"/>
            <w:vAlign w:val="bottom"/>
          </w:tcPr>
          <w:p w:rsidR="00CC2C66" w:rsidRDefault="00F80B74">
            <w:pPr>
              <w:ind w:right="234"/>
              <w:jc w:val="right"/>
              <w:rPr>
                <w:sz w:val="20"/>
                <w:szCs w:val="20"/>
              </w:rPr>
            </w:pPr>
            <w:r>
              <w:rPr>
                <w:rFonts w:ascii="Arial" w:eastAsia="Arial" w:hAnsi="Arial" w:cs="Arial"/>
                <w:sz w:val="13"/>
                <w:szCs w:val="13"/>
              </w:rPr>
              <w:t>—</w:t>
            </w:r>
          </w:p>
        </w:tc>
        <w:tc>
          <w:tcPr>
            <w:tcW w:w="1440" w:type="dxa"/>
            <w:vAlign w:val="bottom"/>
          </w:tcPr>
          <w:p w:rsidR="00CC2C66" w:rsidRDefault="00F80B74">
            <w:pPr>
              <w:ind w:right="214"/>
              <w:jc w:val="right"/>
              <w:rPr>
                <w:sz w:val="20"/>
                <w:szCs w:val="20"/>
              </w:rPr>
            </w:pPr>
            <w:r>
              <w:rPr>
                <w:rFonts w:ascii="Arial" w:eastAsia="Arial" w:hAnsi="Arial" w:cs="Arial"/>
                <w:sz w:val="13"/>
                <w:szCs w:val="13"/>
              </w:rPr>
              <w:t>134,108</w:t>
            </w:r>
          </w:p>
        </w:tc>
        <w:tc>
          <w:tcPr>
            <w:tcW w:w="1320" w:type="dxa"/>
            <w:vAlign w:val="bottom"/>
          </w:tcPr>
          <w:p w:rsidR="00CC2C66" w:rsidRDefault="00F80B74">
            <w:pPr>
              <w:ind w:right="214"/>
              <w:jc w:val="right"/>
              <w:rPr>
                <w:sz w:val="20"/>
                <w:szCs w:val="20"/>
              </w:rPr>
            </w:pPr>
            <w:r>
              <w:rPr>
                <w:rFonts w:ascii="Arial" w:eastAsia="Arial" w:hAnsi="Arial" w:cs="Arial"/>
                <w:sz w:val="13"/>
                <w:szCs w:val="13"/>
              </w:rPr>
              <w:t>—</w:t>
            </w:r>
          </w:p>
        </w:tc>
        <w:tc>
          <w:tcPr>
            <w:tcW w:w="1260" w:type="dxa"/>
            <w:vAlign w:val="bottom"/>
          </w:tcPr>
          <w:p w:rsidR="00CC2C66" w:rsidRDefault="00F80B74">
            <w:pPr>
              <w:ind w:right="74"/>
              <w:jc w:val="right"/>
              <w:rPr>
                <w:sz w:val="20"/>
                <w:szCs w:val="20"/>
              </w:rPr>
            </w:pPr>
            <w:r>
              <w:rPr>
                <w:rFonts w:ascii="Arial" w:eastAsia="Arial" w:hAnsi="Arial" w:cs="Arial"/>
                <w:sz w:val="13"/>
                <w:szCs w:val="13"/>
              </w:rPr>
              <w:t>—</w:t>
            </w:r>
          </w:p>
        </w:tc>
        <w:tc>
          <w:tcPr>
            <w:tcW w:w="1160" w:type="dxa"/>
            <w:vAlign w:val="bottom"/>
          </w:tcPr>
          <w:p w:rsidR="00CC2C66" w:rsidRDefault="00F80B74">
            <w:pPr>
              <w:spacing w:line="169" w:lineRule="exact"/>
              <w:ind w:right="154"/>
              <w:jc w:val="right"/>
              <w:rPr>
                <w:sz w:val="20"/>
                <w:szCs w:val="20"/>
              </w:rPr>
            </w:pPr>
            <w:r>
              <w:rPr>
                <w:rFonts w:ascii="Arial" w:eastAsia="Arial" w:hAnsi="Arial" w:cs="Arial"/>
                <w:sz w:val="13"/>
                <w:szCs w:val="13"/>
              </w:rPr>
              <w:t>582,608</w:t>
            </w:r>
            <w:r>
              <w:rPr>
                <w:rFonts w:ascii="Arial" w:eastAsia="Arial" w:hAnsi="Arial" w:cs="Arial"/>
                <w:sz w:val="19"/>
                <w:szCs w:val="19"/>
                <w:vertAlign w:val="superscript"/>
              </w:rPr>
              <w:t>(5)</w:t>
            </w:r>
          </w:p>
        </w:tc>
        <w:tc>
          <w:tcPr>
            <w:tcW w:w="0" w:type="dxa"/>
            <w:vAlign w:val="bottom"/>
          </w:tcPr>
          <w:p w:rsidR="00CC2C66" w:rsidRDefault="00CC2C66">
            <w:pPr>
              <w:rPr>
                <w:sz w:val="1"/>
                <w:szCs w:val="1"/>
              </w:rPr>
            </w:pP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Yeung</w:t>
            </w:r>
          </w:p>
        </w:tc>
        <w:tc>
          <w:tcPr>
            <w:tcW w:w="2880" w:type="dxa"/>
            <w:vAlign w:val="bottom"/>
          </w:tcPr>
          <w:p w:rsidR="00CC2C66" w:rsidRDefault="00F80B74">
            <w:pPr>
              <w:ind w:right="234"/>
              <w:jc w:val="right"/>
              <w:rPr>
                <w:sz w:val="20"/>
                <w:szCs w:val="20"/>
              </w:rPr>
            </w:pPr>
            <w:r>
              <w:rPr>
                <w:rFonts w:ascii="Arial" w:eastAsia="Arial" w:hAnsi="Arial" w:cs="Arial"/>
                <w:sz w:val="13"/>
                <w:szCs w:val="13"/>
              </w:rPr>
              <w:t>—</w:t>
            </w:r>
          </w:p>
        </w:tc>
        <w:tc>
          <w:tcPr>
            <w:tcW w:w="1440" w:type="dxa"/>
            <w:vAlign w:val="bottom"/>
          </w:tcPr>
          <w:p w:rsidR="00CC2C66" w:rsidRDefault="00F80B74">
            <w:pPr>
              <w:ind w:right="214"/>
              <w:jc w:val="right"/>
              <w:rPr>
                <w:sz w:val="20"/>
                <w:szCs w:val="20"/>
              </w:rPr>
            </w:pPr>
            <w:r>
              <w:rPr>
                <w:rFonts w:ascii="Arial" w:eastAsia="Arial" w:hAnsi="Arial" w:cs="Arial"/>
                <w:sz w:val="13"/>
                <w:szCs w:val="13"/>
              </w:rPr>
              <w:t>39,566</w:t>
            </w:r>
          </w:p>
        </w:tc>
        <w:tc>
          <w:tcPr>
            <w:tcW w:w="1320" w:type="dxa"/>
            <w:vAlign w:val="bottom"/>
          </w:tcPr>
          <w:p w:rsidR="00CC2C66" w:rsidRDefault="00F80B74">
            <w:pPr>
              <w:ind w:right="214"/>
              <w:jc w:val="right"/>
              <w:rPr>
                <w:sz w:val="20"/>
                <w:szCs w:val="20"/>
              </w:rPr>
            </w:pPr>
            <w:r>
              <w:rPr>
                <w:rFonts w:ascii="Arial" w:eastAsia="Arial" w:hAnsi="Arial" w:cs="Arial"/>
                <w:sz w:val="13"/>
                <w:szCs w:val="13"/>
              </w:rPr>
              <w:t>—</w:t>
            </w:r>
          </w:p>
        </w:tc>
        <w:tc>
          <w:tcPr>
            <w:tcW w:w="1260" w:type="dxa"/>
            <w:vAlign w:val="bottom"/>
          </w:tcPr>
          <w:p w:rsidR="00CC2C66" w:rsidRDefault="00F80B74">
            <w:pPr>
              <w:ind w:right="74"/>
              <w:jc w:val="right"/>
              <w:rPr>
                <w:sz w:val="20"/>
                <w:szCs w:val="20"/>
              </w:rPr>
            </w:pPr>
            <w:r>
              <w:rPr>
                <w:rFonts w:ascii="Arial" w:eastAsia="Arial" w:hAnsi="Arial" w:cs="Arial"/>
                <w:sz w:val="13"/>
                <w:szCs w:val="13"/>
              </w:rPr>
              <w:t>—</w:t>
            </w:r>
          </w:p>
        </w:tc>
        <w:tc>
          <w:tcPr>
            <w:tcW w:w="1160" w:type="dxa"/>
            <w:vAlign w:val="bottom"/>
          </w:tcPr>
          <w:p w:rsidR="00CC2C66" w:rsidRDefault="00F80B74">
            <w:pPr>
              <w:spacing w:line="179" w:lineRule="exact"/>
              <w:ind w:right="154"/>
              <w:jc w:val="right"/>
              <w:rPr>
                <w:sz w:val="20"/>
                <w:szCs w:val="20"/>
              </w:rPr>
            </w:pPr>
            <w:r>
              <w:rPr>
                <w:rFonts w:ascii="Arial" w:eastAsia="Arial" w:hAnsi="Arial" w:cs="Arial"/>
                <w:sz w:val="13"/>
                <w:szCs w:val="13"/>
              </w:rPr>
              <w:t>83,893</w:t>
            </w:r>
            <w:r>
              <w:rPr>
                <w:rFonts w:ascii="Arial" w:eastAsia="Arial" w:hAnsi="Arial" w:cs="Arial"/>
                <w:sz w:val="19"/>
                <w:szCs w:val="19"/>
                <w:vertAlign w:val="superscript"/>
              </w:rPr>
              <w:t>(5)</w:t>
            </w:r>
          </w:p>
        </w:tc>
        <w:tc>
          <w:tcPr>
            <w:tcW w:w="0" w:type="dxa"/>
            <w:vAlign w:val="bottom"/>
          </w:tcPr>
          <w:p w:rsidR="00CC2C66" w:rsidRDefault="00CC2C66">
            <w:pPr>
              <w:rPr>
                <w:sz w:val="1"/>
                <w:szCs w:val="1"/>
              </w:rPr>
            </w:pP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Chan</w:t>
            </w:r>
          </w:p>
        </w:tc>
        <w:tc>
          <w:tcPr>
            <w:tcW w:w="2880" w:type="dxa"/>
            <w:vAlign w:val="bottom"/>
          </w:tcPr>
          <w:p w:rsidR="00CC2C66" w:rsidRDefault="00F80B74">
            <w:pPr>
              <w:ind w:right="234"/>
              <w:jc w:val="right"/>
              <w:rPr>
                <w:sz w:val="20"/>
                <w:szCs w:val="20"/>
              </w:rPr>
            </w:pPr>
            <w:r>
              <w:rPr>
                <w:rFonts w:ascii="Arial" w:eastAsia="Arial" w:hAnsi="Arial" w:cs="Arial"/>
                <w:sz w:val="13"/>
                <w:szCs w:val="13"/>
              </w:rPr>
              <w:t>—</w:t>
            </w:r>
          </w:p>
        </w:tc>
        <w:tc>
          <w:tcPr>
            <w:tcW w:w="1440" w:type="dxa"/>
            <w:vAlign w:val="bottom"/>
          </w:tcPr>
          <w:p w:rsidR="00CC2C66" w:rsidRDefault="00F80B74">
            <w:pPr>
              <w:ind w:right="214"/>
              <w:jc w:val="right"/>
              <w:rPr>
                <w:sz w:val="20"/>
                <w:szCs w:val="20"/>
              </w:rPr>
            </w:pPr>
            <w:r>
              <w:rPr>
                <w:rFonts w:ascii="Arial" w:eastAsia="Arial" w:hAnsi="Arial" w:cs="Arial"/>
                <w:sz w:val="13"/>
                <w:szCs w:val="13"/>
              </w:rPr>
              <w:t>29,737</w:t>
            </w:r>
          </w:p>
        </w:tc>
        <w:tc>
          <w:tcPr>
            <w:tcW w:w="1320" w:type="dxa"/>
            <w:vAlign w:val="bottom"/>
          </w:tcPr>
          <w:p w:rsidR="00CC2C66" w:rsidRDefault="00F80B74">
            <w:pPr>
              <w:ind w:right="214"/>
              <w:jc w:val="right"/>
              <w:rPr>
                <w:sz w:val="20"/>
                <w:szCs w:val="20"/>
              </w:rPr>
            </w:pPr>
            <w:r>
              <w:rPr>
                <w:rFonts w:ascii="Arial" w:eastAsia="Arial" w:hAnsi="Arial" w:cs="Arial"/>
                <w:sz w:val="13"/>
                <w:szCs w:val="13"/>
              </w:rPr>
              <w:t>—</w:t>
            </w:r>
          </w:p>
        </w:tc>
        <w:tc>
          <w:tcPr>
            <w:tcW w:w="1260" w:type="dxa"/>
            <w:vAlign w:val="bottom"/>
          </w:tcPr>
          <w:p w:rsidR="00CC2C66" w:rsidRDefault="00F80B74">
            <w:pPr>
              <w:ind w:right="74"/>
              <w:jc w:val="right"/>
              <w:rPr>
                <w:sz w:val="20"/>
                <w:szCs w:val="20"/>
              </w:rPr>
            </w:pPr>
            <w:r>
              <w:rPr>
                <w:rFonts w:ascii="Arial" w:eastAsia="Arial" w:hAnsi="Arial" w:cs="Arial"/>
                <w:sz w:val="13"/>
                <w:szCs w:val="13"/>
              </w:rPr>
              <w:t>—</w:t>
            </w:r>
          </w:p>
        </w:tc>
        <w:tc>
          <w:tcPr>
            <w:tcW w:w="1160" w:type="dxa"/>
            <w:vAlign w:val="bottom"/>
          </w:tcPr>
          <w:p w:rsidR="00CC2C66" w:rsidRDefault="00F80B74">
            <w:pPr>
              <w:spacing w:line="179" w:lineRule="exact"/>
              <w:ind w:right="154"/>
              <w:jc w:val="right"/>
              <w:rPr>
                <w:sz w:val="20"/>
                <w:szCs w:val="20"/>
              </w:rPr>
            </w:pPr>
            <w:r>
              <w:rPr>
                <w:rFonts w:ascii="Arial" w:eastAsia="Arial" w:hAnsi="Arial" w:cs="Arial"/>
                <w:sz w:val="13"/>
                <w:szCs w:val="13"/>
              </w:rPr>
              <w:t>71,240</w:t>
            </w:r>
            <w:r>
              <w:rPr>
                <w:rFonts w:ascii="Arial" w:eastAsia="Arial" w:hAnsi="Arial" w:cs="Arial"/>
                <w:sz w:val="19"/>
                <w:szCs w:val="19"/>
                <w:vertAlign w:val="superscript"/>
              </w:rPr>
              <w:t>(5)</w:t>
            </w:r>
          </w:p>
        </w:tc>
        <w:tc>
          <w:tcPr>
            <w:tcW w:w="0" w:type="dxa"/>
            <w:vAlign w:val="bottom"/>
          </w:tcPr>
          <w:p w:rsidR="00CC2C66" w:rsidRDefault="00CC2C66">
            <w:pPr>
              <w:rPr>
                <w:sz w:val="1"/>
                <w:szCs w:val="1"/>
              </w:rPr>
            </w:pP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Huang</w:t>
            </w:r>
          </w:p>
        </w:tc>
        <w:tc>
          <w:tcPr>
            <w:tcW w:w="2880" w:type="dxa"/>
            <w:vAlign w:val="bottom"/>
          </w:tcPr>
          <w:p w:rsidR="00CC2C66" w:rsidRDefault="00F80B74">
            <w:pPr>
              <w:ind w:right="234"/>
              <w:jc w:val="right"/>
              <w:rPr>
                <w:sz w:val="20"/>
                <w:szCs w:val="20"/>
              </w:rPr>
            </w:pPr>
            <w:r>
              <w:rPr>
                <w:rFonts w:ascii="Arial" w:eastAsia="Arial" w:hAnsi="Arial" w:cs="Arial"/>
                <w:sz w:val="13"/>
                <w:szCs w:val="13"/>
              </w:rPr>
              <w:t>—</w:t>
            </w:r>
          </w:p>
        </w:tc>
        <w:tc>
          <w:tcPr>
            <w:tcW w:w="1440" w:type="dxa"/>
            <w:vAlign w:val="bottom"/>
          </w:tcPr>
          <w:p w:rsidR="00CC2C66" w:rsidRDefault="00F80B74">
            <w:pPr>
              <w:ind w:right="214"/>
              <w:jc w:val="right"/>
              <w:rPr>
                <w:sz w:val="20"/>
                <w:szCs w:val="20"/>
              </w:rPr>
            </w:pPr>
            <w:r>
              <w:rPr>
                <w:rFonts w:ascii="Arial" w:eastAsia="Arial" w:hAnsi="Arial" w:cs="Arial"/>
                <w:sz w:val="13"/>
                <w:szCs w:val="13"/>
              </w:rPr>
              <w:t>73,966</w:t>
            </w:r>
          </w:p>
        </w:tc>
        <w:tc>
          <w:tcPr>
            <w:tcW w:w="1320" w:type="dxa"/>
            <w:vAlign w:val="bottom"/>
          </w:tcPr>
          <w:p w:rsidR="00CC2C66" w:rsidRDefault="00F80B74">
            <w:pPr>
              <w:ind w:right="214"/>
              <w:jc w:val="right"/>
              <w:rPr>
                <w:sz w:val="20"/>
                <w:szCs w:val="20"/>
              </w:rPr>
            </w:pPr>
            <w:r>
              <w:rPr>
                <w:rFonts w:ascii="Arial" w:eastAsia="Arial" w:hAnsi="Arial" w:cs="Arial"/>
                <w:sz w:val="13"/>
                <w:szCs w:val="13"/>
              </w:rPr>
              <w:t>—</w:t>
            </w:r>
          </w:p>
        </w:tc>
        <w:tc>
          <w:tcPr>
            <w:tcW w:w="1260" w:type="dxa"/>
            <w:vAlign w:val="bottom"/>
          </w:tcPr>
          <w:p w:rsidR="00CC2C66" w:rsidRDefault="00F80B74">
            <w:pPr>
              <w:ind w:right="74"/>
              <w:jc w:val="right"/>
              <w:rPr>
                <w:sz w:val="20"/>
                <w:szCs w:val="20"/>
              </w:rPr>
            </w:pPr>
            <w:r>
              <w:rPr>
                <w:rFonts w:ascii="Arial" w:eastAsia="Arial" w:hAnsi="Arial" w:cs="Arial"/>
                <w:sz w:val="13"/>
                <w:szCs w:val="13"/>
              </w:rPr>
              <w:t>—</w:t>
            </w:r>
          </w:p>
        </w:tc>
        <w:tc>
          <w:tcPr>
            <w:tcW w:w="1160" w:type="dxa"/>
            <w:vAlign w:val="bottom"/>
          </w:tcPr>
          <w:p w:rsidR="00CC2C66" w:rsidRDefault="00F80B74">
            <w:pPr>
              <w:spacing w:line="179" w:lineRule="exact"/>
              <w:ind w:right="154"/>
              <w:jc w:val="right"/>
              <w:rPr>
                <w:sz w:val="20"/>
                <w:szCs w:val="20"/>
              </w:rPr>
            </w:pPr>
            <w:r>
              <w:rPr>
                <w:rFonts w:ascii="Arial" w:eastAsia="Arial" w:hAnsi="Arial" w:cs="Arial"/>
                <w:sz w:val="13"/>
                <w:szCs w:val="13"/>
              </w:rPr>
              <w:t>499,617</w:t>
            </w:r>
            <w:r>
              <w:rPr>
                <w:rFonts w:ascii="Arial" w:eastAsia="Arial" w:hAnsi="Arial" w:cs="Arial"/>
                <w:sz w:val="19"/>
                <w:szCs w:val="19"/>
                <w:vertAlign w:val="superscript"/>
              </w:rPr>
              <w:t>(5)</w:t>
            </w:r>
          </w:p>
        </w:tc>
        <w:tc>
          <w:tcPr>
            <w:tcW w:w="0" w:type="dxa"/>
            <w:vAlign w:val="bottom"/>
          </w:tcPr>
          <w:p w:rsidR="00CC2C66" w:rsidRDefault="00CC2C66">
            <w:pPr>
              <w:rPr>
                <w:sz w:val="1"/>
                <w:szCs w:val="1"/>
              </w:rPr>
            </w:pPr>
          </w:p>
        </w:tc>
      </w:tr>
      <w:tr w:rsidR="00CC2C66">
        <w:trPr>
          <w:trHeight w:val="179"/>
        </w:trPr>
        <w:tc>
          <w:tcPr>
            <w:tcW w:w="2360" w:type="dxa"/>
            <w:vAlign w:val="bottom"/>
          </w:tcPr>
          <w:p w:rsidR="00CC2C66" w:rsidRDefault="00F80B74">
            <w:pPr>
              <w:rPr>
                <w:sz w:val="20"/>
                <w:szCs w:val="20"/>
              </w:rPr>
            </w:pPr>
            <w:r>
              <w:rPr>
                <w:rFonts w:ascii="Arial" w:eastAsia="Arial" w:hAnsi="Arial" w:cs="Arial"/>
                <w:b/>
                <w:bCs/>
                <w:color w:val="CF0A2C"/>
                <w:sz w:val="14"/>
                <w:szCs w:val="14"/>
              </w:rPr>
              <w:t>Mr. Yuen</w:t>
            </w:r>
          </w:p>
        </w:tc>
        <w:tc>
          <w:tcPr>
            <w:tcW w:w="2880" w:type="dxa"/>
            <w:vAlign w:val="bottom"/>
          </w:tcPr>
          <w:p w:rsidR="00CC2C66" w:rsidRDefault="00F80B74">
            <w:pPr>
              <w:ind w:right="234"/>
              <w:jc w:val="right"/>
              <w:rPr>
                <w:sz w:val="20"/>
                <w:szCs w:val="20"/>
              </w:rPr>
            </w:pPr>
            <w:r>
              <w:rPr>
                <w:rFonts w:ascii="Arial" w:eastAsia="Arial" w:hAnsi="Arial" w:cs="Arial"/>
                <w:sz w:val="13"/>
                <w:szCs w:val="13"/>
              </w:rPr>
              <w:t>—</w:t>
            </w:r>
          </w:p>
        </w:tc>
        <w:tc>
          <w:tcPr>
            <w:tcW w:w="1440" w:type="dxa"/>
            <w:vAlign w:val="bottom"/>
          </w:tcPr>
          <w:p w:rsidR="00CC2C66" w:rsidRDefault="00F80B74">
            <w:pPr>
              <w:ind w:right="214"/>
              <w:jc w:val="right"/>
              <w:rPr>
                <w:sz w:val="20"/>
                <w:szCs w:val="20"/>
              </w:rPr>
            </w:pPr>
            <w:r>
              <w:rPr>
                <w:rFonts w:ascii="Arial" w:eastAsia="Arial" w:hAnsi="Arial" w:cs="Arial"/>
                <w:sz w:val="13"/>
                <w:szCs w:val="13"/>
              </w:rPr>
              <w:t>59,524</w:t>
            </w:r>
          </w:p>
        </w:tc>
        <w:tc>
          <w:tcPr>
            <w:tcW w:w="1320" w:type="dxa"/>
            <w:vAlign w:val="bottom"/>
          </w:tcPr>
          <w:p w:rsidR="00CC2C66" w:rsidRDefault="00F80B74">
            <w:pPr>
              <w:ind w:right="214"/>
              <w:jc w:val="right"/>
              <w:rPr>
                <w:sz w:val="20"/>
                <w:szCs w:val="20"/>
              </w:rPr>
            </w:pPr>
            <w:r>
              <w:rPr>
                <w:rFonts w:ascii="Arial" w:eastAsia="Arial" w:hAnsi="Arial" w:cs="Arial"/>
                <w:sz w:val="13"/>
                <w:szCs w:val="13"/>
              </w:rPr>
              <w:t>—</w:t>
            </w:r>
          </w:p>
        </w:tc>
        <w:tc>
          <w:tcPr>
            <w:tcW w:w="1260" w:type="dxa"/>
            <w:vAlign w:val="bottom"/>
          </w:tcPr>
          <w:p w:rsidR="00CC2C66" w:rsidRDefault="00F80B74">
            <w:pPr>
              <w:ind w:right="74"/>
              <w:jc w:val="right"/>
              <w:rPr>
                <w:sz w:val="20"/>
                <w:szCs w:val="20"/>
              </w:rPr>
            </w:pPr>
            <w:r>
              <w:rPr>
                <w:rFonts w:ascii="Arial" w:eastAsia="Arial" w:hAnsi="Arial" w:cs="Arial"/>
                <w:sz w:val="13"/>
                <w:szCs w:val="13"/>
              </w:rPr>
              <w:t>—</w:t>
            </w:r>
          </w:p>
        </w:tc>
        <w:tc>
          <w:tcPr>
            <w:tcW w:w="1160" w:type="dxa"/>
            <w:vAlign w:val="bottom"/>
          </w:tcPr>
          <w:p w:rsidR="00CC2C66" w:rsidRDefault="00F80B74">
            <w:pPr>
              <w:spacing w:line="179" w:lineRule="exact"/>
              <w:ind w:right="154"/>
              <w:jc w:val="right"/>
              <w:rPr>
                <w:sz w:val="20"/>
                <w:szCs w:val="20"/>
              </w:rPr>
            </w:pPr>
            <w:r>
              <w:rPr>
                <w:rFonts w:ascii="Arial" w:eastAsia="Arial" w:hAnsi="Arial" w:cs="Arial"/>
                <w:sz w:val="13"/>
                <w:szCs w:val="13"/>
              </w:rPr>
              <w:t>347,921</w:t>
            </w:r>
            <w:r>
              <w:rPr>
                <w:rFonts w:ascii="Arial" w:eastAsia="Arial" w:hAnsi="Arial" w:cs="Arial"/>
                <w:sz w:val="19"/>
                <w:szCs w:val="19"/>
                <w:vertAlign w:val="superscript"/>
              </w:rPr>
              <w:t>(5)</w:t>
            </w:r>
          </w:p>
        </w:tc>
        <w:tc>
          <w:tcPr>
            <w:tcW w:w="0" w:type="dxa"/>
            <w:vAlign w:val="bottom"/>
          </w:tcPr>
          <w:p w:rsidR="00CC2C66" w:rsidRDefault="00CC2C66">
            <w:pPr>
              <w:rPr>
                <w:sz w:val="1"/>
                <w:szCs w:val="1"/>
              </w:rPr>
            </w:pPr>
          </w:p>
        </w:tc>
      </w:tr>
      <w:tr w:rsidR="00CC2C66">
        <w:trPr>
          <w:trHeight w:val="163"/>
        </w:trPr>
        <w:tc>
          <w:tcPr>
            <w:tcW w:w="2360" w:type="dxa"/>
            <w:tcBorders>
              <w:bottom w:val="single" w:sz="8" w:space="0" w:color="CF0A2C"/>
            </w:tcBorders>
            <w:vAlign w:val="bottom"/>
          </w:tcPr>
          <w:p w:rsidR="00CC2C66" w:rsidRDefault="00F80B74">
            <w:pPr>
              <w:rPr>
                <w:sz w:val="20"/>
                <w:szCs w:val="20"/>
              </w:rPr>
            </w:pPr>
            <w:r>
              <w:rPr>
                <w:rFonts w:ascii="Arial" w:eastAsia="Arial" w:hAnsi="Arial" w:cs="Arial"/>
                <w:b/>
                <w:bCs/>
                <w:color w:val="CF0A2C"/>
                <w:sz w:val="14"/>
                <w:szCs w:val="14"/>
              </w:rPr>
              <w:t>Mr. Tan</w:t>
            </w:r>
          </w:p>
        </w:tc>
        <w:tc>
          <w:tcPr>
            <w:tcW w:w="2880" w:type="dxa"/>
            <w:tcBorders>
              <w:bottom w:val="single" w:sz="8" w:space="0" w:color="CF0A2C"/>
            </w:tcBorders>
            <w:vAlign w:val="bottom"/>
          </w:tcPr>
          <w:p w:rsidR="00CC2C66" w:rsidRDefault="00F80B74">
            <w:pPr>
              <w:ind w:right="234"/>
              <w:jc w:val="right"/>
              <w:rPr>
                <w:sz w:val="20"/>
                <w:szCs w:val="20"/>
              </w:rPr>
            </w:pPr>
            <w:r>
              <w:rPr>
                <w:rFonts w:ascii="Arial" w:eastAsia="Arial" w:hAnsi="Arial" w:cs="Arial"/>
                <w:sz w:val="13"/>
                <w:szCs w:val="13"/>
              </w:rPr>
              <w:t>34,792</w:t>
            </w:r>
          </w:p>
        </w:tc>
        <w:tc>
          <w:tcPr>
            <w:tcW w:w="1440" w:type="dxa"/>
            <w:tcBorders>
              <w:bottom w:val="single" w:sz="8" w:space="0" w:color="CF0A2C"/>
            </w:tcBorders>
            <w:vAlign w:val="bottom"/>
          </w:tcPr>
          <w:p w:rsidR="00CC2C66" w:rsidRDefault="00F80B74">
            <w:pPr>
              <w:ind w:right="214"/>
              <w:jc w:val="right"/>
              <w:rPr>
                <w:sz w:val="20"/>
                <w:szCs w:val="20"/>
              </w:rPr>
            </w:pPr>
            <w:r>
              <w:rPr>
                <w:rFonts w:ascii="Arial" w:eastAsia="Arial" w:hAnsi="Arial" w:cs="Arial"/>
                <w:sz w:val="13"/>
                <w:szCs w:val="13"/>
              </w:rPr>
              <w:t>69,583</w:t>
            </w:r>
          </w:p>
        </w:tc>
        <w:tc>
          <w:tcPr>
            <w:tcW w:w="1320" w:type="dxa"/>
            <w:tcBorders>
              <w:bottom w:val="single" w:sz="8" w:space="0" w:color="CF0A2C"/>
            </w:tcBorders>
            <w:vAlign w:val="bottom"/>
          </w:tcPr>
          <w:p w:rsidR="00CC2C66" w:rsidRDefault="00F80B74">
            <w:pPr>
              <w:ind w:right="214"/>
              <w:jc w:val="right"/>
              <w:rPr>
                <w:sz w:val="20"/>
                <w:szCs w:val="20"/>
              </w:rPr>
            </w:pPr>
            <w:r>
              <w:rPr>
                <w:rFonts w:ascii="Arial" w:eastAsia="Arial" w:hAnsi="Arial" w:cs="Arial"/>
                <w:sz w:val="13"/>
                <w:szCs w:val="13"/>
              </w:rPr>
              <w:t>—</w:t>
            </w:r>
          </w:p>
        </w:tc>
        <w:tc>
          <w:tcPr>
            <w:tcW w:w="1260" w:type="dxa"/>
            <w:tcBorders>
              <w:bottom w:val="single" w:sz="8" w:space="0" w:color="CF0A2C"/>
            </w:tcBorders>
            <w:vAlign w:val="bottom"/>
          </w:tcPr>
          <w:p w:rsidR="00CC2C66" w:rsidRDefault="00F80B74">
            <w:pPr>
              <w:ind w:right="74"/>
              <w:jc w:val="right"/>
              <w:rPr>
                <w:sz w:val="20"/>
                <w:szCs w:val="20"/>
              </w:rPr>
            </w:pPr>
            <w:r>
              <w:rPr>
                <w:rFonts w:ascii="Arial" w:eastAsia="Arial" w:hAnsi="Arial" w:cs="Arial"/>
                <w:sz w:val="13"/>
                <w:szCs w:val="13"/>
              </w:rPr>
              <w:t>—</w:t>
            </w:r>
          </w:p>
        </w:tc>
        <w:tc>
          <w:tcPr>
            <w:tcW w:w="1160" w:type="dxa"/>
            <w:tcBorders>
              <w:bottom w:val="single" w:sz="8" w:space="0" w:color="CF0A2C"/>
            </w:tcBorders>
            <w:vAlign w:val="bottom"/>
          </w:tcPr>
          <w:p w:rsidR="00CC2C66" w:rsidRDefault="00F80B74">
            <w:pPr>
              <w:spacing w:line="163" w:lineRule="exact"/>
              <w:ind w:right="154"/>
              <w:jc w:val="right"/>
              <w:rPr>
                <w:sz w:val="20"/>
                <w:szCs w:val="20"/>
              </w:rPr>
            </w:pPr>
            <w:r>
              <w:rPr>
                <w:rFonts w:ascii="Arial" w:eastAsia="Arial" w:hAnsi="Arial" w:cs="Arial"/>
                <w:sz w:val="12"/>
                <w:szCs w:val="12"/>
              </w:rPr>
              <w:t>465,553</w:t>
            </w:r>
            <w:r>
              <w:rPr>
                <w:rFonts w:ascii="Arial" w:eastAsia="Arial" w:hAnsi="Arial" w:cs="Arial"/>
                <w:sz w:val="18"/>
                <w:szCs w:val="18"/>
                <w:vertAlign w:val="superscript"/>
              </w:rPr>
              <w:t>(5)</w:t>
            </w:r>
          </w:p>
        </w:tc>
        <w:tc>
          <w:tcPr>
            <w:tcW w:w="0" w:type="dxa"/>
            <w:vAlign w:val="bottom"/>
          </w:tcPr>
          <w:p w:rsidR="00CC2C66" w:rsidRDefault="00CC2C66">
            <w:pPr>
              <w:rPr>
                <w:sz w:val="1"/>
                <w:szCs w:val="1"/>
              </w:rPr>
            </w:pPr>
          </w:p>
        </w:tc>
      </w:tr>
    </w:tbl>
    <w:p w:rsidR="00CC2C66" w:rsidRDefault="00CC2C66">
      <w:pPr>
        <w:spacing w:line="260" w:lineRule="exact"/>
        <w:rPr>
          <w:sz w:val="20"/>
          <w:szCs w:val="20"/>
        </w:rPr>
      </w:pPr>
    </w:p>
    <w:p w:rsidR="00CC2C66" w:rsidRDefault="00F80B74">
      <w:pPr>
        <w:numPr>
          <w:ilvl w:val="0"/>
          <w:numId w:val="112"/>
        </w:numPr>
        <w:tabs>
          <w:tab w:val="left" w:pos="1020"/>
        </w:tabs>
        <w:ind w:left="1020" w:hanging="609"/>
        <w:rPr>
          <w:rFonts w:eastAsia="Times New Roman"/>
          <w:color w:val="CF0A2C"/>
          <w:sz w:val="19"/>
          <w:szCs w:val="19"/>
        </w:rPr>
      </w:pPr>
      <w:r>
        <w:rPr>
          <w:rFonts w:eastAsia="Times New Roman"/>
          <w:sz w:val="19"/>
          <w:szCs w:val="19"/>
        </w:rPr>
        <w:t>Amounts in this column reflect Mr. Tan’s personal contributions to the BSRCHLRS with respect to 2021.</w:t>
      </w:r>
    </w:p>
    <w:p w:rsidR="00CC2C66" w:rsidRDefault="00CC2C66">
      <w:pPr>
        <w:spacing w:line="279" w:lineRule="exact"/>
        <w:rPr>
          <w:rFonts w:eastAsia="Times New Roman"/>
          <w:color w:val="CF0A2C"/>
          <w:sz w:val="19"/>
          <w:szCs w:val="19"/>
        </w:rPr>
      </w:pPr>
    </w:p>
    <w:p w:rsidR="00CC2C66" w:rsidRDefault="00F80B74">
      <w:pPr>
        <w:numPr>
          <w:ilvl w:val="0"/>
          <w:numId w:val="112"/>
        </w:numPr>
        <w:tabs>
          <w:tab w:val="left" w:pos="1020"/>
        </w:tabs>
        <w:spacing w:line="265" w:lineRule="auto"/>
        <w:ind w:left="1020" w:hanging="609"/>
        <w:rPr>
          <w:rFonts w:eastAsia="Times New Roman"/>
          <w:color w:val="CF0A2C"/>
          <w:sz w:val="19"/>
          <w:szCs w:val="19"/>
        </w:rPr>
      </w:pPr>
      <w:r>
        <w:rPr>
          <w:rFonts w:eastAsia="Times New Roman"/>
          <w:sz w:val="19"/>
          <w:szCs w:val="19"/>
        </w:rPr>
        <w:t xml:space="preserve">Amounts in this column reflect registrant contributions to the BSRCHLRS for the NEOs and which </w:t>
      </w:r>
      <w:r>
        <w:rPr>
          <w:rFonts w:eastAsia="Times New Roman"/>
          <w:sz w:val="19"/>
          <w:szCs w:val="19"/>
        </w:rPr>
        <w:t>are reflected in the 2021 Summary Compensation Table.</w:t>
      </w:r>
    </w:p>
    <w:p w:rsidR="00CC2C66" w:rsidRDefault="00CC2C66">
      <w:pPr>
        <w:spacing w:line="233" w:lineRule="exact"/>
        <w:rPr>
          <w:rFonts w:eastAsia="Times New Roman"/>
          <w:color w:val="CF0A2C"/>
          <w:sz w:val="19"/>
          <w:szCs w:val="19"/>
        </w:rPr>
      </w:pPr>
    </w:p>
    <w:p w:rsidR="00CC2C66" w:rsidRDefault="00F80B74">
      <w:pPr>
        <w:numPr>
          <w:ilvl w:val="0"/>
          <w:numId w:val="112"/>
        </w:numPr>
        <w:tabs>
          <w:tab w:val="left" w:pos="1020"/>
        </w:tabs>
        <w:spacing w:line="247" w:lineRule="auto"/>
        <w:ind w:left="1020" w:hanging="609"/>
        <w:jc w:val="both"/>
        <w:rPr>
          <w:rFonts w:eastAsia="Times New Roman"/>
          <w:color w:val="CF0A2C"/>
          <w:sz w:val="19"/>
          <w:szCs w:val="19"/>
        </w:rPr>
      </w:pPr>
      <w:r>
        <w:rPr>
          <w:rFonts w:eastAsia="Times New Roman"/>
          <w:sz w:val="19"/>
          <w:szCs w:val="19"/>
        </w:rPr>
        <w:t>Under the Hong Kong Data Privacy Act, the administrator of the BSRCHLRS is restricted from disclosing individual account balances under the BSRCHLRS, and accordingly, the Company is unable to compile e</w:t>
      </w:r>
      <w:r>
        <w:rPr>
          <w:rFonts w:eastAsia="Times New Roman"/>
          <w:sz w:val="19"/>
          <w:szCs w:val="19"/>
        </w:rPr>
        <w:t>arnings information with respect to the BSRCHLRS. Under the terms of the BSRCHLRS, participants may elect a variety of mutual funds in which to invest their account balances under the BSRCHLRS.</w:t>
      </w:r>
    </w:p>
    <w:p w:rsidR="00CC2C66" w:rsidRDefault="00CC2C66">
      <w:pPr>
        <w:spacing w:line="250" w:lineRule="exact"/>
        <w:rPr>
          <w:rFonts w:eastAsia="Times New Roman"/>
          <w:color w:val="CF0A2C"/>
          <w:sz w:val="19"/>
          <w:szCs w:val="19"/>
        </w:rPr>
      </w:pPr>
    </w:p>
    <w:p w:rsidR="00CC2C66" w:rsidRDefault="00F80B74">
      <w:pPr>
        <w:numPr>
          <w:ilvl w:val="0"/>
          <w:numId w:val="112"/>
        </w:numPr>
        <w:tabs>
          <w:tab w:val="left" w:pos="1020"/>
        </w:tabs>
        <w:ind w:left="1020" w:hanging="609"/>
        <w:rPr>
          <w:rFonts w:eastAsia="Times New Roman"/>
          <w:color w:val="CF0A2C"/>
          <w:sz w:val="19"/>
          <w:szCs w:val="19"/>
        </w:rPr>
      </w:pPr>
      <w:r>
        <w:rPr>
          <w:rFonts w:eastAsia="Times New Roman"/>
          <w:sz w:val="19"/>
          <w:szCs w:val="19"/>
        </w:rPr>
        <w:t>The amounts reflected in this column are the estimated year-e</w:t>
      </w:r>
      <w:r>
        <w:rPr>
          <w:rFonts w:eastAsia="Times New Roman"/>
          <w:sz w:val="19"/>
          <w:szCs w:val="19"/>
        </w:rPr>
        <w:t>nd balances for the NEOs under the BSRCHLRS.</w:t>
      </w:r>
    </w:p>
    <w:p w:rsidR="00CC2C66" w:rsidRDefault="00CC2C66">
      <w:pPr>
        <w:spacing w:line="279" w:lineRule="exact"/>
        <w:rPr>
          <w:rFonts w:eastAsia="Times New Roman"/>
          <w:color w:val="CF0A2C"/>
          <w:sz w:val="19"/>
          <w:szCs w:val="19"/>
        </w:rPr>
      </w:pPr>
    </w:p>
    <w:p w:rsidR="00CC2C66" w:rsidRDefault="00F80B74">
      <w:pPr>
        <w:numPr>
          <w:ilvl w:val="0"/>
          <w:numId w:val="112"/>
        </w:numPr>
        <w:tabs>
          <w:tab w:val="left" w:pos="1020"/>
        </w:tabs>
        <w:spacing w:line="247" w:lineRule="auto"/>
        <w:ind w:left="1020" w:hanging="609"/>
        <w:jc w:val="both"/>
        <w:rPr>
          <w:rFonts w:eastAsia="Times New Roman"/>
          <w:color w:val="CF0A2C"/>
          <w:sz w:val="19"/>
          <w:szCs w:val="19"/>
        </w:rPr>
      </w:pPr>
      <w:r>
        <w:rPr>
          <w:rFonts w:eastAsia="Times New Roman"/>
          <w:sz w:val="19"/>
          <w:szCs w:val="19"/>
        </w:rPr>
        <w:t xml:space="preserve">This amount represents the aggregate amount of Company contributions, excluding investment returns. See note (3) to this table for further information regarding investment returns with respect to the BSRCHLRS. </w:t>
      </w:r>
      <w:r>
        <w:rPr>
          <w:rFonts w:eastAsia="Times New Roman"/>
          <w:sz w:val="19"/>
          <w:szCs w:val="19"/>
        </w:rPr>
        <w:t>This amount was denominated in Hong Kong dollars and was converted to U.S. dollars using an exchange rate of 7.7725 Hong Kong dollars to U.S. dollars for disclosure purposes.</w:t>
      </w:r>
    </w:p>
    <w:p w:rsidR="00CC2C66" w:rsidRDefault="00CC2C66">
      <w:pPr>
        <w:spacing w:line="210" w:lineRule="exact"/>
        <w:rPr>
          <w:sz w:val="20"/>
          <w:szCs w:val="20"/>
        </w:rPr>
      </w:pPr>
    </w:p>
    <w:p w:rsidR="00CC2C66" w:rsidRDefault="00F80B74">
      <w:pPr>
        <w:ind w:left="420"/>
        <w:rPr>
          <w:sz w:val="20"/>
          <w:szCs w:val="20"/>
        </w:rPr>
      </w:pPr>
      <w:r>
        <w:rPr>
          <w:rFonts w:ascii="Arial" w:eastAsia="Arial" w:hAnsi="Arial" w:cs="Arial"/>
          <w:b/>
          <w:bCs/>
          <w:color w:val="CF0A2C"/>
          <w:sz w:val="24"/>
          <w:szCs w:val="24"/>
        </w:rPr>
        <w:t>Potential Payments upon a Termination or a Change in Control</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333" w:lineRule="exact"/>
        <w:rPr>
          <w:sz w:val="20"/>
          <w:szCs w:val="20"/>
        </w:rPr>
      </w:pPr>
    </w:p>
    <w:p w:rsidR="00CC2C66" w:rsidRDefault="00F80B74">
      <w:pPr>
        <w:spacing w:line="241" w:lineRule="auto"/>
        <w:ind w:left="420"/>
        <w:jc w:val="both"/>
        <w:rPr>
          <w:sz w:val="20"/>
          <w:szCs w:val="20"/>
        </w:rPr>
      </w:pPr>
      <w:r>
        <w:rPr>
          <w:rFonts w:eastAsia="Times New Roman"/>
          <w:b/>
          <w:bCs/>
          <w:i/>
          <w:iCs/>
          <w:color w:val="CF0A2C"/>
          <w:sz w:val="19"/>
          <w:szCs w:val="19"/>
        </w:rPr>
        <w:t xml:space="preserve">Termination of Employment without a Change in Control. </w:t>
      </w:r>
      <w:r>
        <w:rPr>
          <w:rFonts w:eastAsia="Times New Roman"/>
          <w:color w:val="000000"/>
          <w:sz w:val="19"/>
          <w:szCs w:val="19"/>
        </w:rPr>
        <w:t>As</w:t>
      </w:r>
      <w:r>
        <w:rPr>
          <w:rFonts w:eastAsia="Times New Roman"/>
          <w:b/>
          <w:bCs/>
          <w:i/>
          <w:iCs/>
          <w:color w:val="CF0A2C"/>
          <w:sz w:val="19"/>
          <w:szCs w:val="19"/>
        </w:rPr>
        <w:t xml:space="preserve"> </w:t>
      </w:r>
      <w:r>
        <w:rPr>
          <w:rFonts w:eastAsia="Times New Roman"/>
          <w:color w:val="000000"/>
          <w:sz w:val="19"/>
          <w:szCs w:val="19"/>
        </w:rPr>
        <w:t>noted in the CD&amp;A, during 2021, the Compensation Committee adopted the Executive Severance Plan, which provides severance benefits to our NEOs upon termination of employment by the Company without</w:t>
      </w:r>
      <w:r>
        <w:rPr>
          <w:rFonts w:eastAsia="Times New Roman"/>
          <w:color w:val="000000"/>
          <w:sz w:val="19"/>
          <w:szCs w:val="19"/>
        </w:rPr>
        <w:t xml:space="preserve"> cause or, for participants subject to PRC law, termination for any statutory reason and subject to severance pay under PRC law (each, an “</w:t>
      </w:r>
      <w:r>
        <w:rPr>
          <w:rFonts w:eastAsia="Times New Roman"/>
          <w:b/>
          <w:bCs/>
          <w:i/>
          <w:iCs/>
          <w:color w:val="000000"/>
          <w:sz w:val="19"/>
          <w:szCs w:val="19"/>
        </w:rPr>
        <w:t>Executive Severance Plan Qualifying</w:t>
      </w:r>
      <w:r>
        <w:rPr>
          <w:rFonts w:eastAsia="Times New Roman"/>
          <w:color w:val="000000"/>
          <w:sz w:val="19"/>
          <w:szCs w:val="19"/>
        </w:rPr>
        <w:t xml:space="preserve"> </w:t>
      </w:r>
      <w:r>
        <w:rPr>
          <w:rFonts w:eastAsia="Times New Roman"/>
          <w:b/>
          <w:bCs/>
          <w:i/>
          <w:iCs/>
          <w:color w:val="000000"/>
          <w:sz w:val="19"/>
          <w:szCs w:val="19"/>
        </w:rPr>
        <w:t>Termination</w:t>
      </w:r>
      <w:r>
        <w:rPr>
          <w:rFonts w:eastAsia="Times New Roman"/>
          <w:color w:val="000000"/>
          <w:sz w:val="19"/>
          <w:szCs w:val="19"/>
        </w:rPr>
        <w:t>”). In the event of an Executive Severance Plan</w:t>
      </w:r>
      <w:r>
        <w:rPr>
          <w:rFonts w:eastAsia="Times New Roman"/>
          <w:b/>
          <w:bCs/>
          <w:i/>
          <w:iCs/>
          <w:color w:val="000000"/>
          <w:sz w:val="19"/>
          <w:szCs w:val="19"/>
        </w:rPr>
        <w:t xml:space="preserve"> </w:t>
      </w:r>
      <w:r>
        <w:rPr>
          <w:rFonts w:eastAsia="Times New Roman"/>
          <w:color w:val="000000"/>
          <w:sz w:val="19"/>
          <w:szCs w:val="19"/>
        </w:rPr>
        <w:t>Qualifying Termination</w:t>
      </w:r>
      <w:r>
        <w:rPr>
          <w:rFonts w:eastAsia="Times New Roman"/>
          <w:color w:val="000000"/>
          <w:sz w:val="19"/>
          <w:szCs w:val="19"/>
        </w:rPr>
        <w:t>, the NEO would receive, in lieu of any severance benefits under any other arrangement with the participant (including, without limitation, the Restrictive Covenant Letter Agreements and</w:t>
      </w:r>
    </w:p>
    <w:p w:rsidR="00CC2C66" w:rsidRDefault="00F80B74">
      <w:pPr>
        <w:spacing w:line="20" w:lineRule="exact"/>
        <w:rPr>
          <w:sz w:val="20"/>
          <w:szCs w:val="20"/>
        </w:rPr>
      </w:pPr>
      <w:r>
        <w:rPr>
          <w:sz w:val="20"/>
          <w:szCs w:val="20"/>
        </w:rPr>
        <w:br w:type="column"/>
      </w:r>
    </w:p>
    <w:p w:rsidR="00CC2C66" w:rsidRDefault="00CC2C66">
      <w:pPr>
        <w:spacing w:line="319" w:lineRule="exact"/>
        <w:rPr>
          <w:sz w:val="20"/>
          <w:szCs w:val="20"/>
        </w:rPr>
      </w:pPr>
    </w:p>
    <w:p w:rsidR="00CC2C66" w:rsidRDefault="00F80B74">
      <w:pPr>
        <w:spacing w:line="247" w:lineRule="auto"/>
        <w:jc w:val="both"/>
        <w:rPr>
          <w:sz w:val="20"/>
          <w:szCs w:val="20"/>
        </w:rPr>
      </w:pPr>
      <w:r>
        <w:rPr>
          <w:rFonts w:eastAsia="Times New Roman"/>
          <w:sz w:val="19"/>
          <w:szCs w:val="19"/>
        </w:rPr>
        <w:t xml:space="preserve">the Company’s change in control severance plan, pro-vided that in </w:t>
      </w:r>
      <w:r>
        <w:rPr>
          <w:rFonts w:eastAsia="Times New Roman"/>
          <w:sz w:val="19"/>
          <w:szCs w:val="19"/>
        </w:rPr>
        <w:t>the event of a qualifying termination under the change in control severance plan, the terms of the change in control severance plan will govern), the following severance benefits:</w:t>
      </w:r>
    </w:p>
    <w:p w:rsidR="00CC2C66" w:rsidRDefault="00CC2C66">
      <w:pPr>
        <w:spacing w:line="251" w:lineRule="exact"/>
        <w:rPr>
          <w:sz w:val="20"/>
          <w:szCs w:val="20"/>
        </w:rPr>
      </w:pPr>
    </w:p>
    <w:p w:rsidR="00CC2C66" w:rsidRDefault="00F80B74">
      <w:pPr>
        <w:numPr>
          <w:ilvl w:val="0"/>
          <w:numId w:val="113"/>
        </w:numPr>
        <w:tabs>
          <w:tab w:val="left" w:pos="240"/>
        </w:tabs>
        <w:spacing w:line="243" w:lineRule="auto"/>
        <w:ind w:left="240" w:right="20" w:hanging="181"/>
        <w:jc w:val="both"/>
        <w:rPr>
          <w:rFonts w:eastAsia="Times New Roman"/>
          <w:color w:val="CF0A2C"/>
          <w:sz w:val="19"/>
          <w:szCs w:val="19"/>
        </w:rPr>
      </w:pPr>
      <w:r>
        <w:rPr>
          <w:rFonts w:eastAsia="Times New Roman"/>
          <w:sz w:val="19"/>
          <w:szCs w:val="19"/>
        </w:rPr>
        <w:t>Cash severance benefits consisting of the greater of (i) the sum of statuto</w:t>
      </w:r>
      <w:r>
        <w:rPr>
          <w:rFonts w:eastAsia="Times New Roman"/>
          <w:sz w:val="19"/>
          <w:szCs w:val="19"/>
        </w:rPr>
        <w:t xml:space="preserve">ry severance payable under PRC law and an amount equal to five times the participant’s average monthly salary in the 12 months prior to the Executive Severance Plan Qualifying Termination as consideration for compliance with certain restrictive covenants, </w:t>
      </w:r>
      <w:r>
        <w:rPr>
          <w:rFonts w:eastAsia="Times New Roman"/>
          <w:sz w:val="19"/>
          <w:szCs w:val="19"/>
        </w:rPr>
        <w:t>including covenants relating to</w:t>
      </w:r>
    </w:p>
    <w:p w:rsidR="00CC2C66" w:rsidRDefault="00CC2C66">
      <w:pPr>
        <w:spacing w:line="349"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59"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63</w:t>
      </w:r>
    </w:p>
    <w:p w:rsidR="00CC2C66" w:rsidRDefault="00F80B74">
      <w:pPr>
        <w:spacing w:line="20" w:lineRule="exact"/>
        <w:rPr>
          <w:sz w:val="20"/>
          <w:szCs w:val="20"/>
        </w:rPr>
      </w:pPr>
      <w:r>
        <w:rPr>
          <w:noProof/>
          <w:sz w:val="20"/>
          <w:szCs w:val="20"/>
        </w:rPr>
        <w:drawing>
          <wp:anchor distT="0" distB="0" distL="114300" distR="114300" simplePos="0" relativeHeight="251736064"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70" w:name="page70"/>
      <w:bookmarkEnd w:id="70"/>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37088"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243" w:lineRule="exact"/>
        <w:rPr>
          <w:sz w:val="20"/>
          <w:szCs w:val="20"/>
        </w:rPr>
      </w:pPr>
    </w:p>
    <w:p w:rsidR="00CC2C66" w:rsidRDefault="00F80B74">
      <w:pPr>
        <w:spacing w:line="245" w:lineRule="auto"/>
        <w:ind w:left="600" w:right="20"/>
        <w:jc w:val="both"/>
        <w:rPr>
          <w:sz w:val="20"/>
          <w:szCs w:val="20"/>
        </w:rPr>
      </w:pPr>
      <w:r>
        <w:rPr>
          <w:rFonts w:eastAsia="Times New Roman"/>
          <w:sz w:val="19"/>
          <w:szCs w:val="19"/>
        </w:rPr>
        <w:t>non-competition as further described below and (ii) the sum of the participant’s monthly base</w:t>
      </w:r>
      <w:r>
        <w:rPr>
          <w:rFonts w:eastAsia="Times New Roman"/>
          <w:sz w:val="19"/>
          <w:szCs w:val="19"/>
        </w:rPr>
        <w:t xml:space="preserve"> salary plus 1/12 of the participant’s target annual bonus, multiplied by a severance multiple of 24, in the case of the CEO, and 12 for all other participants;</w:t>
      </w:r>
    </w:p>
    <w:p w:rsidR="00CC2C66" w:rsidRDefault="00CC2C66">
      <w:pPr>
        <w:spacing w:line="252" w:lineRule="exact"/>
        <w:rPr>
          <w:sz w:val="20"/>
          <w:szCs w:val="20"/>
        </w:rPr>
      </w:pPr>
    </w:p>
    <w:p w:rsidR="00CC2C66" w:rsidRDefault="00F80B74">
      <w:pPr>
        <w:numPr>
          <w:ilvl w:val="0"/>
          <w:numId w:val="114"/>
        </w:numPr>
        <w:tabs>
          <w:tab w:val="left" w:pos="640"/>
        </w:tabs>
        <w:spacing w:line="247" w:lineRule="auto"/>
        <w:ind w:left="640" w:right="20" w:hanging="178"/>
        <w:jc w:val="both"/>
        <w:rPr>
          <w:rFonts w:eastAsia="Times New Roman"/>
          <w:color w:val="CF0A2C"/>
          <w:sz w:val="19"/>
          <w:szCs w:val="19"/>
        </w:rPr>
      </w:pPr>
      <w:r>
        <w:rPr>
          <w:rFonts w:eastAsia="Times New Roman"/>
          <w:sz w:val="19"/>
          <w:szCs w:val="19"/>
        </w:rPr>
        <w:t>Any accrued, but unpaid as of the date of the Executive Severance Plan Qualifying Termination,</w:t>
      </w:r>
      <w:r>
        <w:rPr>
          <w:rFonts w:eastAsia="Times New Roman"/>
          <w:sz w:val="19"/>
          <w:szCs w:val="19"/>
        </w:rPr>
        <w:t xml:space="preserve"> annual cash bonus for any completed fiscal year preceding an Executive Severance Plan Qualifying Termination; and</w:t>
      </w:r>
    </w:p>
    <w:p w:rsidR="00CC2C66" w:rsidRDefault="00CC2C66">
      <w:pPr>
        <w:spacing w:line="250" w:lineRule="exact"/>
        <w:rPr>
          <w:rFonts w:eastAsia="Times New Roman"/>
          <w:color w:val="CF0A2C"/>
          <w:sz w:val="19"/>
          <w:szCs w:val="19"/>
        </w:rPr>
      </w:pPr>
    </w:p>
    <w:p w:rsidR="00CC2C66" w:rsidRDefault="00F80B74">
      <w:pPr>
        <w:numPr>
          <w:ilvl w:val="0"/>
          <w:numId w:val="114"/>
        </w:numPr>
        <w:tabs>
          <w:tab w:val="left" w:pos="640"/>
        </w:tabs>
        <w:spacing w:line="245" w:lineRule="auto"/>
        <w:ind w:left="640" w:right="20" w:hanging="178"/>
        <w:jc w:val="both"/>
        <w:rPr>
          <w:rFonts w:eastAsia="Times New Roman"/>
          <w:color w:val="CF0A2C"/>
          <w:sz w:val="19"/>
          <w:szCs w:val="19"/>
        </w:rPr>
      </w:pPr>
      <w:r>
        <w:rPr>
          <w:rFonts w:eastAsia="Times New Roman"/>
          <w:sz w:val="19"/>
          <w:szCs w:val="19"/>
        </w:rPr>
        <w:t>If the Executive Severance Plan Qualifying Termination occurs on or after June 30, a pro-rated annual bonus for the year of the Executive Se</w:t>
      </w:r>
      <w:r>
        <w:rPr>
          <w:rFonts w:eastAsia="Times New Roman"/>
          <w:sz w:val="19"/>
          <w:szCs w:val="19"/>
        </w:rPr>
        <w:t>verance Plan Qualifying Termination based on actual performance and pro-rated for the employment period during the year.</w:t>
      </w:r>
    </w:p>
    <w:p w:rsidR="00CC2C66" w:rsidRDefault="00CC2C66">
      <w:pPr>
        <w:spacing w:line="214" w:lineRule="exact"/>
        <w:rPr>
          <w:sz w:val="20"/>
          <w:szCs w:val="20"/>
        </w:rPr>
      </w:pPr>
    </w:p>
    <w:p w:rsidR="00CC2C66" w:rsidRDefault="00F80B74">
      <w:pPr>
        <w:ind w:left="420"/>
        <w:jc w:val="both"/>
        <w:rPr>
          <w:sz w:val="20"/>
          <w:szCs w:val="20"/>
        </w:rPr>
      </w:pPr>
      <w:r>
        <w:rPr>
          <w:rFonts w:eastAsia="Times New Roman"/>
          <w:sz w:val="19"/>
          <w:szCs w:val="19"/>
        </w:rPr>
        <w:t>In the event of a participant’s material breach of a material obligation to the Company pursuant to any award or agreement between the</w:t>
      </w:r>
      <w:r>
        <w:rPr>
          <w:rFonts w:eastAsia="Times New Roman"/>
          <w:sz w:val="19"/>
          <w:szCs w:val="19"/>
        </w:rPr>
        <w:t xml:space="preserve"> participant and the Company, including a material breach of the restrictive covenants set forth in any offer letter, restrictive covenant or other agreement entered into by the participant with the Company or a determination that an event constituting “ca</w:t>
      </w:r>
      <w:r>
        <w:rPr>
          <w:rFonts w:eastAsia="Times New Roman"/>
          <w:sz w:val="19"/>
          <w:szCs w:val="19"/>
        </w:rPr>
        <w:t>use” has occurred, then the Compensation Committee may (i) terminate the participant’s right to receive payments under the Executive Severance Plan and (ii) seek the recoupment of any payments previously made to the participant under the Executive Severanc</w:t>
      </w:r>
      <w:r>
        <w:rPr>
          <w:rFonts w:eastAsia="Times New Roman"/>
          <w:sz w:val="19"/>
          <w:szCs w:val="19"/>
        </w:rPr>
        <w:t>e Plan, including through exercising rights of set-off, forfeiture or cancellation, to the full extent permitted by law, with respect to any other awards, benefits or payments otherwise due to the participant from the Company or any of its affiliates.</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63" w:lineRule="exact"/>
        <w:rPr>
          <w:sz w:val="20"/>
          <w:szCs w:val="20"/>
        </w:rPr>
      </w:pPr>
    </w:p>
    <w:p w:rsidR="00CC2C66" w:rsidRDefault="00F80B74">
      <w:pPr>
        <w:jc w:val="both"/>
        <w:rPr>
          <w:sz w:val="20"/>
          <w:szCs w:val="20"/>
        </w:rPr>
      </w:pPr>
      <w:r>
        <w:rPr>
          <w:rFonts w:eastAsia="Times New Roman"/>
          <w:sz w:val="19"/>
          <w:szCs w:val="19"/>
        </w:rPr>
        <w:t xml:space="preserve">The Company is party to Restrictive Covenant Letter Agreements with each NEO. The Restrictive Covenant Letter Agreements include restrictive covenants relating to non-disclosure, non-competition, non-solicitation and non-disparagement, as well as </w:t>
      </w:r>
      <w:r>
        <w:rPr>
          <w:rFonts w:eastAsia="Times New Roman"/>
          <w:sz w:val="19"/>
          <w:szCs w:val="19"/>
        </w:rPr>
        <w:t>cooperation in investigations and litigation clauses. As consideration for the restrictive covenants, the Company is obligated to pay an amount equivalent to five times the NEO’s average monthly salary upon a termination of employment, other than in the ca</w:t>
      </w:r>
      <w:r>
        <w:rPr>
          <w:rFonts w:eastAsia="Times New Roman"/>
          <w:sz w:val="19"/>
          <w:szCs w:val="19"/>
        </w:rPr>
        <w:t>se of a change-in-control-related termination or the NEO’s death. Such amount would be offset by amounts otherwise owed under any other termination-related agreement between the employee and the Company (including the Executive Severance Plan) so that ther</w:t>
      </w:r>
      <w:r>
        <w:rPr>
          <w:rFonts w:eastAsia="Times New Roman"/>
          <w:sz w:val="19"/>
          <w:szCs w:val="19"/>
        </w:rPr>
        <w:t>e is no duplication of payments.</w:t>
      </w:r>
    </w:p>
    <w:p w:rsidR="00CC2C66" w:rsidRDefault="00F80B74">
      <w:pPr>
        <w:spacing w:line="20" w:lineRule="exact"/>
        <w:rPr>
          <w:sz w:val="20"/>
          <w:szCs w:val="20"/>
        </w:rPr>
      </w:pPr>
      <w:r>
        <w:rPr>
          <w:noProof/>
          <w:sz w:val="20"/>
          <w:szCs w:val="20"/>
        </w:rPr>
        <w:drawing>
          <wp:anchor distT="0" distB="0" distL="114300" distR="114300" simplePos="0" relativeHeight="251738112" behindDoc="1" locked="0" layoutInCell="0" allowOverlap="1">
            <wp:simplePos x="0" y="0"/>
            <wp:positionH relativeFrom="column">
              <wp:posOffset>-3642995</wp:posOffset>
            </wp:positionH>
            <wp:positionV relativeFrom="paragraph">
              <wp:posOffset>-2617470</wp:posOffset>
            </wp:positionV>
            <wp:extent cx="7181215" cy="3683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p>
    <w:p w:rsidR="00CC2C66" w:rsidRDefault="00CC2C66">
      <w:pPr>
        <w:spacing w:line="206" w:lineRule="exact"/>
        <w:rPr>
          <w:sz w:val="20"/>
          <w:szCs w:val="20"/>
        </w:rPr>
      </w:pPr>
    </w:p>
    <w:p w:rsidR="00CC2C66" w:rsidRDefault="00F80B74">
      <w:pPr>
        <w:jc w:val="both"/>
        <w:rPr>
          <w:sz w:val="20"/>
          <w:szCs w:val="20"/>
        </w:rPr>
      </w:pPr>
      <w:r>
        <w:rPr>
          <w:rFonts w:eastAsia="Times New Roman"/>
          <w:sz w:val="19"/>
          <w:szCs w:val="19"/>
        </w:rPr>
        <w:t>The Company’s equity awards provide for pro-rata vesting for terminations due to death, retirement (age 55 and ten years of service or age 65 and five years of service) or involuntary termination by the Company without c</w:t>
      </w:r>
      <w:r>
        <w:rPr>
          <w:rFonts w:eastAsia="Times New Roman"/>
          <w:sz w:val="19"/>
          <w:szCs w:val="19"/>
        </w:rPr>
        <w:t>ause, with PSUs determined based on actual performance. Outstanding equity awards are forfeited upon a termination for cause. If the NEOs’ employment had terminated as of December 31, 2021 without cause or due to death or retirement, they would have been e</w:t>
      </w:r>
      <w:r>
        <w:rPr>
          <w:rFonts w:eastAsia="Times New Roman"/>
          <w:sz w:val="19"/>
          <w:szCs w:val="19"/>
        </w:rPr>
        <w:t>ntitled to pro-rata vesting of their outstanding RSUs, SARs and PSUs as follows: Ms. Wat, $12,360,918; Mr. Yeung, $ 2,550,850; Mr. Chan, $1,955,632; Mr. Huang, $2,677,732 and Mr. Yuen, $1,712,176, assuming target performance for purposes of this disclosure</w:t>
      </w:r>
      <w:r>
        <w:rPr>
          <w:rFonts w:eastAsia="Times New Roman"/>
          <w:sz w:val="19"/>
          <w:szCs w:val="19"/>
        </w:rPr>
        <w:t>. As of December 31, 2021, Messrs. Huang and Yuen were retirement eligible.</w:t>
      </w:r>
    </w:p>
    <w:p w:rsidR="00CC2C66" w:rsidRDefault="00CC2C66">
      <w:pPr>
        <w:spacing w:line="1197" w:lineRule="exact"/>
        <w:rPr>
          <w:sz w:val="20"/>
          <w:szCs w:val="20"/>
        </w:rPr>
      </w:pP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CC2C66">
      <w:pPr>
        <w:spacing w:line="203" w:lineRule="exact"/>
        <w:rPr>
          <w:sz w:val="20"/>
          <w:szCs w:val="20"/>
        </w:rPr>
      </w:pPr>
    </w:p>
    <w:p w:rsidR="00CC2C66" w:rsidRDefault="00F80B74">
      <w:pPr>
        <w:spacing w:line="252" w:lineRule="auto"/>
        <w:ind w:left="420"/>
        <w:jc w:val="both"/>
        <w:rPr>
          <w:sz w:val="20"/>
          <w:szCs w:val="20"/>
        </w:rPr>
      </w:pPr>
      <w:r>
        <w:rPr>
          <w:rFonts w:eastAsia="Times New Roman"/>
          <w:sz w:val="19"/>
          <w:szCs w:val="19"/>
        </w:rPr>
        <w:t>The below table shows the maximum amount of payments and other benefits that each continuing NEO would have received upon a qualifying termination unde</w:t>
      </w:r>
      <w:r>
        <w:rPr>
          <w:rFonts w:eastAsia="Times New Roman"/>
          <w:sz w:val="19"/>
          <w:szCs w:val="19"/>
        </w:rPr>
        <w:t>r the Executive Severance Plan on December 31, 2021 and the Company’s equity award agreements, assuming target performance of the PSUs for purposes of this disclosure.</w:t>
      </w:r>
    </w:p>
    <w:p w:rsidR="00CC2C66" w:rsidRDefault="00CC2C66">
      <w:pPr>
        <w:spacing w:line="245"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6140"/>
        <w:gridCol w:w="100"/>
        <w:gridCol w:w="860"/>
        <w:gridCol w:w="840"/>
        <w:gridCol w:w="840"/>
        <w:gridCol w:w="840"/>
        <w:gridCol w:w="740"/>
        <w:gridCol w:w="60"/>
        <w:gridCol w:w="20"/>
      </w:tblGrid>
      <w:tr w:rsidR="00CC2C66">
        <w:trPr>
          <w:trHeight w:val="177"/>
        </w:trPr>
        <w:tc>
          <w:tcPr>
            <w:tcW w:w="6140" w:type="dxa"/>
            <w:vAlign w:val="bottom"/>
          </w:tcPr>
          <w:p w:rsidR="00CC2C66" w:rsidRDefault="00CC2C66">
            <w:pPr>
              <w:rPr>
                <w:sz w:val="15"/>
                <w:szCs w:val="15"/>
              </w:rPr>
            </w:pPr>
          </w:p>
        </w:tc>
        <w:tc>
          <w:tcPr>
            <w:tcW w:w="100" w:type="dxa"/>
            <w:tcBorders>
              <w:top w:val="single" w:sz="8" w:space="0" w:color="CF0A2C"/>
            </w:tcBorders>
            <w:shd w:val="clear" w:color="auto" w:fill="FAE6E9"/>
            <w:vAlign w:val="bottom"/>
          </w:tcPr>
          <w:p w:rsidR="00CC2C66" w:rsidRDefault="00CC2C66">
            <w:pPr>
              <w:rPr>
                <w:sz w:val="15"/>
                <w:szCs w:val="15"/>
              </w:rPr>
            </w:pPr>
          </w:p>
        </w:tc>
        <w:tc>
          <w:tcPr>
            <w:tcW w:w="860" w:type="dxa"/>
            <w:tcBorders>
              <w:top w:val="single" w:sz="8" w:space="0" w:color="CF0A2C"/>
            </w:tcBorders>
            <w:shd w:val="clear" w:color="auto" w:fill="FAE6E9"/>
            <w:vAlign w:val="bottom"/>
          </w:tcPr>
          <w:p w:rsidR="00CC2C66" w:rsidRDefault="00F80B74">
            <w:pPr>
              <w:ind w:right="248"/>
              <w:jc w:val="right"/>
              <w:rPr>
                <w:sz w:val="20"/>
                <w:szCs w:val="20"/>
              </w:rPr>
            </w:pPr>
            <w:r>
              <w:rPr>
                <w:rFonts w:ascii="Arial" w:eastAsia="Arial" w:hAnsi="Arial" w:cs="Arial"/>
                <w:b/>
                <w:bCs/>
                <w:color w:val="CF0A2C"/>
                <w:sz w:val="15"/>
                <w:szCs w:val="15"/>
              </w:rPr>
              <w:t>Wat</w:t>
            </w:r>
          </w:p>
        </w:tc>
        <w:tc>
          <w:tcPr>
            <w:tcW w:w="840" w:type="dxa"/>
            <w:tcBorders>
              <w:top w:val="single" w:sz="8" w:space="0" w:color="CF0A2C"/>
            </w:tcBorders>
            <w:shd w:val="clear" w:color="auto" w:fill="FAE6E9"/>
            <w:vAlign w:val="bottom"/>
          </w:tcPr>
          <w:p w:rsidR="00CC2C66" w:rsidRDefault="00F80B74">
            <w:pPr>
              <w:ind w:right="130"/>
              <w:jc w:val="right"/>
              <w:rPr>
                <w:sz w:val="20"/>
                <w:szCs w:val="20"/>
              </w:rPr>
            </w:pPr>
            <w:r>
              <w:rPr>
                <w:rFonts w:ascii="Arial" w:eastAsia="Arial" w:hAnsi="Arial" w:cs="Arial"/>
                <w:b/>
                <w:bCs/>
                <w:color w:val="CF0A2C"/>
                <w:sz w:val="15"/>
                <w:szCs w:val="15"/>
              </w:rPr>
              <w:t>Yeung</w:t>
            </w:r>
          </w:p>
        </w:tc>
        <w:tc>
          <w:tcPr>
            <w:tcW w:w="840" w:type="dxa"/>
            <w:tcBorders>
              <w:top w:val="single" w:sz="8" w:space="0" w:color="CF0A2C"/>
            </w:tcBorders>
            <w:shd w:val="clear" w:color="auto" w:fill="FAE6E9"/>
            <w:vAlign w:val="bottom"/>
          </w:tcPr>
          <w:p w:rsidR="00CC2C66" w:rsidRDefault="00F80B74">
            <w:pPr>
              <w:ind w:right="170"/>
              <w:jc w:val="right"/>
              <w:rPr>
                <w:sz w:val="20"/>
                <w:szCs w:val="20"/>
              </w:rPr>
            </w:pPr>
            <w:r>
              <w:rPr>
                <w:rFonts w:ascii="Arial" w:eastAsia="Arial" w:hAnsi="Arial" w:cs="Arial"/>
                <w:b/>
                <w:bCs/>
                <w:color w:val="CF0A2C"/>
                <w:sz w:val="15"/>
                <w:szCs w:val="15"/>
              </w:rPr>
              <w:t>Chan</w:t>
            </w:r>
          </w:p>
        </w:tc>
        <w:tc>
          <w:tcPr>
            <w:tcW w:w="840" w:type="dxa"/>
            <w:tcBorders>
              <w:top w:val="single" w:sz="8" w:space="0" w:color="CF0A2C"/>
            </w:tcBorders>
            <w:shd w:val="clear" w:color="auto" w:fill="FAE6E9"/>
            <w:vAlign w:val="bottom"/>
          </w:tcPr>
          <w:p w:rsidR="00CC2C66" w:rsidRDefault="00F80B74">
            <w:pPr>
              <w:ind w:right="130"/>
              <w:jc w:val="right"/>
              <w:rPr>
                <w:sz w:val="20"/>
                <w:szCs w:val="20"/>
              </w:rPr>
            </w:pPr>
            <w:r>
              <w:rPr>
                <w:rFonts w:ascii="Arial" w:eastAsia="Arial" w:hAnsi="Arial" w:cs="Arial"/>
                <w:b/>
                <w:bCs/>
                <w:color w:val="CF0A2C"/>
                <w:sz w:val="15"/>
                <w:szCs w:val="15"/>
              </w:rPr>
              <w:t>Huang</w:t>
            </w:r>
          </w:p>
        </w:tc>
        <w:tc>
          <w:tcPr>
            <w:tcW w:w="800" w:type="dxa"/>
            <w:gridSpan w:val="2"/>
            <w:tcBorders>
              <w:top w:val="single" w:sz="8" w:space="0" w:color="CF0A2C"/>
            </w:tcBorders>
            <w:shd w:val="clear" w:color="auto" w:fill="FAE6E9"/>
            <w:vAlign w:val="bottom"/>
          </w:tcPr>
          <w:p w:rsidR="00CC2C66" w:rsidRDefault="00F80B74">
            <w:pPr>
              <w:ind w:left="240"/>
              <w:rPr>
                <w:sz w:val="20"/>
                <w:szCs w:val="20"/>
              </w:rPr>
            </w:pPr>
            <w:r>
              <w:rPr>
                <w:rFonts w:ascii="Arial" w:eastAsia="Arial" w:hAnsi="Arial" w:cs="Arial"/>
                <w:b/>
                <w:bCs/>
                <w:color w:val="CF0A2C"/>
                <w:sz w:val="15"/>
                <w:szCs w:val="15"/>
              </w:rPr>
              <w:t>Yuen</w:t>
            </w:r>
          </w:p>
        </w:tc>
        <w:tc>
          <w:tcPr>
            <w:tcW w:w="0" w:type="dxa"/>
            <w:vAlign w:val="bottom"/>
          </w:tcPr>
          <w:p w:rsidR="00CC2C66" w:rsidRDefault="00CC2C66">
            <w:pPr>
              <w:rPr>
                <w:sz w:val="1"/>
                <w:szCs w:val="1"/>
              </w:rPr>
            </w:pPr>
          </w:p>
        </w:tc>
      </w:tr>
      <w:tr w:rsidR="00CC2C66">
        <w:trPr>
          <w:trHeight w:val="206"/>
        </w:trPr>
        <w:tc>
          <w:tcPr>
            <w:tcW w:w="6140" w:type="dxa"/>
            <w:vMerge w:val="restart"/>
            <w:vAlign w:val="bottom"/>
          </w:tcPr>
          <w:p w:rsidR="00CC2C66" w:rsidRDefault="00F80B74">
            <w:pPr>
              <w:rPr>
                <w:sz w:val="20"/>
                <w:szCs w:val="20"/>
              </w:rPr>
            </w:pPr>
            <w:r>
              <w:rPr>
                <w:rFonts w:ascii="Arial" w:eastAsia="Arial" w:hAnsi="Arial" w:cs="Arial"/>
                <w:color w:val="CF0A2C"/>
                <w:sz w:val="14"/>
                <w:szCs w:val="14"/>
              </w:rPr>
              <w:t>Cash Severance</w:t>
            </w:r>
          </w:p>
        </w:tc>
        <w:tc>
          <w:tcPr>
            <w:tcW w:w="960" w:type="dxa"/>
            <w:gridSpan w:val="2"/>
            <w:tcBorders>
              <w:bottom w:val="single" w:sz="8" w:space="0" w:color="CF0A2C"/>
            </w:tcBorders>
            <w:shd w:val="clear" w:color="auto" w:fill="FAE6E9"/>
            <w:vAlign w:val="bottom"/>
          </w:tcPr>
          <w:p w:rsidR="00CC2C66" w:rsidRDefault="00F80B74">
            <w:pPr>
              <w:ind w:right="348"/>
              <w:jc w:val="right"/>
              <w:rPr>
                <w:sz w:val="20"/>
                <w:szCs w:val="20"/>
              </w:rPr>
            </w:pPr>
            <w:r>
              <w:rPr>
                <w:rFonts w:ascii="Arial" w:eastAsia="Arial" w:hAnsi="Arial" w:cs="Arial"/>
                <w:b/>
                <w:bCs/>
                <w:color w:val="CF0A2C"/>
                <w:sz w:val="15"/>
                <w:szCs w:val="15"/>
              </w:rPr>
              <w:t>$</w:t>
            </w:r>
          </w:p>
        </w:tc>
        <w:tc>
          <w:tcPr>
            <w:tcW w:w="840" w:type="dxa"/>
            <w:tcBorders>
              <w:bottom w:val="single" w:sz="8" w:space="0" w:color="CF0A2C"/>
            </w:tcBorders>
            <w:shd w:val="clear" w:color="auto" w:fill="FAE6E9"/>
            <w:vAlign w:val="bottom"/>
          </w:tcPr>
          <w:p w:rsidR="00CC2C66" w:rsidRDefault="00F80B74">
            <w:pPr>
              <w:ind w:right="310"/>
              <w:jc w:val="right"/>
              <w:rPr>
                <w:sz w:val="20"/>
                <w:szCs w:val="20"/>
              </w:rPr>
            </w:pPr>
            <w:r>
              <w:rPr>
                <w:rFonts w:ascii="Arial" w:eastAsia="Arial" w:hAnsi="Arial" w:cs="Arial"/>
                <w:b/>
                <w:bCs/>
                <w:color w:val="CF0A2C"/>
                <w:sz w:val="15"/>
                <w:szCs w:val="15"/>
              </w:rPr>
              <w:t>$</w:t>
            </w:r>
          </w:p>
        </w:tc>
        <w:tc>
          <w:tcPr>
            <w:tcW w:w="840" w:type="dxa"/>
            <w:tcBorders>
              <w:bottom w:val="single" w:sz="8" w:space="0" w:color="CF0A2C"/>
            </w:tcBorders>
            <w:shd w:val="clear" w:color="auto" w:fill="FAE6E9"/>
            <w:vAlign w:val="bottom"/>
          </w:tcPr>
          <w:p w:rsidR="00CC2C66" w:rsidRDefault="00F80B74">
            <w:pPr>
              <w:ind w:right="330"/>
              <w:jc w:val="right"/>
              <w:rPr>
                <w:sz w:val="20"/>
                <w:szCs w:val="20"/>
              </w:rPr>
            </w:pPr>
            <w:r>
              <w:rPr>
                <w:rFonts w:ascii="Arial" w:eastAsia="Arial" w:hAnsi="Arial" w:cs="Arial"/>
                <w:b/>
                <w:bCs/>
                <w:color w:val="CF0A2C"/>
                <w:sz w:val="15"/>
                <w:szCs w:val="15"/>
              </w:rPr>
              <w:t>$</w:t>
            </w:r>
          </w:p>
        </w:tc>
        <w:tc>
          <w:tcPr>
            <w:tcW w:w="840" w:type="dxa"/>
            <w:tcBorders>
              <w:bottom w:val="single" w:sz="8" w:space="0" w:color="CF0A2C"/>
            </w:tcBorders>
            <w:shd w:val="clear" w:color="auto" w:fill="FAE6E9"/>
            <w:vAlign w:val="bottom"/>
          </w:tcPr>
          <w:p w:rsidR="00CC2C66" w:rsidRDefault="00F80B74">
            <w:pPr>
              <w:ind w:right="310"/>
              <w:jc w:val="right"/>
              <w:rPr>
                <w:sz w:val="20"/>
                <w:szCs w:val="20"/>
              </w:rPr>
            </w:pPr>
            <w:r>
              <w:rPr>
                <w:rFonts w:ascii="Arial" w:eastAsia="Arial" w:hAnsi="Arial" w:cs="Arial"/>
                <w:b/>
                <w:bCs/>
                <w:color w:val="CF0A2C"/>
                <w:sz w:val="15"/>
                <w:szCs w:val="15"/>
              </w:rPr>
              <w:t>$</w:t>
            </w:r>
          </w:p>
        </w:tc>
        <w:tc>
          <w:tcPr>
            <w:tcW w:w="740" w:type="dxa"/>
            <w:tcBorders>
              <w:bottom w:val="single" w:sz="8" w:space="0" w:color="CF0A2C"/>
            </w:tcBorders>
            <w:shd w:val="clear" w:color="auto" w:fill="FAE6E9"/>
            <w:vAlign w:val="bottom"/>
          </w:tcPr>
          <w:p w:rsidR="00CC2C66" w:rsidRDefault="00F80B74">
            <w:pPr>
              <w:ind w:right="210"/>
              <w:jc w:val="right"/>
              <w:rPr>
                <w:sz w:val="20"/>
                <w:szCs w:val="20"/>
              </w:rPr>
            </w:pPr>
            <w:r>
              <w:rPr>
                <w:rFonts w:ascii="Arial" w:eastAsia="Arial" w:hAnsi="Arial" w:cs="Arial"/>
                <w:b/>
                <w:bCs/>
                <w:color w:val="CF0A2C"/>
                <w:sz w:val="15"/>
                <w:szCs w:val="15"/>
              </w:rPr>
              <w:t>$</w:t>
            </w:r>
          </w:p>
        </w:tc>
        <w:tc>
          <w:tcPr>
            <w:tcW w:w="60" w:type="dxa"/>
            <w:tcBorders>
              <w:bottom w:val="single" w:sz="8" w:space="0" w:color="CF0A2C"/>
            </w:tcBorders>
            <w:shd w:val="clear" w:color="auto" w:fill="FAE6E9"/>
            <w:vAlign w:val="bottom"/>
          </w:tcPr>
          <w:p w:rsidR="00CC2C66" w:rsidRDefault="00CC2C66">
            <w:pPr>
              <w:rPr>
                <w:sz w:val="17"/>
                <w:szCs w:val="17"/>
              </w:rPr>
            </w:pPr>
          </w:p>
        </w:tc>
        <w:tc>
          <w:tcPr>
            <w:tcW w:w="0" w:type="dxa"/>
            <w:vAlign w:val="bottom"/>
          </w:tcPr>
          <w:p w:rsidR="00CC2C66" w:rsidRDefault="00CC2C66">
            <w:pPr>
              <w:rPr>
                <w:sz w:val="1"/>
                <w:szCs w:val="1"/>
              </w:rPr>
            </w:pPr>
          </w:p>
        </w:tc>
      </w:tr>
      <w:tr w:rsidR="00CC2C66">
        <w:trPr>
          <w:trHeight w:val="139"/>
        </w:trPr>
        <w:tc>
          <w:tcPr>
            <w:tcW w:w="6140" w:type="dxa"/>
            <w:vMerge/>
            <w:vAlign w:val="bottom"/>
          </w:tcPr>
          <w:p w:rsidR="00CC2C66" w:rsidRDefault="00CC2C66">
            <w:pPr>
              <w:rPr>
                <w:sz w:val="12"/>
                <w:szCs w:val="12"/>
              </w:rPr>
            </w:pPr>
          </w:p>
        </w:tc>
        <w:tc>
          <w:tcPr>
            <w:tcW w:w="960" w:type="dxa"/>
            <w:gridSpan w:val="2"/>
            <w:vAlign w:val="bottom"/>
          </w:tcPr>
          <w:p w:rsidR="00CC2C66" w:rsidRDefault="00F80B74">
            <w:pPr>
              <w:spacing w:line="139" w:lineRule="exact"/>
              <w:ind w:right="28"/>
              <w:jc w:val="right"/>
              <w:rPr>
                <w:sz w:val="20"/>
                <w:szCs w:val="20"/>
              </w:rPr>
            </w:pPr>
            <w:r>
              <w:rPr>
                <w:rFonts w:ascii="Arial" w:eastAsia="Arial" w:hAnsi="Arial" w:cs="Arial"/>
                <w:sz w:val="14"/>
                <w:szCs w:val="14"/>
              </w:rPr>
              <w:t>8,100,000</w:t>
            </w:r>
          </w:p>
        </w:tc>
        <w:tc>
          <w:tcPr>
            <w:tcW w:w="840" w:type="dxa"/>
            <w:vAlign w:val="bottom"/>
          </w:tcPr>
          <w:p w:rsidR="00CC2C66" w:rsidRDefault="00F80B74">
            <w:pPr>
              <w:spacing w:line="139" w:lineRule="exact"/>
              <w:ind w:right="50"/>
              <w:jc w:val="right"/>
              <w:rPr>
                <w:sz w:val="20"/>
                <w:szCs w:val="20"/>
              </w:rPr>
            </w:pPr>
            <w:r>
              <w:rPr>
                <w:rFonts w:ascii="Arial" w:eastAsia="Arial" w:hAnsi="Arial" w:cs="Arial"/>
                <w:sz w:val="14"/>
                <w:szCs w:val="14"/>
              </w:rPr>
              <w:t>1,600,000</w:t>
            </w:r>
          </w:p>
        </w:tc>
        <w:tc>
          <w:tcPr>
            <w:tcW w:w="840" w:type="dxa"/>
            <w:vAlign w:val="bottom"/>
          </w:tcPr>
          <w:p w:rsidR="00CC2C66" w:rsidRDefault="00F80B74">
            <w:pPr>
              <w:spacing w:line="139" w:lineRule="exact"/>
              <w:ind w:right="50"/>
              <w:jc w:val="right"/>
              <w:rPr>
                <w:sz w:val="20"/>
                <w:szCs w:val="20"/>
              </w:rPr>
            </w:pPr>
            <w:r>
              <w:rPr>
                <w:rFonts w:ascii="Arial" w:eastAsia="Arial" w:hAnsi="Arial" w:cs="Arial"/>
                <w:sz w:val="14"/>
                <w:szCs w:val="14"/>
              </w:rPr>
              <w:t>1,080,000</w:t>
            </w:r>
          </w:p>
        </w:tc>
        <w:tc>
          <w:tcPr>
            <w:tcW w:w="840" w:type="dxa"/>
            <w:vAlign w:val="bottom"/>
          </w:tcPr>
          <w:p w:rsidR="00CC2C66" w:rsidRDefault="00F80B74">
            <w:pPr>
              <w:spacing w:line="139" w:lineRule="exact"/>
              <w:ind w:right="50"/>
              <w:jc w:val="right"/>
              <w:rPr>
                <w:sz w:val="20"/>
                <w:szCs w:val="20"/>
              </w:rPr>
            </w:pPr>
            <w:r>
              <w:rPr>
                <w:rFonts w:ascii="Arial" w:eastAsia="Arial" w:hAnsi="Arial" w:cs="Arial"/>
                <w:sz w:val="14"/>
                <w:szCs w:val="14"/>
              </w:rPr>
              <w:t>1,480,000</w:t>
            </w:r>
          </w:p>
        </w:tc>
        <w:tc>
          <w:tcPr>
            <w:tcW w:w="740" w:type="dxa"/>
            <w:vAlign w:val="bottom"/>
          </w:tcPr>
          <w:p w:rsidR="00CC2C66" w:rsidRDefault="00F80B74">
            <w:pPr>
              <w:spacing w:line="139" w:lineRule="exact"/>
              <w:jc w:val="right"/>
              <w:rPr>
                <w:sz w:val="20"/>
                <w:szCs w:val="20"/>
              </w:rPr>
            </w:pPr>
            <w:r>
              <w:rPr>
                <w:rFonts w:ascii="Arial" w:eastAsia="Arial" w:hAnsi="Arial" w:cs="Arial"/>
                <w:sz w:val="14"/>
                <w:szCs w:val="14"/>
              </w:rPr>
              <w:t>1,020,000</w:t>
            </w:r>
          </w:p>
        </w:tc>
        <w:tc>
          <w:tcPr>
            <w:tcW w:w="60" w:type="dxa"/>
            <w:vAlign w:val="bottom"/>
          </w:tcPr>
          <w:p w:rsidR="00CC2C66" w:rsidRDefault="00CC2C66">
            <w:pPr>
              <w:rPr>
                <w:sz w:val="12"/>
                <w:szCs w:val="12"/>
              </w:rPr>
            </w:pPr>
          </w:p>
        </w:tc>
        <w:tc>
          <w:tcPr>
            <w:tcW w:w="0" w:type="dxa"/>
            <w:vAlign w:val="bottom"/>
          </w:tcPr>
          <w:p w:rsidR="00CC2C66" w:rsidRDefault="00CC2C66">
            <w:pPr>
              <w:rPr>
                <w:sz w:val="1"/>
                <w:szCs w:val="1"/>
              </w:rPr>
            </w:pPr>
          </w:p>
        </w:tc>
      </w:tr>
      <w:tr w:rsidR="00CC2C66">
        <w:trPr>
          <w:trHeight w:val="153"/>
        </w:trPr>
        <w:tc>
          <w:tcPr>
            <w:tcW w:w="6140" w:type="dxa"/>
            <w:vAlign w:val="bottom"/>
          </w:tcPr>
          <w:p w:rsidR="00CC2C66" w:rsidRDefault="00F80B74">
            <w:pPr>
              <w:spacing w:line="153" w:lineRule="exact"/>
              <w:rPr>
                <w:sz w:val="20"/>
                <w:szCs w:val="20"/>
              </w:rPr>
            </w:pPr>
            <w:r>
              <w:rPr>
                <w:rFonts w:ascii="Arial" w:eastAsia="Arial" w:hAnsi="Arial" w:cs="Arial"/>
                <w:color w:val="CF0A2C"/>
                <w:sz w:val="14"/>
                <w:szCs w:val="14"/>
              </w:rPr>
              <w:t>Release Payment</w:t>
            </w:r>
          </w:p>
        </w:tc>
        <w:tc>
          <w:tcPr>
            <w:tcW w:w="960" w:type="dxa"/>
            <w:gridSpan w:val="2"/>
            <w:vAlign w:val="bottom"/>
          </w:tcPr>
          <w:p w:rsidR="00CC2C66" w:rsidRDefault="00F80B74">
            <w:pPr>
              <w:spacing w:line="153" w:lineRule="exact"/>
              <w:ind w:right="28"/>
              <w:jc w:val="right"/>
              <w:rPr>
                <w:sz w:val="20"/>
                <w:szCs w:val="20"/>
              </w:rPr>
            </w:pPr>
            <w:r>
              <w:rPr>
                <w:rFonts w:ascii="Arial" w:eastAsia="Arial" w:hAnsi="Arial" w:cs="Arial"/>
                <w:sz w:val="14"/>
                <w:szCs w:val="14"/>
              </w:rPr>
              <w:t>1,551</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1,551</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1,551</w:t>
            </w:r>
          </w:p>
        </w:tc>
        <w:tc>
          <w:tcPr>
            <w:tcW w:w="840" w:type="dxa"/>
            <w:vAlign w:val="bottom"/>
          </w:tcPr>
          <w:p w:rsidR="00CC2C66" w:rsidRDefault="00F80B74">
            <w:pPr>
              <w:spacing w:line="153" w:lineRule="exact"/>
              <w:ind w:right="30"/>
              <w:jc w:val="right"/>
              <w:rPr>
                <w:sz w:val="20"/>
                <w:szCs w:val="20"/>
              </w:rPr>
            </w:pPr>
            <w:r>
              <w:rPr>
                <w:rFonts w:ascii="Arial" w:eastAsia="Arial" w:hAnsi="Arial" w:cs="Arial"/>
                <w:sz w:val="14"/>
                <w:szCs w:val="14"/>
              </w:rPr>
              <w:t>1,551</w:t>
            </w:r>
          </w:p>
        </w:tc>
        <w:tc>
          <w:tcPr>
            <w:tcW w:w="800" w:type="dxa"/>
            <w:gridSpan w:val="2"/>
            <w:vAlign w:val="bottom"/>
          </w:tcPr>
          <w:p w:rsidR="00CC2C66" w:rsidRDefault="00F80B74">
            <w:pPr>
              <w:spacing w:line="153" w:lineRule="exact"/>
              <w:ind w:right="60"/>
              <w:jc w:val="right"/>
              <w:rPr>
                <w:sz w:val="20"/>
                <w:szCs w:val="20"/>
              </w:rPr>
            </w:pPr>
            <w:r>
              <w:rPr>
                <w:rFonts w:ascii="Arial" w:eastAsia="Arial" w:hAnsi="Arial" w:cs="Arial"/>
                <w:sz w:val="14"/>
                <w:szCs w:val="14"/>
              </w:rPr>
              <w:t>1,551</w:t>
            </w:r>
          </w:p>
        </w:tc>
        <w:tc>
          <w:tcPr>
            <w:tcW w:w="0" w:type="dxa"/>
            <w:vAlign w:val="bottom"/>
          </w:tcPr>
          <w:p w:rsidR="00CC2C66" w:rsidRDefault="00CC2C66">
            <w:pPr>
              <w:rPr>
                <w:sz w:val="1"/>
                <w:szCs w:val="1"/>
              </w:rPr>
            </w:pPr>
          </w:p>
        </w:tc>
      </w:tr>
      <w:tr w:rsidR="00CC2C66">
        <w:trPr>
          <w:trHeight w:val="153"/>
        </w:trPr>
        <w:tc>
          <w:tcPr>
            <w:tcW w:w="6140" w:type="dxa"/>
            <w:vAlign w:val="bottom"/>
          </w:tcPr>
          <w:p w:rsidR="00CC2C66" w:rsidRDefault="00F80B74">
            <w:pPr>
              <w:spacing w:line="153" w:lineRule="exact"/>
              <w:rPr>
                <w:sz w:val="20"/>
                <w:szCs w:val="20"/>
              </w:rPr>
            </w:pPr>
            <w:r>
              <w:rPr>
                <w:rFonts w:ascii="Arial" w:eastAsia="Arial" w:hAnsi="Arial" w:cs="Arial"/>
                <w:color w:val="CF0A2C"/>
                <w:sz w:val="14"/>
                <w:szCs w:val="14"/>
              </w:rPr>
              <w:t>Pro-rata Vesting of SARs</w:t>
            </w:r>
          </w:p>
        </w:tc>
        <w:tc>
          <w:tcPr>
            <w:tcW w:w="960" w:type="dxa"/>
            <w:gridSpan w:val="2"/>
            <w:vAlign w:val="bottom"/>
          </w:tcPr>
          <w:p w:rsidR="00CC2C66" w:rsidRDefault="00F80B74">
            <w:pPr>
              <w:spacing w:line="153" w:lineRule="exact"/>
              <w:ind w:right="28"/>
              <w:jc w:val="right"/>
              <w:rPr>
                <w:sz w:val="20"/>
                <w:szCs w:val="20"/>
              </w:rPr>
            </w:pPr>
            <w:r>
              <w:rPr>
                <w:rFonts w:ascii="Arial" w:eastAsia="Arial" w:hAnsi="Arial" w:cs="Arial"/>
                <w:sz w:val="14"/>
                <w:szCs w:val="14"/>
              </w:rPr>
              <w:t>1,061,916</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73,358</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48,908</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205,978</w:t>
            </w:r>
          </w:p>
        </w:tc>
        <w:tc>
          <w:tcPr>
            <w:tcW w:w="800" w:type="dxa"/>
            <w:gridSpan w:val="2"/>
            <w:vAlign w:val="bottom"/>
          </w:tcPr>
          <w:p w:rsidR="00CC2C66" w:rsidRDefault="00F80B74">
            <w:pPr>
              <w:spacing w:line="153" w:lineRule="exact"/>
              <w:ind w:right="60"/>
              <w:jc w:val="right"/>
              <w:rPr>
                <w:sz w:val="20"/>
                <w:szCs w:val="20"/>
              </w:rPr>
            </w:pPr>
            <w:r>
              <w:rPr>
                <w:rFonts w:ascii="Arial" w:eastAsia="Arial" w:hAnsi="Arial" w:cs="Arial"/>
                <w:sz w:val="14"/>
                <w:szCs w:val="14"/>
              </w:rPr>
              <w:t>108,461</w:t>
            </w:r>
          </w:p>
        </w:tc>
        <w:tc>
          <w:tcPr>
            <w:tcW w:w="0" w:type="dxa"/>
            <w:vAlign w:val="bottom"/>
          </w:tcPr>
          <w:p w:rsidR="00CC2C66" w:rsidRDefault="00CC2C66">
            <w:pPr>
              <w:rPr>
                <w:sz w:val="1"/>
                <w:szCs w:val="1"/>
              </w:rPr>
            </w:pPr>
          </w:p>
        </w:tc>
      </w:tr>
      <w:tr w:rsidR="00CC2C66">
        <w:trPr>
          <w:trHeight w:val="153"/>
        </w:trPr>
        <w:tc>
          <w:tcPr>
            <w:tcW w:w="6140" w:type="dxa"/>
            <w:vAlign w:val="bottom"/>
          </w:tcPr>
          <w:p w:rsidR="00CC2C66" w:rsidRDefault="00F80B74">
            <w:pPr>
              <w:spacing w:line="153" w:lineRule="exact"/>
              <w:rPr>
                <w:sz w:val="20"/>
                <w:szCs w:val="20"/>
              </w:rPr>
            </w:pPr>
            <w:r>
              <w:rPr>
                <w:rFonts w:ascii="Arial" w:eastAsia="Arial" w:hAnsi="Arial" w:cs="Arial"/>
                <w:color w:val="CF0A2C"/>
                <w:sz w:val="14"/>
                <w:szCs w:val="14"/>
              </w:rPr>
              <w:t>Pro-rata Vesting of RSUs</w:t>
            </w:r>
          </w:p>
        </w:tc>
        <w:tc>
          <w:tcPr>
            <w:tcW w:w="960" w:type="dxa"/>
            <w:gridSpan w:val="2"/>
            <w:vAlign w:val="bottom"/>
          </w:tcPr>
          <w:p w:rsidR="00CC2C66" w:rsidRDefault="00F80B74">
            <w:pPr>
              <w:spacing w:line="153" w:lineRule="exact"/>
              <w:ind w:right="28"/>
              <w:jc w:val="right"/>
              <w:rPr>
                <w:sz w:val="20"/>
                <w:szCs w:val="20"/>
              </w:rPr>
            </w:pPr>
            <w:r>
              <w:rPr>
                <w:rFonts w:ascii="Arial" w:eastAsia="Arial" w:hAnsi="Arial" w:cs="Arial"/>
                <w:sz w:val="14"/>
                <w:szCs w:val="14"/>
              </w:rPr>
              <w:t>669,025</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497,421</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460,735</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524,216</w:t>
            </w:r>
          </w:p>
        </w:tc>
        <w:tc>
          <w:tcPr>
            <w:tcW w:w="800" w:type="dxa"/>
            <w:gridSpan w:val="2"/>
            <w:vAlign w:val="bottom"/>
          </w:tcPr>
          <w:p w:rsidR="00CC2C66" w:rsidRDefault="00F80B74">
            <w:pPr>
              <w:spacing w:line="153" w:lineRule="exact"/>
              <w:ind w:right="60"/>
              <w:jc w:val="right"/>
              <w:rPr>
                <w:sz w:val="20"/>
                <w:szCs w:val="20"/>
              </w:rPr>
            </w:pPr>
            <w:r>
              <w:rPr>
                <w:rFonts w:ascii="Arial" w:eastAsia="Arial" w:hAnsi="Arial" w:cs="Arial"/>
                <w:sz w:val="14"/>
                <w:szCs w:val="14"/>
              </w:rPr>
              <w:t>271,637</w:t>
            </w:r>
          </w:p>
        </w:tc>
        <w:tc>
          <w:tcPr>
            <w:tcW w:w="0" w:type="dxa"/>
            <w:vAlign w:val="bottom"/>
          </w:tcPr>
          <w:p w:rsidR="00CC2C66" w:rsidRDefault="00CC2C66">
            <w:pPr>
              <w:rPr>
                <w:sz w:val="1"/>
                <w:szCs w:val="1"/>
              </w:rPr>
            </w:pPr>
          </w:p>
        </w:tc>
      </w:tr>
      <w:tr w:rsidR="00CC2C66">
        <w:trPr>
          <w:trHeight w:val="161"/>
        </w:trPr>
        <w:tc>
          <w:tcPr>
            <w:tcW w:w="6140" w:type="dxa"/>
            <w:vAlign w:val="bottom"/>
          </w:tcPr>
          <w:p w:rsidR="00CC2C66" w:rsidRDefault="00F80B74">
            <w:pPr>
              <w:rPr>
                <w:sz w:val="20"/>
                <w:szCs w:val="20"/>
              </w:rPr>
            </w:pPr>
            <w:r>
              <w:rPr>
                <w:rFonts w:ascii="Arial" w:eastAsia="Arial" w:hAnsi="Arial" w:cs="Arial"/>
                <w:color w:val="CF0A2C"/>
                <w:sz w:val="14"/>
                <w:szCs w:val="14"/>
              </w:rPr>
              <w:t>Pro-rata Vesting of PSUs</w:t>
            </w:r>
          </w:p>
        </w:tc>
        <w:tc>
          <w:tcPr>
            <w:tcW w:w="100" w:type="dxa"/>
            <w:vAlign w:val="bottom"/>
          </w:tcPr>
          <w:p w:rsidR="00CC2C66" w:rsidRDefault="00CC2C66">
            <w:pPr>
              <w:rPr>
                <w:sz w:val="13"/>
                <w:szCs w:val="13"/>
              </w:rPr>
            </w:pPr>
          </w:p>
        </w:tc>
        <w:tc>
          <w:tcPr>
            <w:tcW w:w="860" w:type="dxa"/>
            <w:tcBorders>
              <w:bottom w:val="single" w:sz="8" w:space="0" w:color="CF0A2C"/>
            </w:tcBorders>
            <w:vAlign w:val="bottom"/>
          </w:tcPr>
          <w:p w:rsidR="00CC2C66" w:rsidRDefault="00F80B74">
            <w:pPr>
              <w:ind w:right="28"/>
              <w:jc w:val="right"/>
              <w:rPr>
                <w:sz w:val="20"/>
                <w:szCs w:val="20"/>
              </w:rPr>
            </w:pPr>
            <w:r>
              <w:rPr>
                <w:rFonts w:ascii="Arial" w:eastAsia="Arial" w:hAnsi="Arial" w:cs="Arial"/>
                <w:sz w:val="14"/>
                <w:szCs w:val="14"/>
              </w:rPr>
              <w:t>10,629,977</w:t>
            </w:r>
          </w:p>
        </w:tc>
        <w:tc>
          <w:tcPr>
            <w:tcW w:w="840" w:type="dxa"/>
            <w:tcBorders>
              <w:bottom w:val="single" w:sz="8" w:space="0" w:color="CF0A2C"/>
            </w:tcBorders>
            <w:vAlign w:val="bottom"/>
          </w:tcPr>
          <w:p w:rsidR="00CC2C66" w:rsidRDefault="00F80B74">
            <w:pPr>
              <w:ind w:right="50"/>
              <w:jc w:val="right"/>
              <w:rPr>
                <w:sz w:val="20"/>
                <w:szCs w:val="20"/>
              </w:rPr>
            </w:pPr>
            <w:r>
              <w:rPr>
                <w:rFonts w:ascii="Arial" w:eastAsia="Arial" w:hAnsi="Arial" w:cs="Arial"/>
                <w:sz w:val="14"/>
                <w:szCs w:val="14"/>
              </w:rPr>
              <w:t>1,980,070</w:t>
            </w:r>
          </w:p>
        </w:tc>
        <w:tc>
          <w:tcPr>
            <w:tcW w:w="840" w:type="dxa"/>
            <w:tcBorders>
              <w:bottom w:val="single" w:sz="8" w:space="0" w:color="CF0A2C"/>
            </w:tcBorders>
            <w:vAlign w:val="bottom"/>
          </w:tcPr>
          <w:p w:rsidR="00CC2C66" w:rsidRDefault="00F80B74">
            <w:pPr>
              <w:ind w:right="50"/>
              <w:jc w:val="right"/>
              <w:rPr>
                <w:sz w:val="20"/>
                <w:szCs w:val="20"/>
              </w:rPr>
            </w:pPr>
            <w:r>
              <w:rPr>
                <w:rFonts w:ascii="Arial" w:eastAsia="Arial" w:hAnsi="Arial" w:cs="Arial"/>
                <w:sz w:val="14"/>
                <w:szCs w:val="14"/>
              </w:rPr>
              <w:t>1,445,989</w:t>
            </w:r>
          </w:p>
        </w:tc>
        <w:tc>
          <w:tcPr>
            <w:tcW w:w="840" w:type="dxa"/>
            <w:tcBorders>
              <w:bottom w:val="single" w:sz="8" w:space="0" w:color="CF0A2C"/>
            </w:tcBorders>
            <w:vAlign w:val="bottom"/>
          </w:tcPr>
          <w:p w:rsidR="00CC2C66" w:rsidRDefault="00F80B74">
            <w:pPr>
              <w:ind w:right="50"/>
              <w:jc w:val="right"/>
              <w:rPr>
                <w:sz w:val="20"/>
                <w:szCs w:val="20"/>
              </w:rPr>
            </w:pPr>
            <w:r>
              <w:rPr>
                <w:rFonts w:ascii="Arial" w:eastAsia="Arial" w:hAnsi="Arial" w:cs="Arial"/>
                <w:sz w:val="14"/>
                <w:szCs w:val="14"/>
              </w:rPr>
              <w:t>1,947,537</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4"/>
                <w:szCs w:val="14"/>
              </w:rPr>
              <w:t>1,332,078</w:t>
            </w:r>
          </w:p>
        </w:tc>
        <w:tc>
          <w:tcPr>
            <w:tcW w:w="60" w:type="dxa"/>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159"/>
        </w:trPr>
        <w:tc>
          <w:tcPr>
            <w:tcW w:w="6140" w:type="dxa"/>
            <w:vAlign w:val="bottom"/>
          </w:tcPr>
          <w:p w:rsidR="00CC2C66" w:rsidRDefault="00F80B74">
            <w:pPr>
              <w:spacing w:line="159" w:lineRule="exact"/>
              <w:rPr>
                <w:sz w:val="20"/>
                <w:szCs w:val="20"/>
              </w:rPr>
            </w:pPr>
            <w:r>
              <w:rPr>
                <w:rFonts w:ascii="Arial" w:eastAsia="Arial" w:hAnsi="Arial" w:cs="Arial"/>
                <w:b/>
                <w:bCs/>
                <w:color w:val="CF0A2C"/>
                <w:sz w:val="14"/>
                <w:szCs w:val="14"/>
              </w:rPr>
              <w:t>TOTAL</w:t>
            </w:r>
          </w:p>
        </w:tc>
        <w:tc>
          <w:tcPr>
            <w:tcW w:w="960" w:type="dxa"/>
            <w:gridSpan w:val="2"/>
            <w:vAlign w:val="bottom"/>
          </w:tcPr>
          <w:p w:rsidR="00CC2C66" w:rsidRDefault="00F80B74">
            <w:pPr>
              <w:spacing w:line="159" w:lineRule="exact"/>
              <w:ind w:right="28"/>
              <w:jc w:val="right"/>
              <w:rPr>
                <w:sz w:val="20"/>
                <w:szCs w:val="20"/>
              </w:rPr>
            </w:pPr>
            <w:r>
              <w:rPr>
                <w:rFonts w:ascii="Arial" w:eastAsia="Arial" w:hAnsi="Arial" w:cs="Arial"/>
                <w:sz w:val="14"/>
                <w:szCs w:val="14"/>
              </w:rPr>
              <w:t>20,462,469</w:t>
            </w:r>
          </w:p>
        </w:tc>
        <w:tc>
          <w:tcPr>
            <w:tcW w:w="840" w:type="dxa"/>
            <w:vAlign w:val="bottom"/>
          </w:tcPr>
          <w:p w:rsidR="00CC2C66" w:rsidRDefault="00F80B74">
            <w:pPr>
              <w:spacing w:line="159" w:lineRule="exact"/>
              <w:ind w:right="50"/>
              <w:jc w:val="right"/>
              <w:rPr>
                <w:sz w:val="20"/>
                <w:szCs w:val="20"/>
              </w:rPr>
            </w:pPr>
            <w:r>
              <w:rPr>
                <w:rFonts w:ascii="Arial" w:eastAsia="Arial" w:hAnsi="Arial" w:cs="Arial"/>
                <w:sz w:val="14"/>
                <w:szCs w:val="14"/>
              </w:rPr>
              <w:t>4,152,400</w:t>
            </w:r>
          </w:p>
        </w:tc>
        <w:tc>
          <w:tcPr>
            <w:tcW w:w="840" w:type="dxa"/>
            <w:vAlign w:val="bottom"/>
          </w:tcPr>
          <w:p w:rsidR="00CC2C66" w:rsidRDefault="00F80B74">
            <w:pPr>
              <w:spacing w:line="159" w:lineRule="exact"/>
              <w:ind w:right="50"/>
              <w:jc w:val="right"/>
              <w:rPr>
                <w:sz w:val="20"/>
                <w:szCs w:val="20"/>
              </w:rPr>
            </w:pPr>
            <w:r>
              <w:rPr>
                <w:rFonts w:ascii="Arial" w:eastAsia="Arial" w:hAnsi="Arial" w:cs="Arial"/>
                <w:sz w:val="14"/>
                <w:szCs w:val="14"/>
              </w:rPr>
              <w:t>3,037,183</w:t>
            </w:r>
          </w:p>
        </w:tc>
        <w:tc>
          <w:tcPr>
            <w:tcW w:w="840" w:type="dxa"/>
            <w:vAlign w:val="bottom"/>
          </w:tcPr>
          <w:p w:rsidR="00CC2C66" w:rsidRDefault="00F80B74">
            <w:pPr>
              <w:spacing w:line="159" w:lineRule="exact"/>
              <w:ind w:right="50"/>
              <w:jc w:val="right"/>
              <w:rPr>
                <w:sz w:val="20"/>
                <w:szCs w:val="20"/>
              </w:rPr>
            </w:pPr>
            <w:r>
              <w:rPr>
                <w:rFonts w:ascii="Arial" w:eastAsia="Arial" w:hAnsi="Arial" w:cs="Arial"/>
                <w:sz w:val="14"/>
                <w:szCs w:val="14"/>
              </w:rPr>
              <w:t>4,159,282</w:t>
            </w:r>
          </w:p>
        </w:tc>
        <w:tc>
          <w:tcPr>
            <w:tcW w:w="740" w:type="dxa"/>
            <w:vAlign w:val="bottom"/>
          </w:tcPr>
          <w:p w:rsidR="00CC2C66" w:rsidRDefault="00F80B74">
            <w:pPr>
              <w:spacing w:line="159" w:lineRule="exact"/>
              <w:jc w:val="right"/>
              <w:rPr>
                <w:sz w:val="20"/>
                <w:szCs w:val="20"/>
              </w:rPr>
            </w:pPr>
            <w:r>
              <w:rPr>
                <w:rFonts w:ascii="Arial" w:eastAsia="Arial" w:hAnsi="Arial" w:cs="Arial"/>
                <w:sz w:val="14"/>
                <w:szCs w:val="14"/>
              </w:rPr>
              <w:t>2,733,727</w:t>
            </w:r>
          </w:p>
        </w:tc>
        <w:tc>
          <w:tcPr>
            <w:tcW w:w="60" w:type="dxa"/>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20"/>
        </w:trPr>
        <w:tc>
          <w:tcPr>
            <w:tcW w:w="6140" w:type="dxa"/>
            <w:vAlign w:val="bottom"/>
          </w:tcPr>
          <w:p w:rsidR="00CC2C66" w:rsidRDefault="00CC2C66">
            <w:pPr>
              <w:spacing w:line="20" w:lineRule="exact"/>
              <w:rPr>
                <w:sz w:val="1"/>
                <w:szCs w:val="1"/>
              </w:rPr>
            </w:pPr>
          </w:p>
        </w:tc>
        <w:tc>
          <w:tcPr>
            <w:tcW w:w="100" w:type="dxa"/>
            <w:vAlign w:val="bottom"/>
          </w:tcPr>
          <w:p w:rsidR="00CC2C66" w:rsidRDefault="00CC2C66">
            <w:pPr>
              <w:spacing w:line="20" w:lineRule="exact"/>
              <w:rPr>
                <w:sz w:val="1"/>
                <w:szCs w:val="1"/>
              </w:rPr>
            </w:pPr>
          </w:p>
        </w:tc>
        <w:tc>
          <w:tcPr>
            <w:tcW w:w="86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8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8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8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7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60" w:type="dxa"/>
            <w:vAlign w:val="bottom"/>
          </w:tcPr>
          <w:p w:rsidR="00CC2C66" w:rsidRDefault="00CC2C66">
            <w:pPr>
              <w:spacing w:line="20" w:lineRule="exact"/>
              <w:rPr>
                <w:sz w:val="1"/>
                <w:szCs w:val="1"/>
              </w:rPr>
            </w:pPr>
          </w:p>
        </w:tc>
        <w:tc>
          <w:tcPr>
            <w:tcW w:w="0" w:type="dxa"/>
            <w:vAlign w:val="bottom"/>
          </w:tcPr>
          <w:p w:rsidR="00CC2C66" w:rsidRDefault="00CC2C66">
            <w:pPr>
              <w:spacing w:line="20" w:lineRule="exact"/>
              <w:rPr>
                <w:sz w:val="1"/>
                <w:szCs w:val="1"/>
              </w:rPr>
            </w:pPr>
          </w:p>
        </w:tc>
      </w:tr>
    </w:tbl>
    <w:p w:rsidR="00CC2C66" w:rsidRDefault="00CC2C66">
      <w:pPr>
        <w:spacing w:line="200" w:lineRule="exact"/>
        <w:rPr>
          <w:sz w:val="20"/>
          <w:szCs w:val="20"/>
        </w:rPr>
      </w:pPr>
    </w:p>
    <w:p w:rsidR="00CC2C66" w:rsidRDefault="00CC2C66">
      <w:pPr>
        <w:spacing w:line="227" w:lineRule="exact"/>
        <w:rPr>
          <w:sz w:val="20"/>
          <w:szCs w:val="20"/>
        </w:rPr>
      </w:pPr>
    </w:p>
    <w:p w:rsidR="00CC2C66" w:rsidRDefault="00F80B74">
      <w:pPr>
        <w:numPr>
          <w:ilvl w:val="0"/>
          <w:numId w:val="115"/>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39136"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71" w:name="page71"/>
      <w:bookmarkEnd w:id="71"/>
      <w:r>
        <w:rPr>
          <w:rFonts w:eastAsia="Times New Roman"/>
          <w:b/>
          <w:bCs/>
          <w:color w:val="0000EE"/>
          <w:sz w:val="17"/>
          <w:szCs w:val="17"/>
          <w:u w:val="single"/>
        </w:rPr>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1" w:lineRule="exact"/>
        <w:rPr>
          <w:sz w:val="20"/>
          <w:szCs w:val="20"/>
        </w:rPr>
      </w:pPr>
    </w:p>
    <w:p w:rsidR="00CC2C66" w:rsidRDefault="00F80B74">
      <w:pPr>
        <w:ind w:left="420"/>
        <w:jc w:val="both"/>
        <w:rPr>
          <w:sz w:val="20"/>
          <w:szCs w:val="20"/>
        </w:rPr>
      </w:pPr>
      <w:r>
        <w:rPr>
          <w:rFonts w:eastAsia="Times New Roman"/>
          <w:b/>
          <w:bCs/>
          <w:i/>
          <w:iCs/>
          <w:color w:val="CF0A2C"/>
          <w:sz w:val="19"/>
          <w:szCs w:val="19"/>
        </w:rPr>
        <w:t>Termination of Employment Following a Change in Control</w:t>
      </w:r>
      <w:r>
        <w:rPr>
          <w:rFonts w:eastAsia="Times New Roman"/>
          <w:color w:val="000000"/>
          <w:sz w:val="19"/>
          <w:szCs w:val="19"/>
        </w:rPr>
        <w:t>. As</w:t>
      </w:r>
      <w:r>
        <w:rPr>
          <w:rFonts w:eastAsia="Times New Roman"/>
          <w:b/>
          <w:bCs/>
          <w:i/>
          <w:iCs/>
          <w:color w:val="CF0A2C"/>
          <w:sz w:val="19"/>
          <w:szCs w:val="19"/>
        </w:rPr>
        <w:t xml:space="preserve"> </w:t>
      </w:r>
      <w:r>
        <w:rPr>
          <w:rFonts w:eastAsia="Times New Roman"/>
          <w:color w:val="000000"/>
          <w:sz w:val="19"/>
          <w:szCs w:val="19"/>
        </w:rPr>
        <w:t>noted in</w:t>
      </w:r>
      <w:r>
        <w:rPr>
          <w:rFonts w:eastAsia="Times New Roman"/>
          <w:color w:val="000000"/>
          <w:sz w:val="19"/>
          <w:szCs w:val="19"/>
        </w:rPr>
        <w:t xml:space="preserve"> the CD&amp;A, the Company maintains a change in control severance plan, which provides severance benefits to our NEOs in the event of a termination of employment by the Company without “cause” or by the NEO due to “good reason,” in each case within 24 months </w:t>
      </w:r>
      <w:r>
        <w:rPr>
          <w:rFonts w:eastAsia="Times New Roman"/>
          <w:color w:val="000000"/>
          <w:sz w:val="19"/>
          <w:szCs w:val="19"/>
        </w:rPr>
        <w:t>following a change in control (a “</w:t>
      </w:r>
      <w:r>
        <w:rPr>
          <w:rFonts w:eastAsia="Times New Roman"/>
          <w:b/>
          <w:bCs/>
          <w:i/>
          <w:iCs/>
          <w:color w:val="000000"/>
          <w:sz w:val="19"/>
          <w:szCs w:val="19"/>
        </w:rPr>
        <w:t>CIC</w:t>
      </w:r>
      <w:r>
        <w:rPr>
          <w:rFonts w:eastAsia="Times New Roman"/>
          <w:color w:val="000000"/>
          <w:sz w:val="19"/>
          <w:szCs w:val="19"/>
        </w:rPr>
        <w:t xml:space="preserve"> </w:t>
      </w:r>
      <w:r>
        <w:rPr>
          <w:rFonts w:eastAsia="Times New Roman"/>
          <w:b/>
          <w:bCs/>
          <w:i/>
          <w:iCs/>
          <w:color w:val="000000"/>
          <w:sz w:val="19"/>
          <w:szCs w:val="19"/>
        </w:rPr>
        <w:t>Qualifying Termination</w:t>
      </w:r>
      <w:r>
        <w:rPr>
          <w:rFonts w:eastAsia="Times New Roman"/>
          <w:color w:val="000000"/>
          <w:sz w:val="19"/>
          <w:szCs w:val="19"/>
        </w:rPr>
        <w:t>”). Each NEO has executed a</w:t>
      </w:r>
      <w:r>
        <w:rPr>
          <w:rFonts w:eastAsia="Times New Roman"/>
          <w:b/>
          <w:bCs/>
          <w:i/>
          <w:iCs/>
          <w:color w:val="000000"/>
          <w:sz w:val="19"/>
          <w:szCs w:val="19"/>
        </w:rPr>
        <w:t xml:space="preserve"> </w:t>
      </w:r>
      <w:r>
        <w:rPr>
          <w:rFonts w:eastAsia="Times New Roman"/>
          <w:color w:val="000000"/>
          <w:sz w:val="19"/>
          <w:szCs w:val="19"/>
        </w:rPr>
        <w:t>participation and restrictive covenant agreement to participate in the Change in Control Severance Plan, which contains restrictive covenants in favor of the Company re</w:t>
      </w:r>
      <w:r>
        <w:rPr>
          <w:rFonts w:eastAsia="Times New Roman"/>
          <w:color w:val="000000"/>
          <w:sz w:val="19"/>
          <w:szCs w:val="19"/>
        </w:rPr>
        <w:t>lating to non-competition, non-solicitation, non-disclosure, and non-disparagement. In the event of a CIC Qualifying Termination under the Change in Control Severance Plan, the NEO would receive, in lieu of any severance benefits under any other arrangemen</w:t>
      </w:r>
      <w:r>
        <w:rPr>
          <w:rFonts w:eastAsia="Times New Roman"/>
          <w:color w:val="000000"/>
          <w:sz w:val="19"/>
          <w:szCs w:val="19"/>
        </w:rPr>
        <w:t>t with the participant, the following severance benefits:</w:t>
      </w:r>
    </w:p>
    <w:p w:rsidR="00CC2C66" w:rsidRDefault="00CC2C66">
      <w:pPr>
        <w:spacing w:line="262" w:lineRule="exact"/>
        <w:rPr>
          <w:sz w:val="20"/>
          <w:szCs w:val="20"/>
        </w:rPr>
      </w:pPr>
    </w:p>
    <w:p w:rsidR="00CC2C66" w:rsidRDefault="00F80B74">
      <w:pPr>
        <w:numPr>
          <w:ilvl w:val="0"/>
          <w:numId w:val="116"/>
        </w:numPr>
        <w:tabs>
          <w:tab w:val="left" w:pos="640"/>
        </w:tabs>
        <w:spacing w:line="241" w:lineRule="auto"/>
        <w:ind w:left="640" w:right="20" w:hanging="178"/>
        <w:jc w:val="both"/>
        <w:rPr>
          <w:rFonts w:eastAsia="Times New Roman"/>
          <w:color w:val="CF0A2C"/>
          <w:sz w:val="19"/>
          <w:szCs w:val="19"/>
        </w:rPr>
      </w:pPr>
      <w:r>
        <w:rPr>
          <w:rFonts w:eastAsia="Times New Roman"/>
          <w:sz w:val="19"/>
          <w:szCs w:val="19"/>
        </w:rPr>
        <w:t>An amount equal to the “</w:t>
      </w:r>
      <w:r>
        <w:rPr>
          <w:rFonts w:eastAsia="Times New Roman"/>
          <w:b/>
          <w:bCs/>
          <w:i/>
          <w:iCs/>
          <w:sz w:val="19"/>
          <w:szCs w:val="19"/>
        </w:rPr>
        <w:t>Severance Multiple</w:t>
      </w:r>
      <w:r>
        <w:rPr>
          <w:rFonts w:eastAsia="Times New Roman"/>
          <w:sz w:val="19"/>
          <w:szCs w:val="19"/>
        </w:rPr>
        <w:t>” multiplied by the sum of (x) such NEO’s monthly base salary in effect immediately prior to a CIC Qualifying Termination (or prior to any reduction for pu</w:t>
      </w:r>
      <w:r>
        <w:rPr>
          <w:rFonts w:eastAsia="Times New Roman"/>
          <w:sz w:val="19"/>
          <w:szCs w:val="19"/>
        </w:rPr>
        <w:t>rposes of good reason) and (y) 1/12 of the greater of such NEO’s annual target cash bonus for the calendar year in which the CIC Qualifying Termination occurs and the most recent annual cash bonus paid to the NEO, with such amounts payable over the 12-mont</w:t>
      </w:r>
      <w:r>
        <w:rPr>
          <w:rFonts w:eastAsia="Times New Roman"/>
          <w:sz w:val="19"/>
          <w:szCs w:val="19"/>
        </w:rPr>
        <w:t>h period following the NEO’s termination of employment. The Severance Multiple is 30 for the CEO and 24 for each of the other participating NEOs.</w:t>
      </w:r>
    </w:p>
    <w:p w:rsidR="00CC2C66" w:rsidRDefault="00CC2C66">
      <w:pPr>
        <w:spacing w:line="263" w:lineRule="exact"/>
        <w:rPr>
          <w:rFonts w:eastAsia="Times New Roman"/>
          <w:color w:val="CF0A2C"/>
          <w:sz w:val="19"/>
          <w:szCs w:val="19"/>
        </w:rPr>
      </w:pPr>
    </w:p>
    <w:p w:rsidR="00CC2C66" w:rsidRDefault="00F80B74">
      <w:pPr>
        <w:numPr>
          <w:ilvl w:val="0"/>
          <w:numId w:val="116"/>
        </w:numPr>
        <w:tabs>
          <w:tab w:val="left" w:pos="640"/>
        </w:tabs>
        <w:spacing w:line="247" w:lineRule="auto"/>
        <w:ind w:left="640" w:right="20" w:hanging="178"/>
        <w:jc w:val="both"/>
        <w:rPr>
          <w:rFonts w:eastAsia="Times New Roman"/>
          <w:color w:val="CF0A2C"/>
          <w:sz w:val="19"/>
          <w:szCs w:val="19"/>
        </w:rPr>
      </w:pPr>
      <w:r>
        <w:rPr>
          <w:rFonts w:eastAsia="Times New Roman"/>
          <w:sz w:val="19"/>
          <w:szCs w:val="19"/>
        </w:rPr>
        <w:t>Any accrued, but unpaid as of the date of the CIC Qualifying Termination, annual cash bonus for any completed</w:t>
      </w:r>
      <w:r>
        <w:rPr>
          <w:rFonts w:eastAsia="Times New Roman"/>
          <w:sz w:val="19"/>
          <w:szCs w:val="19"/>
        </w:rPr>
        <w:t xml:space="preserve"> fiscal year preceding a CIC Qualifying Termination, to be paid within 60 days of the CIC Qualifying Termination.</w:t>
      </w:r>
    </w:p>
    <w:p w:rsidR="00CC2C66" w:rsidRDefault="00CC2C66">
      <w:pPr>
        <w:spacing w:line="250" w:lineRule="exact"/>
        <w:rPr>
          <w:rFonts w:eastAsia="Times New Roman"/>
          <w:color w:val="CF0A2C"/>
          <w:sz w:val="19"/>
          <w:szCs w:val="19"/>
        </w:rPr>
      </w:pPr>
    </w:p>
    <w:p w:rsidR="00CC2C66" w:rsidRDefault="00F80B74">
      <w:pPr>
        <w:numPr>
          <w:ilvl w:val="0"/>
          <w:numId w:val="116"/>
        </w:numPr>
        <w:tabs>
          <w:tab w:val="left" w:pos="640"/>
        </w:tabs>
        <w:spacing w:line="265" w:lineRule="auto"/>
        <w:ind w:left="640" w:right="20" w:hanging="178"/>
        <w:rPr>
          <w:rFonts w:eastAsia="Times New Roman"/>
          <w:color w:val="CF0A2C"/>
          <w:sz w:val="19"/>
          <w:szCs w:val="19"/>
        </w:rPr>
      </w:pPr>
      <w:r>
        <w:rPr>
          <w:rFonts w:eastAsia="Times New Roman"/>
          <w:sz w:val="19"/>
          <w:szCs w:val="19"/>
        </w:rPr>
        <w:t>Accrued benefits under any retirement plan or health or welfare plan.</w:t>
      </w:r>
    </w:p>
    <w:p w:rsidR="00CC2C66" w:rsidRDefault="00CC2C66">
      <w:pPr>
        <w:spacing w:line="233" w:lineRule="exact"/>
        <w:rPr>
          <w:rFonts w:eastAsia="Times New Roman"/>
          <w:color w:val="CF0A2C"/>
          <w:sz w:val="19"/>
          <w:szCs w:val="19"/>
        </w:rPr>
      </w:pPr>
    </w:p>
    <w:p w:rsidR="00CC2C66" w:rsidRDefault="00F80B74">
      <w:pPr>
        <w:numPr>
          <w:ilvl w:val="0"/>
          <w:numId w:val="116"/>
        </w:numPr>
        <w:tabs>
          <w:tab w:val="left" w:pos="640"/>
        </w:tabs>
        <w:spacing w:line="252" w:lineRule="auto"/>
        <w:ind w:left="640" w:right="20" w:hanging="178"/>
        <w:jc w:val="both"/>
        <w:rPr>
          <w:rFonts w:eastAsia="Times New Roman"/>
          <w:color w:val="CF0A2C"/>
          <w:sz w:val="19"/>
          <w:szCs w:val="19"/>
        </w:rPr>
      </w:pPr>
      <w:r>
        <w:rPr>
          <w:rFonts w:eastAsia="Times New Roman"/>
          <w:sz w:val="19"/>
          <w:szCs w:val="19"/>
        </w:rPr>
        <w:t xml:space="preserve">If permitted by the terms of the Company’s health plan and applicable </w:t>
      </w:r>
      <w:r>
        <w:rPr>
          <w:rFonts w:eastAsia="Times New Roman"/>
          <w:sz w:val="19"/>
          <w:szCs w:val="19"/>
        </w:rPr>
        <w:t>law, continued health insurance coverage, subsidized by the Company at active employee</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740160"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741184"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47" w:lineRule="auto"/>
        <w:ind w:left="200" w:right="20"/>
        <w:jc w:val="both"/>
        <w:rPr>
          <w:sz w:val="20"/>
          <w:szCs w:val="20"/>
        </w:rPr>
      </w:pPr>
      <w:r>
        <w:rPr>
          <w:rFonts w:eastAsia="Times New Roman"/>
          <w:sz w:val="19"/>
          <w:szCs w:val="19"/>
        </w:rPr>
        <w:t>rates, through the earlier of the one-year anniversary of the participant’s termination of employment and the participant becoming eligibl</w:t>
      </w:r>
      <w:r>
        <w:rPr>
          <w:rFonts w:eastAsia="Times New Roman"/>
          <w:sz w:val="19"/>
          <w:szCs w:val="19"/>
        </w:rPr>
        <w:t>e for health insurance coverage under another employer’s plan.</w:t>
      </w:r>
    </w:p>
    <w:p w:rsidR="00CC2C66" w:rsidRDefault="00CC2C66">
      <w:pPr>
        <w:spacing w:line="251" w:lineRule="exact"/>
        <w:rPr>
          <w:sz w:val="20"/>
          <w:szCs w:val="20"/>
        </w:rPr>
      </w:pPr>
    </w:p>
    <w:p w:rsidR="00CC2C66" w:rsidRDefault="00F80B74">
      <w:pPr>
        <w:numPr>
          <w:ilvl w:val="0"/>
          <w:numId w:val="117"/>
        </w:numPr>
        <w:tabs>
          <w:tab w:val="left" w:pos="240"/>
        </w:tabs>
        <w:spacing w:line="252" w:lineRule="auto"/>
        <w:ind w:left="240" w:right="20" w:hanging="181"/>
        <w:jc w:val="both"/>
        <w:rPr>
          <w:rFonts w:eastAsia="Times New Roman"/>
          <w:color w:val="CF0A2C"/>
          <w:sz w:val="19"/>
          <w:szCs w:val="19"/>
        </w:rPr>
      </w:pPr>
      <w:r>
        <w:rPr>
          <w:rFonts w:eastAsia="Times New Roman"/>
          <w:sz w:val="19"/>
          <w:szCs w:val="19"/>
        </w:rPr>
        <w:t>Outplacement services, in an aggregate cost to the Company not to exceed $25,000, for a one-year period (or, if earlier, until the NEO accepts an offer of employment).</w:t>
      </w:r>
    </w:p>
    <w:p w:rsidR="00CC2C66" w:rsidRDefault="00CC2C66">
      <w:pPr>
        <w:spacing w:line="206" w:lineRule="exact"/>
        <w:rPr>
          <w:sz w:val="20"/>
          <w:szCs w:val="20"/>
        </w:rPr>
      </w:pPr>
    </w:p>
    <w:p w:rsidR="00CC2C66" w:rsidRDefault="00F80B74">
      <w:pPr>
        <w:spacing w:line="254" w:lineRule="auto"/>
        <w:jc w:val="both"/>
        <w:rPr>
          <w:sz w:val="20"/>
          <w:szCs w:val="20"/>
        </w:rPr>
      </w:pPr>
      <w:r>
        <w:rPr>
          <w:rFonts w:eastAsia="Times New Roman"/>
          <w:sz w:val="18"/>
          <w:szCs w:val="18"/>
        </w:rPr>
        <w:t xml:space="preserve">Under the terms of our </w:t>
      </w:r>
      <w:r>
        <w:rPr>
          <w:rFonts w:eastAsia="Times New Roman"/>
          <w:sz w:val="18"/>
          <w:szCs w:val="18"/>
        </w:rPr>
        <w:t>equity agreements, all outstanding SARs and RSUs would fully and immediately vest following a change in control of the Company if the NEO is employed on the date of the change in control and is involuntarily terminated (other than for cause) on or within t</w:t>
      </w:r>
      <w:r>
        <w:rPr>
          <w:rFonts w:eastAsia="Times New Roman"/>
          <w:sz w:val="18"/>
          <w:szCs w:val="18"/>
        </w:rPr>
        <w:t xml:space="preserve">wo years following the change in control. Under the terms of Annual PSU Awards starting from 2020 and the 2020 Partner PSU Awards, if the NEO is employed on the date of the change in control and resigns for good reason or is involuntarily terminated other </w:t>
      </w:r>
      <w:r>
        <w:rPr>
          <w:rFonts w:eastAsia="Times New Roman"/>
          <w:sz w:val="18"/>
          <w:szCs w:val="18"/>
        </w:rPr>
        <w:t>than for cause within two years following a change in control, then vesting shall be measured based on the greater of</w:t>
      </w:r>
    </w:p>
    <w:p w:rsidR="00CC2C66" w:rsidRDefault="00CC2C66">
      <w:pPr>
        <w:spacing w:line="1" w:lineRule="exact"/>
        <w:rPr>
          <w:sz w:val="20"/>
          <w:szCs w:val="20"/>
        </w:rPr>
      </w:pPr>
    </w:p>
    <w:p w:rsidR="00CC2C66" w:rsidRDefault="00F80B74">
      <w:pPr>
        <w:numPr>
          <w:ilvl w:val="0"/>
          <w:numId w:val="118"/>
        </w:numPr>
        <w:tabs>
          <w:tab w:val="left" w:pos="236"/>
        </w:tabs>
        <w:spacing w:line="239" w:lineRule="auto"/>
        <w:ind w:firstLine="8"/>
        <w:jc w:val="both"/>
        <w:rPr>
          <w:rFonts w:eastAsia="Times New Roman"/>
          <w:sz w:val="19"/>
          <w:szCs w:val="19"/>
        </w:rPr>
      </w:pPr>
      <w:r>
        <w:rPr>
          <w:rFonts w:eastAsia="Times New Roman"/>
          <w:sz w:val="19"/>
          <w:szCs w:val="19"/>
        </w:rPr>
        <w:t>actual performance for the performance period through the date of termination of employment and (ii) target performance (provided, howeve</w:t>
      </w:r>
      <w:r>
        <w:rPr>
          <w:rFonts w:eastAsia="Times New Roman"/>
          <w:sz w:val="19"/>
          <w:szCs w:val="19"/>
        </w:rPr>
        <w:t>r, that if the change in control and termination of employment occur during the first year of the performance period, then performance will be measured based on target performance). In addition, beginning with the 2020 equity awards, if awards are not effe</w:t>
      </w:r>
      <w:r>
        <w:rPr>
          <w:rFonts w:eastAsia="Times New Roman"/>
          <w:sz w:val="19"/>
          <w:szCs w:val="19"/>
        </w:rPr>
        <w:t xml:space="preserve">ctively assumed in a change in control of the Company, then the awards will vest in full upon such change in control with any stock price performance goal vesting based on the per share transaction price in such change in control and the other performance </w:t>
      </w:r>
      <w:r>
        <w:rPr>
          <w:rFonts w:eastAsia="Times New Roman"/>
          <w:sz w:val="19"/>
          <w:szCs w:val="19"/>
        </w:rPr>
        <w:t>goals vesting at the greater of actual performance through the date of the change in control and target performance (provided, however, if the change in control occurs during the first year of the performance period, then performance will be measured based</w:t>
      </w:r>
      <w:r>
        <w:rPr>
          <w:rFonts w:eastAsia="Times New Roman"/>
          <w:sz w:val="19"/>
          <w:szCs w:val="19"/>
        </w:rPr>
        <w:t xml:space="preserve"> on target performance).</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19"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65</w:t>
      </w:r>
    </w:p>
    <w:p w:rsidR="00CC2C66" w:rsidRDefault="00F80B74">
      <w:pPr>
        <w:spacing w:line="20" w:lineRule="exact"/>
        <w:rPr>
          <w:sz w:val="20"/>
          <w:szCs w:val="20"/>
        </w:rPr>
      </w:pPr>
      <w:r>
        <w:rPr>
          <w:noProof/>
          <w:sz w:val="20"/>
          <w:szCs w:val="20"/>
        </w:rPr>
        <w:drawing>
          <wp:anchor distT="0" distB="0" distL="114300" distR="114300" simplePos="0" relativeHeight="251742208"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72" w:name="page72"/>
      <w:bookmarkEnd w:id="72"/>
      <w:r>
        <w:rPr>
          <w:rFonts w:eastAsia="Times New Roman"/>
          <w:b/>
          <w:bCs/>
          <w:noProof/>
          <w:color w:val="0000EE"/>
          <w:sz w:val="17"/>
          <w:szCs w:val="17"/>
          <w:u w:val="single"/>
        </w:rPr>
        <w:drawing>
          <wp:anchor distT="0" distB="0" distL="114300" distR="114300" simplePos="0" relativeHeight="25174323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44256" behindDoc="1" locked="0" layoutInCell="0" allowOverlap="1">
            <wp:simplePos x="0" y="0"/>
            <wp:positionH relativeFrom="column">
              <wp:posOffset>260985</wp:posOffset>
            </wp:positionH>
            <wp:positionV relativeFrom="paragraph">
              <wp:posOffset>196850</wp:posOffset>
            </wp:positionV>
            <wp:extent cx="1501140" cy="19494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2">
                      <a:extLst/>
                    </a:blip>
                    <a:srcRect/>
                    <a:stretch>
                      <a:fillRect/>
                    </a:stretch>
                  </pic:blipFill>
                  <pic:spPr bwMode="auto">
                    <a:xfrm>
                      <a:off x="0" y="0"/>
                      <a:ext cx="150114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EXECUTIVE COMPENSATION</w:t>
      </w:r>
    </w:p>
    <w:p w:rsidR="00CC2C66" w:rsidRDefault="00CC2C66">
      <w:pPr>
        <w:spacing w:line="191" w:lineRule="exact"/>
        <w:rPr>
          <w:sz w:val="20"/>
          <w:szCs w:val="20"/>
        </w:rPr>
      </w:pPr>
    </w:p>
    <w:p w:rsidR="00CC2C66" w:rsidRDefault="00F80B74">
      <w:pPr>
        <w:spacing w:line="252" w:lineRule="auto"/>
        <w:ind w:left="420"/>
        <w:jc w:val="both"/>
        <w:rPr>
          <w:sz w:val="20"/>
          <w:szCs w:val="20"/>
        </w:rPr>
      </w:pPr>
      <w:r>
        <w:rPr>
          <w:rFonts w:eastAsia="Times New Roman"/>
          <w:sz w:val="19"/>
          <w:szCs w:val="19"/>
        </w:rPr>
        <w:t xml:space="preserve">The below table shows the maximum amount of payments and other benefits that each continuing NEO would have received </w:t>
      </w:r>
      <w:r>
        <w:rPr>
          <w:rFonts w:eastAsia="Times New Roman"/>
          <w:sz w:val="19"/>
          <w:szCs w:val="19"/>
        </w:rPr>
        <w:t>upon a change in control and qualifying termination on December 31, 2021 under the terms of the change in control severance plan and the Company’s equity award agreements, assuming target performance of the PSUs for purposes of this disclosure.</w:t>
      </w:r>
    </w:p>
    <w:p w:rsidR="00CC2C66" w:rsidRDefault="00CC2C66">
      <w:pPr>
        <w:spacing w:line="245"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6140"/>
        <w:gridCol w:w="100"/>
        <w:gridCol w:w="860"/>
        <w:gridCol w:w="840"/>
        <w:gridCol w:w="840"/>
        <w:gridCol w:w="840"/>
        <w:gridCol w:w="740"/>
        <w:gridCol w:w="60"/>
        <w:gridCol w:w="20"/>
      </w:tblGrid>
      <w:tr w:rsidR="00CC2C66">
        <w:trPr>
          <w:trHeight w:val="177"/>
        </w:trPr>
        <w:tc>
          <w:tcPr>
            <w:tcW w:w="6140" w:type="dxa"/>
            <w:vAlign w:val="bottom"/>
          </w:tcPr>
          <w:p w:rsidR="00CC2C66" w:rsidRDefault="00CC2C66">
            <w:pPr>
              <w:rPr>
                <w:sz w:val="15"/>
                <w:szCs w:val="15"/>
              </w:rPr>
            </w:pPr>
          </w:p>
        </w:tc>
        <w:tc>
          <w:tcPr>
            <w:tcW w:w="100" w:type="dxa"/>
            <w:tcBorders>
              <w:top w:val="single" w:sz="8" w:space="0" w:color="CF0A2C"/>
            </w:tcBorders>
            <w:shd w:val="clear" w:color="auto" w:fill="FAE6E9"/>
            <w:vAlign w:val="bottom"/>
          </w:tcPr>
          <w:p w:rsidR="00CC2C66" w:rsidRDefault="00CC2C66">
            <w:pPr>
              <w:rPr>
                <w:sz w:val="15"/>
                <w:szCs w:val="15"/>
              </w:rPr>
            </w:pPr>
          </w:p>
        </w:tc>
        <w:tc>
          <w:tcPr>
            <w:tcW w:w="860" w:type="dxa"/>
            <w:tcBorders>
              <w:top w:val="single" w:sz="8" w:space="0" w:color="CF0A2C"/>
            </w:tcBorders>
            <w:shd w:val="clear" w:color="auto" w:fill="FAE6E9"/>
            <w:vAlign w:val="bottom"/>
          </w:tcPr>
          <w:p w:rsidR="00CC2C66" w:rsidRDefault="00F80B74">
            <w:pPr>
              <w:ind w:right="248"/>
              <w:jc w:val="right"/>
              <w:rPr>
                <w:sz w:val="20"/>
                <w:szCs w:val="20"/>
              </w:rPr>
            </w:pPr>
            <w:r>
              <w:rPr>
                <w:rFonts w:ascii="Arial" w:eastAsia="Arial" w:hAnsi="Arial" w:cs="Arial"/>
                <w:b/>
                <w:bCs/>
                <w:color w:val="CF0A2C"/>
                <w:sz w:val="15"/>
                <w:szCs w:val="15"/>
              </w:rPr>
              <w:t>Wat</w:t>
            </w:r>
          </w:p>
        </w:tc>
        <w:tc>
          <w:tcPr>
            <w:tcW w:w="840" w:type="dxa"/>
            <w:tcBorders>
              <w:top w:val="single" w:sz="8" w:space="0" w:color="CF0A2C"/>
            </w:tcBorders>
            <w:shd w:val="clear" w:color="auto" w:fill="FAE6E9"/>
            <w:vAlign w:val="bottom"/>
          </w:tcPr>
          <w:p w:rsidR="00CC2C66" w:rsidRDefault="00F80B74">
            <w:pPr>
              <w:ind w:right="130"/>
              <w:jc w:val="right"/>
              <w:rPr>
                <w:sz w:val="20"/>
                <w:szCs w:val="20"/>
              </w:rPr>
            </w:pPr>
            <w:r>
              <w:rPr>
                <w:rFonts w:ascii="Arial" w:eastAsia="Arial" w:hAnsi="Arial" w:cs="Arial"/>
                <w:b/>
                <w:bCs/>
                <w:color w:val="CF0A2C"/>
                <w:sz w:val="15"/>
                <w:szCs w:val="15"/>
              </w:rPr>
              <w:t>Yeung</w:t>
            </w:r>
          </w:p>
        </w:tc>
        <w:tc>
          <w:tcPr>
            <w:tcW w:w="840" w:type="dxa"/>
            <w:tcBorders>
              <w:top w:val="single" w:sz="8" w:space="0" w:color="CF0A2C"/>
            </w:tcBorders>
            <w:shd w:val="clear" w:color="auto" w:fill="FAE6E9"/>
            <w:vAlign w:val="bottom"/>
          </w:tcPr>
          <w:p w:rsidR="00CC2C66" w:rsidRDefault="00F80B74">
            <w:pPr>
              <w:ind w:right="170"/>
              <w:jc w:val="right"/>
              <w:rPr>
                <w:sz w:val="20"/>
                <w:szCs w:val="20"/>
              </w:rPr>
            </w:pPr>
            <w:r>
              <w:rPr>
                <w:rFonts w:ascii="Arial" w:eastAsia="Arial" w:hAnsi="Arial" w:cs="Arial"/>
                <w:b/>
                <w:bCs/>
                <w:color w:val="CF0A2C"/>
                <w:sz w:val="15"/>
                <w:szCs w:val="15"/>
              </w:rPr>
              <w:t>Chan</w:t>
            </w:r>
          </w:p>
        </w:tc>
        <w:tc>
          <w:tcPr>
            <w:tcW w:w="840" w:type="dxa"/>
            <w:tcBorders>
              <w:top w:val="single" w:sz="8" w:space="0" w:color="CF0A2C"/>
            </w:tcBorders>
            <w:shd w:val="clear" w:color="auto" w:fill="FAE6E9"/>
            <w:vAlign w:val="bottom"/>
          </w:tcPr>
          <w:p w:rsidR="00CC2C66" w:rsidRDefault="00F80B74">
            <w:pPr>
              <w:ind w:right="130"/>
              <w:jc w:val="right"/>
              <w:rPr>
                <w:sz w:val="20"/>
                <w:szCs w:val="20"/>
              </w:rPr>
            </w:pPr>
            <w:r>
              <w:rPr>
                <w:rFonts w:ascii="Arial" w:eastAsia="Arial" w:hAnsi="Arial" w:cs="Arial"/>
                <w:b/>
                <w:bCs/>
                <w:color w:val="CF0A2C"/>
                <w:sz w:val="15"/>
                <w:szCs w:val="15"/>
              </w:rPr>
              <w:t>Huang</w:t>
            </w:r>
          </w:p>
        </w:tc>
        <w:tc>
          <w:tcPr>
            <w:tcW w:w="800" w:type="dxa"/>
            <w:gridSpan w:val="2"/>
            <w:tcBorders>
              <w:top w:val="single" w:sz="8" w:space="0" w:color="CF0A2C"/>
            </w:tcBorders>
            <w:shd w:val="clear" w:color="auto" w:fill="FAE6E9"/>
            <w:vAlign w:val="bottom"/>
          </w:tcPr>
          <w:p w:rsidR="00CC2C66" w:rsidRDefault="00F80B74">
            <w:pPr>
              <w:ind w:left="240"/>
              <w:rPr>
                <w:sz w:val="20"/>
                <w:szCs w:val="20"/>
              </w:rPr>
            </w:pPr>
            <w:r>
              <w:rPr>
                <w:rFonts w:ascii="Arial" w:eastAsia="Arial" w:hAnsi="Arial" w:cs="Arial"/>
                <w:b/>
                <w:bCs/>
                <w:color w:val="CF0A2C"/>
                <w:sz w:val="15"/>
                <w:szCs w:val="15"/>
              </w:rPr>
              <w:t>Yuen</w:t>
            </w:r>
          </w:p>
        </w:tc>
        <w:tc>
          <w:tcPr>
            <w:tcW w:w="0" w:type="dxa"/>
            <w:vAlign w:val="bottom"/>
          </w:tcPr>
          <w:p w:rsidR="00CC2C66" w:rsidRDefault="00CC2C66">
            <w:pPr>
              <w:rPr>
                <w:sz w:val="1"/>
                <w:szCs w:val="1"/>
              </w:rPr>
            </w:pPr>
          </w:p>
        </w:tc>
      </w:tr>
      <w:tr w:rsidR="00CC2C66">
        <w:trPr>
          <w:trHeight w:val="206"/>
        </w:trPr>
        <w:tc>
          <w:tcPr>
            <w:tcW w:w="6140" w:type="dxa"/>
            <w:vMerge w:val="restart"/>
            <w:vAlign w:val="bottom"/>
          </w:tcPr>
          <w:p w:rsidR="00CC2C66" w:rsidRDefault="00F80B74">
            <w:pPr>
              <w:rPr>
                <w:sz w:val="20"/>
                <w:szCs w:val="20"/>
              </w:rPr>
            </w:pPr>
            <w:r>
              <w:rPr>
                <w:rFonts w:ascii="Arial" w:eastAsia="Arial" w:hAnsi="Arial" w:cs="Arial"/>
                <w:color w:val="CF0A2C"/>
                <w:sz w:val="14"/>
                <w:szCs w:val="14"/>
              </w:rPr>
              <w:t>Cash Severance</w:t>
            </w:r>
          </w:p>
        </w:tc>
        <w:tc>
          <w:tcPr>
            <w:tcW w:w="960" w:type="dxa"/>
            <w:gridSpan w:val="2"/>
            <w:tcBorders>
              <w:bottom w:val="single" w:sz="8" w:space="0" w:color="CF0A2C"/>
            </w:tcBorders>
            <w:shd w:val="clear" w:color="auto" w:fill="FAE6E9"/>
            <w:vAlign w:val="bottom"/>
          </w:tcPr>
          <w:p w:rsidR="00CC2C66" w:rsidRDefault="00F80B74">
            <w:pPr>
              <w:ind w:right="348"/>
              <w:jc w:val="right"/>
              <w:rPr>
                <w:sz w:val="20"/>
                <w:szCs w:val="20"/>
              </w:rPr>
            </w:pPr>
            <w:r>
              <w:rPr>
                <w:rFonts w:ascii="Arial" w:eastAsia="Arial" w:hAnsi="Arial" w:cs="Arial"/>
                <w:b/>
                <w:bCs/>
                <w:color w:val="CF0A2C"/>
                <w:sz w:val="15"/>
                <w:szCs w:val="15"/>
              </w:rPr>
              <w:t>$</w:t>
            </w:r>
          </w:p>
        </w:tc>
        <w:tc>
          <w:tcPr>
            <w:tcW w:w="840" w:type="dxa"/>
            <w:tcBorders>
              <w:bottom w:val="single" w:sz="8" w:space="0" w:color="CF0A2C"/>
            </w:tcBorders>
            <w:shd w:val="clear" w:color="auto" w:fill="FAE6E9"/>
            <w:vAlign w:val="bottom"/>
          </w:tcPr>
          <w:p w:rsidR="00CC2C66" w:rsidRDefault="00F80B74">
            <w:pPr>
              <w:ind w:right="310"/>
              <w:jc w:val="right"/>
              <w:rPr>
                <w:sz w:val="20"/>
                <w:szCs w:val="20"/>
              </w:rPr>
            </w:pPr>
            <w:r>
              <w:rPr>
                <w:rFonts w:ascii="Arial" w:eastAsia="Arial" w:hAnsi="Arial" w:cs="Arial"/>
                <w:b/>
                <w:bCs/>
                <w:color w:val="CF0A2C"/>
                <w:sz w:val="15"/>
                <w:szCs w:val="15"/>
              </w:rPr>
              <w:t>$</w:t>
            </w:r>
          </w:p>
        </w:tc>
        <w:tc>
          <w:tcPr>
            <w:tcW w:w="840" w:type="dxa"/>
            <w:tcBorders>
              <w:bottom w:val="single" w:sz="8" w:space="0" w:color="CF0A2C"/>
            </w:tcBorders>
            <w:shd w:val="clear" w:color="auto" w:fill="FAE6E9"/>
            <w:vAlign w:val="bottom"/>
          </w:tcPr>
          <w:p w:rsidR="00CC2C66" w:rsidRDefault="00F80B74">
            <w:pPr>
              <w:ind w:right="330"/>
              <w:jc w:val="right"/>
              <w:rPr>
                <w:sz w:val="20"/>
                <w:szCs w:val="20"/>
              </w:rPr>
            </w:pPr>
            <w:r>
              <w:rPr>
                <w:rFonts w:ascii="Arial" w:eastAsia="Arial" w:hAnsi="Arial" w:cs="Arial"/>
                <w:b/>
                <w:bCs/>
                <w:color w:val="CF0A2C"/>
                <w:sz w:val="15"/>
                <w:szCs w:val="15"/>
              </w:rPr>
              <w:t>$</w:t>
            </w:r>
          </w:p>
        </w:tc>
        <w:tc>
          <w:tcPr>
            <w:tcW w:w="840" w:type="dxa"/>
            <w:tcBorders>
              <w:bottom w:val="single" w:sz="8" w:space="0" w:color="CF0A2C"/>
            </w:tcBorders>
            <w:shd w:val="clear" w:color="auto" w:fill="FAE6E9"/>
            <w:vAlign w:val="bottom"/>
          </w:tcPr>
          <w:p w:rsidR="00CC2C66" w:rsidRDefault="00F80B74">
            <w:pPr>
              <w:ind w:right="310"/>
              <w:jc w:val="right"/>
              <w:rPr>
                <w:sz w:val="20"/>
                <w:szCs w:val="20"/>
              </w:rPr>
            </w:pPr>
            <w:r>
              <w:rPr>
                <w:rFonts w:ascii="Arial" w:eastAsia="Arial" w:hAnsi="Arial" w:cs="Arial"/>
                <w:b/>
                <w:bCs/>
                <w:color w:val="CF0A2C"/>
                <w:sz w:val="15"/>
                <w:szCs w:val="15"/>
              </w:rPr>
              <w:t>$</w:t>
            </w:r>
          </w:p>
        </w:tc>
        <w:tc>
          <w:tcPr>
            <w:tcW w:w="740" w:type="dxa"/>
            <w:tcBorders>
              <w:bottom w:val="single" w:sz="8" w:space="0" w:color="CF0A2C"/>
            </w:tcBorders>
            <w:shd w:val="clear" w:color="auto" w:fill="FAE6E9"/>
            <w:vAlign w:val="bottom"/>
          </w:tcPr>
          <w:p w:rsidR="00CC2C66" w:rsidRDefault="00F80B74">
            <w:pPr>
              <w:ind w:right="210"/>
              <w:jc w:val="right"/>
              <w:rPr>
                <w:sz w:val="20"/>
                <w:szCs w:val="20"/>
              </w:rPr>
            </w:pPr>
            <w:r>
              <w:rPr>
                <w:rFonts w:ascii="Arial" w:eastAsia="Arial" w:hAnsi="Arial" w:cs="Arial"/>
                <w:b/>
                <w:bCs/>
                <w:color w:val="CF0A2C"/>
                <w:sz w:val="15"/>
                <w:szCs w:val="15"/>
              </w:rPr>
              <w:t>$</w:t>
            </w:r>
          </w:p>
        </w:tc>
        <w:tc>
          <w:tcPr>
            <w:tcW w:w="60" w:type="dxa"/>
            <w:tcBorders>
              <w:bottom w:val="single" w:sz="8" w:space="0" w:color="CF0A2C"/>
            </w:tcBorders>
            <w:shd w:val="clear" w:color="auto" w:fill="FAE6E9"/>
            <w:vAlign w:val="bottom"/>
          </w:tcPr>
          <w:p w:rsidR="00CC2C66" w:rsidRDefault="00CC2C66">
            <w:pPr>
              <w:rPr>
                <w:sz w:val="17"/>
                <w:szCs w:val="17"/>
              </w:rPr>
            </w:pPr>
          </w:p>
        </w:tc>
        <w:tc>
          <w:tcPr>
            <w:tcW w:w="0" w:type="dxa"/>
            <w:vAlign w:val="bottom"/>
          </w:tcPr>
          <w:p w:rsidR="00CC2C66" w:rsidRDefault="00CC2C66">
            <w:pPr>
              <w:rPr>
                <w:sz w:val="1"/>
                <w:szCs w:val="1"/>
              </w:rPr>
            </w:pPr>
          </w:p>
        </w:tc>
      </w:tr>
      <w:tr w:rsidR="00CC2C66">
        <w:trPr>
          <w:trHeight w:val="139"/>
        </w:trPr>
        <w:tc>
          <w:tcPr>
            <w:tcW w:w="6140" w:type="dxa"/>
            <w:vMerge/>
            <w:vAlign w:val="bottom"/>
          </w:tcPr>
          <w:p w:rsidR="00CC2C66" w:rsidRDefault="00CC2C66">
            <w:pPr>
              <w:rPr>
                <w:sz w:val="12"/>
                <w:szCs w:val="12"/>
              </w:rPr>
            </w:pPr>
          </w:p>
        </w:tc>
        <w:tc>
          <w:tcPr>
            <w:tcW w:w="960" w:type="dxa"/>
            <w:gridSpan w:val="2"/>
            <w:vAlign w:val="bottom"/>
          </w:tcPr>
          <w:p w:rsidR="00CC2C66" w:rsidRDefault="00F80B74">
            <w:pPr>
              <w:spacing w:line="139" w:lineRule="exact"/>
              <w:ind w:right="28"/>
              <w:jc w:val="right"/>
              <w:rPr>
                <w:sz w:val="20"/>
                <w:szCs w:val="20"/>
              </w:rPr>
            </w:pPr>
            <w:r>
              <w:rPr>
                <w:rFonts w:ascii="Arial" w:eastAsia="Arial" w:hAnsi="Arial" w:cs="Arial"/>
                <w:sz w:val="14"/>
                <w:szCs w:val="14"/>
              </w:rPr>
              <w:t>10,125,000</w:t>
            </w:r>
          </w:p>
        </w:tc>
        <w:tc>
          <w:tcPr>
            <w:tcW w:w="840" w:type="dxa"/>
            <w:vAlign w:val="bottom"/>
          </w:tcPr>
          <w:p w:rsidR="00CC2C66" w:rsidRDefault="00F80B74">
            <w:pPr>
              <w:spacing w:line="139" w:lineRule="exact"/>
              <w:ind w:right="50"/>
              <w:jc w:val="right"/>
              <w:rPr>
                <w:sz w:val="20"/>
                <w:szCs w:val="20"/>
              </w:rPr>
            </w:pPr>
            <w:r>
              <w:rPr>
                <w:rFonts w:ascii="Arial" w:eastAsia="Arial" w:hAnsi="Arial" w:cs="Arial"/>
                <w:sz w:val="14"/>
                <w:szCs w:val="14"/>
              </w:rPr>
              <w:t>3,200,000</w:t>
            </w:r>
          </w:p>
        </w:tc>
        <w:tc>
          <w:tcPr>
            <w:tcW w:w="840" w:type="dxa"/>
            <w:vAlign w:val="bottom"/>
          </w:tcPr>
          <w:p w:rsidR="00CC2C66" w:rsidRDefault="00F80B74">
            <w:pPr>
              <w:spacing w:line="139" w:lineRule="exact"/>
              <w:ind w:right="50"/>
              <w:jc w:val="right"/>
              <w:rPr>
                <w:sz w:val="20"/>
                <w:szCs w:val="20"/>
              </w:rPr>
            </w:pPr>
            <w:r>
              <w:rPr>
                <w:rFonts w:ascii="Arial" w:eastAsia="Arial" w:hAnsi="Arial" w:cs="Arial"/>
                <w:sz w:val="14"/>
                <w:szCs w:val="14"/>
              </w:rPr>
              <w:t>2,160,000</w:t>
            </w:r>
          </w:p>
        </w:tc>
        <w:tc>
          <w:tcPr>
            <w:tcW w:w="840" w:type="dxa"/>
            <w:vAlign w:val="bottom"/>
          </w:tcPr>
          <w:p w:rsidR="00CC2C66" w:rsidRDefault="00F80B74">
            <w:pPr>
              <w:spacing w:line="139" w:lineRule="exact"/>
              <w:ind w:right="50"/>
              <w:jc w:val="right"/>
              <w:rPr>
                <w:sz w:val="20"/>
                <w:szCs w:val="20"/>
              </w:rPr>
            </w:pPr>
            <w:r>
              <w:rPr>
                <w:rFonts w:ascii="Arial" w:eastAsia="Arial" w:hAnsi="Arial" w:cs="Arial"/>
                <w:sz w:val="14"/>
                <w:szCs w:val="14"/>
              </w:rPr>
              <w:t>2,960,000</w:t>
            </w:r>
          </w:p>
        </w:tc>
        <w:tc>
          <w:tcPr>
            <w:tcW w:w="740" w:type="dxa"/>
            <w:vAlign w:val="bottom"/>
          </w:tcPr>
          <w:p w:rsidR="00CC2C66" w:rsidRDefault="00F80B74">
            <w:pPr>
              <w:spacing w:line="139" w:lineRule="exact"/>
              <w:jc w:val="right"/>
              <w:rPr>
                <w:sz w:val="20"/>
                <w:szCs w:val="20"/>
              </w:rPr>
            </w:pPr>
            <w:r>
              <w:rPr>
                <w:rFonts w:ascii="Arial" w:eastAsia="Arial" w:hAnsi="Arial" w:cs="Arial"/>
                <w:sz w:val="14"/>
                <w:szCs w:val="14"/>
              </w:rPr>
              <w:t>2,123,198</w:t>
            </w:r>
          </w:p>
        </w:tc>
        <w:tc>
          <w:tcPr>
            <w:tcW w:w="60" w:type="dxa"/>
            <w:vAlign w:val="bottom"/>
          </w:tcPr>
          <w:p w:rsidR="00CC2C66" w:rsidRDefault="00CC2C66">
            <w:pPr>
              <w:rPr>
                <w:sz w:val="12"/>
                <w:szCs w:val="12"/>
              </w:rPr>
            </w:pPr>
          </w:p>
        </w:tc>
        <w:tc>
          <w:tcPr>
            <w:tcW w:w="0" w:type="dxa"/>
            <w:vAlign w:val="bottom"/>
          </w:tcPr>
          <w:p w:rsidR="00CC2C66" w:rsidRDefault="00CC2C66">
            <w:pPr>
              <w:rPr>
                <w:sz w:val="1"/>
                <w:szCs w:val="1"/>
              </w:rPr>
            </w:pPr>
          </w:p>
        </w:tc>
      </w:tr>
      <w:tr w:rsidR="00CC2C66">
        <w:trPr>
          <w:trHeight w:val="153"/>
        </w:trPr>
        <w:tc>
          <w:tcPr>
            <w:tcW w:w="6140" w:type="dxa"/>
            <w:vAlign w:val="bottom"/>
          </w:tcPr>
          <w:p w:rsidR="00CC2C66" w:rsidRDefault="00F80B74">
            <w:pPr>
              <w:spacing w:line="153" w:lineRule="exact"/>
              <w:rPr>
                <w:sz w:val="20"/>
                <w:szCs w:val="20"/>
              </w:rPr>
            </w:pPr>
            <w:r>
              <w:rPr>
                <w:rFonts w:ascii="Arial" w:eastAsia="Arial" w:hAnsi="Arial" w:cs="Arial"/>
                <w:color w:val="CF0A2C"/>
                <w:sz w:val="14"/>
                <w:szCs w:val="14"/>
              </w:rPr>
              <w:t>Continued Health Insurance Coverage</w:t>
            </w:r>
          </w:p>
        </w:tc>
        <w:tc>
          <w:tcPr>
            <w:tcW w:w="960" w:type="dxa"/>
            <w:gridSpan w:val="2"/>
            <w:vAlign w:val="bottom"/>
          </w:tcPr>
          <w:p w:rsidR="00CC2C66" w:rsidRDefault="00F80B74">
            <w:pPr>
              <w:spacing w:line="153" w:lineRule="exact"/>
              <w:ind w:right="28"/>
              <w:jc w:val="right"/>
              <w:rPr>
                <w:sz w:val="20"/>
                <w:szCs w:val="20"/>
              </w:rPr>
            </w:pPr>
            <w:r>
              <w:rPr>
                <w:rFonts w:ascii="Arial" w:eastAsia="Arial" w:hAnsi="Arial" w:cs="Arial"/>
                <w:sz w:val="14"/>
                <w:szCs w:val="14"/>
              </w:rPr>
              <w:t>18,885</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11,517</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17,770</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11,517</w:t>
            </w:r>
          </w:p>
        </w:tc>
        <w:tc>
          <w:tcPr>
            <w:tcW w:w="800" w:type="dxa"/>
            <w:gridSpan w:val="2"/>
            <w:vAlign w:val="bottom"/>
          </w:tcPr>
          <w:p w:rsidR="00CC2C66" w:rsidRDefault="00F80B74">
            <w:pPr>
              <w:spacing w:line="153" w:lineRule="exact"/>
              <w:ind w:right="60"/>
              <w:jc w:val="right"/>
              <w:rPr>
                <w:sz w:val="20"/>
                <w:szCs w:val="20"/>
              </w:rPr>
            </w:pPr>
            <w:r>
              <w:rPr>
                <w:rFonts w:ascii="Arial" w:eastAsia="Arial" w:hAnsi="Arial" w:cs="Arial"/>
                <w:sz w:val="14"/>
                <w:szCs w:val="14"/>
              </w:rPr>
              <w:t>13,487</w:t>
            </w:r>
          </w:p>
        </w:tc>
        <w:tc>
          <w:tcPr>
            <w:tcW w:w="0" w:type="dxa"/>
            <w:vAlign w:val="bottom"/>
          </w:tcPr>
          <w:p w:rsidR="00CC2C66" w:rsidRDefault="00CC2C66">
            <w:pPr>
              <w:rPr>
                <w:sz w:val="1"/>
                <w:szCs w:val="1"/>
              </w:rPr>
            </w:pPr>
          </w:p>
        </w:tc>
      </w:tr>
      <w:tr w:rsidR="00CC2C66">
        <w:trPr>
          <w:trHeight w:val="153"/>
        </w:trPr>
        <w:tc>
          <w:tcPr>
            <w:tcW w:w="6140" w:type="dxa"/>
            <w:vAlign w:val="bottom"/>
          </w:tcPr>
          <w:p w:rsidR="00CC2C66" w:rsidRDefault="00F80B74">
            <w:pPr>
              <w:spacing w:line="153" w:lineRule="exact"/>
              <w:rPr>
                <w:sz w:val="20"/>
                <w:szCs w:val="20"/>
              </w:rPr>
            </w:pPr>
            <w:r>
              <w:rPr>
                <w:rFonts w:ascii="Arial" w:eastAsia="Arial" w:hAnsi="Arial" w:cs="Arial"/>
                <w:color w:val="CF0A2C"/>
                <w:sz w:val="14"/>
                <w:szCs w:val="14"/>
              </w:rPr>
              <w:t>Outplacement Services</w:t>
            </w:r>
          </w:p>
        </w:tc>
        <w:tc>
          <w:tcPr>
            <w:tcW w:w="960" w:type="dxa"/>
            <w:gridSpan w:val="2"/>
            <w:vAlign w:val="bottom"/>
          </w:tcPr>
          <w:p w:rsidR="00CC2C66" w:rsidRDefault="00F80B74">
            <w:pPr>
              <w:spacing w:line="153" w:lineRule="exact"/>
              <w:ind w:right="28"/>
              <w:jc w:val="right"/>
              <w:rPr>
                <w:sz w:val="20"/>
                <w:szCs w:val="20"/>
              </w:rPr>
            </w:pPr>
            <w:r>
              <w:rPr>
                <w:rFonts w:ascii="Arial" w:eastAsia="Arial" w:hAnsi="Arial" w:cs="Arial"/>
                <w:sz w:val="14"/>
                <w:szCs w:val="14"/>
              </w:rPr>
              <w:t>25,000</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25,000</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25,000</w:t>
            </w:r>
          </w:p>
        </w:tc>
        <w:tc>
          <w:tcPr>
            <w:tcW w:w="840" w:type="dxa"/>
            <w:vAlign w:val="bottom"/>
          </w:tcPr>
          <w:p w:rsidR="00CC2C66" w:rsidRDefault="00F80B74">
            <w:pPr>
              <w:spacing w:line="153" w:lineRule="exact"/>
              <w:ind w:right="30"/>
              <w:jc w:val="right"/>
              <w:rPr>
                <w:sz w:val="20"/>
                <w:szCs w:val="20"/>
              </w:rPr>
            </w:pPr>
            <w:r>
              <w:rPr>
                <w:rFonts w:ascii="Arial" w:eastAsia="Arial" w:hAnsi="Arial" w:cs="Arial"/>
                <w:sz w:val="14"/>
                <w:szCs w:val="14"/>
              </w:rPr>
              <w:t>25,000</w:t>
            </w:r>
          </w:p>
        </w:tc>
        <w:tc>
          <w:tcPr>
            <w:tcW w:w="800" w:type="dxa"/>
            <w:gridSpan w:val="2"/>
            <w:vAlign w:val="bottom"/>
          </w:tcPr>
          <w:p w:rsidR="00CC2C66" w:rsidRDefault="00F80B74">
            <w:pPr>
              <w:spacing w:line="153" w:lineRule="exact"/>
              <w:ind w:right="60"/>
              <w:jc w:val="right"/>
              <w:rPr>
                <w:sz w:val="20"/>
                <w:szCs w:val="20"/>
              </w:rPr>
            </w:pPr>
            <w:r>
              <w:rPr>
                <w:rFonts w:ascii="Arial" w:eastAsia="Arial" w:hAnsi="Arial" w:cs="Arial"/>
                <w:sz w:val="14"/>
                <w:szCs w:val="14"/>
              </w:rPr>
              <w:t>25,000</w:t>
            </w:r>
          </w:p>
        </w:tc>
        <w:tc>
          <w:tcPr>
            <w:tcW w:w="0" w:type="dxa"/>
            <w:vAlign w:val="bottom"/>
          </w:tcPr>
          <w:p w:rsidR="00CC2C66" w:rsidRDefault="00CC2C66">
            <w:pPr>
              <w:rPr>
                <w:sz w:val="1"/>
                <w:szCs w:val="1"/>
              </w:rPr>
            </w:pPr>
          </w:p>
        </w:tc>
      </w:tr>
      <w:tr w:rsidR="00CC2C66">
        <w:trPr>
          <w:trHeight w:val="153"/>
        </w:trPr>
        <w:tc>
          <w:tcPr>
            <w:tcW w:w="6140" w:type="dxa"/>
            <w:vAlign w:val="bottom"/>
          </w:tcPr>
          <w:p w:rsidR="00CC2C66" w:rsidRDefault="00F80B74">
            <w:pPr>
              <w:spacing w:line="153" w:lineRule="exact"/>
              <w:rPr>
                <w:sz w:val="20"/>
                <w:szCs w:val="20"/>
              </w:rPr>
            </w:pPr>
            <w:r>
              <w:rPr>
                <w:rFonts w:ascii="Arial" w:eastAsia="Arial" w:hAnsi="Arial" w:cs="Arial"/>
                <w:color w:val="CF0A2C"/>
                <w:sz w:val="14"/>
                <w:szCs w:val="14"/>
              </w:rPr>
              <w:t xml:space="preserve">Accelerated </w:t>
            </w:r>
            <w:r>
              <w:rPr>
                <w:rFonts w:ascii="Arial" w:eastAsia="Arial" w:hAnsi="Arial" w:cs="Arial"/>
                <w:color w:val="CF0A2C"/>
                <w:sz w:val="14"/>
                <w:szCs w:val="14"/>
              </w:rPr>
              <w:t>Vesting of SARs</w:t>
            </w:r>
          </w:p>
        </w:tc>
        <w:tc>
          <w:tcPr>
            <w:tcW w:w="960" w:type="dxa"/>
            <w:gridSpan w:val="2"/>
            <w:vAlign w:val="bottom"/>
          </w:tcPr>
          <w:p w:rsidR="00CC2C66" w:rsidRDefault="00F80B74">
            <w:pPr>
              <w:spacing w:line="153" w:lineRule="exact"/>
              <w:ind w:right="28"/>
              <w:jc w:val="right"/>
              <w:rPr>
                <w:sz w:val="20"/>
                <w:szCs w:val="20"/>
              </w:rPr>
            </w:pPr>
            <w:r>
              <w:rPr>
                <w:rFonts w:ascii="Arial" w:eastAsia="Arial" w:hAnsi="Arial" w:cs="Arial"/>
                <w:sz w:val="14"/>
                <w:szCs w:val="14"/>
              </w:rPr>
              <w:t>2,205,912</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240,081</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160,061</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451,744</w:t>
            </w:r>
          </w:p>
        </w:tc>
        <w:tc>
          <w:tcPr>
            <w:tcW w:w="800" w:type="dxa"/>
            <w:gridSpan w:val="2"/>
            <w:vAlign w:val="bottom"/>
          </w:tcPr>
          <w:p w:rsidR="00CC2C66" w:rsidRDefault="00F80B74">
            <w:pPr>
              <w:spacing w:line="153" w:lineRule="exact"/>
              <w:ind w:right="60"/>
              <w:jc w:val="right"/>
              <w:rPr>
                <w:sz w:val="20"/>
                <w:szCs w:val="20"/>
              </w:rPr>
            </w:pPr>
            <w:r>
              <w:rPr>
                <w:rFonts w:ascii="Arial" w:eastAsia="Arial" w:hAnsi="Arial" w:cs="Arial"/>
                <w:sz w:val="14"/>
                <w:szCs w:val="14"/>
              </w:rPr>
              <w:t>239,738</w:t>
            </w:r>
          </w:p>
        </w:tc>
        <w:tc>
          <w:tcPr>
            <w:tcW w:w="0" w:type="dxa"/>
            <w:vAlign w:val="bottom"/>
          </w:tcPr>
          <w:p w:rsidR="00CC2C66" w:rsidRDefault="00CC2C66">
            <w:pPr>
              <w:rPr>
                <w:sz w:val="1"/>
                <w:szCs w:val="1"/>
              </w:rPr>
            </w:pPr>
          </w:p>
        </w:tc>
      </w:tr>
      <w:tr w:rsidR="00CC2C66">
        <w:trPr>
          <w:trHeight w:val="153"/>
        </w:trPr>
        <w:tc>
          <w:tcPr>
            <w:tcW w:w="6140" w:type="dxa"/>
            <w:vAlign w:val="bottom"/>
          </w:tcPr>
          <w:p w:rsidR="00CC2C66" w:rsidRDefault="00F80B74">
            <w:pPr>
              <w:spacing w:line="153" w:lineRule="exact"/>
              <w:rPr>
                <w:sz w:val="20"/>
                <w:szCs w:val="20"/>
              </w:rPr>
            </w:pPr>
            <w:r>
              <w:rPr>
                <w:rFonts w:ascii="Arial" w:eastAsia="Arial" w:hAnsi="Arial" w:cs="Arial"/>
                <w:color w:val="CF0A2C"/>
                <w:sz w:val="14"/>
                <w:szCs w:val="14"/>
              </w:rPr>
              <w:t>Accelerated Vesting of RSUs</w:t>
            </w:r>
          </w:p>
        </w:tc>
        <w:tc>
          <w:tcPr>
            <w:tcW w:w="960" w:type="dxa"/>
            <w:gridSpan w:val="2"/>
            <w:vAlign w:val="bottom"/>
          </w:tcPr>
          <w:p w:rsidR="00CC2C66" w:rsidRDefault="00F80B74">
            <w:pPr>
              <w:spacing w:line="153" w:lineRule="exact"/>
              <w:ind w:right="28"/>
              <w:jc w:val="right"/>
              <w:rPr>
                <w:sz w:val="20"/>
                <w:szCs w:val="20"/>
              </w:rPr>
            </w:pPr>
            <w:r>
              <w:rPr>
                <w:rFonts w:ascii="Arial" w:eastAsia="Arial" w:hAnsi="Arial" w:cs="Arial"/>
                <w:sz w:val="14"/>
                <w:szCs w:val="14"/>
              </w:rPr>
              <w:t>2,189,536</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1,816,760</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1,491,682</w:t>
            </w:r>
          </w:p>
        </w:tc>
        <w:tc>
          <w:tcPr>
            <w:tcW w:w="840" w:type="dxa"/>
            <w:vAlign w:val="bottom"/>
          </w:tcPr>
          <w:p w:rsidR="00CC2C66" w:rsidRDefault="00F80B74">
            <w:pPr>
              <w:spacing w:line="153" w:lineRule="exact"/>
              <w:ind w:right="50"/>
              <w:jc w:val="right"/>
              <w:rPr>
                <w:sz w:val="20"/>
                <w:szCs w:val="20"/>
              </w:rPr>
            </w:pPr>
            <w:r>
              <w:rPr>
                <w:rFonts w:ascii="Arial" w:eastAsia="Arial" w:hAnsi="Arial" w:cs="Arial"/>
                <w:sz w:val="14"/>
                <w:szCs w:val="14"/>
              </w:rPr>
              <w:t>539,194</w:t>
            </w:r>
          </w:p>
        </w:tc>
        <w:tc>
          <w:tcPr>
            <w:tcW w:w="800" w:type="dxa"/>
            <w:gridSpan w:val="2"/>
            <w:vAlign w:val="bottom"/>
          </w:tcPr>
          <w:p w:rsidR="00CC2C66" w:rsidRDefault="00F80B74">
            <w:pPr>
              <w:spacing w:line="153" w:lineRule="exact"/>
              <w:ind w:right="60"/>
              <w:jc w:val="right"/>
              <w:rPr>
                <w:sz w:val="20"/>
                <w:szCs w:val="20"/>
              </w:rPr>
            </w:pPr>
            <w:r>
              <w:rPr>
                <w:rFonts w:ascii="Arial" w:eastAsia="Arial" w:hAnsi="Arial" w:cs="Arial"/>
                <w:sz w:val="14"/>
                <w:szCs w:val="14"/>
              </w:rPr>
              <w:t>279,398</w:t>
            </w:r>
          </w:p>
        </w:tc>
        <w:tc>
          <w:tcPr>
            <w:tcW w:w="0" w:type="dxa"/>
            <w:vAlign w:val="bottom"/>
          </w:tcPr>
          <w:p w:rsidR="00CC2C66" w:rsidRDefault="00CC2C66">
            <w:pPr>
              <w:rPr>
                <w:sz w:val="1"/>
                <w:szCs w:val="1"/>
              </w:rPr>
            </w:pPr>
          </w:p>
        </w:tc>
      </w:tr>
      <w:tr w:rsidR="00CC2C66">
        <w:trPr>
          <w:trHeight w:val="161"/>
        </w:trPr>
        <w:tc>
          <w:tcPr>
            <w:tcW w:w="6140" w:type="dxa"/>
            <w:vAlign w:val="bottom"/>
          </w:tcPr>
          <w:p w:rsidR="00CC2C66" w:rsidRDefault="00F80B74">
            <w:pPr>
              <w:rPr>
                <w:sz w:val="20"/>
                <w:szCs w:val="20"/>
              </w:rPr>
            </w:pPr>
            <w:r>
              <w:rPr>
                <w:rFonts w:ascii="Arial" w:eastAsia="Arial" w:hAnsi="Arial" w:cs="Arial"/>
                <w:color w:val="CF0A2C"/>
                <w:sz w:val="14"/>
                <w:szCs w:val="14"/>
              </w:rPr>
              <w:t>Accelerated Vesting of PSUs</w:t>
            </w:r>
          </w:p>
        </w:tc>
        <w:tc>
          <w:tcPr>
            <w:tcW w:w="100" w:type="dxa"/>
            <w:vAlign w:val="bottom"/>
          </w:tcPr>
          <w:p w:rsidR="00CC2C66" w:rsidRDefault="00CC2C66">
            <w:pPr>
              <w:rPr>
                <w:sz w:val="13"/>
                <w:szCs w:val="13"/>
              </w:rPr>
            </w:pPr>
          </w:p>
        </w:tc>
        <w:tc>
          <w:tcPr>
            <w:tcW w:w="860" w:type="dxa"/>
            <w:tcBorders>
              <w:bottom w:val="single" w:sz="8" w:space="0" w:color="CF0A2C"/>
            </w:tcBorders>
            <w:vAlign w:val="bottom"/>
          </w:tcPr>
          <w:p w:rsidR="00CC2C66" w:rsidRDefault="00F80B74">
            <w:pPr>
              <w:ind w:right="28"/>
              <w:jc w:val="right"/>
              <w:rPr>
                <w:sz w:val="20"/>
                <w:szCs w:val="20"/>
              </w:rPr>
            </w:pPr>
            <w:r>
              <w:rPr>
                <w:rFonts w:ascii="Arial" w:eastAsia="Arial" w:hAnsi="Arial" w:cs="Arial"/>
                <w:sz w:val="14"/>
                <w:szCs w:val="14"/>
              </w:rPr>
              <w:t>21,063,899</w:t>
            </w:r>
          </w:p>
        </w:tc>
        <w:tc>
          <w:tcPr>
            <w:tcW w:w="840" w:type="dxa"/>
            <w:tcBorders>
              <w:bottom w:val="single" w:sz="8" w:space="0" w:color="CF0A2C"/>
            </w:tcBorders>
            <w:vAlign w:val="bottom"/>
          </w:tcPr>
          <w:p w:rsidR="00CC2C66" w:rsidRDefault="00F80B74">
            <w:pPr>
              <w:ind w:right="50"/>
              <w:jc w:val="right"/>
              <w:rPr>
                <w:sz w:val="20"/>
                <w:szCs w:val="20"/>
              </w:rPr>
            </w:pPr>
            <w:r>
              <w:rPr>
                <w:rFonts w:ascii="Arial" w:eastAsia="Arial" w:hAnsi="Arial" w:cs="Arial"/>
                <w:sz w:val="14"/>
                <w:szCs w:val="14"/>
              </w:rPr>
              <w:t>3,920,908</w:t>
            </w:r>
          </w:p>
        </w:tc>
        <w:tc>
          <w:tcPr>
            <w:tcW w:w="840" w:type="dxa"/>
            <w:tcBorders>
              <w:bottom w:val="single" w:sz="8" w:space="0" w:color="CF0A2C"/>
            </w:tcBorders>
            <w:vAlign w:val="bottom"/>
          </w:tcPr>
          <w:p w:rsidR="00CC2C66" w:rsidRDefault="00F80B74">
            <w:pPr>
              <w:ind w:right="50"/>
              <w:jc w:val="right"/>
              <w:rPr>
                <w:sz w:val="20"/>
                <w:szCs w:val="20"/>
              </w:rPr>
            </w:pPr>
            <w:r>
              <w:rPr>
                <w:rFonts w:ascii="Arial" w:eastAsia="Arial" w:hAnsi="Arial" w:cs="Arial"/>
                <w:sz w:val="14"/>
                <w:szCs w:val="14"/>
              </w:rPr>
              <w:t>2,882,072</w:t>
            </w:r>
          </w:p>
        </w:tc>
        <w:tc>
          <w:tcPr>
            <w:tcW w:w="840" w:type="dxa"/>
            <w:tcBorders>
              <w:bottom w:val="single" w:sz="8" w:space="0" w:color="CF0A2C"/>
            </w:tcBorders>
            <w:vAlign w:val="bottom"/>
          </w:tcPr>
          <w:p w:rsidR="00CC2C66" w:rsidRDefault="00F80B74">
            <w:pPr>
              <w:ind w:right="50"/>
              <w:jc w:val="right"/>
              <w:rPr>
                <w:sz w:val="20"/>
                <w:szCs w:val="20"/>
              </w:rPr>
            </w:pPr>
            <w:r>
              <w:rPr>
                <w:rFonts w:ascii="Arial" w:eastAsia="Arial" w:hAnsi="Arial" w:cs="Arial"/>
                <w:sz w:val="14"/>
                <w:szCs w:val="14"/>
              </w:rPr>
              <w:t>3,823,308</w:t>
            </w:r>
          </w:p>
        </w:tc>
        <w:tc>
          <w:tcPr>
            <w:tcW w:w="740" w:type="dxa"/>
            <w:tcBorders>
              <w:bottom w:val="single" w:sz="8" w:space="0" w:color="CF0A2C"/>
            </w:tcBorders>
            <w:vAlign w:val="bottom"/>
          </w:tcPr>
          <w:p w:rsidR="00CC2C66" w:rsidRDefault="00F80B74">
            <w:pPr>
              <w:jc w:val="right"/>
              <w:rPr>
                <w:sz w:val="20"/>
                <w:szCs w:val="20"/>
              </w:rPr>
            </w:pPr>
            <w:r>
              <w:rPr>
                <w:rFonts w:ascii="Arial" w:eastAsia="Arial" w:hAnsi="Arial" w:cs="Arial"/>
                <w:sz w:val="14"/>
                <w:szCs w:val="14"/>
              </w:rPr>
              <w:t>2,628,266</w:t>
            </w:r>
          </w:p>
        </w:tc>
        <w:tc>
          <w:tcPr>
            <w:tcW w:w="60" w:type="dxa"/>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159"/>
        </w:trPr>
        <w:tc>
          <w:tcPr>
            <w:tcW w:w="6140" w:type="dxa"/>
            <w:vAlign w:val="bottom"/>
          </w:tcPr>
          <w:p w:rsidR="00CC2C66" w:rsidRDefault="00F80B74">
            <w:pPr>
              <w:spacing w:line="159" w:lineRule="exact"/>
              <w:rPr>
                <w:sz w:val="20"/>
                <w:szCs w:val="20"/>
              </w:rPr>
            </w:pPr>
            <w:r>
              <w:rPr>
                <w:rFonts w:ascii="Arial" w:eastAsia="Arial" w:hAnsi="Arial" w:cs="Arial"/>
                <w:b/>
                <w:bCs/>
                <w:color w:val="CF0A2C"/>
                <w:sz w:val="14"/>
                <w:szCs w:val="14"/>
              </w:rPr>
              <w:t>TOTAL</w:t>
            </w:r>
          </w:p>
        </w:tc>
        <w:tc>
          <w:tcPr>
            <w:tcW w:w="960" w:type="dxa"/>
            <w:gridSpan w:val="2"/>
            <w:vAlign w:val="bottom"/>
          </w:tcPr>
          <w:p w:rsidR="00CC2C66" w:rsidRDefault="00F80B74">
            <w:pPr>
              <w:spacing w:line="159" w:lineRule="exact"/>
              <w:ind w:right="28"/>
              <w:jc w:val="right"/>
              <w:rPr>
                <w:sz w:val="20"/>
                <w:szCs w:val="20"/>
              </w:rPr>
            </w:pPr>
            <w:r>
              <w:rPr>
                <w:rFonts w:ascii="Arial" w:eastAsia="Arial" w:hAnsi="Arial" w:cs="Arial"/>
                <w:sz w:val="14"/>
                <w:szCs w:val="14"/>
              </w:rPr>
              <w:t>35,628,232</w:t>
            </w:r>
          </w:p>
        </w:tc>
        <w:tc>
          <w:tcPr>
            <w:tcW w:w="840" w:type="dxa"/>
            <w:vAlign w:val="bottom"/>
          </w:tcPr>
          <w:p w:rsidR="00CC2C66" w:rsidRDefault="00F80B74">
            <w:pPr>
              <w:spacing w:line="159" w:lineRule="exact"/>
              <w:ind w:right="50"/>
              <w:jc w:val="right"/>
              <w:rPr>
                <w:sz w:val="20"/>
                <w:szCs w:val="20"/>
              </w:rPr>
            </w:pPr>
            <w:r>
              <w:rPr>
                <w:rFonts w:ascii="Arial" w:eastAsia="Arial" w:hAnsi="Arial" w:cs="Arial"/>
                <w:sz w:val="14"/>
                <w:szCs w:val="14"/>
              </w:rPr>
              <w:t>9,214,266</w:t>
            </w:r>
          </w:p>
        </w:tc>
        <w:tc>
          <w:tcPr>
            <w:tcW w:w="840" w:type="dxa"/>
            <w:vAlign w:val="bottom"/>
          </w:tcPr>
          <w:p w:rsidR="00CC2C66" w:rsidRDefault="00F80B74">
            <w:pPr>
              <w:spacing w:line="159" w:lineRule="exact"/>
              <w:ind w:right="50"/>
              <w:jc w:val="right"/>
              <w:rPr>
                <w:sz w:val="20"/>
                <w:szCs w:val="20"/>
              </w:rPr>
            </w:pPr>
            <w:r>
              <w:rPr>
                <w:rFonts w:ascii="Arial" w:eastAsia="Arial" w:hAnsi="Arial" w:cs="Arial"/>
                <w:sz w:val="14"/>
                <w:szCs w:val="14"/>
              </w:rPr>
              <w:t>6,736,585</w:t>
            </w:r>
          </w:p>
        </w:tc>
        <w:tc>
          <w:tcPr>
            <w:tcW w:w="840" w:type="dxa"/>
            <w:vAlign w:val="bottom"/>
          </w:tcPr>
          <w:p w:rsidR="00CC2C66" w:rsidRDefault="00F80B74">
            <w:pPr>
              <w:spacing w:line="159" w:lineRule="exact"/>
              <w:ind w:right="50"/>
              <w:jc w:val="right"/>
              <w:rPr>
                <w:sz w:val="20"/>
                <w:szCs w:val="20"/>
              </w:rPr>
            </w:pPr>
            <w:r>
              <w:rPr>
                <w:rFonts w:ascii="Arial" w:eastAsia="Arial" w:hAnsi="Arial" w:cs="Arial"/>
                <w:sz w:val="14"/>
                <w:szCs w:val="14"/>
              </w:rPr>
              <w:t>7,810,763</w:t>
            </w:r>
          </w:p>
        </w:tc>
        <w:tc>
          <w:tcPr>
            <w:tcW w:w="740" w:type="dxa"/>
            <w:vAlign w:val="bottom"/>
          </w:tcPr>
          <w:p w:rsidR="00CC2C66" w:rsidRDefault="00F80B74">
            <w:pPr>
              <w:spacing w:line="159" w:lineRule="exact"/>
              <w:jc w:val="right"/>
              <w:rPr>
                <w:sz w:val="20"/>
                <w:szCs w:val="20"/>
              </w:rPr>
            </w:pPr>
            <w:r>
              <w:rPr>
                <w:rFonts w:ascii="Arial" w:eastAsia="Arial" w:hAnsi="Arial" w:cs="Arial"/>
                <w:sz w:val="14"/>
                <w:szCs w:val="14"/>
              </w:rPr>
              <w:t>5,309,087</w:t>
            </w:r>
          </w:p>
        </w:tc>
        <w:tc>
          <w:tcPr>
            <w:tcW w:w="60" w:type="dxa"/>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20"/>
        </w:trPr>
        <w:tc>
          <w:tcPr>
            <w:tcW w:w="6140" w:type="dxa"/>
            <w:vAlign w:val="bottom"/>
          </w:tcPr>
          <w:p w:rsidR="00CC2C66" w:rsidRDefault="00CC2C66">
            <w:pPr>
              <w:spacing w:line="20" w:lineRule="exact"/>
              <w:rPr>
                <w:sz w:val="1"/>
                <w:szCs w:val="1"/>
              </w:rPr>
            </w:pPr>
          </w:p>
        </w:tc>
        <w:tc>
          <w:tcPr>
            <w:tcW w:w="100" w:type="dxa"/>
            <w:vAlign w:val="bottom"/>
          </w:tcPr>
          <w:p w:rsidR="00CC2C66" w:rsidRDefault="00CC2C66">
            <w:pPr>
              <w:spacing w:line="20" w:lineRule="exact"/>
              <w:rPr>
                <w:sz w:val="1"/>
                <w:szCs w:val="1"/>
              </w:rPr>
            </w:pPr>
          </w:p>
        </w:tc>
        <w:tc>
          <w:tcPr>
            <w:tcW w:w="86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8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8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8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740" w:type="dxa"/>
            <w:tcBorders>
              <w:top w:val="single" w:sz="8" w:space="0" w:color="CF0A2C"/>
              <w:bottom w:val="single" w:sz="8" w:space="0" w:color="CF0A2C"/>
            </w:tcBorders>
            <w:vAlign w:val="bottom"/>
          </w:tcPr>
          <w:p w:rsidR="00CC2C66" w:rsidRDefault="00CC2C66">
            <w:pPr>
              <w:spacing w:line="20" w:lineRule="exact"/>
              <w:rPr>
                <w:sz w:val="1"/>
                <w:szCs w:val="1"/>
              </w:rPr>
            </w:pPr>
          </w:p>
        </w:tc>
        <w:tc>
          <w:tcPr>
            <w:tcW w:w="60" w:type="dxa"/>
            <w:vAlign w:val="bottom"/>
          </w:tcPr>
          <w:p w:rsidR="00CC2C66" w:rsidRDefault="00CC2C66">
            <w:pPr>
              <w:spacing w:line="20" w:lineRule="exact"/>
              <w:rPr>
                <w:sz w:val="1"/>
                <w:szCs w:val="1"/>
              </w:rPr>
            </w:pPr>
          </w:p>
        </w:tc>
        <w:tc>
          <w:tcPr>
            <w:tcW w:w="0" w:type="dxa"/>
            <w:vAlign w:val="bottom"/>
          </w:tcPr>
          <w:p w:rsidR="00CC2C66" w:rsidRDefault="00CC2C66">
            <w:pPr>
              <w:spacing w:line="20" w:lineRule="exact"/>
              <w:rPr>
                <w:sz w:val="1"/>
                <w:szCs w:val="1"/>
              </w:rPr>
            </w:pPr>
          </w:p>
        </w:tc>
      </w:tr>
    </w:tbl>
    <w:p w:rsidR="00CC2C66" w:rsidRDefault="00CC2C66">
      <w:pPr>
        <w:spacing w:line="200" w:lineRule="exact"/>
        <w:rPr>
          <w:sz w:val="20"/>
          <w:szCs w:val="20"/>
        </w:rPr>
      </w:pP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118" w:lineRule="exact"/>
        <w:rPr>
          <w:sz w:val="20"/>
          <w:szCs w:val="20"/>
        </w:rPr>
      </w:pPr>
    </w:p>
    <w:p w:rsidR="00CC2C66" w:rsidRDefault="00F80B74">
      <w:pPr>
        <w:ind w:left="420"/>
        <w:rPr>
          <w:sz w:val="20"/>
          <w:szCs w:val="20"/>
        </w:rPr>
      </w:pPr>
      <w:r>
        <w:rPr>
          <w:rFonts w:eastAsia="Times New Roman"/>
          <w:b/>
          <w:bCs/>
          <w:i/>
          <w:iCs/>
          <w:color w:val="CF0A2C"/>
          <w:sz w:val="19"/>
          <w:szCs w:val="19"/>
        </w:rPr>
        <w:t>Arrangement with Mr. Tan</w:t>
      </w:r>
    </w:p>
    <w:p w:rsidR="00CC2C66" w:rsidRDefault="00CC2C66">
      <w:pPr>
        <w:spacing w:line="247" w:lineRule="exact"/>
        <w:rPr>
          <w:sz w:val="20"/>
          <w:szCs w:val="20"/>
        </w:rPr>
      </w:pPr>
    </w:p>
    <w:p w:rsidR="00CC2C66" w:rsidRDefault="00F80B74">
      <w:pPr>
        <w:spacing w:line="241" w:lineRule="auto"/>
        <w:ind w:left="420"/>
        <w:jc w:val="both"/>
        <w:rPr>
          <w:sz w:val="20"/>
          <w:szCs w:val="20"/>
        </w:rPr>
      </w:pPr>
      <w:r>
        <w:rPr>
          <w:rFonts w:eastAsia="Times New Roman"/>
          <w:sz w:val="19"/>
          <w:szCs w:val="19"/>
        </w:rPr>
        <w:t>In connection with Mr. Tan’s departure, the Company entered into a post-termination agreement with Mr. Tan (the “</w:t>
      </w:r>
      <w:r>
        <w:rPr>
          <w:rFonts w:eastAsia="Times New Roman"/>
          <w:b/>
          <w:bCs/>
          <w:i/>
          <w:iCs/>
          <w:sz w:val="19"/>
          <w:szCs w:val="19"/>
        </w:rPr>
        <w:t>Tan Termination</w:t>
      </w:r>
      <w:r>
        <w:rPr>
          <w:rFonts w:eastAsia="Times New Roman"/>
          <w:sz w:val="19"/>
          <w:szCs w:val="19"/>
        </w:rPr>
        <w:t xml:space="preserve"> </w:t>
      </w:r>
      <w:r>
        <w:rPr>
          <w:rFonts w:eastAsia="Times New Roman"/>
          <w:b/>
          <w:bCs/>
          <w:i/>
          <w:iCs/>
          <w:sz w:val="19"/>
          <w:szCs w:val="19"/>
        </w:rPr>
        <w:t>Agreement</w:t>
      </w:r>
      <w:r>
        <w:rPr>
          <w:rFonts w:eastAsia="Times New Roman"/>
          <w:sz w:val="19"/>
          <w:szCs w:val="19"/>
        </w:rPr>
        <w:t xml:space="preserve">”). Under the Tan Termination </w:t>
      </w:r>
      <w:r>
        <w:rPr>
          <w:rFonts w:eastAsia="Times New Roman"/>
          <w:sz w:val="19"/>
          <w:szCs w:val="19"/>
        </w:rPr>
        <w:t>Agreement, the</w:t>
      </w:r>
      <w:r>
        <w:rPr>
          <w:rFonts w:eastAsia="Times New Roman"/>
          <w:b/>
          <w:bCs/>
          <w:i/>
          <w:iCs/>
          <w:sz w:val="19"/>
          <w:szCs w:val="19"/>
        </w:rPr>
        <w:t xml:space="preserve"> </w:t>
      </w:r>
      <w:r>
        <w:rPr>
          <w:rFonts w:eastAsia="Times New Roman"/>
          <w:sz w:val="19"/>
          <w:szCs w:val="19"/>
        </w:rPr>
        <w:t xml:space="preserve">Company agreed to pay Mr. Tan’s 2021 annual cash bonus based on actual performance, which was paid at the same time that the 2021 annual cash bonuses were paid to the other NEOs, a payment of HK$2,260,415 ($290,236, based on the exchange </w:t>
      </w:r>
      <w:r>
        <w:rPr>
          <w:rFonts w:eastAsia="Times New Roman"/>
          <w:sz w:val="19"/>
          <w:szCs w:val="19"/>
        </w:rPr>
        <w:t>rate of 7.7882 Hong Kong dollars to U.S. dollars), representing five times Mr. Tan’s average gross monthly salary in the past 12 months pursuant to the terms of his prior Restrictive Covenant Letter Agreement, as well as a release payment of RMB10,000 ($1,</w:t>
      </w:r>
      <w:r>
        <w:rPr>
          <w:rFonts w:eastAsia="Times New Roman"/>
          <w:sz w:val="19"/>
          <w:szCs w:val="19"/>
        </w:rPr>
        <w:t>564, based on the</w:t>
      </w:r>
    </w:p>
    <w:p w:rsidR="00CC2C66" w:rsidRDefault="00F80B74">
      <w:pPr>
        <w:spacing w:line="20" w:lineRule="exact"/>
        <w:rPr>
          <w:sz w:val="20"/>
          <w:szCs w:val="20"/>
        </w:rPr>
      </w:pPr>
      <w:r>
        <w:rPr>
          <w:sz w:val="20"/>
          <w:szCs w:val="20"/>
        </w:rPr>
        <w:br w:type="column"/>
      </w:r>
    </w:p>
    <w:p w:rsidR="00CC2C66" w:rsidRDefault="00CC2C66">
      <w:pPr>
        <w:spacing w:line="104" w:lineRule="exact"/>
        <w:rPr>
          <w:sz w:val="20"/>
          <w:szCs w:val="20"/>
        </w:rPr>
      </w:pPr>
    </w:p>
    <w:p w:rsidR="00CC2C66" w:rsidRDefault="00F80B74">
      <w:pPr>
        <w:spacing w:line="241" w:lineRule="auto"/>
        <w:jc w:val="both"/>
        <w:rPr>
          <w:sz w:val="20"/>
          <w:szCs w:val="20"/>
        </w:rPr>
      </w:pPr>
      <w:r>
        <w:rPr>
          <w:rFonts w:eastAsia="Times New Roman"/>
          <w:sz w:val="19"/>
          <w:szCs w:val="19"/>
        </w:rPr>
        <w:t>exchange rate of 6.3949 RMB to U.S. dollars) and a long-service payment of HK$375,000 ($48,150, based on the exchange rate of 7.7882 Hong Kong dollars to U.S. dollars) in accordance with applicable local requirements. If Mr. Tan receiv</w:t>
      </w:r>
      <w:r>
        <w:rPr>
          <w:rFonts w:eastAsia="Times New Roman"/>
          <w:sz w:val="19"/>
          <w:szCs w:val="19"/>
        </w:rPr>
        <w:t xml:space="preserve">es a tax rebate with respect to the long-service payment, Mr. Tan is required to return such rebate to the Company. In accordance with the terms of the award agreements, Mr. Tan has 90 days from the last date of employment to exercise his vested SARs, and </w:t>
      </w:r>
      <w:r>
        <w:rPr>
          <w:rFonts w:eastAsia="Times New Roman"/>
          <w:sz w:val="19"/>
          <w:szCs w:val="19"/>
        </w:rPr>
        <w:t>all of his unvested equity awards were forfeited upon his departure. The Tan Termination Agreement provides for restrictive covenants in favor of the Company relating to non-competition, non-solicitation, non-disparagement, and non-disclosure.</w:t>
      </w:r>
    </w:p>
    <w:p w:rsidR="00CC2C66" w:rsidRDefault="00CC2C66">
      <w:pPr>
        <w:spacing w:line="659"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188" w:lineRule="exact"/>
        <w:rPr>
          <w:sz w:val="20"/>
          <w:szCs w:val="20"/>
        </w:rPr>
      </w:pPr>
    </w:p>
    <w:p w:rsidR="00CC2C66" w:rsidRDefault="00F80B74">
      <w:pPr>
        <w:ind w:left="420"/>
        <w:rPr>
          <w:sz w:val="20"/>
          <w:szCs w:val="20"/>
        </w:rPr>
      </w:pPr>
      <w:r>
        <w:rPr>
          <w:rFonts w:ascii="Arial" w:eastAsia="Arial" w:hAnsi="Arial" w:cs="Arial"/>
          <w:b/>
          <w:bCs/>
          <w:color w:val="CF0A2C"/>
          <w:sz w:val="29"/>
          <w:szCs w:val="29"/>
        </w:rPr>
        <w:t>PAY RATIO DISCLOSURE</w:t>
      </w:r>
    </w:p>
    <w:p w:rsidR="00CC2C66" w:rsidRDefault="00F80B74">
      <w:pPr>
        <w:spacing w:line="20" w:lineRule="exact"/>
        <w:rPr>
          <w:sz w:val="20"/>
          <w:szCs w:val="20"/>
        </w:rPr>
      </w:pPr>
      <w:r>
        <w:rPr>
          <w:noProof/>
          <w:sz w:val="20"/>
          <w:szCs w:val="20"/>
        </w:rPr>
        <w:drawing>
          <wp:anchor distT="0" distB="0" distL="114300" distR="114300" simplePos="0" relativeHeight="251745280" behindDoc="1" locked="0" layoutInCell="0" allowOverlap="1">
            <wp:simplePos x="0" y="0"/>
            <wp:positionH relativeFrom="column">
              <wp:posOffset>260985</wp:posOffset>
            </wp:positionH>
            <wp:positionV relativeFrom="paragraph">
              <wp:posOffset>187325</wp:posOffset>
            </wp:positionV>
            <wp:extent cx="6620510" cy="825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45" w:lineRule="exact"/>
        <w:rPr>
          <w:sz w:val="20"/>
          <w:szCs w:val="20"/>
        </w:rPr>
      </w:pPr>
    </w:p>
    <w:p w:rsidR="00CC2C66" w:rsidRDefault="00F80B74">
      <w:pPr>
        <w:spacing w:line="245" w:lineRule="auto"/>
        <w:ind w:left="420"/>
        <w:jc w:val="both"/>
        <w:rPr>
          <w:sz w:val="20"/>
          <w:szCs w:val="20"/>
        </w:rPr>
      </w:pPr>
      <w:r>
        <w:rPr>
          <w:rFonts w:eastAsia="Times New Roman"/>
          <w:sz w:val="19"/>
          <w:szCs w:val="19"/>
        </w:rPr>
        <w:t xml:space="preserve">As required by Section 953(b) of the Dodd-Frank Wall Street Reform and Consumer Protection Act, the Company is providing the following disclosure about the relationship of the </w:t>
      </w:r>
      <w:r>
        <w:rPr>
          <w:rFonts w:eastAsia="Times New Roman"/>
          <w:sz w:val="19"/>
          <w:szCs w:val="19"/>
        </w:rPr>
        <w:t>annual total compensation of our employees to the annual total compensation of Ms. Wat.</w:t>
      </w:r>
    </w:p>
    <w:p w:rsidR="00CC2C66" w:rsidRDefault="00CC2C66">
      <w:pPr>
        <w:spacing w:line="210" w:lineRule="exact"/>
        <w:rPr>
          <w:sz w:val="20"/>
          <w:szCs w:val="20"/>
        </w:rPr>
      </w:pPr>
    </w:p>
    <w:p w:rsidR="00CC2C66" w:rsidRDefault="00F80B74">
      <w:pPr>
        <w:ind w:left="420"/>
        <w:rPr>
          <w:sz w:val="20"/>
          <w:szCs w:val="20"/>
        </w:rPr>
      </w:pPr>
      <w:r>
        <w:rPr>
          <w:rFonts w:eastAsia="Times New Roman"/>
          <w:i/>
          <w:iCs/>
          <w:color w:val="CF0A2C"/>
          <w:sz w:val="19"/>
          <w:szCs w:val="19"/>
        </w:rPr>
        <w:t>Identification of Median Pay Employee</w:t>
      </w:r>
    </w:p>
    <w:p w:rsidR="00CC2C66" w:rsidRDefault="00CC2C66">
      <w:pPr>
        <w:spacing w:line="245" w:lineRule="exact"/>
        <w:rPr>
          <w:sz w:val="20"/>
          <w:szCs w:val="20"/>
        </w:rPr>
      </w:pPr>
    </w:p>
    <w:p w:rsidR="00CC2C66" w:rsidRDefault="00F80B74">
      <w:pPr>
        <w:spacing w:line="243" w:lineRule="auto"/>
        <w:ind w:left="420"/>
        <w:jc w:val="both"/>
        <w:rPr>
          <w:sz w:val="20"/>
          <w:szCs w:val="20"/>
        </w:rPr>
      </w:pPr>
      <w:r>
        <w:rPr>
          <w:rFonts w:eastAsia="Times New Roman"/>
          <w:sz w:val="19"/>
          <w:szCs w:val="19"/>
        </w:rPr>
        <w:t>The Company employed over 450,000 persons as of year-end 2021, and substantially all of them are based in China. Given the natur</w:t>
      </w:r>
      <w:r>
        <w:rPr>
          <w:rFonts w:eastAsia="Times New Roman"/>
          <w:sz w:val="19"/>
          <w:szCs w:val="19"/>
        </w:rPr>
        <w:t>e of its operations, approximately 90% of the Company’s employees were restaurant crewmembers. Approximately 75% of the 405,000 crewmembers worked part-time, approximately 41% of whom</w:t>
      </w:r>
    </w:p>
    <w:p w:rsidR="00CC2C66" w:rsidRDefault="00CC2C66">
      <w:pPr>
        <w:spacing w:line="258" w:lineRule="exact"/>
        <w:rPr>
          <w:sz w:val="20"/>
          <w:szCs w:val="20"/>
        </w:rPr>
      </w:pPr>
    </w:p>
    <w:p w:rsidR="00CC2C66" w:rsidRDefault="00F80B74">
      <w:pPr>
        <w:numPr>
          <w:ilvl w:val="0"/>
          <w:numId w:val="119"/>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46304"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25" w:lineRule="exact"/>
        <w:rPr>
          <w:sz w:val="20"/>
          <w:szCs w:val="20"/>
        </w:rPr>
      </w:pPr>
    </w:p>
    <w:p w:rsidR="00CC2C66" w:rsidRDefault="00F80B74">
      <w:pPr>
        <w:spacing w:line="245" w:lineRule="auto"/>
        <w:jc w:val="both"/>
        <w:rPr>
          <w:sz w:val="20"/>
          <w:szCs w:val="20"/>
        </w:rPr>
      </w:pPr>
      <w:r>
        <w:rPr>
          <w:rFonts w:eastAsia="Times New Roman"/>
          <w:sz w:val="19"/>
          <w:szCs w:val="19"/>
        </w:rPr>
        <w:t xml:space="preserve">attended university at the same </w:t>
      </w:r>
      <w:r>
        <w:rPr>
          <w:rFonts w:eastAsia="Times New Roman"/>
          <w:sz w:val="19"/>
          <w:szCs w:val="19"/>
        </w:rPr>
        <w:t>time, and were paid on an hourly basis. Our wage rates for crewmembers are determined based on a number of factors, including but not limited to cost of living, labor supply and demand, and competitive market pay rates in the city in which the crewmember w</w:t>
      </w:r>
      <w:r>
        <w:rPr>
          <w:rFonts w:eastAsia="Times New Roman"/>
          <w:sz w:val="19"/>
          <w:szCs w:val="19"/>
        </w:rPr>
        <w:t>orks.</w:t>
      </w:r>
    </w:p>
    <w:p w:rsidR="00CC2C66" w:rsidRDefault="00CC2C66">
      <w:pPr>
        <w:spacing w:line="214" w:lineRule="exact"/>
        <w:rPr>
          <w:sz w:val="20"/>
          <w:szCs w:val="20"/>
        </w:rPr>
      </w:pPr>
    </w:p>
    <w:p w:rsidR="00CC2C66" w:rsidRDefault="00F80B74">
      <w:pPr>
        <w:spacing w:line="243" w:lineRule="auto"/>
        <w:jc w:val="both"/>
        <w:rPr>
          <w:sz w:val="20"/>
          <w:szCs w:val="20"/>
        </w:rPr>
      </w:pPr>
      <w:r>
        <w:rPr>
          <w:rFonts w:eastAsia="Times New Roman"/>
          <w:sz w:val="19"/>
          <w:szCs w:val="19"/>
        </w:rPr>
        <w:t>We selected December 31, 2021, as the date on which to determine our median employee. For purposes of identifying the median employee from the employee population base (excluding Ms. Wat), we considered the total compensation of all of our employees</w:t>
      </w:r>
      <w:r>
        <w:rPr>
          <w:rFonts w:eastAsia="Times New Roman"/>
          <w:sz w:val="19"/>
          <w:szCs w:val="19"/>
        </w:rPr>
        <w:t>, as compiled from our payroll records. In addition, we measured compensation for purposes of determining the median employee using</w:t>
      </w: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73" w:name="page73"/>
      <w:bookmarkEnd w:id="73"/>
      <w:r>
        <w:rPr>
          <w:rFonts w:eastAsia="Times New Roman"/>
          <w:b/>
          <w:bCs/>
          <w:color w:val="0000EE"/>
          <w:sz w:val="17"/>
          <w:szCs w:val="17"/>
          <w:u w:val="single"/>
        </w:rPr>
        <w:t>Table of Contents</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387" w:lineRule="exact"/>
        <w:rPr>
          <w:sz w:val="20"/>
          <w:szCs w:val="20"/>
        </w:rPr>
      </w:pPr>
    </w:p>
    <w:p w:rsidR="00CC2C66" w:rsidRDefault="00F80B74">
      <w:pPr>
        <w:spacing w:line="252" w:lineRule="auto"/>
        <w:ind w:left="420"/>
        <w:jc w:val="both"/>
        <w:rPr>
          <w:sz w:val="20"/>
          <w:szCs w:val="20"/>
        </w:rPr>
      </w:pPr>
      <w:r>
        <w:rPr>
          <w:rFonts w:eastAsia="Times New Roman"/>
          <w:sz w:val="19"/>
          <w:szCs w:val="19"/>
        </w:rPr>
        <w:t>December 2021 payroll records. Compensation paid in foreign currencies was</w:t>
      </w:r>
      <w:r>
        <w:rPr>
          <w:rFonts w:eastAsia="Times New Roman"/>
          <w:sz w:val="19"/>
          <w:szCs w:val="19"/>
        </w:rPr>
        <w:t xml:space="preserve"> converted to U.S. dollars based on a weighted-average exchange rate for the relevant period.</w:t>
      </w:r>
    </w:p>
    <w:p w:rsidR="00CC2C66" w:rsidRDefault="00CC2C66">
      <w:pPr>
        <w:spacing w:line="206" w:lineRule="exact"/>
        <w:rPr>
          <w:sz w:val="20"/>
          <w:szCs w:val="20"/>
        </w:rPr>
      </w:pPr>
    </w:p>
    <w:p w:rsidR="00CC2C66" w:rsidRDefault="00F80B74">
      <w:pPr>
        <w:spacing w:line="265" w:lineRule="auto"/>
        <w:ind w:left="420"/>
        <w:jc w:val="both"/>
        <w:rPr>
          <w:sz w:val="20"/>
          <w:szCs w:val="20"/>
        </w:rPr>
      </w:pPr>
      <w:r>
        <w:rPr>
          <w:rFonts w:eastAsia="Times New Roman"/>
          <w:sz w:val="19"/>
          <w:szCs w:val="19"/>
        </w:rPr>
        <w:t>Using this methodology, our median employee was identified as a part-time crewmember located in a second-tier city in China.</w:t>
      </w:r>
    </w:p>
    <w:p w:rsidR="00CC2C66" w:rsidRDefault="00CC2C66">
      <w:pPr>
        <w:spacing w:line="191" w:lineRule="exact"/>
        <w:rPr>
          <w:sz w:val="20"/>
          <w:szCs w:val="20"/>
        </w:rPr>
      </w:pPr>
    </w:p>
    <w:p w:rsidR="00CC2C66" w:rsidRDefault="00F80B74">
      <w:pPr>
        <w:ind w:left="420"/>
        <w:rPr>
          <w:sz w:val="20"/>
          <w:szCs w:val="20"/>
        </w:rPr>
      </w:pPr>
      <w:r>
        <w:rPr>
          <w:rFonts w:eastAsia="Times New Roman"/>
          <w:i/>
          <w:iCs/>
          <w:color w:val="CF0A2C"/>
          <w:sz w:val="19"/>
          <w:szCs w:val="19"/>
        </w:rPr>
        <w:t>Ratio</w:t>
      </w:r>
    </w:p>
    <w:p w:rsidR="00CC2C66" w:rsidRDefault="00CC2C66">
      <w:pPr>
        <w:spacing w:line="233" w:lineRule="exact"/>
        <w:rPr>
          <w:sz w:val="20"/>
          <w:szCs w:val="20"/>
        </w:rPr>
      </w:pPr>
    </w:p>
    <w:p w:rsidR="00CC2C66" w:rsidRDefault="00F80B74">
      <w:pPr>
        <w:ind w:left="420"/>
        <w:rPr>
          <w:sz w:val="20"/>
          <w:szCs w:val="20"/>
        </w:rPr>
      </w:pPr>
      <w:r>
        <w:rPr>
          <w:rFonts w:eastAsia="Times New Roman"/>
          <w:sz w:val="19"/>
          <w:szCs w:val="19"/>
        </w:rPr>
        <w:t>For 2021:</w:t>
      </w:r>
    </w:p>
    <w:p w:rsidR="00CC2C66" w:rsidRDefault="00CC2C66">
      <w:pPr>
        <w:spacing w:line="280" w:lineRule="exact"/>
        <w:rPr>
          <w:sz w:val="20"/>
          <w:szCs w:val="20"/>
        </w:rPr>
      </w:pPr>
    </w:p>
    <w:p w:rsidR="00CC2C66" w:rsidRDefault="00F80B74">
      <w:pPr>
        <w:numPr>
          <w:ilvl w:val="0"/>
          <w:numId w:val="120"/>
        </w:numPr>
        <w:tabs>
          <w:tab w:val="left" w:pos="640"/>
        </w:tabs>
        <w:spacing w:line="265" w:lineRule="auto"/>
        <w:ind w:left="640" w:right="20" w:hanging="178"/>
        <w:rPr>
          <w:rFonts w:eastAsia="Times New Roman"/>
          <w:color w:val="CF0A2C"/>
          <w:sz w:val="19"/>
          <w:szCs w:val="19"/>
        </w:rPr>
      </w:pPr>
      <w:r>
        <w:rPr>
          <w:rFonts w:eastAsia="Times New Roman"/>
          <w:sz w:val="19"/>
          <w:szCs w:val="19"/>
        </w:rPr>
        <w:t xml:space="preserve">The annual total </w:t>
      </w:r>
      <w:r>
        <w:rPr>
          <w:rFonts w:eastAsia="Times New Roman"/>
          <w:sz w:val="19"/>
          <w:szCs w:val="19"/>
        </w:rPr>
        <w:t>compensation of the median employee, as identified above, was $6,738.</w:t>
      </w:r>
    </w:p>
    <w:p w:rsidR="00CC2C66" w:rsidRDefault="00CC2C66">
      <w:pPr>
        <w:spacing w:line="233" w:lineRule="exact"/>
        <w:rPr>
          <w:rFonts w:eastAsia="Times New Roman"/>
          <w:color w:val="CF0A2C"/>
          <w:sz w:val="19"/>
          <w:szCs w:val="19"/>
        </w:rPr>
      </w:pPr>
    </w:p>
    <w:p w:rsidR="00CC2C66" w:rsidRDefault="00F80B74">
      <w:pPr>
        <w:numPr>
          <w:ilvl w:val="0"/>
          <w:numId w:val="120"/>
        </w:numPr>
        <w:tabs>
          <w:tab w:val="left" w:pos="640"/>
        </w:tabs>
        <w:spacing w:line="252" w:lineRule="auto"/>
        <w:ind w:left="640" w:right="20" w:hanging="178"/>
        <w:jc w:val="both"/>
        <w:rPr>
          <w:rFonts w:eastAsia="Times New Roman"/>
          <w:color w:val="CF0A2C"/>
          <w:sz w:val="19"/>
          <w:szCs w:val="19"/>
        </w:rPr>
      </w:pPr>
      <w:r>
        <w:rPr>
          <w:rFonts w:eastAsia="Times New Roman"/>
          <w:sz w:val="19"/>
          <w:szCs w:val="19"/>
        </w:rPr>
        <w:t>Ms. Wat’s annual total compensation, as reported in the Total column of the 2021 Summary Compensation Table, was $16,555,672.</w:t>
      </w:r>
    </w:p>
    <w:p w:rsidR="00CC2C66" w:rsidRDefault="00CC2C66">
      <w:pPr>
        <w:spacing w:line="244" w:lineRule="exact"/>
        <w:rPr>
          <w:rFonts w:eastAsia="Times New Roman"/>
          <w:color w:val="CF0A2C"/>
          <w:sz w:val="19"/>
          <w:szCs w:val="19"/>
        </w:rPr>
      </w:pPr>
    </w:p>
    <w:p w:rsidR="00CC2C66" w:rsidRDefault="00F80B74">
      <w:pPr>
        <w:numPr>
          <w:ilvl w:val="0"/>
          <w:numId w:val="120"/>
        </w:numPr>
        <w:tabs>
          <w:tab w:val="left" w:pos="640"/>
        </w:tabs>
        <w:spacing w:line="252" w:lineRule="auto"/>
        <w:ind w:left="640" w:right="20" w:hanging="178"/>
        <w:jc w:val="both"/>
        <w:rPr>
          <w:rFonts w:eastAsia="Times New Roman"/>
          <w:color w:val="CF0A2C"/>
          <w:sz w:val="19"/>
          <w:szCs w:val="19"/>
        </w:rPr>
      </w:pPr>
      <w:r>
        <w:rPr>
          <w:rFonts w:eastAsia="Times New Roman"/>
          <w:sz w:val="19"/>
          <w:szCs w:val="19"/>
        </w:rPr>
        <w:t xml:space="preserve">Based on this information, the ratio of the annual total </w:t>
      </w:r>
      <w:r>
        <w:rPr>
          <w:rFonts w:eastAsia="Times New Roman"/>
          <w:sz w:val="19"/>
          <w:szCs w:val="19"/>
        </w:rPr>
        <w:t>compensation of Ms. Wat to the median of the annual total compensation of all employees is approximately 2,457 to 1.</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48" w:lineRule="exact"/>
        <w:rPr>
          <w:sz w:val="20"/>
          <w:szCs w:val="20"/>
        </w:rPr>
      </w:pPr>
    </w:p>
    <w:p w:rsidR="00CC2C66" w:rsidRDefault="00F80B74">
      <w:pPr>
        <w:ind w:left="2800"/>
        <w:rPr>
          <w:sz w:val="20"/>
          <w:szCs w:val="20"/>
        </w:rPr>
      </w:pPr>
      <w:r>
        <w:rPr>
          <w:rFonts w:ascii="Arial" w:eastAsia="Arial" w:hAnsi="Arial" w:cs="Arial"/>
          <w:b/>
          <w:bCs/>
          <w:color w:val="FFFFFF"/>
          <w:sz w:val="15"/>
          <w:szCs w:val="15"/>
        </w:rPr>
        <w:t>EXECUTIVE COMPENSATION</w:t>
      </w:r>
    </w:p>
    <w:p w:rsidR="00CC2C66" w:rsidRDefault="00F80B74">
      <w:pPr>
        <w:spacing w:line="20" w:lineRule="exact"/>
        <w:rPr>
          <w:sz w:val="20"/>
          <w:szCs w:val="20"/>
        </w:rPr>
      </w:pPr>
      <w:r>
        <w:rPr>
          <w:noProof/>
          <w:sz w:val="20"/>
          <w:szCs w:val="20"/>
        </w:rPr>
        <w:drawing>
          <wp:anchor distT="0" distB="0" distL="114300" distR="114300" simplePos="0" relativeHeight="251747328" behindDoc="1" locked="0" layoutInCell="0" allowOverlap="1">
            <wp:simplePos x="0" y="0"/>
            <wp:positionH relativeFrom="column">
              <wp:posOffset>-3642995</wp:posOffset>
            </wp:positionH>
            <wp:positionV relativeFrom="paragraph">
              <wp:posOffset>-659765</wp:posOffset>
            </wp:positionV>
            <wp:extent cx="7181215" cy="3683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noProof/>
          <w:sz w:val="20"/>
          <w:szCs w:val="20"/>
        </w:rPr>
        <w:drawing>
          <wp:anchor distT="0" distB="0" distL="114300" distR="114300" simplePos="0" relativeHeight="251748352" behindDoc="1" locked="0" layoutInCell="0" allowOverlap="1">
            <wp:simplePos x="0" y="0"/>
            <wp:positionH relativeFrom="column">
              <wp:posOffset>1634490</wp:posOffset>
            </wp:positionH>
            <wp:positionV relativeFrom="paragraph">
              <wp:posOffset>-148590</wp:posOffset>
            </wp:positionV>
            <wp:extent cx="1614805" cy="19494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4">
                      <a:extLst/>
                    </a:blip>
                    <a:srcRect/>
                    <a:stretch>
                      <a:fillRect/>
                    </a:stretch>
                  </pic:blipFill>
                  <pic:spPr bwMode="auto">
                    <a:xfrm>
                      <a:off x="0" y="0"/>
                      <a:ext cx="1614805" cy="194945"/>
                    </a:xfrm>
                    <a:prstGeom prst="rect">
                      <a:avLst/>
                    </a:prstGeom>
                    <a:noFill/>
                  </pic:spPr>
                </pic:pic>
              </a:graphicData>
            </a:graphic>
          </wp:anchor>
        </w:drawing>
      </w:r>
    </w:p>
    <w:p w:rsidR="00CC2C66" w:rsidRDefault="00CC2C66">
      <w:pPr>
        <w:spacing w:line="223" w:lineRule="exact"/>
        <w:rPr>
          <w:sz w:val="20"/>
          <w:szCs w:val="20"/>
        </w:rPr>
      </w:pPr>
    </w:p>
    <w:p w:rsidR="00CC2C66" w:rsidRDefault="00F80B74">
      <w:pPr>
        <w:spacing w:line="245" w:lineRule="auto"/>
        <w:jc w:val="both"/>
        <w:rPr>
          <w:sz w:val="20"/>
          <w:szCs w:val="20"/>
        </w:rPr>
      </w:pPr>
      <w:r>
        <w:rPr>
          <w:rFonts w:eastAsia="Times New Roman"/>
          <w:sz w:val="19"/>
          <w:szCs w:val="19"/>
        </w:rPr>
        <w:t>Our pay ratio is significantly impacted by the fact that substantially all of our employees are based in Chi</w:t>
      </w:r>
      <w:r>
        <w:rPr>
          <w:rFonts w:eastAsia="Times New Roman"/>
          <w:sz w:val="19"/>
          <w:szCs w:val="19"/>
        </w:rPr>
        <w:t>na, approximately 75% of our 405,000 crewmembers are employed on a part-time and hourly basis, and typical wages vary between the cities in which our restaurants are located.</w:t>
      </w:r>
    </w:p>
    <w:p w:rsidR="00CC2C66" w:rsidRDefault="00CC2C66">
      <w:pPr>
        <w:spacing w:line="214" w:lineRule="exact"/>
        <w:rPr>
          <w:sz w:val="20"/>
          <w:szCs w:val="20"/>
        </w:rPr>
      </w:pPr>
    </w:p>
    <w:p w:rsidR="00CC2C66" w:rsidRDefault="00F80B74">
      <w:pPr>
        <w:spacing w:line="243" w:lineRule="auto"/>
        <w:jc w:val="both"/>
        <w:rPr>
          <w:sz w:val="20"/>
          <w:szCs w:val="20"/>
        </w:rPr>
      </w:pPr>
      <w:r>
        <w:rPr>
          <w:rFonts w:eastAsia="Times New Roman"/>
          <w:sz w:val="19"/>
          <w:szCs w:val="19"/>
        </w:rPr>
        <w:t xml:space="preserve">The above ratio and annual total compensation amount of the median employee are </w:t>
      </w:r>
      <w:r>
        <w:rPr>
          <w:rFonts w:eastAsia="Times New Roman"/>
          <w:sz w:val="19"/>
          <w:szCs w:val="19"/>
        </w:rPr>
        <w:t>reasonable estimates that have been calculated using methodologies and assumptions permitted by SEC rules. The ratio and annual total compensation amount may not be directly comparable to those of other companies because the methodologies and assumptions u</w:t>
      </w:r>
      <w:r>
        <w:rPr>
          <w:rFonts w:eastAsia="Times New Roman"/>
          <w:sz w:val="19"/>
          <w:szCs w:val="19"/>
        </w:rPr>
        <w:t>sed to identify the median employee may vary significantly among companies.</w:t>
      </w:r>
    </w:p>
    <w:p w:rsidR="00CC2C66" w:rsidRDefault="00CC2C66">
      <w:pPr>
        <w:spacing w:line="215" w:lineRule="exact"/>
        <w:rPr>
          <w:sz w:val="20"/>
          <w:szCs w:val="20"/>
        </w:rPr>
      </w:pPr>
    </w:p>
    <w:p w:rsidR="00CC2C66" w:rsidRDefault="00F80B74">
      <w:pPr>
        <w:spacing w:line="243" w:lineRule="auto"/>
        <w:jc w:val="both"/>
        <w:rPr>
          <w:sz w:val="20"/>
          <w:szCs w:val="20"/>
        </w:rPr>
      </w:pPr>
      <w:r>
        <w:rPr>
          <w:rFonts w:eastAsia="Times New Roman"/>
          <w:sz w:val="19"/>
          <w:szCs w:val="19"/>
        </w:rPr>
        <w:t>To provide supplemental disclosure and not as a substitute for the pay ratio calculated in accordance with SEC executive compensation disclosure rules, we also reviewed the CEO pa</w:t>
      </w:r>
      <w:r>
        <w:rPr>
          <w:rFonts w:eastAsia="Times New Roman"/>
          <w:sz w:val="19"/>
          <w:szCs w:val="19"/>
        </w:rPr>
        <w:t>y ratio excluding the value of the one-time Chairman Awards granted in February 2021. Excluding such awards, the CEO’s 2021 annual total compensation would have been $14,055,649 and the CEO pay ratio for fiscal 2021 would have been 2,086 to 1.</w:t>
      </w:r>
    </w:p>
    <w:p w:rsidR="00CC2C66" w:rsidRDefault="00CC2C66">
      <w:pPr>
        <w:spacing w:line="200" w:lineRule="exact"/>
        <w:rPr>
          <w:sz w:val="20"/>
          <w:szCs w:val="20"/>
        </w:rPr>
      </w:pPr>
    </w:p>
    <w:p w:rsidR="00CC2C66" w:rsidRDefault="00CC2C66">
      <w:pPr>
        <w:spacing w:line="269"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67</w:t>
      </w:r>
    </w:p>
    <w:p w:rsidR="00CC2C66" w:rsidRDefault="00F80B74">
      <w:pPr>
        <w:spacing w:line="20" w:lineRule="exact"/>
        <w:rPr>
          <w:sz w:val="20"/>
          <w:szCs w:val="20"/>
        </w:rPr>
      </w:pPr>
      <w:r>
        <w:rPr>
          <w:noProof/>
          <w:sz w:val="20"/>
          <w:szCs w:val="20"/>
        </w:rPr>
        <w:drawing>
          <wp:anchor distT="0" distB="0" distL="114300" distR="114300" simplePos="0" relativeHeight="251749376" behindDoc="1" locked="0" layoutInCell="0" allowOverlap="1">
            <wp:simplePos x="0" y="0"/>
            <wp:positionH relativeFrom="column">
              <wp:posOffset>2989580</wp:posOffset>
            </wp:positionH>
            <wp:positionV relativeFrom="paragraph">
              <wp:posOffset>-95250</wp:posOffset>
            </wp:positionV>
            <wp:extent cx="8255" cy="9715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74" w:name="page74"/>
      <w:bookmarkEnd w:id="74"/>
      <w:r>
        <w:rPr>
          <w:rFonts w:eastAsia="Times New Roman"/>
          <w:b/>
          <w:bCs/>
          <w:noProof/>
          <w:color w:val="0000EE"/>
          <w:sz w:val="17"/>
          <w:szCs w:val="17"/>
          <w:u w:val="single"/>
        </w:rPr>
        <w:drawing>
          <wp:anchor distT="0" distB="0" distL="114300" distR="114300" simplePos="0" relativeHeight="25175040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51424" behindDoc="1" locked="0" layoutInCell="0" allowOverlap="1">
            <wp:simplePos x="0" y="0"/>
            <wp:positionH relativeFrom="column">
              <wp:posOffset>260985</wp:posOffset>
            </wp:positionH>
            <wp:positionV relativeFrom="paragraph">
              <wp:posOffset>196850</wp:posOffset>
            </wp:positionV>
            <wp:extent cx="6620510" cy="47879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a:extLst/>
                    </a:blip>
                    <a:srcRect/>
                    <a:stretch>
                      <a:fillRect/>
                    </a:stretch>
                  </pic:blipFill>
                  <pic:spPr bwMode="auto">
                    <a:xfrm>
                      <a:off x="0" y="0"/>
                      <a:ext cx="6620510" cy="4787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ind w:left="500"/>
        <w:rPr>
          <w:sz w:val="20"/>
          <w:szCs w:val="20"/>
        </w:rPr>
      </w:pPr>
      <w:r>
        <w:rPr>
          <w:rFonts w:ascii="Arial" w:eastAsia="Arial" w:hAnsi="Arial" w:cs="Arial"/>
          <w:b/>
          <w:bCs/>
          <w:color w:val="FFFFFF"/>
          <w:sz w:val="30"/>
          <w:szCs w:val="30"/>
        </w:rPr>
        <w:t>2021 DIRECTOR COMPENSATION</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8" w:lineRule="exact"/>
        <w:rPr>
          <w:sz w:val="20"/>
          <w:szCs w:val="20"/>
        </w:rPr>
      </w:pPr>
    </w:p>
    <w:p w:rsidR="00CC2C66" w:rsidRDefault="00F80B74">
      <w:pPr>
        <w:spacing w:line="241" w:lineRule="auto"/>
        <w:ind w:left="420"/>
        <w:jc w:val="both"/>
        <w:rPr>
          <w:sz w:val="20"/>
          <w:szCs w:val="20"/>
        </w:rPr>
      </w:pPr>
      <w:r>
        <w:rPr>
          <w:rFonts w:eastAsia="Times New Roman"/>
          <w:sz w:val="19"/>
          <w:szCs w:val="19"/>
        </w:rPr>
        <w:t xml:space="preserve">The Company primarily uses stock-based compensation to attract and retain qualified candidates to serve on the Board. In setting </w:t>
      </w:r>
      <w:r>
        <w:rPr>
          <w:rFonts w:eastAsia="Times New Roman"/>
          <w:sz w:val="19"/>
          <w:szCs w:val="19"/>
        </w:rPr>
        <w:t>director compensation, the Board considers the significant amount of time that directors expend in fulfilling their duties to the Company as well as the skill level required by the Company of members of the Board. The Nominating and Governance Committee of</w:t>
      </w:r>
      <w:r>
        <w:rPr>
          <w:rFonts w:eastAsia="Times New Roman"/>
          <w:sz w:val="19"/>
          <w:szCs w:val="19"/>
        </w:rPr>
        <w:t xml:space="preserve"> the Board considers advice from the compensation consultant and reviews and makes recommendations to the Board with respect to the compensation and benefits of directors on an annual basis. The Company’s director compensation structure for 2021 is discuss</w:t>
      </w:r>
      <w:r>
        <w:rPr>
          <w:rFonts w:eastAsia="Times New Roman"/>
          <w:sz w:val="19"/>
          <w:szCs w:val="19"/>
        </w:rPr>
        <w:t>ed below.</w:t>
      </w:r>
    </w:p>
    <w:p w:rsidR="00CC2C66" w:rsidRDefault="00CC2C66">
      <w:pPr>
        <w:spacing w:line="215" w:lineRule="exact"/>
        <w:rPr>
          <w:sz w:val="20"/>
          <w:szCs w:val="20"/>
        </w:rPr>
      </w:pPr>
    </w:p>
    <w:p w:rsidR="00CC2C66" w:rsidRDefault="00F80B74">
      <w:pPr>
        <w:spacing w:line="246" w:lineRule="auto"/>
        <w:ind w:left="420"/>
        <w:jc w:val="both"/>
        <w:rPr>
          <w:sz w:val="20"/>
          <w:szCs w:val="20"/>
        </w:rPr>
      </w:pPr>
      <w:r>
        <w:rPr>
          <w:rFonts w:eastAsia="Times New Roman"/>
          <w:b/>
          <w:bCs/>
          <w:sz w:val="19"/>
          <w:szCs w:val="19"/>
        </w:rPr>
        <w:t>Employee Directors</w:t>
      </w:r>
      <w:r>
        <w:rPr>
          <w:rFonts w:eastAsia="Times New Roman"/>
          <w:i/>
          <w:iCs/>
          <w:sz w:val="19"/>
          <w:szCs w:val="19"/>
        </w:rPr>
        <w:t>.</w:t>
      </w:r>
      <w:r>
        <w:rPr>
          <w:rFonts w:eastAsia="Times New Roman"/>
          <w:b/>
          <w:bCs/>
          <w:sz w:val="19"/>
          <w:szCs w:val="19"/>
        </w:rPr>
        <w:t xml:space="preserve"> </w:t>
      </w:r>
      <w:r>
        <w:rPr>
          <w:rFonts w:eastAsia="Times New Roman"/>
          <w:sz w:val="19"/>
          <w:szCs w:val="19"/>
        </w:rPr>
        <w:t>Employee directors do not receive</w:t>
      </w:r>
      <w:r>
        <w:rPr>
          <w:rFonts w:eastAsia="Times New Roman"/>
          <w:b/>
          <w:bCs/>
          <w:sz w:val="19"/>
          <w:szCs w:val="19"/>
        </w:rPr>
        <w:t xml:space="preserve"> </w:t>
      </w:r>
      <w:r>
        <w:rPr>
          <w:rFonts w:eastAsia="Times New Roman"/>
          <w:sz w:val="19"/>
          <w:szCs w:val="19"/>
        </w:rPr>
        <w:t>additional compensation for serving on the Board of Directors. Please see the 2021 Summary Compensation Table for the compensation received by Ms. Wat during 2021 for her role as CEO of the C</w:t>
      </w:r>
      <w:r>
        <w:rPr>
          <w:rFonts w:eastAsia="Times New Roman"/>
          <w:sz w:val="19"/>
          <w:szCs w:val="19"/>
        </w:rPr>
        <w:t>ompany.</w:t>
      </w:r>
    </w:p>
    <w:p w:rsidR="00CC2C66" w:rsidRDefault="00CC2C66">
      <w:pPr>
        <w:spacing w:line="209" w:lineRule="exact"/>
        <w:rPr>
          <w:sz w:val="20"/>
          <w:szCs w:val="20"/>
        </w:rPr>
      </w:pPr>
    </w:p>
    <w:p w:rsidR="00CC2C66" w:rsidRDefault="00F80B74">
      <w:pPr>
        <w:spacing w:line="269" w:lineRule="auto"/>
        <w:ind w:left="420" w:right="20"/>
        <w:jc w:val="both"/>
        <w:rPr>
          <w:sz w:val="20"/>
          <w:szCs w:val="20"/>
        </w:rPr>
      </w:pPr>
      <w:r>
        <w:rPr>
          <w:rFonts w:eastAsia="Times New Roman"/>
          <w:b/>
          <w:bCs/>
          <w:sz w:val="19"/>
          <w:szCs w:val="19"/>
        </w:rPr>
        <w:t xml:space="preserve">Non-Employee Directors Retainer. </w:t>
      </w:r>
      <w:r>
        <w:rPr>
          <w:rFonts w:eastAsia="Times New Roman"/>
          <w:sz w:val="19"/>
          <w:szCs w:val="19"/>
        </w:rPr>
        <w:t>Our non-employee directors</w:t>
      </w:r>
      <w:r>
        <w:rPr>
          <w:rFonts w:eastAsia="Times New Roman"/>
          <w:b/>
          <w:bCs/>
          <w:sz w:val="19"/>
          <w:szCs w:val="19"/>
        </w:rPr>
        <w:t xml:space="preserve"> </w:t>
      </w:r>
      <w:r>
        <w:rPr>
          <w:rFonts w:eastAsia="Times New Roman"/>
          <w:sz w:val="19"/>
          <w:szCs w:val="19"/>
        </w:rPr>
        <w:t>were each compensated with an annual retainer</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8" w:lineRule="exact"/>
        <w:rPr>
          <w:sz w:val="20"/>
          <w:szCs w:val="20"/>
        </w:rPr>
      </w:pPr>
    </w:p>
    <w:p w:rsidR="00CC2C66" w:rsidRDefault="00F80B74">
      <w:pPr>
        <w:spacing w:line="247" w:lineRule="auto"/>
        <w:jc w:val="both"/>
        <w:rPr>
          <w:sz w:val="20"/>
          <w:szCs w:val="20"/>
        </w:rPr>
      </w:pPr>
      <w:r>
        <w:rPr>
          <w:rFonts w:eastAsia="Times New Roman"/>
          <w:sz w:val="19"/>
          <w:szCs w:val="19"/>
        </w:rPr>
        <w:t xml:space="preserve">equal to $275,000, payable in Company common stock or, if requested by a director, up to one-half in cash. The annual retainers were </w:t>
      </w:r>
      <w:r>
        <w:rPr>
          <w:rFonts w:eastAsia="Times New Roman"/>
          <w:sz w:val="19"/>
          <w:szCs w:val="19"/>
        </w:rPr>
        <w:t>paid in June 2021 to compensate the directors for their services from June 1, 2021 to May 31, 2022.</w:t>
      </w:r>
    </w:p>
    <w:p w:rsidR="00CC2C66" w:rsidRDefault="00CC2C66">
      <w:pPr>
        <w:spacing w:line="208" w:lineRule="exact"/>
        <w:rPr>
          <w:sz w:val="20"/>
          <w:szCs w:val="20"/>
        </w:rPr>
      </w:pPr>
    </w:p>
    <w:p w:rsidR="00CC2C66" w:rsidRDefault="00F80B74">
      <w:pPr>
        <w:spacing w:line="241" w:lineRule="auto"/>
        <w:jc w:val="both"/>
        <w:rPr>
          <w:sz w:val="20"/>
          <w:szCs w:val="20"/>
        </w:rPr>
      </w:pPr>
      <w:r>
        <w:rPr>
          <w:rFonts w:eastAsia="Times New Roman"/>
          <w:b/>
          <w:bCs/>
          <w:sz w:val="19"/>
          <w:szCs w:val="19"/>
        </w:rPr>
        <w:t xml:space="preserve">Chairman and Committee Chairperson Retainer. </w:t>
      </w:r>
      <w:r>
        <w:rPr>
          <w:rFonts w:eastAsia="Times New Roman"/>
          <w:sz w:val="19"/>
          <w:szCs w:val="19"/>
        </w:rPr>
        <w:t>In addition to</w:t>
      </w:r>
      <w:r>
        <w:rPr>
          <w:rFonts w:eastAsia="Times New Roman"/>
          <w:b/>
          <w:bCs/>
          <w:sz w:val="19"/>
          <w:szCs w:val="19"/>
        </w:rPr>
        <w:t xml:space="preserve"> </w:t>
      </w:r>
      <w:r>
        <w:rPr>
          <w:rFonts w:eastAsia="Times New Roman"/>
          <w:sz w:val="19"/>
          <w:szCs w:val="19"/>
        </w:rPr>
        <w:t>the annual retainer paid to all non-employee directors, the Chairman of the Board (Dr. Hu) rece</w:t>
      </w:r>
      <w:r>
        <w:rPr>
          <w:rFonts w:eastAsia="Times New Roman"/>
          <w:sz w:val="19"/>
          <w:szCs w:val="19"/>
        </w:rPr>
        <w:t>ived an additional annual cash retainer of $225,000. The Chairperson of the Audit Committee (Mr. Bassi) received an additional $30,000 stock retainer, the Chairperson of the Compensation Committee (Ms. Lu) received an additional $20,000 stock retainer, the</w:t>
      </w:r>
      <w:r>
        <w:rPr>
          <w:rFonts w:eastAsia="Times New Roman"/>
          <w:sz w:val="19"/>
          <w:szCs w:val="19"/>
        </w:rPr>
        <w:t xml:space="preserve"> Chairperson of the Nominating and Governance Committee (Dr. Hu) received an additional $15,000 stock retainer, and the Chairperson of the Food Safety and Sustainability Committee (Mr. Shao) received an additional $15,000 stock retainer. All such retainers</w:t>
      </w:r>
      <w:r>
        <w:rPr>
          <w:rFonts w:eastAsia="Times New Roman"/>
          <w:sz w:val="19"/>
          <w:szCs w:val="19"/>
        </w:rPr>
        <w:t xml:space="preserve"> were paid in June 2021 to compensate the directors for their services from June 1, 2021 to May 31, 2022.</w:t>
      </w:r>
    </w:p>
    <w:p w:rsidR="00CC2C66" w:rsidRDefault="00CC2C66">
      <w:pPr>
        <w:spacing w:line="686"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158" w:lineRule="exact"/>
        <w:rPr>
          <w:sz w:val="20"/>
          <w:szCs w:val="20"/>
        </w:rPr>
      </w:pPr>
    </w:p>
    <w:p w:rsidR="00CC2C66" w:rsidRDefault="00F80B74">
      <w:pPr>
        <w:ind w:left="420"/>
        <w:rPr>
          <w:sz w:val="20"/>
          <w:szCs w:val="20"/>
        </w:rPr>
      </w:pPr>
      <w:r>
        <w:rPr>
          <w:rFonts w:eastAsia="Times New Roman"/>
          <w:sz w:val="19"/>
          <w:szCs w:val="19"/>
        </w:rPr>
        <w:t>The table below summarizes cash compensation earned by and stock retainers granted to each non-employee director during</w:t>
      </w:r>
      <w:r>
        <w:rPr>
          <w:rFonts w:eastAsia="Times New Roman"/>
          <w:sz w:val="19"/>
          <w:szCs w:val="19"/>
        </w:rPr>
        <w:t xml:space="preserve"> 2021.</w:t>
      </w:r>
    </w:p>
    <w:p w:rsidR="00CC2C66" w:rsidRDefault="00CC2C66">
      <w:pPr>
        <w:spacing w:line="281"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880"/>
        <w:gridCol w:w="2980"/>
        <w:gridCol w:w="1720"/>
        <w:gridCol w:w="1920"/>
        <w:gridCol w:w="920"/>
      </w:tblGrid>
      <w:tr w:rsidR="00CC2C66">
        <w:trPr>
          <w:trHeight w:val="157"/>
        </w:trPr>
        <w:tc>
          <w:tcPr>
            <w:tcW w:w="2880" w:type="dxa"/>
            <w:tcBorders>
              <w:top w:val="single" w:sz="8" w:space="0" w:color="CF0A2C"/>
            </w:tcBorders>
            <w:shd w:val="clear" w:color="auto" w:fill="FAE6E9"/>
            <w:vAlign w:val="bottom"/>
          </w:tcPr>
          <w:p w:rsidR="00CC2C66" w:rsidRDefault="00CC2C66">
            <w:pPr>
              <w:rPr>
                <w:sz w:val="13"/>
                <w:szCs w:val="13"/>
              </w:rPr>
            </w:pPr>
          </w:p>
        </w:tc>
        <w:tc>
          <w:tcPr>
            <w:tcW w:w="2980" w:type="dxa"/>
            <w:tcBorders>
              <w:top w:val="single" w:sz="8" w:space="0" w:color="CF0A2C"/>
            </w:tcBorders>
            <w:shd w:val="clear" w:color="auto" w:fill="FAE6E9"/>
            <w:vAlign w:val="bottom"/>
          </w:tcPr>
          <w:p w:rsidR="00CC2C66" w:rsidRDefault="00CC2C66">
            <w:pPr>
              <w:rPr>
                <w:sz w:val="13"/>
                <w:szCs w:val="13"/>
              </w:rPr>
            </w:pPr>
          </w:p>
        </w:tc>
        <w:tc>
          <w:tcPr>
            <w:tcW w:w="1720" w:type="dxa"/>
            <w:tcBorders>
              <w:top w:val="single" w:sz="8" w:space="0" w:color="CF0A2C"/>
            </w:tcBorders>
            <w:shd w:val="clear" w:color="auto" w:fill="FAE6E9"/>
            <w:vAlign w:val="bottom"/>
          </w:tcPr>
          <w:p w:rsidR="00CC2C66" w:rsidRDefault="00CC2C66">
            <w:pPr>
              <w:rPr>
                <w:sz w:val="13"/>
                <w:szCs w:val="13"/>
              </w:rPr>
            </w:pPr>
          </w:p>
        </w:tc>
        <w:tc>
          <w:tcPr>
            <w:tcW w:w="1920" w:type="dxa"/>
            <w:tcBorders>
              <w:top w:val="single" w:sz="8" w:space="0" w:color="CF0A2C"/>
            </w:tcBorders>
            <w:shd w:val="clear" w:color="auto" w:fill="FAE6E9"/>
            <w:vAlign w:val="bottom"/>
          </w:tcPr>
          <w:p w:rsidR="00CC2C66" w:rsidRDefault="00F80B74">
            <w:pPr>
              <w:spacing w:line="157" w:lineRule="exact"/>
              <w:ind w:right="35"/>
              <w:jc w:val="center"/>
              <w:rPr>
                <w:sz w:val="20"/>
                <w:szCs w:val="20"/>
              </w:rPr>
            </w:pPr>
            <w:r>
              <w:rPr>
                <w:rFonts w:ascii="Arial" w:eastAsia="Arial" w:hAnsi="Arial" w:cs="Arial"/>
                <w:b/>
                <w:bCs/>
                <w:color w:val="CF0A2C"/>
                <w:w w:val="98"/>
                <w:sz w:val="14"/>
                <w:szCs w:val="14"/>
              </w:rPr>
              <w:t>All Other</w:t>
            </w:r>
          </w:p>
        </w:tc>
        <w:tc>
          <w:tcPr>
            <w:tcW w:w="920" w:type="dxa"/>
            <w:tcBorders>
              <w:top w:val="single" w:sz="8" w:space="0" w:color="CF0A2C"/>
            </w:tcBorders>
            <w:shd w:val="clear" w:color="auto" w:fill="FAE6E9"/>
            <w:vAlign w:val="bottom"/>
          </w:tcPr>
          <w:p w:rsidR="00CC2C66" w:rsidRDefault="00CC2C66">
            <w:pPr>
              <w:rPr>
                <w:sz w:val="13"/>
                <w:szCs w:val="13"/>
              </w:rPr>
            </w:pPr>
          </w:p>
        </w:tc>
      </w:tr>
      <w:tr w:rsidR="00CC2C66">
        <w:trPr>
          <w:trHeight w:val="150"/>
        </w:trPr>
        <w:tc>
          <w:tcPr>
            <w:tcW w:w="2880" w:type="dxa"/>
            <w:shd w:val="clear" w:color="auto" w:fill="FAE6E9"/>
            <w:vAlign w:val="bottom"/>
          </w:tcPr>
          <w:p w:rsidR="00CC2C66" w:rsidRDefault="00CC2C66">
            <w:pPr>
              <w:rPr>
                <w:sz w:val="13"/>
                <w:szCs w:val="13"/>
              </w:rPr>
            </w:pPr>
          </w:p>
        </w:tc>
        <w:tc>
          <w:tcPr>
            <w:tcW w:w="2980" w:type="dxa"/>
            <w:shd w:val="clear" w:color="auto" w:fill="FAE6E9"/>
            <w:vAlign w:val="bottom"/>
          </w:tcPr>
          <w:p w:rsidR="00CC2C66" w:rsidRDefault="00F80B74">
            <w:pPr>
              <w:spacing w:line="150" w:lineRule="exact"/>
              <w:ind w:left="937"/>
              <w:jc w:val="center"/>
              <w:rPr>
                <w:sz w:val="20"/>
                <w:szCs w:val="20"/>
              </w:rPr>
            </w:pPr>
            <w:r>
              <w:rPr>
                <w:rFonts w:ascii="Arial" w:eastAsia="Arial" w:hAnsi="Arial" w:cs="Arial"/>
                <w:b/>
                <w:bCs/>
                <w:color w:val="CF0A2C"/>
                <w:w w:val="96"/>
                <w:sz w:val="14"/>
                <w:szCs w:val="14"/>
              </w:rPr>
              <w:t>Fees Earned or</w:t>
            </w:r>
          </w:p>
        </w:tc>
        <w:tc>
          <w:tcPr>
            <w:tcW w:w="1720" w:type="dxa"/>
            <w:shd w:val="clear" w:color="auto" w:fill="FAE6E9"/>
            <w:vAlign w:val="bottom"/>
          </w:tcPr>
          <w:p w:rsidR="00CC2C66" w:rsidRDefault="00F80B74">
            <w:pPr>
              <w:spacing w:line="150" w:lineRule="exact"/>
              <w:jc w:val="center"/>
              <w:rPr>
                <w:sz w:val="20"/>
                <w:szCs w:val="20"/>
              </w:rPr>
            </w:pPr>
            <w:r>
              <w:rPr>
                <w:rFonts w:ascii="Arial" w:eastAsia="Arial" w:hAnsi="Arial" w:cs="Arial"/>
                <w:b/>
                <w:bCs/>
                <w:color w:val="CF0A2C"/>
                <w:w w:val="94"/>
                <w:sz w:val="14"/>
                <w:szCs w:val="14"/>
              </w:rPr>
              <w:t>Stock Awards</w:t>
            </w:r>
          </w:p>
        </w:tc>
        <w:tc>
          <w:tcPr>
            <w:tcW w:w="1920" w:type="dxa"/>
            <w:shd w:val="clear" w:color="auto" w:fill="FAE6E9"/>
            <w:vAlign w:val="bottom"/>
          </w:tcPr>
          <w:p w:rsidR="00CC2C66" w:rsidRDefault="00F80B74">
            <w:pPr>
              <w:spacing w:line="150" w:lineRule="exact"/>
              <w:ind w:right="35"/>
              <w:jc w:val="center"/>
              <w:rPr>
                <w:sz w:val="20"/>
                <w:szCs w:val="20"/>
              </w:rPr>
            </w:pPr>
            <w:r>
              <w:rPr>
                <w:rFonts w:ascii="Arial" w:eastAsia="Arial" w:hAnsi="Arial" w:cs="Arial"/>
                <w:b/>
                <w:bCs/>
                <w:color w:val="CF0A2C"/>
                <w:w w:val="96"/>
                <w:sz w:val="14"/>
                <w:szCs w:val="14"/>
              </w:rPr>
              <w:t>Compensation</w:t>
            </w:r>
          </w:p>
        </w:tc>
        <w:tc>
          <w:tcPr>
            <w:tcW w:w="920" w:type="dxa"/>
            <w:shd w:val="clear" w:color="auto" w:fill="FAE6E9"/>
            <w:vAlign w:val="bottom"/>
          </w:tcPr>
          <w:p w:rsidR="00CC2C66" w:rsidRDefault="00F80B74">
            <w:pPr>
              <w:spacing w:line="150" w:lineRule="exact"/>
              <w:ind w:right="75"/>
              <w:jc w:val="right"/>
              <w:rPr>
                <w:sz w:val="20"/>
                <w:szCs w:val="20"/>
              </w:rPr>
            </w:pPr>
            <w:r>
              <w:rPr>
                <w:rFonts w:ascii="Arial" w:eastAsia="Arial" w:hAnsi="Arial" w:cs="Arial"/>
                <w:b/>
                <w:bCs/>
                <w:color w:val="CF0A2C"/>
                <w:sz w:val="14"/>
                <w:szCs w:val="14"/>
              </w:rPr>
              <w:t>Total</w:t>
            </w:r>
          </w:p>
        </w:tc>
      </w:tr>
      <w:tr w:rsidR="00CC2C66">
        <w:trPr>
          <w:trHeight w:val="179"/>
        </w:trPr>
        <w:tc>
          <w:tcPr>
            <w:tcW w:w="2880" w:type="dxa"/>
            <w:tcBorders>
              <w:bottom w:val="single" w:sz="8" w:space="0" w:color="CF0A2C"/>
            </w:tcBorders>
            <w:shd w:val="clear" w:color="auto" w:fill="FAE6E9"/>
            <w:vAlign w:val="bottom"/>
          </w:tcPr>
          <w:p w:rsidR="00CC2C66" w:rsidRDefault="00F80B74">
            <w:pPr>
              <w:ind w:left="40"/>
              <w:rPr>
                <w:sz w:val="20"/>
                <w:szCs w:val="20"/>
              </w:rPr>
            </w:pPr>
            <w:r>
              <w:rPr>
                <w:rFonts w:ascii="Arial" w:eastAsia="Arial" w:hAnsi="Arial" w:cs="Arial"/>
                <w:b/>
                <w:bCs/>
                <w:color w:val="CF0A2C"/>
                <w:sz w:val="14"/>
                <w:szCs w:val="14"/>
              </w:rPr>
              <w:t>Name</w:t>
            </w:r>
          </w:p>
        </w:tc>
        <w:tc>
          <w:tcPr>
            <w:tcW w:w="2980" w:type="dxa"/>
            <w:tcBorders>
              <w:bottom w:val="single" w:sz="8" w:space="0" w:color="CF0A2C"/>
            </w:tcBorders>
            <w:shd w:val="clear" w:color="auto" w:fill="FAE6E9"/>
            <w:vAlign w:val="bottom"/>
          </w:tcPr>
          <w:p w:rsidR="00CC2C66" w:rsidRDefault="00F80B74">
            <w:pPr>
              <w:ind w:left="937"/>
              <w:jc w:val="center"/>
              <w:rPr>
                <w:sz w:val="20"/>
                <w:szCs w:val="20"/>
              </w:rPr>
            </w:pPr>
            <w:r>
              <w:rPr>
                <w:rFonts w:ascii="Arial" w:eastAsia="Arial" w:hAnsi="Arial" w:cs="Arial"/>
                <w:b/>
                <w:bCs/>
                <w:color w:val="CF0A2C"/>
                <w:w w:val="96"/>
                <w:sz w:val="14"/>
                <w:szCs w:val="14"/>
              </w:rPr>
              <w:t>Paid in Cash($)</w:t>
            </w:r>
          </w:p>
        </w:tc>
        <w:tc>
          <w:tcPr>
            <w:tcW w:w="1720" w:type="dxa"/>
            <w:tcBorders>
              <w:bottom w:val="single" w:sz="8" w:space="0" w:color="CF0A2C"/>
            </w:tcBorders>
            <w:shd w:val="clear" w:color="auto" w:fill="FAE6E9"/>
            <w:vAlign w:val="bottom"/>
          </w:tcPr>
          <w:p w:rsidR="00CC2C66" w:rsidRDefault="00F80B74">
            <w:pPr>
              <w:spacing w:line="179" w:lineRule="exact"/>
              <w:jc w:val="center"/>
              <w:rPr>
                <w:sz w:val="20"/>
                <w:szCs w:val="20"/>
              </w:rPr>
            </w:pPr>
            <w:r>
              <w:rPr>
                <w:rFonts w:ascii="Arial" w:eastAsia="Arial" w:hAnsi="Arial" w:cs="Arial"/>
                <w:b/>
                <w:bCs/>
                <w:color w:val="CF0A2C"/>
                <w:w w:val="83"/>
                <w:sz w:val="14"/>
                <w:szCs w:val="14"/>
              </w:rPr>
              <w:t>($)</w:t>
            </w:r>
            <w:r>
              <w:rPr>
                <w:rFonts w:ascii="Arial" w:eastAsia="Arial" w:hAnsi="Arial" w:cs="Arial"/>
                <w:b/>
                <w:bCs/>
                <w:color w:val="CF0A2C"/>
                <w:w w:val="83"/>
                <w:sz w:val="20"/>
                <w:szCs w:val="20"/>
                <w:vertAlign w:val="superscript"/>
              </w:rPr>
              <w:t>(5)</w:t>
            </w:r>
          </w:p>
        </w:tc>
        <w:tc>
          <w:tcPr>
            <w:tcW w:w="1920" w:type="dxa"/>
            <w:tcBorders>
              <w:bottom w:val="single" w:sz="8" w:space="0" w:color="CF0A2C"/>
            </w:tcBorders>
            <w:shd w:val="clear" w:color="auto" w:fill="FAE6E9"/>
            <w:vAlign w:val="bottom"/>
          </w:tcPr>
          <w:p w:rsidR="00CC2C66" w:rsidRDefault="00F80B74">
            <w:pPr>
              <w:ind w:right="15"/>
              <w:jc w:val="center"/>
              <w:rPr>
                <w:sz w:val="20"/>
                <w:szCs w:val="20"/>
              </w:rPr>
            </w:pPr>
            <w:r>
              <w:rPr>
                <w:rFonts w:ascii="Arial" w:eastAsia="Arial" w:hAnsi="Arial" w:cs="Arial"/>
                <w:b/>
                <w:bCs/>
                <w:color w:val="CF0A2C"/>
                <w:w w:val="93"/>
                <w:sz w:val="14"/>
                <w:szCs w:val="14"/>
              </w:rPr>
              <w:t>($)</w:t>
            </w:r>
          </w:p>
        </w:tc>
        <w:tc>
          <w:tcPr>
            <w:tcW w:w="920" w:type="dxa"/>
            <w:tcBorders>
              <w:bottom w:val="single" w:sz="8" w:space="0" w:color="CF0A2C"/>
            </w:tcBorders>
            <w:shd w:val="clear" w:color="auto" w:fill="FAE6E9"/>
            <w:vAlign w:val="bottom"/>
          </w:tcPr>
          <w:p w:rsidR="00CC2C66" w:rsidRDefault="00F80B74">
            <w:pPr>
              <w:ind w:right="155"/>
              <w:jc w:val="right"/>
              <w:rPr>
                <w:sz w:val="20"/>
                <w:szCs w:val="20"/>
              </w:rPr>
            </w:pPr>
            <w:r>
              <w:rPr>
                <w:rFonts w:ascii="Arial" w:eastAsia="Arial" w:hAnsi="Arial" w:cs="Arial"/>
                <w:b/>
                <w:bCs/>
                <w:color w:val="CF0A2C"/>
                <w:sz w:val="14"/>
                <w:szCs w:val="14"/>
              </w:rPr>
              <w:t>($)</w:t>
            </w:r>
          </w:p>
        </w:tc>
      </w:tr>
      <w:tr w:rsidR="00CC2C66">
        <w:trPr>
          <w:trHeight w:val="162"/>
        </w:trPr>
        <w:tc>
          <w:tcPr>
            <w:tcW w:w="2880" w:type="dxa"/>
            <w:vAlign w:val="bottom"/>
          </w:tcPr>
          <w:p w:rsidR="00CC2C66" w:rsidRDefault="00F80B74">
            <w:pPr>
              <w:ind w:left="40"/>
              <w:rPr>
                <w:sz w:val="20"/>
                <w:szCs w:val="20"/>
              </w:rPr>
            </w:pPr>
            <w:r>
              <w:rPr>
                <w:rFonts w:ascii="Arial" w:eastAsia="Arial" w:hAnsi="Arial" w:cs="Arial"/>
                <w:b/>
                <w:bCs/>
                <w:color w:val="CF0A2C"/>
                <w:sz w:val="14"/>
                <w:szCs w:val="14"/>
              </w:rPr>
              <w:t>(a)</w:t>
            </w:r>
          </w:p>
        </w:tc>
        <w:tc>
          <w:tcPr>
            <w:tcW w:w="2980" w:type="dxa"/>
            <w:vAlign w:val="bottom"/>
          </w:tcPr>
          <w:p w:rsidR="00CC2C66" w:rsidRDefault="00F80B74">
            <w:pPr>
              <w:ind w:left="937"/>
              <w:jc w:val="center"/>
              <w:rPr>
                <w:sz w:val="20"/>
                <w:szCs w:val="20"/>
              </w:rPr>
            </w:pPr>
            <w:r>
              <w:rPr>
                <w:rFonts w:ascii="Arial" w:eastAsia="Arial" w:hAnsi="Arial" w:cs="Arial"/>
                <w:b/>
                <w:bCs/>
                <w:color w:val="CF0A2C"/>
                <w:sz w:val="14"/>
                <w:szCs w:val="14"/>
              </w:rPr>
              <w:t>(b)</w:t>
            </w:r>
          </w:p>
        </w:tc>
        <w:tc>
          <w:tcPr>
            <w:tcW w:w="1720" w:type="dxa"/>
            <w:vAlign w:val="bottom"/>
          </w:tcPr>
          <w:p w:rsidR="00CC2C66" w:rsidRDefault="00F80B74">
            <w:pPr>
              <w:jc w:val="center"/>
              <w:rPr>
                <w:sz w:val="20"/>
                <w:szCs w:val="20"/>
              </w:rPr>
            </w:pPr>
            <w:r>
              <w:rPr>
                <w:rFonts w:ascii="Arial" w:eastAsia="Arial" w:hAnsi="Arial" w:cs="Arial"/>
                <w:b/>
                <w:bCs/>
                <w:color w:val="CF0A2C"/>
                <w:w w:val="93"/>
                <w:sz w:val="14"/>
                <w:szCs w:val="14"/>
              </w:rPr>
              <w:t>(c)</w:t>
            </w:r>
          </w:p>
        </w:tc>
        <w:tc>
          <w:tcPr>
            <w:tcW w:w="1920" w:type="dxa"/>
            <w:vAlign w:val="bottom"/>
          </w:tcPr>
          <w:p w:rsidR="00CC2C66" w:rsidRDefault="00F80B74">
            <w:pPr>
              <w:ind w:right="35"/>
              <w:jc w:val="center"/>
              <w:rPr>
                <w:sz w:val="20"/>
                <w:szCs w:val="20"/>
              </w:rPr>
            </w:pPr>
            <w:r>
              <w:rPr>
                <w:rFonts w:ascii="Arial" w:eastAsia="Arial" w:hAnsi="Arial" w:cs="Arial"/>
                <w:b/>
                <w:bCs/>
                <w:color w:val="CF0A2C"/>
                <w:sz w:val="14"/>
                <w:szCs w:val="14"/>
              </w:rPr>
              <w:t>(d)</w:t>
            </w:r>
          </w:p>
        </w:tc>
        <w:tc>
          <w:tcPr>
            <w:tcW w:w="920" w:type="dxa"/>
            <w:vAlign w:val="bottom"/>
          </w:tcPr>
          <w:p w:rsidR="00CC2C66" w:rsidRDefault="00F80B74">
            <w:pPr>
              <w:ind w:right="155"/>
              <w:jc w:val="right"/>
              <w:rPr>
                <w:sz w:val="20"/>
                <w:szCs w:val="20"/>
              </w:rPr>
            </w:pPr>
            <w:r>
              <w:rPr>
                <w:rFonts w:ascii="Arial" w:eastAsia="Arial" w:hAnsi="Arial" w:cs="Arial"/>
                <w:b/>
                <w:bCs/>
                <w:color w:val="CF0A2C"/>
                <w:sz w:val="14"/>
                <w:szCs w:val="14"/>
              </w:rPr>
              <w:t>(e)</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Peter A. Bassi</w:t>
            </w:r>
          </w:p>
        </w:tc>
        <w:tc>
          <w:tcPr>
            <w:tcW w:w="2980" w:type="dxa"/>
            <w:vAlign w:val="bottom"/>
          </w:tcPr>
          <w:p w:rsidR="00CC2C66" w:rsidRDefault="00F80B74">
            <w:pPr>
              <w:spacing w:line="179" w:lineRule="exact"/>
              <w:ind w:right="317"/>
              <w:jc w:val="right"/>
              <w:rPr>
                <w:sz w:val="20"/>
                <w:szCs w:val="20"/>
              </w:rPr>
            </w:pPr>
            <w:r>
              <w:rPr>
                <w:rFonts w:ascii="Arial" w:eastAsia="Arial" w:hAnsi="Arial" w:cs="Arial"/>
                <w:sz w:val="13"/>
                <w:szCs w:val="13"/>
              </w:rPr>
              <w:t>137,500</w:t>
            </w:r>
            <w:r>
              <w:rPr>
                <w:rFonts w:ascii="Arial" w:eastAsia="Arial" w:hAnsi="Arial" w:cs="Arial"/>
                <w:sz w:val="19"/>
                <w:szCs w:val="19"/>
                <w:vertAlign w:val="superscript"/>
              </w:rPr>
              <w:t>(1)</w:t>
            </w:r>
          </w:p>
        </w:tc>
        <w:tc>
          <w:tcPr>
            <w:tcW w:w="1720" w:type="dxa"/>
            <w:vAlign w:val="bottom"/>
          </w:tcPr>
          <w:p w:rsidR="00CC2C66" w:rsidRDefault="00F80B74">
            <w:pPr>
              <w:ind w:right="375"/>
              <w:jc w:val="right"/>
              <w:rPr>
                <w:sz w:val="20"/>
                <w:szCs w:val="20"/>
              </w:rPr>
            </w:pPr>
            <w:r>
              <w:rPr>
                <w:rFonts w:ascii="Arial" w:eastAsia="Arial" w:hAnsi="Arial" w:cs="Arial"/>
                <w:sz w:val="13"/>
                <w:szCs w:val="13"/>
              </w:rPr>
              <w:t>167,500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305,000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Edouard Ettedgui</w:t>
            </w:r>
          </w:p>
        </w:tc>
        <w:tc>
          <w:tcPr>
            <w:tcW w:w="2980" w:type="dxa"/>
            <w:vAlign w:val="bottom"/>
          </w:tcPr>
          <w:p w:rsidR="00CC2C66" w:rsidRDefault="00F80B74">
            <w:pPr>
              <w:ind w:right="437"/>
              <w:jc w:val="right"/>
              <w:rPr>
                <w:sz w:val="20"/>
                <w:szCs w:val="20"/>
              </w:rPr>
            </w:pPr>
            <w:r>
              <w:rPr>
                <w:rFonts w:ascii="Arial" w:eastAsia="Arial" w:hAnsi="Arial" w:cs="Arial"/>
                <w:sz w:val="13"/>
                <w:szCs w:val="13"/>
              </w:rPr>
              <w:t>—</w:t>
            </w:r>
          </w:p>
        </w:tc>
        <w:tc>
          <w:tcPr>
            <w:tcW w:w="1720" w:type="dxa"/>
            <w:vAlign w:val="bottom"/>
          </w:tcPr>
          <w:p w:rsidR="00CC2C66" w:rsidRDefault="00F80B74">
            <w:pPr>
              <w:ind w:right="375"/>
              <w:jc w:val="right"/>
              <w:rPr>
                <w:sz w:val="20"/>
                <w:szCs w:val="20"/>
              </w:rPr>
            </w:pPr>
            <w:r>
              <w:rPr>
                <w:rFonts w:ascii="Arial" w:eastAsia="Arial" w:hAnsi="Arial" w:cs="Arial"/>
                <w:sz w:val="13"/>
                <w:szCs w:val="13"/>
              </w:rPr>
              <w:t>275,000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275,000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Cyril Han</w:t>
            </w:r>
          </w:p>
        </w:tc>
        <w:tc>
          <w:tcPr>
            <w:tcW w:w="2980" w:type="dxa"/>
            <w:vAlign w:val="bottom"/>
          </w:tcPr>
          <w:p w:rsidR="00CC2C66" w:rsidRDefault="00F80B74">
            <w:pPr>
              <w:ind w:right="437"/>
              <w:jc w:val="right"/>
              <w:rPr>
                <w:sz w:val="20"/>
                <w:szCs w:val="20"/>
              </w:rPr>
            </w:pPr>
            <w:r>
              <w:rPr>
                <w:rFonts w:ascii="Arial" w:eastAsia="Arial" w:hAnsi="Arial" w:cs="Arial"/>
                <w:sz w:val="13"/>
                <w:szCs w:val="13"/>
              </w:rPr>
              <w:t>—</w:t>
            </w:r>
          </w:p>
        </w:tc>
        <w:tc>
          <w:tcPr>
            <w:tcW w:w="1720" w:type="dxa"/>
            <w:vAlign w:val="bottom"/>
          </w:tcPr>
          <w:p w:rsidR="00CC2C66" w:rsidRDefault="00F80B74">
            <w:pPr>
              <w:ind w:right="375"/>
              <w:jc w:val="right"/>
              <w:rPr>
                <w:sz w:val="20"/>
                <w:szCs w:val="20"/>
              </w:rPr>
            </w:pPr>
            <w:r>
              <w:rPr>
                <w:rFonts w:ascii="Arial" w:eastAsia="Arial" w:hAnsi="Arial" w:cs="Arial"/>
                <w:sz w:val="13"/>
                <w:szCs w:val="13"/>
              </w:rPr>
              <w:t>275,000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275,000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 xml:space="preserve">Louis T. </w:t>
            </w:r>
            <w:r>
              <w:rPr>
                <w:rFonts w:ascii="Arial" w:eastAsia="Arial" w:hAnsi="Arial" w:cs="Arial"/>
                <w:b/>
                <w:bCs/>
                <w:color w:val="CF0A2C"/>
                <w:sz w:val="14"/>
                <w:szCs w:val="14"/>
              </w:rPr>
              <w:t>Hsieh</w:t>
            </w:r>
          </w:p>
        </w:tc>
        <w:tc>
          <w:tcPr>
            <w:tcW w:w="2980" w:type="dxa"/>
            <w:vAlign w:val="bottom"/>
          </w:tcPr>
          <w:p w:rsidR="00CC2C66" w:rsidRDefault="00F80B74">
            <w:pPr>
              <w:spacing w:line="179" w:lineRule="exact"/>
              <w:ind w:right="317"/>
              <w:jc w:val="right"/>
              <w:rPr>
                <w:sz w:val="20"/>
                <w:szCs w:val="20"/>
              </w:rPr>
            </w:pPr>
            <w:r>
              <w:rPr>
                <w:rFonts w:ascii="Arial" w:eastAsia="Arial" w:hAnsi="Arial" w:cs="Arial"/>
                <w:sz w:val="13"/>
                <w:szCs w:val="13"/>
              </w:rPr>
              <w:t>137,500</w:t>
            </w:r>
            <w:r>
              <w:rPr>
                <w:rFonts w:ascii="Arial" w:eastAsia="Arial" w:hAnsi="Arial" w:cs="Arial"/>
                <w:sz w:val="19"/>
                <w:szCs w:val="19"/>
                <w:vertAlign w:val="superscript"/>
              </w:rPr>
              <w:t>(1)</w:t>
            </w:r>
          </w:p>
        </w:tc>
        <w:tc>
          <w:tcPr>
            <w:tcW w:w="1720" w:type="dxa"/>
            <w:vAlign w:val="bottom"/>
          </w:tcPr>
          <w:p w:rsidR="00CC2C66" w:rsidRDefault="00F80B74">
            <w:pPr>
              <w:ind w:right="375"/>
              <w:jc w:val="right"/>
              <w:rPr>
                <w:sz w:val="20"/>
                <w:szCs w:val="20"/>
              </w:rPr>
            </w:pPr>
            <w:r>
              <w:rPr>
                <w:rFonts w:ascii="Arial" w:eastAsia="Arial" w:hAnsi="Arial" w:cs="Arial"/>
                <w:sz w:val="13"/>
                <w:szCs w:val="13"/>
              </w:rPr>
              <w:t>137,500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275,000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Fred Hu</w:t>
            </w:r>
          </w:p>
        </w:tc>
        <w:tc>
          <w:tcPr>
            <w:tcW w:w="2980" w:type="dxa"/>
            <w:vAlign w:val="bottom"/>
          </w:tcPr>
          <w:p w:rsidR="00CC2C66" w:rsidRDefault="00F80B74">
            <w:pPr>
              <w:spacing w:line="179" w:lineRule="exact"/>
              <w:ind w:right="317"/>
              <w:jc w:val="right"/>
              <w:rPr>
                <w:sz w:val="20"/>
                <w:szCs w:val="20"/>
              </w:rPr>
            </w:pPr>
            <w:r>
              <w:rPr>
                <w:rFonts w:ascii="Arial" w:eastAsia="Arial" w:hAnsi="Arial" w:cs="Arial"/>
                <w:sz w:val="13"/>
                <w:szCs w:val="13"/>
              </w:rPr>
              <w:t>225,000</w:t>
            </w:r>
            <w:r>
              <w:rPr>
                <w:rFonts w:ascii="Arial" w:eastAsia="Arial" w:hAnsi="Arial" w:cs="Arial"/>
                <w:sz w:val="19"/>
                <w:szCs w:val="19"/>
                <w:vertAlign w:val="superscript"/>
              </w:rPr>
              <w:t>(2)</w:t>
            </w:r>
          </w:p>
        </w:tc>
        <w:tc>
          <w:tcPr>
            <w:tcW w:w="1720" w:type="dxa"/>
            <w:vAlign w:val="bottom"/>
          </w:tcPr>
          <w:p w:rsidR="00CC2C66" w:rsidRDefault="00F80B74">
            <w:pPr>
              <w:ind w:right="375"/>
              <w:jc w:val="right"/>
              <w:rPr>
                <w:sz w:val="20"/>
                <w:szCs w:val="20"/>
              </w:rPr>
            </w:pPr>
            <w:r>
              <w:rPr>
                <w:rFonts w:ascii="Arial" w:eastAsia="Arial" w:hAnsi="Arial" w:cs="Arial"/>
                <w:sz w:val="13"/>
                <w:szCs w:val="13"/>
              </w:rPr>
              <w:t>290,000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515,000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Ruby Lu</w:t>
            </w:r>
          </w:p>
        </w:tc>
        <w:tc>
          <w:tcPr>
            <w:tcW w:w="2980" w:type="dxa"/>
            <w:vAlign w:val="bottom"/>
          </w:tcPr>
          <w:p w:rsidR="00CC2C66" w:rsidRDefault="00F80B74">
            <w:pPr>
              <w:ind w:right="437"/>
              <w:jc w:val="right"/>
              <w:rPr>
                <w:sz w:val="20"/>
                <w:szCs w:val="20"/>
              </w:rPr>
            </w:pPr>
            <w:r>
              <w:rPr>
                <w:rFonts w:ascii="Arial" w:eastAsia="Arial" w:hAnsi="Arial" w:cs="Arial"/>
                <w:sz w:val="13"/>
                <w:szCs w:val="13"/>
              </w:rPr>
              <w:t>—</w:t>
            </w:r>
          </w:p>
        </w:tc>
        <w:tc>
          <w:tcPr>
            <w:tcW w:w="1720" w:type="dxa"/>
            <w:vAlign w:val="bottom"/>
          </w:tcPr>
          <w:p w:rsidR="00CC2C66" w:rsidRDefault="00F80B74">
            <w:pPr>
              <w:ind w:right="375"/>
              <w:jc w:val="right"/>
              <w:rPr>
                <w:sz w:val="20"/>
                <w:szCs w:val="20"/>
              </w:rPr>
            </w:pPr>
            <w:r>
              <w:rPr>
                <w:rFonts w:ascii="Arial" w:eastAsia="Arial" w:hAnsi="Arial" w:cs="Arial"/>
                <w:sz w:val="13"/>
                <w:szCs w:val="13"/>
              </w:rPr>
              <w:t>295,000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295,000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Zili Shao</w:t>
            </w:r>
          </w:p>
        </w:tc>
        <w:tc>
          <w:tcPr>
            <w:tcW w:w="2980" w:type="dxa"/>
            <w:vAlign w:val="bottom"/>
          </w:tcPr>
          <w:p w:rsidR="00CC2C66" w:rsidRDefault="00F80B74">
            <w:pPr>
              <w:ind w:right="437"/>
              <w:jc w:val="right"/>
              <w:rPr>
                <w:sz w:val="20"/>
                <w:szCs w:val="20"/>
              </w:rPr>
            </w:pPr>
            <w:r>
              <w:rPr>
                <w:rFonts w:ascii="Arial" w:eastAsia="Arial" w:hAnsi="Arial" w:cs="Arial"/>
                <w:sz w:val="13"/>
                <w:szCs w:val="13"/>
              </w:rPr>
              <w:t>—</w:t>
            </w:r>
          </w:p>
        </w:tc>
        <w:tc>
          <w:tcPr>
            <w:tcW w:w="1720" w:type="dxa"/>
            <w:vAlign w:val="bottom"/>
          </w:tcPr>
          <w:p w:rsidR="00CC2C66" w:rsidRDefault="00F80B74">
            <w:pPr>
              <w:ind w:right="375"/>
              <w:jc w:val="right"/>
              <w:rPr>
                <w:sz w:val="20"/>
                <w:szCs w:val="20"/>
              </w:rPr>
            </w:pPr>
            <w:r>
              <w:rPr>
                <w:rFonts w:ascii="Arial" w:eastAsia="Arial" w:hAnsi="Arial" w:cs="Arial"/>
                <w:sz w:val="13"/>
                <w:szCs w:val="13"/>
              </w:rPr>
              <w:t>290,000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290,000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William Wang</w:t>
            </w:r>
          </w:p>
        </w:tc>
        <w:tc>
          <w:tcPr>
            <w:tcW w:w="2980" w:type="dxa"/>
            <w:vAlign w:val="bottom"/>
          </w:tcPr>
          <w:p w:rsidR="00CC2C66" w:rsidRDefault="00F80B74">
            <w:pPr>
              <w:ind w:right="437"/>
              <w:jc w:val="right"/>
              <w:rPr>
                <w:sz w:val="20"/>
                <w:szCs w:val="20"/>
              </w:rPr>
            </w:pPr>
            <w:r>
              <w:rPr>
                <w:rFonts w:ascii="Arial" w:eastAsia="Arial" w:hAnsi="Arial" w:cs="Arial"/>
                <w:sz w:val="13"/>
                <w:szCs w:val="13"/>
              </w:rPr>
              <w:t>—</w:t>
            </w:r>
          </w:p>
        </w:tc>
        <w:tc>
          <w:tcPr>
            <w:tcW w:w="1720" w:type="dxa"/>
            <w:vAlign w:val="bottom"/>
          </w:tcPr>
          <w:p w:rsidR="00CC2C66" w:rsidRDefault="00F80B74">
            <w:pPr>
              <w:ind w:right="375"/>
              <w:jc w:val="right"/>
              <w:rPr>
                <w:sz w:val="20"/>
                <w:szCs w:val="20"/>
              </w:rPr>
            </w:pPr>
            <w:r>
              <w:rPr>
                <w:rFonts w:ascii="Arial" w:eastAsia="Arial" w:hAnsi="Arial" w:cs="Arial"/>
                <w:sz w:val="13"/>
                <w:szCs w:val="13"/>
              </w:rPr>
              <w:t>275,000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275,000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Min (Jenny) Zhang</w:t>
            </w:r>
          </w:p>
        </w:tc>
        <w:tc>
          <w:tcPr>
            <w:tcW w:w="2980" w:type="dxa"/>
            <w:vAlign w:val="bottom"/>
          </w:tcPr>
          <w:p w:rsidR="00CC2C66" w:rsidRDefault="00F80B74">
            <w:pPr>
              <w:spacing w:line="179" w:lineRule="exact"/>
              <w:ind w:right="317"/>
              <w:jc w:val="right"/>
              <w:rPr>
                <w:sz w:val="20"/>
                <w:szCs w:val="20"/>
              </w:rPr>
            </w:pPr>
            <w:r>
              <w:rPr>
                <w:rFonts w:ascii="Arial" w:eastAsia="Arial" w:hAnsi="Arial" w:cs="Arial"/>
                <w:sz w:val="13"/>
                <w:szCs w:val="13"/>
              </w:rPr>
              <w:t>137,500</w:t>
            </w:r>
            <w:r>
              <w:rPr>
                <w:rFonts w:ascii="Arial" w:eastAsia="Arial" w:hAnsi="Arial" w:cs="Arial"/>
                <w:sz w:val="19"/>
                <w:szCs w:val="19"/>
                <w:vertAlign w:val="superscript"/>
              </w:rPr>
              <w:t>(3)</w:t>
            </w:r>
          </w:p>
        </w:tc>
        <w:tc>
          <w:tcPr>
            <w:tcW w:w="1720" w:type="dxa"/>
            <w:vAlign w:val="bottom"/>
          </w:tcPr>
          <w:p w:rsidR="00CC2C66" w:rsidRDefault="00F80B74">
            <w:pPr>
              <w:ind w:right="375"/>
              <w:jc w:val="right"/>
              <w:rPr>
                <w:sz w:val="20"/>
                <w:szCs w:val="20"/>
              </w:rPr>
            </w:pPr>
            <w:r>
              <w:rPr>
                <w:rFonts w:ascii="Arial" w:eastAsia="Arial" w:hAnsi="Arial" w:cs="Arial"/>
                <w:sz w:val="13"/>
                <w:szCs w:val="13"/>
              </w:rPr>
              <w:t>137,500</w:t>
            </w:r>
          </w:p>
        </w:tc>
        <w:tc>
          <w:tcPr>
            <w:tcW w:w="1920" w:type="dxa"/>
            <w:vAlign w:val="bottom"/>
          </w:tcPr>
          <w:p w:rsidR="00CC2C66" w:rsidRDefault="00F80B74">
            <w:pPr>
              <w:ind w:right="455"/>
              <w:jc w:val="right"/>
              <w:rPr>
                <w:sz w:val="20"/>
                <w:szCs w:val="20"/>
              </w:rPr>
            </w:pPr>
            <w:r>
              <w:rPr>
                <w:rFonts w:ascii="Arial" w:eastAsia="Arial" w:hAnsi="Arial" w:cs="Arial"/>
                <w:sz w:val="13"/>
                <w:szCs w:val="13"/>
              </w:rPr>
              <w:t>—</w:t>
            </w:r>
          </w:p>
        </w:tc>
        <w:tc>
          <w:tcPr>
            <w:tcW w:w="920" w:type="dxa"/>
            <w:vAlign w:val="bottom"/>
          </w:tcPr>
          <w:p w:rsidR="00CC2C66" w:rsidRDefault="00F80B74">
            <w:pPr>
              <w:jc w:val="right"/>
              <w:rPr>
                <w:sz w:val="20"/>
                <w:szCs w:val="20"/>
              </w:rPr>
            </w:pPr>
            <w:r>
              <w:rPr>
                <w:rFonts w:ascii="Arial" w:eastAsia="Arial" w:hAnsi="Arial" w:cs="Arial"/>
                <w:sz w:val="13"/>
                <w:szCs w:val="13"/>
              </w:rPr>
              <w:t>275,000</w:t>
            </w:r>
          </w:p>
        </w:tc>
      </w:tr>
      <w:tr w:rsidR="00CC2C66">
        <w:trPr>
          <w:trHeight w:val="179"/>
        </w:trPr>
        <w:tc>
          <w:tcPr>
            <w:tcW w:w="2880" w:type="dxa"/>
            <w:vAlign w:val="bottom"/>
          </w:tcPr>
          <w:p w:rsidR="00CC2C66" w:rsidRDefault="00F80B74">
            <w:pPr>
              <w:rPr>
                <w:sz w:val="20"/>
                <w:szCs w:val="20"/>
              </w:rPr>
            </w:pPr>
            <w:r>
              <w:rPr>
                <w:rFonts w:ascii="Arial" w:eastAsia="Arial" w:hAnsi="Arial" w:cs="Arial"/>
                <w:b/>
                <w:bCs/>
                <w:color w:val="CF0A2C"/>
                <w:sz w:val="14"/>
                <w:szCs w:val="14"/>
              </w:rPr>
              <w:t>Christian L. Campbell</w:t>
            </w:r>
          </w:p>
        </w:tc>
        <w:tc>
          <w:tcPr>
            <w:tcW w:w="2980" w:type="dxa"/>
            <w:vAlign w:val="bottom"/>
          </w:tcPr>
          <w:p w:rsidR="00CC2C66" w:rsidRDefault="00F80B74">
            <w:pPr>
              <w:ind w:right="437"/>
              <w:jc w:val="right"/>
              <w:rPr>
                <w:sz w:val="20"/>
                <w:szCs w:val="20"/>
              </w:rPr>
            </w:pPr>
            <w:r>
              <w:rPr>
                <w:rFonts w:ascii="Arial" w:eastAsia="Arial" w:hAnsi="Arial" w:cs="Arial"/>
                <w:sz w:val="13"/>
                <w:szCs w:val="13"/>
              </w:rPr>
              <w:t>—</w:t>
            </w:r>
          </w:p>
        </w:tc>
        <w:tc>
          <w:tcPr>
            <w:tcW w:w="1720" w:type="dxa"/>
            <w:vAlign w:val="bottom"/>
          </w:tcPr>
          <w:p w:rsidR="00CC2C66" w:rsidRDefault="00F80B74">
            <w:pPr>
              <w:ind w:right="375"/>
              <w:jc w:val="right"/>
              <w:rPr>
                <w:sz w:val="20"/>
                <w:szCs w:val="20"/>
              </w:rPr>
            </w:pPr>
            <w:r>
              <w:rPr>
                <w:rFonts w:ascii="Arial" w:eastAsia="Arial" w:hAnsi="Arial" w:cs="Arial"/>
                <w:sz w:val="13"/>
                <w:szCs w:val="13"/>
              </w:rPr>
              <w:t>—</w:t>
            </w:r>
          </w:p>
        </w:tc>
        <w:tc>
          <w:tcPr>
            <w:tcW w:w="1920" w:type="dxa"/>
            <w:vAlign w:val="bottom"/>
          </w:tcPr>
          <w:p w:rsidR="00CC2C66" w:rsidRDefault="00F80B74">
            <w:pPr>
              <w:spacing w:line="179" w:lineRule="exact"/>
              <w:ind w:right="335"/>
              <w:jc w:val="right"/>
              <w:rPr>
                <w:sz w:val="20"/>
                <w:szCs w:val="20"/>
              </w:rPr>
            </w:pPr>
            <w:r>
              <w:rPr>
                <w:rFonts w:ascii="Arial" w:eastAsia="Arial" w:hAnsi="Arial" w:cs="Arial"/>
                <w:sz w:val="13"/>
                <w:szCs w:val="13"/>
              </w:rPr>
              <w:t>127,500</w:t>
            </w:r>
            <w:r>
              <w:rPr>
                <w:rFonts w:ascii="Arial" w:eastAsia="Arial" w:hAnsi="Arial" w:cs="Arial"/>
                <w:sz w:val="19"/>
                <w:szCs w:val="19"/>
                <w:vertAlign w:val="superscript"/>
              </w:rPr>
              <w:t>(6)</w:t>
            </w:r>
          </w:p>
        </w:tc>
        <w:tc>
          <w:tcPr>
            <w:tcW w:w="920" w:type="dxa"/>
            <w:vAlign w:val="bottom"/>
          </w:tcPr>
          <w:p w:rsidR="00CC2C66" w:rsidRDefault="00F80B74">
            <w:pPr>
              <w:jc w:val="right"/>
              <w:rPr>
                <w:sz w:val="20"/>
                <w:szCs w:val="20"/>
              </w:rPr>
            </w:pPr>
            <w:r>
              <w:rPr>
                <w:rFonts w:ascii="Arial" w:eastAsia="Arial" w:hAnsi="Arial" w:cs="Arial"/>
                <w:sz w:val="13"/>
                <w:szCs w:val="13"/>
              </w:rPr>
              <w:t>127,500</w:t>
            </w:r>
          </w:p>
        </w:tc>
      </w:tr>
      <w:tr w:rsidR="00CC2C66">
        <w:trPr>
          <w:trHeight w:val="163"/>
        </w:trPr>
        <w:tc>
          <w:tcPr>
            <w:tcW w:w="2880" w:type="dxa"/>
            <w:tcBorders>
              <w:bottom w:val="single" w:sz="8" w:space="0" w:color="CF0A2C"/>
            </w:tcBorders>
            <w:vAlign w:val="bottom"/>
          </w:tcPr>
          <w:p w:rsidR="00CC2C66" w:rsidRDefault="00F80B74">
            <w:pPr>
              <w:rPr>
                <w:sz w:val="20"/>
                <w:szCs w:val="20"/>
              </w:rPr>
            </w:pPr>
            <w:r>
              <w:rPr>
                <w:rFonts w:ascii="Arial" w:eastAsia="Arial" w:hAnsi="Arial" w:cs="Arial"/>
                <w:b/>
                <w:bCs/>
                <w:color w:val="CF0A2C"/>
                <w:sz w:val="14"/>
                <w:szCs w:val="14"/>
              </w:rPr>
              <w:t>Ed Yiu-Cheong Chan</w:t>
            </w:r>
          </w:p>
        </w:tc>
        <w:tc>
          <w:tcPr>
            <w:tcW w:w="2980" w:type="dxa"/>
            <w:tcBorders>
              <w:bottom w:val="single" w:sz="8" w:space="0" w:color="CF0A2C"/>
            </w:tcBorders>
            <w:vAlign w:val="bottom"/>
          </w:tcPr>
          <w:p w:rsidR="00CC2C66" w:rsidRDefault="00F80B74">
            <w:pPr>
              <w:spacing w:line="163" w:lineRule="exact"/>
              <w:ind w:right="317"/>
              <w:jc w:val="right"/>
              <w:rPr>
                <w:sz w:val="20"/>
                <w:szCs w:val="20"/>
              </w:rPr>
            </w:pPr>
            <w:r>
              <w:rPr>
                <w:rFonts w:ascii="Arial" w:eastAsia="Arial" w:hAnsi="Arial" w:cs="Arial"/>
                <w:sz w:val="18"/>
                <w:szCs w:val="18"/>
                <w:vertAlign w:val="subscript"/>
              </w:rPr>
              <w:t>—</w:t>
            </w:r>
            <w:r>
              <w:rPr>
                <w:rFonts w:ascii="Arial" w:eastAsia="Arial" w:hAnsi="Arial" w:cs="Arial"/>
                <w:sz w:val="8"/>
                <w:szCs w:val="8"/>
              </w:rPr>
              <w:t>(4)</w:t>
            </w:r>
          </w:p>
        </w:tc>
        <w:tc>
          <w:tcPr>
            <w:tcW w:w="1720" w:type="dxa"/>
            <w:tcBorders>
              <w:bottom w:val="single" w:sz="8" w:space="0" w:color="CF0A2C"/>
            </w:tcBorders>
            <w:vAlign w:val="bottom"/>
          </w:tcPr>
          <w:p w:rsidR="00CC2C66" w:rsidRDefault="00F80B74">
            <w:pPr>
              <w:ind w:right="375"/>
              <w:jc w:val="right"/>
              <w:rPr>
                <w:sz w:val="20"/>
                <w:szCs w:val="20"/>
              </w:rPr>
            </w:pPr>
            <w:r>
              <w:rPr>
                <w:rFonts w:ascii="Arial" w:eastAsia="Arial" w:hAnsi="Arial" w:cs="Arial"/>
                <w:sz w:val="13"/>
                <w:szCs w:val="13"/>
              </w:rPr>
              <w:t>—</w:t>
            </w:r>
          </w:p>
        </w:tc>
        <w:tc>
          <w:tcPr>
            <w:tcW w:w="1920" w:type="dxa"/>
            <w:tcBorders>
              <w:bottom w:val="single" w:sz="8" w:space="0" w:color="CF0A2C"/>
            </w:tcBorders>
            <w:vAlign w:val="bottom"/>
          </w:tcPr>
          <w:p w:rsidR="00CC2C66" w:rsidRDefault="00F80B74">
            <w:pPr>
              <w:ind w:right="455"/>
              <w:jc w:val="right"/>
              <w:rPr>
                <w:sz w:val="20"/>
                <w:szCs w:val="20"/>
              </w:rPr>
            </w:pPr>
            <w:r>
              <w:rPr>
                <w:rFonts w:ascii="Arial" w:eastAsia="Arial" w:hAnsi="Arial" w:cs="Arial"/>
                <w:sz w:val="13"/>
                <w:szCs w:val="13"/>
              </w:rPr>
              <w:t>—</w:t>
            </w:r>
          </w:p>
        </w:tc>
        <w:tc>
          <w:tcPr>
            <w:tcW w:w="920" w:type="dxa"/>
            <w:tcBorders>
              <w:bottom w:val="single" w:sz="8" w:space="0" w:color="CF0A2C"/>
            </w:tcBorders>
            <w:vAlign w:val="bottom"/>
          </w:tcPr>
          <w:p w:rsidR="00CC2C66" w:rsidRDefault="00F80B74">
            <w:pPr>
              <w:jc w:val="right"/>
              <w:rPr>
                <w:sz w:val="20"/>
                <w:szCs w:val="20"/>
              </w:rPr>
            </w:pPr>
            <w:r>
              <w:rPr>
                <w:rFonts w:ascii="Arial" w:eastAsia="Arial" w:hAnsi="Arial" w:cs="Arial"/>
                <w:sz w:val="13"/>
                <w:szCs w:val="13"/>
              </w:rPr>
              <w:t>—</w:t>
            </w:r>
          </w:p>
        </w:tc>
      </w:tr>
    </w:tbl>
    <w:p w:rsidR="00CC2C66" w:rsidRDefault="00CC2C66">
      <w:pPr>
        <w:spacing w:line="260" w:lineRule="exact"/>
        <w:rPr>
          <w:sz w:val="20"/>
          <w:szCs w:val="20"/>
        </w:rPr>
      </w:pPr>
    </w:p>
    <w:p w:rsidR="00CC2C66" w:rsidRDefault="00F80B74">
      <w:pPr>
        <w:numPr>
          <w:ilvl w:val="0"/>
          <w:numId w:val="121"/>
        </w:numPr>
        <w:tabs>
          <w:tab w:val="left" w:pos="1020"/>
        </w:tabs>
        <w:ind w:left="1020" w:hanging="609"/>
        <w:rPr>
          <w:rFonts w:eastAsia="Times New Roman"/>
          <w:color w:val="CF0A2C"/>
          <w:sz w:val="19"/>
          <w:szCs w:val="19"/>
        </w:rPr>
      </w:pPr>
      <w:r>
        <w:rPr>
          <w:rFonts w:eastAsia="Times New Roman"/>
          <w:sz w:val="19"/>
          <w:szCs w:val="19"/>
        </w:rPr>
        <w:t>Represents the portion of the annual retainer that Messrs. Bassi and Hsieh elected to receive in cash rather than equity.</w:t>
      </w:r>
    </w:p>
    <w:p w:rsidR="00CC2C66" w:rsidRDefault="00CC2C66">
      <w:pPr>
        <w:spacing w:line="279" w:lineRule="exact"/>
        <w:rPr>
          <w:rFonts w:eastAsia="Times New Roman"/>
          <w:color w:val="CF0A2C"/>
          <w:sz w:val="19"/>
          <w:szCs w:val="19"/>
        </w:rPr>
      </w:pPr>
    </w:p>
    <w:p w:rsidR="00CC2C66" w:rsidRDefault="00F80B74">
      <w:pPr>
        <w:numPr>
          <w:ilvl w:val="0"/>
          <w:numId w:val="121"/>
        </w:numPr>
        <w:tabs>
          <w:tab w:val="left" w:pos="1020"/>
        </w:tabs>
        <w:ind w:left="1020" w:hanging="609"/>
        <w:rPr>
          <w:rFonts w:eastAsia="Times New Roman"/>
          <w:color w:val="CF0A2C"/>
          <w:sz w:val="19"/>
          <w:szCs w:val="19"/>
        </w:rPr>
      </w:pPr>
      <w:r>
        <w:rPr>
          <w:rFonts w:eastAsia="Times New Roman"/>
          <w:sz w:val="19"/>
          <w:szCs w:val="19"/>
        </w:rPr>
        <w:t>Represents the annual cash retainer paid to Dr. Hu as Chairman of the Board.</w:t>
      </w:r>
    </w:p>
    <w:p w:rsidR="00CC2C66" w:rsidRDefault="00CC2C66">
      <w:pPr>
        <w:spacing w:line="153" w:lineRule="exact"/>
        <w:rPr>
          <w:sz w:val="20"/>
          <w:szCs w:val="20"/>
        </w:rPr>
      </w:pPr>
    </w:p>
    <w:p w:rsidR="00CC2C66" w:rsidRDefault="00F80B74">
      <w:pPr>
        <w:numPr>
          <w:ilvl w:val="0"/>
          <w:numId w:val="122"/>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w:t>
      </w:r>
      <w:r>
        <w:rPr>
          <w:rFonts w:ascii="Arial" w:eastAsia="Arial" w:hAnsi="Arial" w:cs="Arial"/>
          <w:i/>
          <w:iCs/>
          <w:color w:val="4C4C4C"/>
          <w:sz w:val="14"/>
          <w:szCs w:val="14"/>
        </w:rPr>
        <w:t>Proxy Statement</w:t>
      </w:r>
    </w:p>
    <w:p w:rsidR="00CC2C66" w:rsidRDefault="00F80B74">
      <w:pPr>
        <w:spacing w:line="20" w:lineRule="exact"/>
        <w:rPr>
          <w:sz w:val="20"/>
          <w:szCs w:val="20"/>
        </w:rPr>
      </w:pPr>
      <w:r>
        <w:rPr>
          <w:noProof/>
          <w:sz w:val="20"/>
          <w:szCs w:val="20"/>
        </w:rPr>
        <w:drawing>
          <wp:anchor distT="0" distB="0" distL="114300" distR="114300" simplePos="0" relativeHeight="25175244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75" w:name="page75"/>
      <w:bookmarkEnd w:id="75"/>
      <w:r>
        <w:rPr>
          <w:rFonts w:eastAsia="Times New Roman"/>
          <w:b/>
          <w:bCs/>
          <w:noProof/>
          <w:color w:val="0000EE"/>
          <w:sz w:val="17"/>
          <w:szCs w:val="17"/>
          <w:u w:val="single"/>
        </w:rPr>
        <w:drawing>
          <wp:anchor distT="0" distB="0" distL="114300" distR="114300" simplePos="0" relativeHeight="25175347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54496" behindDoc="1" locked="0" layoutInCell="0" allowOverlap="1">
            <wp:simplePos x="0" y="0"/>
            <wp:positionH relativeFrom="column">
              <wp:posOffset>5080000</wp:posOffset>
            </wp:positionH>
            <wp:positionV relativeFrom="paragraph">
              <wp:posOffset>196850</wp:posOffset>
            </wp:positionV>
            <wp:extent cx="1800860" cy="19494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4">
                      <a:extLst/>
                    </a:blip>
                    <a:srcRect/>
                    <a:stretch>
                      <a:fillRect/>
                    </a:stretch>
                  </pic:blipFill>
                  <pic:spPr bwMode="auto">
                    <a:xfrm>
                      <a:off x="0" y="0"/>
                      <a:ext cx="180086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220"/>
        <w:rPr>
          <w:sz w:val="20"/>
          <w:szCs w:val="20"/>
        </w:rPr>
      </w:pPr>
      <w:r>
        <w:rPr>
          <w:rFonts w:ascii="Arial" w:eastAsia="Arial" w:hAnsi="Arial" w:cs="Arial"/>
          <w:b/>
          <w:bCs/>
          <w:color w:val="FFFFFF"/>
          <w:sz w:val="15"/>
          <w:szCs w:val="15"/>
        </w:rPr>
        <w:t>2021 DIRECTOR COMPENSATION</w:t>
      </w:r>
    </w:p>
    <w:p w:rsidR="00CC2C66" w:rsidRDefault="00CC2C66">
      <w:pPr>
        <w:spacing w:line="191" w:lineRule="exact"/>
        <w:rPr>
          <w:sz w:val="20"/>
          <w:szCs w:val="20"/>
        </w:rPr>
      </w:pPr>
    </w:p>
    <w:p w:rsidR="00CC2C66" w:rsidRDefault="00F80B74">
      <w:pPr>
        <w:numPr>
          <w:ilvl w:val="0"/>
          <w:numId w:val="123"/>
        </w:numPr>
        <w:tabs>
          <w:tab w:val="left" w:pos="1020"/>
        </w:tabs>
        <w:spacing w:line="265" w:lineRule="auto"/>
        <w:ind w:left="1020" w:hanging="609"/>
        <w:rPr>
          <w:rFonts w:eastAsia="Times New Roman"/>
          <w:color w:val="CF0A2C"/>
          <w:sz w:val="19"/>
          <w:szCs w:val="19"/>
        </w:rPr>
      </w:pPr>
      <w:r>
        <w:rPr>
          <w:rFonts w:eastAsia="Times New Roman"/>
          <w:sz w:val="19"/>
          <w:szCs w:val="19"/>
        </w:rPr>
        <w:t xml:space="preserve">Represents the portion of the annual retainer that Ms. Zhang elected to receive in cash rather than equity. Ms. Zhang was first elected to the Board at the 2021 </w:t>
      </w:r>
      <w:r>
        <w:rPr>
          <w:rFonts w:eastAsia="Times New Roman"/>
          <w:sz w:val="19"/>
          <w:szCs w:val="19"/>
        </w:rPr>
        <w:t>Annual Meeting of Stockholders.</w:t>
      </w:r>
    </w:p>
    <w:p w:rsidR="00CC2C66" w:rsidRDefault="00CC2C66">
      <w:pPr>
        <w:spacing w:line="233" w:lineRule="exact"/>
        <w:rPr>
          <w:rFonts w:eastAsia="Times New Roman"/>
          <w:color w:val="CF0A2C"/>
          <w:sz w:val="19"/>
          <w:szCs w:val="19"/>
        </w:rPr>
      </w:pPr>
    </w:p>
    <w:p w:rsidR="00CC2C66" w:rsidRDefault="00F80B74">
      <w:pPr>
        <w:numPr>
          <w:ilvl w:val="0"/>
          <w:numId w:val="123"/>
        </w:numPr>
        <w:tabs>
          <w:tab w:val="left" w:pos="1020"/>
        </w:tabs>
        <w:spacing w:line="252" w:lineRule="auto"/>
        <w:ind w:left="1020" w:right="20" w:hanging="609"/>
        <w:jc w:val="both"/>
        <w:rPr>
          <w:rFonts w:eastAsia="Times New Roman"/>
          <w:color w:val="CF0A2C"/>
          <w:sz w:val="19"/>
          <w:szCs w:val="19"/>
        </w:rPr>
      </w:pPr>
      <w:r>
        <w:rPr>
          <w:rFonts w:eastAsia="Times New Roman"/>
          <w:sz w:val="19"/>
          <w:szCs w:val="19"/>
        </w:rPr>
        <w:t>Mr. Chan did not stand for re-election at the 2021 Annual Meeting of Stockholders. While Mr. Chan served as a director during 2021, he did not receive any compensation in 2021 with respect to such service, as his 2020 equit</w:t>
      </w:r>
      <w:r>
        <w:rPr>
          <w:rFonts w:eastAsia="Times New Roman"/>
          <w:sz w:val="19"/>
          <w:szCs w:val="19"/>
        </w:rPr>
        <w:t>y grant that was reported in the 2020 Director Compensation Table represented compensation for his service until May 2021.</w:t>
      </w:r>
    </w:p>
    <w:p w:rsidR="00CC2C66" w:rsidRDefault="00CC2C66">
      <w:pPr>
        <w:spacing w:line="244" w:lineRule="exact"/>
        <w:rPr>
          <w:rFonts w:eastAsia="Times New Roman"/>
          <w:color w:val="CF0A2C"/>
          <w:sz w:val="19"/>
          <w:szCs w:val="19"/>
        </w:rPr>
      </w:pPr>
    </w:p>
    <w:p w:rsidR="00CC2C66" w:rsidRDefault="00F80B74">
      <w:pPr>
        <w:numPr>
          <w:ilvl w:val="0"/>
          <w:numId w:val="123"/>
        </w:numPr>
        <w:tabs>
          <w:tab w:val="left" w:pos="1020"/>
        </w:tabs>
        <w:spacing w:line="252" w:lineRule="auto"/>
        <w:ind w:left="1020" w:right="20" w:hanging="609"/>
        <w:jc w:val="both"/>
        <w:rPr>
          <w:rFonts w:eastAsia="Times New Roman"/>
          <w:color w:val="CF0A2C"/>
          <w:sz w:val="19"/>
          <w:szCs w:val="19"/>
        </w:rPr>
      </w:pPr>
      <w:r>
        <w:rPr>
          <w:rFonts w:eastAsia="Times New Roman"/>
          <w:sz w:val="19"/>
          <w:szCs w:val="19"/>
        </w:rPr>
        <w:t>Represents the grant date fair value for annual stock retainer awards granted in 2021. Each director received shares of Company comm</w:t>
      </w:r>
      <w:r>
        <w:rPr>
          <w:rFonts w:eastAsia="Times New Roman"/>
          <w:sz w:val="19"/>
          <w:szCs w:val="19"/>
        </w:rPr>
        <w:t>on stock determined by dividing the applicable annual retainer by the closing market price of a share of Company common stock on the date of grant, with any fractional shares paid in cash rather than equity.</w:t>
      </w:r>
    </w:p>
    <w:p w:rsidR="00CC2C66" w:rsidRDefault="00CC2C66">
      <w:pPr>
        <w:spacing w:line="244" w:lineRule="exact"/>
        <w:rPr>
          <w:rFonts w:eastAsia="Times New Roman"/>
          <w:color w:val="CF0A2C"/>
          <w:sz w:val="19"/>
          <w:szCs w:val="19"/>
        </w:rPr>
      </w:pPr>
    </w:p>
    <w:p w:rsidR="00CC2C66" w:rsidRDefault="00F80B74">
      <w:pPr>
        <w:numPr>
          <w:ilvl w:val="0"/>
          <w:numId w:val="123"/>
        </w:numPr>
        <w:tabs>
          <w:tab w:val="left" w:pos="1020"/>
        </w:tabs>
        <w:spacing w:line="243" w:lineRule="auto"/>
        <w:ind w:left="1020" w:hanging="609"/>
        <w:jc w:val="both"/>
        <w:rPr>
          <w:rFonts w:eastAsia="Times New Roman"/>
          <w:color w:val="CF0A2C"/>
          <w:sz w:val="19"/>
          <w:szCs w:val="19"/>
        </w:rPr>
      </w:pPr>
      <w:r>
        <w:rPr>
          <w:rFonts w:eastAsia="Times New Roman"/>
          <w:sz w:val="19"/>
          <w:szCs w:val="19"/>
        </w:rPr>
        <w:t>Mr. Campbell did not stand for re-election at t</w:t>
      </w:r>
      <w:r>
        <w:rPr>
          <w:rFonts w:eastAsia="Times New Roman"/>
          <w:sz w:val="19"/>
          <w:szCs w:val="19"/>
        </w:rPr>
        <w:t>he 2021 Annual Meeting of Stockholders. While Mr. Campbell served as a director during 2021, he did not receive any compensation in 2021 with respect to such service, as his 2020 equity grant that was reported in the 2020 Director Compensation Table repres</w:t>
      </w:r>
      <w:r>
        <w:rPr>
          <w:rFonts w:eastAsia="Times New Roman"/>
          <w:sz w:val="19"/>
          <w:szCs w:val="19"/>
        </w:rPr>
        <w:t xml:space="preserve">ented compensation for his service until May 2021. On July 15, 2021, Mr. Campbell entered into a senior advisor service contract with the Company, pursuant to which Mr. Campbell will provide governance and other advisory services to the Board from July 1, </w:t>
      </w:r>
      <w:r>
        <w:rPr>
          <w:rFonts w:eastAsia="Times New Roman"/>
          <w:sz w:val="19"/>
          <w:szCs w:val="19"/>
        </w:rPr>
        <w:t>2021 to May 31, 2022, with a monthly retainer of $21,000. Pursuant to the senior advisor service contract, hours in excess of 42 hours per quarter were paid at $1,500 per hour. The amount represents the advisory retainer paid to Mr. Campbell in 2021.</w:t>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300" w:lineRule="exact"/>
        <w:rPr>
          <w:sz w:val="20"/>
          <w:szCs w:val="20"/>
        </w:rPr>
      </w:pPr>
    </w:p>
    <w:p w:rsidR="00CC2C66" w:rsidRDefault="00F80B74">
      <w:pPr>
        <w:spacing w:line="246" w:lineRule="auto"/>
        <w:ind w:left="420"/>
        <w:jc w:val="both"/>
        <w:rPr>
          <w:sz w:val="20"/>
          <w:szCs w:val="20"/>
        </w:rPr>
      </w:pPr>
      <w:r>
        <w:rPr>
          <w:rFonts w:eastAsia="Times New Roman"/>
          <w:b/>
          <w:bCs/>
          <w:sz w:val="19"/>
          <w:szCs w:val="19"/>
        </w:rPr>
        <w:t xml:space="preserve">Stock Ownership Requirements. </w:t>
      </w:r>
      <w:r>
        <w:rPr>
          <w:rFonts w:eastAsia="Times New Roman"/>
          <w:sz w:val="19"/>
          <w:szCs w:val="19"/>
        </w:rPr>
        <w:t>Although our directors are not</w:t>
      </w:r>
      <w:r>
        <w:rPr>
          <w:rFonts w:eastAsia="Times New Roman"/>
          <w:b/>
          <w:bCs/>
          <w:sz w:val="19"/>
          <w:szCs w:val="19"/>
        </w:rPr>
        <w:t xml:space="preserve"> </w:t>
      </w:r>
      <w:r>
        <w:rPr>
          <w:rFonts w:eastAsia="Times New Roman"/>
          <w:sz w:val="19"/>
          <w:szCs w:val="19"/>
        </w:rPr>
        <w:t>subject to the Stock Ownership Guidelines, we nevertheless expect our directors to own a meaningful number of shares of Company common stock, and we have a share retention p</w:t>
      </w:r>
      <w:r>
        <w:rPr>
          <w:rFonts w:eastAsia="Times New Roman"/>
          <w:sz w:val="19"/>
          <w:szCs w:val="19"/>
        </w:rPr>
        <w:t>olicy in place for directors. Pursu-</w:t>
      </w:r>
    </w:p>
    <w:p w:rsidR="00CC2C66" w:rsidRDefault="00F80B74">
      <w:pPr>
        <w:spacing w:line="20" w:lineRule="exact"/>
        <w:rPr>
          <w:sz w:val="20"/>
          <w:szCs w:val="20"/>
        </w:rPr>
      </w:pPr>
      <w:r>
        <w:rPr>
          <w:sz w:val="20"/>
          <w:szCs w:val="20"/>
        </w:rPr>
        <w:br w:type="column"/>
      </w:r>
    </w:p>
    <w:p w:rsidR="00CC2C66" w:rsidRDefault="00CC2C66">
      <w:pPr>
        <w:spacing w:line="284" w:lineRule="exact"/>
        <w:rPr>
          <w:sz w:val="20"/>
          <w:szCs w:val="20"/>
        </w:rPr>
      </w:pPr>
    </w:p>
    <w:p w:rsidR="00CC2C66" w:rsidRDefault="00F80B74">
      <w:pPr>
        <w:spacing w:line="252" w:lineRule="auto"/>
        <w:jc w:val="both"/>
        <w:rPr>
          <w:sz w:val="20"/>
          <w:szCs w:val="20"/>
        </w:rPr>
      </w:pPr>
      <w:r>
        <w:rPr>
          <w:rFonts w:eastAsia="Times New Roman"/>
          <w:sz w:val="19"/>
          <w:szCs w:val="19"/>
        </w:rPr>
        <w:t>ant to the share retention policy, no director may sell any shares received as director compensation until at least 12 months following the director’s retirement or departure from the Board.</w:t>
      </w:r>
    </w:p>
    <w:p w:rsidR="00CC2C66" w:rsidRDefault="00CC2C66">
      <w:pPr>
        <w:spacing w:line="627"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63"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69</w:t>
      </w:r>
    </w:p>
    <w:p w:rsidR="00CC2C66" w:rsidRDefault="00F80B74">
      <w:pPr>
        <w:spacing w:line="20" w:lineRule="exact"/>
        <w:rPr>
          <w:sz w:val="20"/>
          <w:szCs w:val="20"/>
        </w:rPr>
      </w:pPr>
      <w:r>
        <w:rPr>
          <w:noProof/>
          <w:sz w:val="20"/>
          <w:szCs w:val="20"/>
        </w:rPr>
        <w:drawing>
          <wp:anchor distT="0" distB="0" distL="114300" distR="114300" simplePos="0" relativeHeight="251755520"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76" w:name="page76"/>
      <w:bookmarkEnd w:id="76"/>
      <w:r>
        <w:rPr>
          <w:rFonts w:eastAsia="Times New Roman"/>
          <w:b/>
          <w:bCs/>
          <w:noProof/>
          <w:color w:val="0000EE"/>
          <w:sz w:val="17"/>
          <w:szCs w:val="17"/>
          <w:u w:val="single"/>
        </w:rPr>
        <w:drawing>
          <wp:anchor distT="0" distB="0" distL="114300" distR="114300" simplePos="0" relativeHeight="25175654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57568" behindDoc="1" locked="0" layoutInCell="0" allowOverlap="1">
            <wp:simplePos x="0" y="0"/>
            <wp:positionH relativeFrom="column">
              <wp:posOffset>260985</wp:posOffset>
            </wp:positionH>
            <wp:positionV relativeFrom="paragraph">
              <wp:posOffset>196850</wp:posOffset>
            </wp:positionV>
            <wp:extent cx="6620510" cy="47879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
                      <a:extLst/>
                    </a:blip>
                    <a:srcRect/>
                    <a:stretch>
                      <a:fillRect/>
                    </a:stretch>
                  </pic:blipFill>
                  <pic:spPr bwMode="auto">
                    <a:xfrm>
                      <a:off x="0" y="0"/>
                      <a:ext cx="6620510" cy="4787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ind w:left="500"/>
        <w:rPr>
          <w:sz w:val="20"/>
          <w:szCs w:val="20"/>
        </w:rPr>
      </w:pPr>
      <w:r>
        <w:rPr>
          <w:rFonts w:ascii="Arial" w:eastAsia="Arial" w:hAnsi="Arial" w:cs="Arial"/>
          <w:b/>
          <w:bCs/>
          <w:color w:val="FFFFFF"/>
          <w:sz w:val="31"/>
          <w:szCs w:val="31"/>
        </w:rPr>
        <w:t>EQUITY COMPENSATION PLAN INFORMATION</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86" w:lineRule="exact"/>
        <w:rPr>
          <w:sz w:val="20"/>
          <w:szCs w:val="20"/>
        </w:rPr>
      </w:pPr>
    </w:p>
    <w:p w:rsidR="00CC2C66" w:rsidRDefault="00F80B74">
      <w:pPr>
        <w:spacing w:line="252" w:lineRule="auto"/>
        <w:ind w:left="420"/>
        <w:jc w:val="both"/>
        <w:rPr>
          <w:sz w:val="20"/>
          <w:szCs w:val="20"/>
        </w:rPr>
      </w:pPr>
      <w:r>
        <w:rPr>
          <w:rFonts w:eastAsia="Times New Roman"/>
          <w:sz w:val="19"/>
          <w:szCs w:val="19"/>
        </w:rPr>
        <w:t xml:space="preserve">The following table summarizes, as of December 31, 2021, the equity compensation we may issue to our </w:t>
      </w:r>
      <w:r>
        <w:rPr>
          <w:rFonts w:eastAsia="Times New Roman"/>
          <w:sz w:val="19"/>
          <w:szCs w:val="19"/>
        </w:rPr>
        <w:t>directors, officers, employees and other persons under the 2016 LTIP, which was approved by YUM as the Company’s sole stockholder prior to the Company’s spin-off from YUM.</w:t>
      </w:r>
    </w:p>
    <w:p w:rsidR="00CC2C66" w:rsidRDefault="00CC2C66">
      <w:pPr>
        <w:spacing w:line="194"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4260"/>
        <w:gridCol w:w="2140"/>
        <w:gridCol w:w="1920"/>
        <w:gridCol w:w="1900"/>
        <w:gridCol w:w="200"/>
        <w:gridCol w:w="20"/>
      </w:tblGrid>
      <w:tr w:rsidR="00CC2C66">
        <w:trPr>
          <w:trHeight w:val="157"/>
        </w:trPr>
        <w:tc>
          <w:tcPr>
            <w:tcW w:w="4260" w:type="dxa"/>
            <w:tcBorders>
              <w:top w:val="single" w:sz="8" w:space="0" w:color="CF0A2C"/>
            </w:tcBorders>
            <w:shd w:val="clear" w:color="auto" w:fill="FAE6E9"/>
            <w:vAlign w:val="bottom"/>
          </w:tcPr>
          <w:p w:rsidR="00CC2C66" w:rsidRDefault="00CC2C66">
            <w:pPr>
              <w:rPr>
                <w:sz w:val="13"/>
                <w:szCs w:val="13"/>
              </w:rPr>
            </w:pPr>
          </w:p>
        </w:tc>
        <w:tc>
          <w:tcPr>
            <w:tcW w:w="2140" w:type="dxa"/>
            <w:tcBorders>
              <w:top w:val="single" w:sz="8" w:space="0" w:color="CF0A2C"/>
            </w:tcBorders>
            <w:shd w:val="clear" w:color="auto" w:fill="FAE6E9"/>
            <w:vAlign w:val="bottom"/>
          </w:tcPr>
          <w:p w:rsidR="00CC2C66" w:rsidRDefault="00CC2C66">
            <w:pPr>
              <w:rPr>
                <w:sz w:val="13"/>
                <w:szCs w:val="13"/>
              </w:rPr>
            </w:pPr>
          </w:p>
        </w:tc>
        <w:tc>
          <w:tcPr>
            <w:tcW w:w="1920" w:type="dxa"/>
            <w:tcBorders>
              <w:top w:val="single" w:sz="8" w:space="0" w:color="CF0A2C"/>
            </w:tcBorders>
            <w:shd w:val="clear" w:color="auto" w:fill="FAE6E9"/>
            <w:vAlign w:val="bottom"/>
          </w:tcPr>
          <w:p w:rsidR="00CC2C66" w:rsidRDefault="00F80B74">
            <w:pPr>
              <w:spacing w:line="157" w:lineRule="exact"/>
              <w:ind w:right="33"/>
              <w:jc w:val="center"/>
              <w:rPr>
                <w:sz w:val="20"/>
                <w:szCs w:val="20"/>
              </w:rPr>
            </w:pPr>
            <w:r>
              <w:rPr>
                <w:rFonts w:ascii="Arial" w:eastAsia="Arial" w:hAnsi="Arial" w:cs="Arial"/>
                <w:b/>
                <w:bCs/>
                <w:color w:val="CF0A2C"/>
                <w:w w:val="97"/>
                <w:sz w:val="14"/>
                <w:szCs w:val="14"/>
              </w:rPr>
              <w:t>Weighted-</w:t>
            </w:r>
          </w:p>
        </w:tc>
        <w:tc>
          <w:tcPr>
            <w:tcW w:w="2100" w:type="dxa"/>
            <w:gridSpan w:val="2"/>
            <w:tcBorders>
              <w:top w:val="single" w:sz="8" w:space="0" w:color="CF0A2C"/>
            </w:tcBorders>
            <w:shd w:val="clear" w:color="auto" w:fill="FAE6E9"/>
            <w:vAlign w:val="bottom"/>
          </w:tcPr>
          <w:p w:rsidR="00CC2C66" w:rsidRDefault="00F80B74">
            <w:pPr>
              <w:spacing w:line="157" w:lineRule="exact"/>
              <w:ind w:left="93"/>
              <w:jc w:val="center"/>
              <w:rPr>
                <w:sz w:val="20"/>
                <w:szCs w:val="20"/>
              </w:rPr>
            </w:pPr>
            <w:r>
              <w:rPr>
                <w:rFonts w:ascii="Arial" w:eastAsia="Arial" w:hAnsi="Arial" w:cs="Arial"/>
                <w:b/>
                <w:bCs/>
                <w:color w:val="CF0A2C"/>
                <w:w w:val="97"/>
                <w:sz w:val="14"/>
                <w:szCs w:val="14"/>
              </w:rPr>
              <w:t>Number of Securities</w:t>
            </w:r>
          </w:p>
        </w:tc>
        <w:tc>
          <w:tcPr>
            <w:tcW w:w="0" w:type="dxa"/>
            <w:vAlign w:val="bottom"/>
          </w:tcPr>
          <w:p w:rsidR="00CC2C66" w:rsidRDefault="00CC2C66">
            <w:pPr>
              <w:rPr>
                <w:sz w:val="1"/>
                <w:szCs w:val="1"/>
              </w:rPr>
            </w:pPr>
          </w:p>
        </w:tc>
      </w:tr>
      <w:tr w:rsidR="00CC2C66">
        <w:trPr>
          <w:trHeight w:val="153"/>
        </w:trPr>
        <w:tc>
          <w:tcPr>
            <w:tcW w:w="4260" w:type="dxa"/>
            <w:shd w:val="clear" w:color="auto" w:fill="FAE6E9"/>
            <w:vAlign w:val="bottom"/>
          </w:tcPr>
          <w:p w:rsidR="00CC2C66" w:rsidRDefault="00CC2C66">
            <w:pPr>
              <w:rPr>
                <w:sz w:val="13"/>
                <w:szCs w:val="13"/>
              </w:rPr>
            </w:pPr>
          </w:p>
        </w:tc>
        <w:tc>
          <w:tcPr>
            <w:tcW w:w="2140" w:type="dxa"/>
            <w:shd w:val="clear" w:color="auto" w:fill="FAE6E9"/>
            <w:vAlign w:val="bottom"/>
          </w:tcPr>
          <w:p w:rsidR="00CC2C66" w:rsidRDefault="00CC2C66">
            <w:pPr>
              <w:rPr>
                <w:sz w:val="13"/>
                <w:szCs w:val="13"/>
              </w:rPr>
            </w:pPr>
          </w:p>
        </w:tc>
        <w:tc>
          <w:tcPr>
            <w:tcW w:w="1920" w:type="dxa"/>
            <w:shd w:val="clear" w:color="auto" w:fill="FAE6E9"/>
            <w:vAlign w:val="bottom"/>
          </w:tcPr>
          <w:p w:rsidR="00CC2C66" w:rsidRDefault="00F80B74">
            <w:pPr>
              <w:spacing w:line="153" w:lineRule="exact"/>
              <w:ind w:right="33"/>
              <w:jc w:val="center"/>
              <w:rPr>
                <w:sz w:val="20"/>
                <w:szCs w:val="20"/>
              </w:rPr>
            </w:pPr>
            <w:r>
              <w:rPr>
                <w:rFonts w:ascii="Arial" w:eastAsia="Arial" w:hAnsi="Arial" w:cs="Arial"/>
                <w:b/>
                <w:bCs/>
                <w:color w:val="CF0A2C"/>
                <w:w w:val="97"/>
                <w:sz w:val="14"/>
                <w:szCs w:val="14"/>
              </w:rPr>
              <w:t>Average</w:t>
            </w:r>
          </w:p>
        </w:tc>
        <w:tc>
          <w:tcPr>
            <w:tcW w:w="2100" w:type="dxa"/>
            <w:gridSpan w:val="2"/>
            <w:shd w:val="clear" w:color="auto" w:fill="FAE6E9"/>
            <w:vAlign w:val="bottom"/>
          </w:tcPr>
          <w:p w:rsidR="00CC2C66" w:rsidRDefault="00F80B74">
            <w:pPr>
              <w:spacing w:line="153" w:lineRule="exact"/>
              <w:ind w:left="93"/>
              <w:jc w:val="center"/>
              <w:rPr>
                <w:sz w:val="20"/>
                <w:szCs w:val="20"/>
              </w:rPr>
            </w:pPr>
            <w:r>
              <w:rPr>
                <w:rFonts w:ascii="Arial" w:eastAsia="Arial" w:hAnsi="Arial" w:cs="Arial"/>
                <w:b/>
                <w:bCs/>
                <w:color w:val="CF0A2C"/>
                <w:w w:val="97"/>
                <w:sz w:val="14"/>
                <w:szCs w:val="14"/>
              </w:rPr>
              <w:t>Remaining Available</w:t>
            </w:r>
          </w:p>
        </w:tc>
        <w:tc>
          <w:tcPr>
            <w:tcW w:w="0" w:type="dxa"/>
            <w:vAlign w:val="bottom"/>
          </w:tcPr>
          <w:p w:rsidR="00CC2C66" w:rsidRDefault="00CC2C66">
            <w:pPr>
              <w:rPr>
                <w:sz w:val="1"/>
                <w:szCs w:val="1"/>
              </w:rPr>
            </w:pPr>
          </w:p>
        </w:tc>
      </w:tr>
      <w:tr w:rsidR="00CC2C66">
        <w:trPr>
          <w:trHeight w:val="153"/>
        </w:trPr>
        <w:tc>
          <w:tcPr>
            <w:tcW w:w="4260" w:type="dxa"/>
            <w:shd w:val="clear" w:color="auto" w:fill="FAE6E9"/>
            <w:vAlign w:val="bottom"/>
          </w:tcPr>
          <w:p w:rsidR="00CC2C66" w:rsidRDefault="00CC2C66">
            <w:pPr>
              <w:rPr>
                <w:sz w:val="13"/>
                <w:szCs w:val="13"/>
              </w:rPr>
            </w:pPr>
          </w:p>
        </w:tc>
        <w:tc>
          <w:tcPr>
            <w:tcW w:w="2140" w:type="dxa"/>
            <w:shd w:val="clear" w:color="auto" w:fill="FAE6E9"/>
            <w:vAlign w:val="bottom"/>
          </w:tcPr>
          <w:p w:rsidR="00CC2C66" w:rsidRDefault="00CC2C66">
            <w:pPr>
              <w:rPr>
                <w:sz w:val="13"/>
                <w:szCs w:val="13"/>
              </w:rPr>
            </w:pPr>
          </w:p>
        </w:tc>
        <w:tc>
          <w:tcPr>
            <w:tcW w:w="1920" w:type="dxa"/>
            <w:shd w:val="clear" w:color="auto" w:fill="FAE6E9"/>
            <w:vAlign w:val="bottom"/>
          </w:tcPr>
          <w:p w:rsidR="00CC2C66" w:rsidRDefault="00F80B74">
            <w:pPr>
              <w:spacing w:line="153" w:lineRule="exact"/>
              <w:ind w:right="33"/>
              <w:jc w:val="center"/>
              <w:rPr>
                <w:sz w:val="20"/>
                <w:szCs w:val="20"/>
              </w:rPr>
            </w:pPr>
            <w:r>
              <w:rPr>
                <w:rFonts w:ascii="Arial" w:eastAsia="Arial" w:hAnsi="Arial" w:cs="Arial"/>
                <w:b/>
                <w:bCs/>
                <w:color w:val="CF0A2C"/>
                <w:w w:val="98"/>
                <w:sz w:val="14"/>
                <w:szCs w:val="14"/>
              </w:rPr>
              <w:t>Exercise Price</w:t>
            </w:r>
          </w:p>
        </w:tc>
        <w:tc>
          <w:tcPr>
            <w:tcW w:w="2100" w:type="dxa"/>
            <w:gridSpan w:val="2"/>
            <w:shd w:val="clear" w:color="auto" w:fill="FAE6E9"/>
            <w:vAlign w:val="bottom"/>
          </w:tcPr>
          <w:p w:rsidR="00CC2C66" w:rsidRDefault="00F80B74">
            <w:pPr>
              <w:spacing w:line="153" w:lineRule="exact"/>
              <w:ind w:left="93"/>
              <w:jc w:val="center"/>
              <w:rPr>
                <w:sz w:val="20"/>
                <w:szCs w:val="20"/>
              </w:rPr>
            </w:pPr>
            <w:r>
              <w:rPr>
                <w:rFonts w:ascii="Arial" w:eastAsia="Arial" w:hAnsi="Arial" w:cs="Arial"/>
                <w:b/>
                <w:bCs/>
                <w:color w:val="CF0A2C"/>
                <w:w w:val="97"/>
                <w:sz w:val="14"/>
                <w:szCs w:val="14"/>
              </w:rPr>
              <w:t>For Future Issuance</w:t>
            </w:r>
          </w:p>
        </w:tc>
        <w:tc>
          <w:tcPr>
            <w:tcW w:w="0" w:type="dxa"/>
            <w:vAlign w:val="bottom"/>
          </w:tcPr>
          <w:p w:rsidR="00CC2C66" w:rsidRDefault="00CC2C66">
            <w:pPr>
              <w:rPr>
                <w:sz w:val="1"/>
                <w:szCs w:val="1"/>
              </w:rPr>
            </w:pPr>
          </w:p>
        </w:tc>
      </w:tr>
      <w:tr w:rsidR="00CC2C66">
        <w:trPr>
          <w:trHeight w:val="153"/>
        </w:trPr>
        <w:tc>
          <w:tcPr>
            <w:tcW w:w="4260" w:type="dxa"/>
            <w:shd w:val="clear" w:color="auto" w:fill="FAE6E9"/>
            <w:vAlign w:val="bottom"/>
          </w:tcPr>
          <w:p w:rsidR="00CC2C66" w:rsidRDefault="00CC2C66">
            <w:pPr>
              <w:rPr>
                <w:sz w:val="13"/>
                <w:szCs w:val="13"/>
              </w:rPr>
            </w:pPr>
          </w:p>
        </w:tc>
        <w:tc>
          <w:tcPr>
            <w:tcW w:w="2140" w:type="dxa"/>
            <w:shd w:val="clear" w:color="auto" w:fill="FAE6E9"/>
            <w:vAlign w:val="bottom"/>
          </w:tcPr>
          <w:p w:rsidR="00CC2C66" w:rsidRDefault="00F80B74">
            <w:pPr>
              <w:spacing w:line="153" w:lineRule="exact"/>
              <w:ind w:right="493"/>
              <w:jc w:val="center"/>
              <w:rPr>
                <w:sz w:val="20"/>
                <w:szCs w:val="20"/>
              </w:rPr>
            </w:pPr>
            <w:r>
              <w:rPr>
                <w:rFonts w:ascii="Arial" w:eastAsia="Arial" w:hAnsi="Arial" w:cs="Arial"/>
                <w:b/>
                <w:bCs/>
                <w:color w:val="CF0A2C"/>
                <w:w w:val="97"/>
                <w:sz w:val="14"/>
                <w:szCs w:val="14"/>
              </w:rPr>
              <w:t>Number of Securities to</w:t>
            </w:r>
          </w:p>
        </w:tc>
        <w:tc>
          <w:tcPr>
            <w:tcW w:w="1920" w:type="dxa"/>
            <w:shd w:val="clear" w:color="auto" w:fill="FAE6E9"/>
            <w:vAlign w:val="bottom"/>
          </w:tcPr>
          <w:p w:rsidR="00CC2C66" w:rsidRDefault="00F80B74">
            <w:pPr>
              <w:spacing w:line="153" w:lineRule="exact"/>
              <w:ind w:right="73"/>
              <w:jc w:val="center"/>
              <w:rPr>
                <w:sz w:val="20"/>
                <w:szCs w:val="20"/>
              </w:rPr>
            </w:pPr>
            <w:r>
              <w:rPr>
                <w:rFonts w:ascii="Arial" w:eastAsia="Arial" w:hAnsi="Arial" w:cs="Arial"/>
                <w:b/>
                <w:bCs/>
                <w:color w:val="CF0A2C"/>
                <w:sz w:val="14"/>
                <w:szCs w:val="14"/>
              </w:rPr>
              <w:t>of</w:t>
            </w:r>
          </w:p>
        </w:tc>
        <w:tc>
          <w:tcPr>
            <w:tcW w:w="2100" w:type="dxa"/>
            <w:gridSpan w:val="2"/>
            <w:shd w:val="clear" w:color="auto" w:fill="FAE6E9"/>
            <w:vAlign w:val="bottom"/>
          </w:tcPr>
          <w:p w:rsidR="00CC2C66" w:rsidRDefault="00F80B74">
            <w:pPr>
              <w:spacing w:line="153" w:lineRule="exact"/>
              <w:ind w:left="93"/>
              <w:jc w:val="center"/>
              <w:rPr>
                <w:sz w:val="20"/>
                <w:szCs w:val="20"/>
              </w:rPr>
            </w:pPr>
            <w:r>
              <w:rPr>
                <w:rFonts w:ascii="Arial" w:eastAsia="Arial" w:hAnsi="Arial" w:cs="Arial"/>
                <w:b/>
                <w:bCs/>
                <w:color w:val="CF0A2C"/>
                <w:w w:val="98"/>
                <w:sz w:val="14"/>
                <w:szCs w:val="14"/>
              </w:rPr>
              <w:t>Under Equity</w:t>
            </w:r>
          </w:p>
        </w:tc>
        <w:tc>
          <w:tcPr>
            <w:tcW w:w="0" w:type="dxa"/>
            <w:vAlign w:val="bottom"/>
          </w:tcPr>
          <w:p w:rsidR="00CC2C66" w:rsidRDefault="00CC2C66">
            <w:pPr>
              <w:rPr>
                <w:sz w:val="1"/>
                <w:szCs w:val="1"/>
              </w:rPr>
            </w:pPr>
          </w:p>
        </w:tc>
      </w:tr>
      <w:tr w:rsidR="00CC2C66">
        <w:trPr>
          <w:trHeight w:val="153"/>
        </w:trPr>
        <w:tc>
          <w:tcPr>
            <w:tcW w:w="4260" w:type="dxa"/>
            <w:shd w:val="clear" w:color="auto" w:fill="FAE6E9"/>
            <w:vAlign w:val="bottom"/>
          </w:tcPr>
          <w:p w:rsidR="00CC2C66" w:rsidRDefault="00CC2C66">
            <w:pPr>
              <w:rPr>
                <w:sz w:val="13"/>
                <w:szCs w:val="13"/>
              </w:rPr>
            </w:pPr>
          </w:p>
        </w:tc>
        <w:tc>
          <w:tcPr>
            <w:tcW w:w="2140" w:type="dxa"/>
            <w:shd w:val="clear" w:color="auto" w:fill="FAE6E9"/>
            <w:vAlign w:val="bottom"/>
          </w:tcPr>
          <w:p w:rsidR="00CC2C66" w:rsidRDefault="00F80B74">
            <w:pPr>
              <w:spacing w:line="153" w:lineRule="exact"/>
              <w:ind w:right="493"/>
              <w:jc w:val="center"/>
              <w:rPr>
                <w:sz w:val="20"/>
                <w:szCs w:val="20"/>
              </w:rPr>
            </w:pPr>
            <w:r>
              <w:rPr>
                <w:rFonts w:ascii="Arial" w:eastAsia="Arial" w:hAnsi="Arial" w:cs="Arial"/>
                <w:b/>
                <w:bCs/>
                <w:color w:val="CF0A2C"/>
                <w:w w:val="97"/>
                <w:sz w:val="14"/>
                <w:szCs w:val="14"/>
              </w:rPr>
              <w:t>be Issued Upon</w:t>
            </w:r>
          </w:p>
        </w:tc>
        <w:tc>
          <w:tcPr>
            <w:tcW w:w="1920" w:type="dxa"/>
            <w:shd w:val="clear" w:color="auto" w:fill="FAE6E9"/>
            <w:vAlign w:val="bottom"/>
          </w:tcPr>
          <w:p w:rsidR="00CC2C66" w:rsidRDefault="00F80B74">
            <w:pPr>
              <w:spacing w:line="153" w:lineRule="exact"/>
              <w:ind w:right="53"/>
              <w:jc w:val="center"/>
              <w:rPr>
                <w:sz w:val="20"/>
                <w:szCs w:val="20"/>
              </w:rPr>
            </w:pPr>
            <w:r>
              <w:rPr>
                <w:rFonts w:ascii="Arial" w:eastAsia="Arial" w:hAnsi="Arial" w:cs="Arial"/>
                <w:b/>
                <w:bCs/>
                <w:color w:val="CF0A2C"/>
                <w:w w:val="96"/>
                <w:sz w:val="14"/>
                <w:szCs w:val="14"/>
              </w:rPr>
              <w:t>Outstanding</w:t>
            </w:r>
          </w:p>
        </w:tc>
        <w:tc>
          <w:tcPr>
            <w:tcW w:w="2100" w:type="dxa"/>
            <w:gridSpan w:val="2"/>
            <w:shd w:val="clear" w:color="auto" w:fill="FAE6E9"/>
            <w:vAlign w:val="bottom"/>
          </w:tcPr>
          <w:p w:rsidR="00CC2C66" w:rsidRDefault="00F80B74">
            <w:pPr>
              <w:spacing w:line="153" w:lineRule="exact"/>
              <w:ind w:left="93"/>
              <w:jc w:val="center"/>
              <w:rPr>
                <w:sz w:val="20"/>
                <w:szCs w:val="20"/>
              </w:rPr>
            </w:pPr>
            <w:r>
              <w:rPr>
                <w:rFonts w:ascii="Arial" w:eastAsia="Arial" w:hAnsi="Arial" w:cs="Arial"/>
                <w:b/>
                <w:bCs/>
                <w:color w:val="CF0A2C"/>
                <w:w w:val="96"/>
                <w:sz w:val="14"/>
                <w:szCs w:val="14"/>
              </w:rPr>
              <w:t>Compensation Plans</w:t>
            </w:r>
          </w:p>
        </w:tc>
        <w:tc>
          <w:tcPr>
            <w:tcW w:w="0" w:type="dxa"/>
            <w:vAlign w:val="bottom"/>
          </w:tcPr>
          <w:p w:rsidR="00CC2C66" w:rsidRDefault="00CC2C66">
            <w:pPr>
              <w:rPr>
                <w:sz w:val="1"/>
                <w:szCs w:val="1"/>
              </w:rPr>
            </w:pPr>
          </w:p>
        </w:tc>
      </w:tr>
      <w:tr w:rsidR="00CC2C66">
        <w:trPr>
          <w:trHeight w:val="153"/>
        </w:trPr>
        <w:tc>
          <w:tcPr>
            <w:tcW w:w="4260" w:type="dxa"/>
            <w:shd w:val="clear" w:color="auto" w:fill="FAE6E9"/>
            <w:vAlign w:val="bottom"/>
          </w:tcPr>
          <w:p w:rsidR="00CC2C66" w:rsidRDefault="00CC2C66">
            <w:pPr>
              <w:rPr>
                <w:sz w:val="13"/>
                <w:szCs w:val="13"/>
              </w:rPr>
            </w:pPr>
          </w:p>
        </w:tc>
        <w:tc>
          <w:tcPr>
            <w:tcW w:w="2140" w:type="dxa"/>
            <w:shd w:val="clear" w:color="auto" w:fill="FAE6E9"/>
            <w:vAlign w:val="bottom"/>
          </w:tcPr>
          <w:p w:rsidR="00CC2C66" w:rsidRDefault="00F80B74">
            <w:pPr>
              <w:spacing w:line="153" w:lineRule="exact"/>
              <w:ind w:right="513"/>
              <w:jc w:val="center"/>
              <w:rPr>
                <w:sz w:val="20"/>
                <w:szCs w:val="20"/>
              </w:rPr>
            </w:pPr>
            <w:r>
              <w:rPr>
                <w:rFonts w:ascii="Arial" w:eastAsia="Arial" w:hAnsi="Arial" w:cs="Arial"/>
                <w:b/>
                <w:bCs/>
                <w:color w:val="CF0A2C"/>
                <w:w w:val="96"/>
                <w:sz w:val="14"/>
                <w:szCs w:val="14"/>
              </w:rPr>
              <w:t>Exercise of Outstanding</w:t>
            </w:r>
          </w:p>
        </w:tc>
        <w:tc>
          <w:tcPr>
            <w:tcW w:w="1920" w:type="dxa"/>
            <w:shd w:val="clear" w:color="auto" w:fill="FAE6E9"/>
            <w:vAlign w:val="bottom"/>
          </w:tcPr>
          <w:p w:rsidR="00CC2C66" w:rsidRDefault="00F80B74">
            <w:pPr>
              <w:spacing w:line="153" w:lineRule="exact"/>
              <w:ind w:right="53"/>
              <w:jc w:val="center"/>
              <w:rPr>
                <w:sz w:val="20"/>
                <w:szCs w:val="20"/>
              </w:rPr>
            </w:pPr>
            <w:r>
              <w:rPr>
                <w:rFonts w:ascii="Arial" w:eastAsia="Arial" w:hAnsi="Arial" w:cs="Arial"/>
                <w:b/>
                <w:bCs/>
                <w:color w:val="CF0A2C"/>
                <w:w w:val="98"/>
                <w:sz w:val="14"/>
                <w:szCs w:val="14"/>
              </w:rPr>
              <w:t>Options,</w:t>
            </w:r>
          </w:p>
        </w:tc>
        <w:tc>
          <w:tcPr>
            <w:tcW w:w="2100" w:type="dxa"/>
            <w:gridSpan w:val="2"/>
            <w:shd w:val="clear" w:color="auto" w:fill="FAE6E9"/>
            <w:vAlign w:val="bottom"/>
          </w:tcPr>
          <w:p w:rsidR="00CC2C66" w:rsidRDefault="00F80B74">
            <w:pPr>
              <w:spacing w:line="153" w:lineRule="exact"/>
              <w:ind w:left="93"/>
              <w:jc w:val="center"/>
              <w:rPr>
                <w:sz w:val="20"/>
                <w:szCs w:val="20"/>
              </w:rPr>
            </w:pPr>
            <w:r>
              <w:rPr>
                <w:rFonts w:ascii="Arial" w:eastAsia="Arial" w:hAnsi="Arial" w:cs="Arial"/>
                <w:b/>
                <w:bCs/>
                <w:color w:val="CF0A2C"/>
                <w:w w:val="96"/>
                <w:sz w:val="14"/>
                <w:szCs w:val="14"/>
              </w:rPr>
              <w:t>(Excluding Securities</w:t>
            </w:r>
          </w:p>
        </w:tc>
        <w:tc>
          <w:tcPr>
            <w:tcW w:w="0" w:type="dxa"/>
            <w:vAlign w:val="bottom"/>
          </w:tcPr>
          <w:p w:rsidR="00CC2C66" w:rsidRDefault="00CC2C66">
            <w:pPr>
              <w:rPr>
                <w:sz w:val="1"/>
                <w:szCs w:val="1"/>
              </w:rPr>
            </w:pPr>
          </w:p>
        </w:tc>
      </w:tr>
      <w:tr w:rsidR="00CC2C66">
        <w:trPr>
          <w:trHeight w:val="153"/>
        </w:trPr>
        <w:tc>
          <w:tcPr>
            <w:tcW w:w="4260" w:type="dxa"/>
            <w:shd w:val="clear" w:color="auto" w:fill="FAE6E9"/>
            <w:vAlign w:val="bottom"/>
          </w:tcPr>
          <w:p w:rsidR="00CC2C66" w:rsidRDefault="00CC2C66">
            <w:pPr>
              <w:rPr>
                <w:sz w:val="13"/>
                <w:szCs w:val="13"/>
              </w:rPr>
            </w:pPr>
          </w:p>
        </w:tc>
        <w:tc>
          <w:tcPr>
            <w:tcW w:w="2140" w:type="dxa"/>
            <w:shd w:val="clear" w:color="auto" w:fill="FAE6E9"/>
            <w:vAlign w:val="bottom"/>
          </w:tcPr>
          <w:p w:rsidR="00CC2C66" w:rsidRDefault="00F80B74">
            <w:pPr>
              <w:spacing w:line="153" w:lineRule="exact"/>
              <w:ind w:right="493"/>
              <w:jc w:val="center"/>
              <w:rPr>
                <w:sz w:val="20"/>
                <w:szCs w:val="20"/>
              </w:rPr>
            </w:pPr>
            <w:r>
              <w:rPr>
                <w:rFonts w:ascii="Arial" w:eastAsia="Arial" w:hAnsi="Arial" w:cs="Arial"/>
                <w:b/>
                <w:bCs/>
                <w:color w:val="CF0A2C"/>
                <w:w w:val="97"/>
                <w:sz w:val="14"/>
                <w:szCs w:val="14"/>
              </w:rPr>
              <w:t>Options, Warrants and</w:t>
            </w:r>
          </w:p>
        </w:tc>
        <w:tc>
          <w:tcPr>
            <w:tcW w:w="1920" w:type="dxa"/>
            <w:shd w:val="clear" w:color="auto" w:fill="FAE6E9"/>
            <w:vAlign w:val="bottom"/>
          </w:tcPr>
          <w:p w:rsidR="00CC2C66" w:rsidRDefault="00F80B74">
            <w:pPr>
              <w:spacing w:line="153" w:lineRule="exact"/>
              <w:ind w:right="33"/>
              <w:jc w:val="center"/>
              <w:rPr>
                <w:sz w:val="20"/>
                <w:szCs w:val="20"/>
              </w:rPr>
            </w:pPr>
            <w:r>
              <w:rPr>
                <w:rFonts w:ascii="Arial" w:eastAsia="Arial" w:hAnsi="Arial" w:cs="Arial"/>
                <w:b/>
                <w:bCs/>
                <w:color w:val="CF0A2C"/>
                <w:w w:val="96"/>
                <w:sz w:val="14"/>
                <w:szCs w:val="14"/>
              </w:rPr>
              <w:t>Warrants and</w:t>
            </w:r>
          </w:p>
        </w:tc>
        <w:tc>
          <w:tcPr>
            <w:tcW w:w="2100" w:type="dxa"/>
            <w:gridSpan w:val="2"/>
            <w:shd w:val="clear" w:color="auto" w:fill="FAE6E9"/>
            <w:vAlign w:val="bottom"/>
          </w:tcPr>
          <w:p w:rsidR="00CC2C66" w:rsidRDefault="00F80B74">
            <w:pPr>
              <w:spacing w:line="153" w:lineRule="exact"/>
              <w:ind w:left="93"/>
              <w:jc w:val="center"/>
              <w:rPr>
                <w:sz w:val="20"/>
                <w:szCs w:val="20"/>
              </w:rPr>
            </w:pPr>
            <w:r>
              <w:rPr>
                <w:rFonts w:ascii="Arial" w:eastAsia="Arial" w:hAnsi="Arial" w:cs="Arial"/>
                <w:b/>
                <w:bCs/>
                <w:color w:val="CF0A2C"/>
                <w:w w:val="98"/>
                <w:sz w:val="14"/>
                <w:szCs w:val="14"/>
              </w:rPr>
              <w:t>Reflected in</w:t>
            </w:r>
          </w:p>
        </w:tc>
        <w:tc>
          <w:tcPr>
            <w:tcW w:w="0" w:type="dxa"/>
            <w:vAlign w:val="bottom"/>
          </w:tcPr>
          <w:p w:rsidR="00CC2C66" w:rsidRDefault="00CC2C66">
            <w:pPr>
              <w:rPr>
                <w:sz w:val="1"/>
                <w:szCs w:val="1"/>
              </w:rPr>
            </w:pPr>
          </w:p>
        </w:tc>
      </w:tr>
      <w:tr w:rsidR="00CC2C66">
        <w:trPr>
          <w:trHeight w:val="176"/>
        </w:trPr>
        <w:tc>
          <w:tcPr>
            <w:tcW w:w="4260" w:type="dxa"/>
            <w:tcBorders>
              <w:bottom w:val="single" w:sz="8" w:space="0" w:color="CF0A2C"/>
            </w:tcBorders>
            <w:shd w:val="clear" w:color="auto" w:fill="FAE6E9"/>
            <w:vAlign w:val="bottom"/>
          </w:tcPr>
          <w:p w:rsidR="00CC2C66" w:rsidRDefault="00F80B74">
            <w:pPr>
              <w:ind w:left="40"/>
              <w:rPr>
                <w:sz w:val="20"/>
                <w:szCs w:val="20"/>
              </w:rPr>
            </w:pPr>
            <w:r>
              <w:rPr>
                <w:rFonts w:ascii="Arial" w:eastAsia="Arial" w:hAnsi="Arial" w:cs="Arial"/>
                <w:b/>
                <w:bCs/>
                <w:color w:val="CF0A2C"/>
                <w:sz w:val="14"/>
                <w:szCs w:val="14"/>
              </w:rPr>
              <w:t>Plan Category</w:t>
            </w:r>
          </w:p>
        </w:tc>
        <w:tc>
          <w:tcPr>
            <w:tcW w:w="2140" w:type="dxa"/>
            <w:tcBorders>
              <w:bottom w:val="single" w:sz="8" w:space="0" w:color="CF0A2C"/>
            </w:tcBorders>
            <w:shd w:val="clear" w:color="auto" w:fill="FAE6E9"/>
            <w:vAlign w:val="bottom"/>
          </w:tcPr>
          <w:p w:rsidR="00CC2C66" w:rsidRDefault="00F80B74">
            <w:pPr>
              <w:ind w:right="493"/>
              <w:jc w:val="center"/>
              <w:rPr>
                <w:sz w:val="20"/>
                <w:szCs w:val="20"/>
              </w:rPr>
            </w:pPr>
            <w:r>
              <w:rPr>
                <w:rFonts w:ascii="Arial" w:eastAsia="Arial" w:hAnsi="Arial" w:cs="Arial"/>
                <w:b/>
                <w:bCs/>
                <w:color w:val="CF0A2C"/>
                <w:w w:val="96"/>
                <w:sz w:val="14"/>
                <w:szCs w:val="14"/>
              </w:rPr>
              <w:t>Rights</w:t>
            </w:r>
          </w:p>
        </w:tc>
        <w:tc>
          <w:tcPr>
            <w:tcW w:w="1920" w:type="dxa"/>
            <w:tcBorders>
              <w:bottom w:val="single" w:sz="8" w:space="0" w:color="CF0A2C"/>
            </w:tcBorders>
            <w:shd w:val="clear" w:color="auto" w:fill="FAE6E9"/>
            <w:vAlign w:val="bottom"/>
          </w:tcPr>
          <w:p w:rsidR="00CC2C66" w:rsidRDefault="00F80B74">
            <w:pPr>
              <w:ind w:right="33"/>
              <w:jc w:val="center"/>
              <w:rPr>
                <w:sz w:val="20"/>
                <w:szCs w:val="20"/>
              </w:rPr>
            </w:pPr>
            <w:r>
              <w:rPr>
                <w:rFonts w:ascii="Arial" w:eastAsia="Arial" w:hAnsi="Arial" w:cs="Arial"/>
                <w:b/>
                <w:bCs/>
                <w:color w:val="CF0A2C"/>
                <w:w w:val="96"/>
                <w:sz w:val="14"/>
                <w:szCs w:val="14"/>
              </w:rPr>
              <w:t>Rights</w:t>
            </w:r>
          </w:p>
        </w:tc>
        <w:tc>
          <w:tcPr>
            <w:tcW w:w="2100" w:type="dxa"/>
            <w:gridSpan w:val="2"/>
            <w:tcBorders>
              <w:bottom w:val="single" w:sz="8" w:space="0" w:color="CF0A2C"/>
            </w:tcBorders>
            <w:shd w:val="clear" w:color="auto" w:fill="FAE6E9"/>
            <w:vAlign w:val="bottom"/>
          </w:tcPr>
          <w:p w:rsidR="00CC2C66" w:rsidRDefault="00F80B74">
            <w:pPr>
              <w:ind w:left="113"/>
              <w:jc w:val="center"/>
              <w:rPr>
                <w:sz w:val="20"/>
                <w:szCs w:val="20"/>
              </w:rPr>
            </w:pPr>
            <w:r>
              <w:rPr>
                <w:rFonts w:ascii="Arial" w:eastAsia="Arial" w:hAnsi="Arial" w:cs="Arial"/>
                <w:b/>
                <w:bCs/>
                <w:color w:val="CF0A2C"/>
                <w:w w:val="97"/>
                <w:sz w:val="14"/>
                <w:szCs w:val="14"/>
              </w:rPr>
              <w:t>Column (a))</w:t>
            </w:r>
          </w:p>
        </w:tc>
        <w:tc>
          <w:tcPr>
            <w:tcW w:w="0" w:type="dxa"/>
            <w:vAlign w:val="bottom"/>
          </w:tcPr>
          <w:p w:rsidR="00CC2C66" w:rsidRDefault="00CC2C66">
            <w:pPr>
              <w:rPr>
                <w:sz w:val="1"/>
                <w:szCs w:val="1"/>
              </w:rPr>
            </w:pPr>
          </w:p>
        </w:tc>
      </w:tr>
      <w:tr w:rsidR="00CC2C66">
        <w:trPr>
          <w:trHeight w:val="180"/>
        </w:trPr>
        <w:tc>
          <w:tcPr>
            <w:tcW w:w="4260" w:type="dxa"/>
            <w:vMerge w:val="restart"/>
            <w:vAlign w:val="bottom"/>
          </w:tcPr>
          <w:p w:rsidR="00CC2C66" w:rsidRDefault="00F80B74">
            <w:pPr>
              <w:rPr>
                <w:sz w:val="20"/>
                <w:szCs w:val="20"/>
              </w:rPr>
            </w:pPr>
            <w:r>
              <w:rPr>
                <w:rFonts w:ascii="Arial" w:eastAsia="Arial" w:hAnsi="Arial" w:cs="Arial"/>
                <w:color w:val="CF0A2C"/>
                <w:sz w:val="14"/>
                <w:szCs w:val="14"/>
              </w:rPr>
              <w:t>Equity compensation plans approved by security</w:t>
            </w:r>
          </w:p>
        </w:tc>
        <w:tc>
          <w:tcPr>
            <w:tcW w:w="2140" w:type="dxa"/>
            <w:vAlign w:val="bottom"/>
          </w:tcPr>
          <w:p w:rsidR="00CC2C66" w:rsidRDefault="00F80B74">
            <w:pPr>
              <w:ind w:right="513"/>
              <w:jc w:val="center"/>
              <w:rPr>
                <w:sz w:val="20"/>
                <w:szCs w:val="20"/>
              </w:rPr>
            </w:pPr>
            <w:r>
              <w:rPr>
                <w:rFonts w:ascii="Arial" w:eastAsia="Arial" w:hAnsi="Arial" w:cs="Arial"/>
                <w:b/>
                <w:bCs/>
                <w:color w:val="CF0A2C"/>
                <w:w w:val="93"/>
                <w:sz w:val="14"/>
                <w:szCs w:val="14"/>
              </w:rPr>
              <w:t>(a)</w:t>
            </w:r>
          </w:p>
        </w:tc>
        <w:tc>
          <w:tcPr>
            <w:tcW w:w="1920" w:type="dxa"/>
            <w:vAlign w:val="bottom"/>
          </w:tcPr>
          <w:p w:rsidR="00CC2C66" w:rsidRDefault="00F80B74">
            <w:pPr>
              <w:ind w:right="33"/>
              <w:jc w:val="center"/>
              <w:rPr>
                <w:sz w:val="20"/>
                <w:szCs w:val="20"/>
              </w:rPr>
            </w:pPr>
            <w:r>
              <w:rPr>
                <w:rFonts w:ascii="Arial" w:eastAsia="Arial" w:hAnsi="Arial" w:cs="Arial"/>
                <w:b/>
                <w:bCs/>
                <w:color w:val="CF0A2C"/>
                <w:sz w:val="14"/>
                <w:szCs w:val="14"/>
              </w:rPr>
              <w:t>(b)</w:t>
            </w:r>
          </w:p>
        </w:tc>
        <w:tc>
          <w:tcPr>
            <w:tcW w:w="2100" w:type="dxa"/>
            <w:gridSpan w:val="2"/>
            <w:vAlign w:val="bottom"/>
          </w:tcPr>
          <w:p w:rsidR="00CC2C66" w:rsidRDefault="00F80B74">
            <w:pPr>
              <w:ind w:right="840"/>
              <w:jc w:val="right"/>
              <w:rPr>
                <w:sz w:val="20"/>
                <w:szCs w:val="20"/>
              </w:rPr>
            </w:pPr>
            <w:r>
              <w:rPr>
                <w:rFonts w:ascii="Arial" w:eastAsia="Arial" w:hAnsi="Arial" w:cs="Arial"/>
                <w:b/>
                <w:bCs/>
                <w:color w:val="CF0A2C"/>
                <w:sz w:val="14"/>
                <w:szCs w:val="14"/>
              </w:rPr>
              <w:t>(c)</w:t>
            </w:r>
          </w:p>
        </w:tc>
        <w:tc>
          <w:tcPr>
            <w:tcW w:w="0" w:type="dxa"/>
            <w:vAlign w:val="bottom"/>
          </w:tcPr>
          <w:p w:rsidR="00CC2C66" w:rsidRDefault="00CC2C66">
            <w:pPr>
              <w:rPr>
                <w:sz w:val="1"/>
                <w:szCs w:val="1"/>
              </w:rPr>
            </w:pPr>
          </w:p>
        </w:tc>
      </w:tr>
      <w:tr w:rsidR="00CC2C66">
        <w:trPr>
          <w:trHeight w:val="137"/>
        </w:trPr>
        <w:tc>
          <w:tcPr>
            <w:tcW w:w="4260" w:type="dxa"/>
            <w:vMerge/>
            <w:vAlign w:val="bottom"/>
          </w:tcPr>
          <w:p w:rsidR="00CC2C66" w:rsidRDefault="00CC2C66">
            <w:pPr>
              <w:rPr>
                <w:sz w:val="11"/>
                <w:szCs w:val="11"/>
              </w:rPr>
            </w:pPr>
          </w:p>
        </w:tc>
        <w:tc>
          <w:tcPr>
            <w:tcW w:w="2140" w:type="dxa"/>
            <w:vAlign w:val="bottom"/>
          </w:tcPr>
          <w:p w:rsidR="00CC2C66" w:rsidRDefault="00CC2C66">
            <w:pPr>
              <w:rPr>
                <w:sz w:val="11"/>
                <w:szCs w:val="11"/>
              </w:rPr>
            </w:pPr>
          </w:p>
        </w:tc>
        <w:tc>
          <w:tcPr>
            <w:tcW w:w="1920" w:type="dxa"/>
            <w:vAlign w:val="bottom"/>
          </w:tcPr>
          <w:p w:rsidR="00CC2C66" w:rsidRDefault="00CC2C66">
            <w:pPr>
              <w:rPr>
                <w:sz w:val="11"/>
                <w:szCs w:val="11"/>
              </w:rPr>
            </w:pPr>
          </w:p>
        </w:tc>
        <w:tc>
          <w:tcPr>
            <w:tcW w:w="1900" w:type="dxa"/>
            <w:vAlign w:val="bottom"/>
          </w:tcPr>
          <w:p w:rsidR="00CC2C66" w:rsidRDefault="00CC2C66">
            <w:pPr>
              <w:rPr>
                <w:sz w:val="11"/>
                <w:szCs w:val="11"/>
              </w:rPr>
            </w:pPr>
          </w:p>
        </w:tc>
        <w:tc>
          <w:tcPr>
            <w:tcW w:w="200" w:type="dxa"/>
            <w:vAlign w:val="bottom"/>
          </w:tcPr>
          <w:p w:rsidR="00CC2C66" w:rsidRDefault="00CC2C66">
            <w:pPr>
              <w:rPr>
                <w:sz w:val="11"/>
                <w:szCs w:val="11"/>
              </w:rPr>
            </w:pPr>
          </w:p>
        </w:tc>
        <w:tc>
          <w:tcPr>
            <w:tcW w:w="0" w:type="dxa"/>
            <w:vAlign w:val="bottom"/>
          </w:tcPr>
          <w:p w:rsidR="00CC2C66" w:rsidRDefault="00CC2C66">
            <w:pPr>
              <w:rPr>
                <w:sz w:val="1"/>
                <w:szCs w:val="1"/>
              </w:rPr>
            </w:pPr>
          </w:p>
        </w:tc>
      </w:tr>
      <w:tr w:rsidR="00CC2C66">
        <w:trPr>
          <w:trHeight w:val="179"/>
        </w:trPr>
        <w:tc>
          <w:tcPr>
            <w:tcW w:w="4260" w:type="dxa"/>
            <w:vAlign w:val="bottom"/>
          </w:tcPr>
          <w:p w:rsidR="00CC2C66" w:rsidRDefault="00F80B74">
            <w:pPr>
              <w:ind w:left="120"/>
              <w:rPr>
                <w:sz w:val="20"/>
                <w:szCs w:val="20"/>
              </w:rPr>
            </w:pPr>
            <w:r>
              <w:rPr>
                <w:rFonts w:ascii="Arial" w:eastAsia="Arial" w:hAnsi="Arial" w:cs="Arial"/>
                <w:color w:val="CF0A2C"/>
                <w:sz w:val="14"/>
                <w:szCs w:val="14"/>
              </w:rPr>
              <w:t>holders</w:t>
            </w:r>
          </w:p>
        </w:tc>
        <w:tc>
          <w:tcPr>
            <w:tcW w:w="2140" w:type="dxa"/>
            <w:vAlign w:val="bottom"/>
          </w:tcPr>
          <w:p w:rsidR="00CC2C66" w:rsidRDefault="00F80B74">
            <w:pPr>
              <w:spacing w:line="179" w:lineRule="exact"/>
              <w:ind w:right="393"/>
              <w:jc w:val="right"/>
              <w:rPr>
                <w:sz w:val="20"/>
                <w:szCs w:val="20"/>
              </w:rPr>
            </w:pPr>
            <w:r>
              <w:rPr>
                <w:rFonts w:ascii="Arial" w:eastAsia="Arial" w:hAnsi="Arial" w:cs="Arial"/>
                <w:sz w:val="13"/>
                <w:szCs w:val="13"/>
              </w:rPr>
              <w:t>12,811,477</w:t>
            </w:r>
            <w:r>
              <w:rPr>
                <w:rFonts w:ascii="Arial" w:eastAsia="Arial" w:hAnsi="Arial" w:cs="Arial"/>
                <w:sz w:val="19"/>
                <w:szCs w:val="19"/>
                <w:vertAlign w:val="superscript"/>
              </w:rPr>
              <w:t>(1)</w:t>
            </w:r>
          </w:p>
        </w:tc>
        <w:tc>
          <w:tcPr>
            <w:tcW w:w="1920" w:type="dxa"/>
            <w:vAlign w:val="bottom"/>
          </w:tcPr>
          <w:p w:rsidR="00CC2C66" w:rsidRDefault="00F80B74">
            <w:pPr>
              <w:spacing w:line="179" w:lineRule="exact"/>
              <w:ind w:right="373"/>
              <w:jc w:val="right"/>
              <w:rPr>
                <w:sz w:val="20"/>
                <w:szCs w:val="20"/>
              </w:rPr>
            </w:pPr>
            <w:r>
              <w:rPr>
                <w:rFonts w:ascii="Arial" w:eastAsia="Arial" w:hAnsi="Arial" w:cs="Arial"/>
                <w:sz w:val="13"/>
                <w:szCs w:val="13"/>
              </w:rPr>
              <w:t>31.65</w:t>
            </w:r>
            <w:r>
              <w:rPr>
                <w:rFonts w:ascii="Arial" w:eastAsia="Arial" w:hAnsi="Arial" w:cs="Arial"/>
                <w:sz w:val="19"/>
                <w:szCs w:val="19"/>
                <w:vertAlign w:val="superscript"/>
              </w:rPr>
              <w:t>(2)</w:t>
            </w:r>
          </w:p>
        </w:tc>
        <w:tc>
          <w:tcPr>
            <w:tcW w:w="2100" w:type="dxa"/>
            <w:gridSpan w:val="2"/>
            <w:vAlign w:val="bottom"/>
          </w:tcPr>
          <w:p w:rsidR="00CC2C66" w:rsidRDefault="00F80B74">
            <w:pPr>
              <w:spacing w:line="179" w:lineRule="exact"/>
              <w:ind w:right="80"/>
              <w:jc w:val="right"/>
              <w:rPr>
                <w:sz w:val="20"/>
                <w:szCs w:val="20"/>
              </w:rPr>
            </w:pPr>
            <w:r>
              <w:rPr>
                <w:rFonts w:ascii="Arial" w:eastAsia="Arial" w:hAnsi="Arial" w:cs="Arial"/>
                <w:sz w:val="13"/>
                <w:szCs w:val="13"/>
              </w:rPr>
              <w:t>10,060,206</w:t>
            </w:r>
            <w:r>
              <w:rPr>
                <w:rFonts w:ascii="Arial" w:eastAsia="Arial" w:hAnsi="Arial" w:cs="Arial"/>
                <w:sz w:val="19"/>
                <w:szCs w:val="19"/>
                <w:vertAlign w:val="superscript"/>
              </w:rPr>
              <w:t>(3)</w:t>
            </w:r>
          </w:p>
        </w:tc>
        <w:tc>
          <w:tcPr>
            <w:tcW w:w="0" w:type="dxa"/>
            <w:vAlign w:val="bottom"/>
          </w:tcPr>
          <w:p w:rsidR="00CC2C66" w:rsidRDefault="00CC2C66">
            <w:pPr>
              <w:rPr>
                <w:sz w:val="1"/>
                <w:szCs w:val="1"/>
              </w:rPr>
            </w:pPr>
          </w:p>
        </w:tc>
      </w:tr>
      <w:tr w:rsidR="00CC2C66">
        <w:trPr>
          <w:trHeight w:val="153"/>
        </w:trPr>
        <w:tc>
          <w:tcPr>
            <w:tcW w:w="4260" w:type="dxa"/>
            <w:vAlign w:val="bottom"/>
          </w:tcPr>
          <w:p w:rsidR="00CC2C66" w:rsidRDefault="00F80B74">
            <w:pPr>
              <w:spacing w:line="153" w:lineRule="exact"/>
              <w:rPr>
                <w:sz w:val="20"/>
                <w:szCs w:val="20"/>
              </w:rPr>
            </w:pPr>
            <w:r>
              <w:rPr>
                <w:rFonts w:ascii="Arial" w:eastAsia="Arial" w:hAnsi="Arial" w:cs="Arial"/>
                <w:color w:val="CF0A2C"/>
                <w:sz w:val="14"/>
                <w:szCs w:val="14"/>
              </w:rPr>
              <w:t>Equity compensation plans not approved by security</w:t>
            </w:r>
          </w:p>
        </w:tc>
        <w:tc>
          <w:tcPr>
            <w:tcW w:w="2140" w:type="dxa"/>
            <w:vAlign w:val="bottom"/>
          </w:tcPr>
          <w:p w:rsidR="00CC2C66" w:rsidRDefault="00CC2C66">
            <w:pPr>
              <w:rPr>
                <w:sz w:val="13"/>
                <w:szCs w:val="13"/>
              </w:rPr>
            </w:pPr>
          </w:p>
        </w:tc>
        <w:tc>
          <w:tcPr>
            <w:tcW w:w="1920" w:type="dxa"/>
            <w:vAlign w:val="bottom"/>
          </w:tcPr>
          <w:p w:rsidR="00CC2C66" w:rsidRDefault="00CC2C66">
            <w:pPr>
              <w:rPr>
                <w:sz w:val="13"/>
                <w:szCs w:val="13"/>
              </w:rPr>
            </w:pPr>
          </w:p>
        </w:tc>
        <w:tc>
          <w:tcPr>
            <w:tcW w:w="1900" w:type="dxa"/>
            <w:vAlign w:val="bottom"/>
          </w:tcPr>
          <w:p w:rsidR="00CC2C66" w:rsidRDefault="00CC2C66">
            <w:pPr>
              <w:rPr>
                <w:sz w:val="13"/>
                <w:szCs w:val="13"/>
              </w:rPr>
            </w:pPr>
          </w:p>
        </w:tc>
        <w:tc>
          <w:tcPr>
            <w:tcW w:w="200" w:type="dxa"/>
            <w:vAlign w:val="bottom"/>
          </w:tcPr>
          <w:p w:rsidR="00CC2C66" w:rsidRDefault="00CC2C66">
            <w:pPr>
              <w:rPr>
                <w:sz w:val="13"/>
                <w:szCs w:val="13"/>
              </w:rPr>
            </w:pPr>
          </w:p>
        </w:tc>
        <w:tc>
          <w:tcPr>
            <w:tcW w:w="0" w:type="dxa"/>
            <w:vAlign w:val="bottom"/>
          </w:tcPr>
          <w:p w:rsidR="00CC2C66" w:rsidRDefault="00CC2C66">
            <w:pPr>
              <w:rPr>
                <w:sz w:val="1"/>
                <w:szCs w:val="1"/>
              </w:rPr>
            </w:pPr>
          </w:p>
        </w:tc>
      </w:tr>
      <w:tr w:rsidR="00CC2C66">
        <w:trPr>
          <w:trHeight w:val="161"/>
        </w:trPr>
        <w:tc>
          <w:tcPr>
            <w:tcW w:w="4260" w:type="dxa"/>
            <w:vAlign w:val="bottom"/>
          </w:tcPr>
          <w:p w:rsidR="00CC2C66" w:rsidRDefault="00F80B74">
            <w:pPr>
              <w:ind w:left="120"/>
              <w:rPr>
                <w:sz w:val="20"/>
                <w:szCs w:val="20"/>
              </w:rPr>
            </w:pPr>
            <w:r>
              <w:rPr>
                <w:rFonts w:ascii="Arial" w:eastAsia="Arial" w:hAnsi="Arial" w:cs="Arial"/>
                <w:color w:val="CF0A2C"/>
                <w:sz w:val="14"/>
                <w:szCs w:val="14"/>
              </w:rPr>
              <w:t>holders</w:t>
            </w:r>
          </w:p>
        </w:tc>
        <w:tc>
          <w:tcPr>
            <w:tcW w:w="2140" w:type="dxa"/>
            <w:vAlign w:val="bottom"/>
          </w:tcPr>
          <w:p w:rsidR="00CC2C66" w:rsidRDefault="00F80B74">
            <w:pPr>
              <w:ind w:right="493"/>
              <w:jc w:val="right"/>
              <w:rPr>
                <w:sz w:val="20"/>
                <w:szCs w:val="20"/>
              </w:rPr>
            </w:pPr>
            <w:r>
              <w:rPr>
                <w:rFonts w:ascii="Arial" w:eastAsia="Arial" w:hAnsi="Arial" w:cs="Arial"/>
                <w:sz w:val="13"/>
                <w:szCs w:val="13"/>
              </w:rPr>
              <w:t>—</w:t>
            </w:r>
          </w:p>
        </w:tc>
        <w:tc>
          <w:tcPr>
            <w:tcW w:w="1920" w:type="dxa"/>
            <w:vAlign w:val="bottom"/>
          </w:tcPr>
          <w:p w:rsidR="00CC2C66" w:rsidRDefault="00F80B74">
            <w:pPr>
              <w:ind w:right="473"/>
              <w:jc w:val="right"/>
              <w:rPr>
                <w:sz w:val="20"/>
                <w:szCs w:val="20"/>
              </w:rPr>
            </w:pPr>
            <w:r>
              <w:rPr>
                <w:rFonts w:ascii="Arial" w:eastAsia="Arial" w:hAnsi="Arial" w:cs="Arial"/>
                <w:sz w:val="13"/>
                <w:szCs w:val="13"/>
              </w:rPr>
              <w:t>—</w:t>
            </w:r>
          </w:p>
        </w:tc>
        <w:tc>
          <w:tcPr>
            <w:tcW w:w="2100" w:type="dxa"/>
            <w:gridSpan w:val="2"/>
            <w:vAlign w:val="bottom"/>
          </w:tcPr>
          <w:p w:rsidR="00CC2C66" w:rsidRDefault="00F80B74">
            <w:pPr>
              <w:ind w:right="200"/>
              <w:jc w:val="right"/>
              <w:rPr>
                <w:sz w:val="20"/>
                <w:szCs w:val="20"/>
              </w:rPr>
            </w:pPr>
            <w:r>
              <w:rPr>
                <w:rFonts w:ascii="Arial" w:eastAsia="Arial" w:hAnsi="Arial" w:cs="Arial"/>
                <w:sz w:val="13"/>
                <w:szCs w:val="13"/>
              </w:rPr>
              <w:t>—</w:t>
            </w:r>
          </w:p>
        </w:tc>
        <w:tc>
          <w:tcPr>
            <w:tcW w:w="0" w:type="dxa"/>
            <w:vAlign w:val="bottom"/>
          </w:tcPr>
          <w:p w:rsidR="00CC2C66" w:rsidRDefault="00CC2C66">
            <w:pPr>
              <w:rPr>
                <w:sz w:val="1"/>
                <w:szCs w:val="1"/>
              </w:rPr>
            </w:pPr>
          </w:p>
        </w:tc>
      </w:tr>
      <w:tr w:rsidR="00CC2C66">
        <w:trPr>
          <w:trHeight w:val="184"/>
        </w:trPr>
        <w:tc>
          <w:tcPr>
            <w:tcW w:w="4260" w:type="dxa"/>
            <w:vAlign w:val="bottom"/>
          </w:tcPr>
          <w:p w:rsidR="00CC2C66" w:rsidRDefault="00F80B74">
            <w:pPr>
              <w:rPr>
                <w:sz w:val="20"/>
                <w:szCs w:val="20"/>
              </w:rPr>
            </w:pPr>
            <w:r>
              <w:rPr>
                <w:rFonts w:ascii="Arial" w:eastAsia="Arial" w:hAnsi="Arial" w:cs="Arial"/>
                <w:b/>
                <w:bCs/>
                <w:sz w:val="14"/>
                <w:szCs w:val="14"/>
              </w:rPr>
              <w:t>TOTAL</w:t>
            </w:r>
          </w:p>
        </w:tc>
        <w:tc>
          <w:tcPr>
            <w:tcW w:w="2140" w:type="dxa"/>
            <w:tcBorders>
              <w:top w:val="single" w:sz="8" w:space="0" w:color="CF0A2C"/>
              <w:bottom w:val="single" w:sz="8" w:space="0" w:color="CF0A2C"/>
            </w:tcBorders>
            <w:vAlign w:val="bottom"/>
          </w:tcPr>
          <w:p w:rsidR="00CC2C66" w:rsidRDefault="00F80B74">
            <w:pPr>
              <w:ind w:right="493"/>
              <w:jc w:val="right"/>
              <w:rPr>
                <w:sz w:val="20"/>
                <w:szCs w:val="20"/>
              </w:rPr>
            </w:pPr>
            <w:r>
              <w:rPr>
                <w:rFonts w:ascii="Arial" w:eastAsia="Arial" w:hAnsi="Arial" w:cs="Arial"/>
                <w:sz w:val="13"/>
                <w:szCs w:val="13"/>
              </w:rPr>
              <w:t>12,811,477</w:t>
            </w:r>
          </w:p>
        </w:tc>
        <w:tc>
          <w:tcPr>
            <w:tcW w:w="1920" w:type="dxa"/>
            <w:tcBorders>
              <w:top w:val="single" w:sz="8" w:space="0" w:color="CF0A2C"/>
              <w:bottom w:val="single" w:sz="8" w:space="0" w:color="CF0A2C"/>
            </w:tcBorders>
            <w:vAlign w:val="bottom"/>
          </w:tcPr>
          <w:p w:rsidR="00CC2C66" w:rsidRDefault="00F80B74">
            <w:pPr>
              <w:ind w:right="473"/>
              <w:jc w:val="right"/>
              <w:rPr>
                <w:sz w:val="20"/>
                <w:szCs w:val="20"/>
              </w:rPr>
            </w:pPr>
            <w:r>
              <w:rPr>
                <w:rFonts w:ascii="Arial" w:eastAsia="Arial" w:hAnsi="Arial" w:cs="Arial"/>
                <w:sz w:val="13"/>
                <w:szCs w:val="13"/>
              </w:rPr>
              <w:t>31.65</w:t>
            </w:r>
          </w:p>
        </w:tc>
        <w:tc>
          <w:tcPr>
            <w:tcW w:w="1900" w:type="dxa"/>
            <w:tcBorders>
              <w:top w:val="single" w:sz="8" w:space="0" w:color="CF0A2C"/>
              <w:bottom w:val="single" w:sz="8" w:space="0" w:color="CF0A2C"/>
            </w:tcBorders>
            <w:vAlign w:val="bottom"/>
          </w:tcPr>
          <w:p w:rsidR="00CC2C66" w:rsidRDefault="00F80B74">
            <w:pPr>
              <w:jc w:val="right"/>
              <w:rPr>
                <w:sz w:val="20"/>
                <w:szCs w:val="20"/>
              </w:rPr>
            </w:pPr>
            <w:r>
              <w:rPr>
                <w:rFonts w:ascii="Arial" w:eastAsia="Arial" w:hAnsi="Arial" w:cs="Arial"/>
                <w:sz w:val="13"/>
                <w:szCs w:val="13"/>
              </w:rPr>
              <w:t>10,060,206</w:t>
            </w:r>
          </w:p>
        </w:tc>
        <w:tc>
          <w:tcPr>
            <w:tcW w:w="200" w:type="dxa"/>
            <w:vAlign w:val="bottom"/>
          </w:tcPr>
          <w:p w:rsidR="00CC2C66" w:rsidRDefault="00CC2C66">
            <w:pPr>
              <w:rPr>
                <w:sz w:val="16"/>
                <w:szCs w:val="16"/>
              </w:rPr>
            </w:pPr>
          </w:p>
        </w:tc>
        <w:tc>
          <w:tcPr>
            <w:tcW w:w="0" w:type="dxa"/>
            <w:vAlign w:val="bottom"/>
          </w:tcPr>
          <w:p w:rsidR="00CC2C66" w:rsidRDefault="00CC2C66">
            <w:pPr>
              <w:rPr>
                <w:sz w:val="1"/>
                <w:szCs w:val="1"/>
              </w:rPr>
            </w:pPr>
          </w:p>
        </w:tc>
      </w:tr>
      <w:tr w:rsidR="00CC2C66">
        <w:trPr>
          <w:trHeight w:val="20"/>
        </w:trPr>
        <w:tc>
          <w:tcPr>
            <w:tcW w:w="4260" w:type="dxa"/>
            <w:vAlign w:val="bottom"/>
          </w:tcPr>
          <w:p w:rsidR="00CC2C66" w:rsidRDefault="00CC2C66">
            <w:pPr>
              <w:spacing w:line="20" w:lineRule="exact"/>
              <w:rPr>
                <w:sz w:val="1"/>
                <w:szCs w:val="1"/>
              </w:rPr>
            </w:pPr>
          </w:p>
        </w:tc>
        <w:tc>
          <w:tcPr>
            <w:tcW w:w="2140" w:type="dxa"/>
            <w:tcBorders>
              <w:bottom w:val="single" w:sz="8" w:space="0" w:color="CF0A2C"/>
            </w:tcBorders>
            <w:vAlign w:val="bottom"/>
          </w:tcPr>
          <w:p w:rsidR="00CC2C66" w:rsidRDefault="00CC2C66">
            <w:pPr>
              <w:spacing w:line="20" w:lineRule="exact"/>
              <w:rPr>
                <w:sz w:val="1"/>
                <w:szCs w:val="1"/>
              </w:rPr>
            </w:pPr>
          </w:p>
        </w:tc>
        <w:tc>
          <w:tcPr>
            <w:tcW w:w="1920" w:type="dxa"/>
            <w:tcBorders>
              <w:bottom w:val="single" w:sz="8" w:space="0" w:color="CF0A2C"/>
            </w:tcBorders>
            <w:vAlign w:val="bottom"/>
          </w:tcPr>
          <w:p w:rsidR="00CC2C66" w:rsidRDefault="00CC2C66">
            <w:pPr>
              <w:spacing w:line="20" w:lineRule="exact"/>
              <w:rPr>
                <w:sz w:val="1"/>
                <w:szCs w:val="1"/>
              </w:rPr>
            </w:pPr>
          </w:p>
        </w:tc>
        <w:tc>
          <w:tcPr>
            <w:tcW w:w="1900" w:type="dxa"/>
            <w:tcBorders>
              <w:bottom w:val="single" w:sz="8" w:space="0" w:color="CF0A2C"/>
            </w:tcBorders>
            <w:vAlign w:val="bottom"/>
          </w:tcPr>
          <w:p w:rsidR="00CC2C66" w:rsidRDefault="00CC2C66">
            <w:pPr>
              <w:spacing w:line="20" w:lineRule="exact"/>
              <w:rPr>
                <w:sz w:val="1"/>
                <w:szCs w:val="1"/>
              </w:rPr>
            </w:pPr>
          </w:p>
        </w:tc>
        <w:tc>
          <w:tcPr>
            <w:tcW w:w="200" w:type="dxa"/>
            <w:vAlign w:val="bottom"/>
          </w:tcPr>
          <w:p w:rsidR="00CC2C66" w:rsidRDefault="00CC2C66">
            <w:pPr>
              <w:spacing w:line="20" w:lineRule="exact"/>
              <w:rPr>
                <w:sz w:val="1"/>
                <w:szCs w:val="1"/>
              </w:rPr>
            </w:pPr>
          </w:p>
        </w:tc>
        <w:tc>
          <w:tcPr>
            <w:tcW w:w="0" w:type="dxa"/>
            <w:vAlign w:val="bottom"/>
          </w:tcPr>
          <w:p w:rsidR="00CC2C66" w:rsidRDefault="00CC2C66">
            <w:pPr>
              <w:spacing w:line="20" w:lineRule="exact"/>
              <w:rPr>
                <w:sz w:val="1"/>
                <w:szCs w:val="1"/>
              </w:rPr>
            </w:pPr>
          </w:p>
        </w:tc>
      </w:tr>
    </w:tbl>
    <w:p w:rsidR="00CC2C66" w:rsidRDefault="00CC2C66">
      <w:pPr>
        <w:spacing w:line="273" w:lineRule="exact"/>
        <w:rPr>
          <w:sz w:val="20"/>
          <w:szCs w:val="20"/>
        </w:rPr>
      </w:pPr>
    </w:p>
    <w:p w:rsidR="00CC2C66" w:rsidRDefault="00F80B74">
      <w:pPr>
        <w:numPr>
          <w:ilvl w:val="0"/>
          <w:numId w:val="124"/>
        </w:numPr>
        <w:tabs>
          <w:tab w:val="left" w:pos="1020"/>
        </w:tabs>
        <w:ind w:left="1020" w:hanging="609"/>
        <w:rPr>
          <w:rFonts w:eastAsia="Times New Roman"/>
          <w:sz w:val="19"/>
          <w:szCs w:val="19"/>
        </w:rPr>
      </w:pPr>
      <w:r>
        <w:rPr>
          <w:rFonts w:eastAsia="Times New Roman"/>
          <w:sz w:val="19"/>
          <w:szCs w:val="19"/>
        </w:rPr>
        <w:t xml:space="preserve">Includes </w:t>
      </w:r>
      <w:r>
        <w:rPr>
          <w:rFonts w:eastAsia="Times New Roman"/>
          <w:sz w:val="19"/>
          <w:szCs w:val="19"/>
        </w:rPr>
        <w:t>1,988,944 shares issuable in respect of RSUs and PSUs.</w:t>
      </w:r>
    </w:p>
    <w:p w:rsidR="00CC2C66" w:rsidRDefault="00CC2C66">
      <w:pPr>
        <w:spacing w:line="279" w:lineRule="exact"/>
        <w:rPr>
          <w:rFonts w:eastAsia="Times New Roman"/>
          <w:sz w:val="19"/>
          <w:szCs w:val="19"/>
        </w:rPr>
      </w:pPr>
    </w:p>
    <w:p w:rsidR="00CC2C66" w:rsidRDefault="00F80B74">
      <w:pPr>
        <w:numPr>
          <w:ilvl w:val="0"/>
          <w:numId w:val="124"/>
        </w:numPr>
        <w:tabs>
          <w:tab w:val="left" w:pos="1020"/>
        </w:tabs>
        <w:spacing w:line="265" w:lineRule="auto"/>
        <w:ind w:left="1020" w:right="20" w:hanging="609"/>
        <w:rPr>
          <w:rFonts w:eastAsia="Times New Roman"/>
          <w:sz w:val="19"/>
          <w:szCs w:val="19"/>
        </w:rPr>
      </w:pPr>
      <w:r>
        <w:rPr>
          <w:rFonts w:eastAsia="Times New Roman"/>
          <w:sz w:val="19"/>
          <w:szCs w:val="19"/>
        </w:rPr>
        <w:t>RSUs and PSUs do not have an exercise price. Accordingly, this amount represents the weighted-average exercise price of outstanding SARs and stock options.</w:t>
      </w:r>
    </w:p>
    <w:p w:rsidR="00CC2C66" w:rsidRDefault="00CC2C66">
      <w:pPr>
        <w:spacing w:line="233" w:lineRule="exact"/>
        <w:rPr>
          <w:rFonts w:eastAsia="Times New Roman"/>
          <w:sz w:val="19"/>
          <w:szCs w:val="19"/>
        </w:rPr>
      </w:pPr>
    </w:p>
    <w:p w:rsidR="00CC2C66" w:rsidRDefault="00F80B74">
      <w:pPr>
        <w:numPr>
          <w:ilvl w:val="0"/>
          <w:numId w:val="124"/>
        </w:numPr>
        <w:tabs>
          <w:tab w:val="left" w:pos="1020"/>
        </w:tabs>
        <w:spacing w:line="252" w:lineRule="auto"/>
        <w:ind w:left="1020" w:hanging="609"/>
        <w:jc w:val="both"/>
        <w:rPr>
          <w:rFonts w:eastAsia="Times New Roman"/>
          <w:sz w:val="19"/>
          <w:szCs w:val="19"/>
        </w:rPr>
      </w:pPr>
      <w:r>
        <w:rPr>
          <w:rFonts w:eastAsia="Times New Roman"/>
          <w:sz w:val="19"/>
          <w:szCs w:val="19"/>
        </w:rPr>
        <w:t xml:space="preserve">After the spin-off, full value awards </w:t>
      </w:r>
      <w:r>
        <w:rPr>
          <w:rFonts w:eastAsia="Times New Roman"/>
          <w:sz w:val="19"/>
          <w:szCs w:val="19"/>
        </w:rPr>
        <w:t>granted to the Company’s employees under the 2016 LTIP, including RSUs and PSUs, will reduce the number of shares available for issuance by two shares. SARs granted to the Company’s employees under the 2016 LTIP will reduce the number of shares available f</w:t>
      </w:r>
      <w:r>
        <w:rPr>
          <w:rFonts w:eastAsia="Times New Roman"/>
          <w:sz w:val="19"/>
          <w:szCs w:val="19"/>
        </w:rPr>
        <w:t>or issuance only by one share.</w:t>
      </w:r>
    </w:p>
    <w:p w:rsidR="00CC2C66" w:rsidRDefault="00CC2C66">
      <w:pPr>
        <w:spacing w:line="117" w:lineRule="exact"/>
        <w:rPr>
          <w:sz w:val="20"/>
          <w:szCs w:val="20"/>
        </w:rPr>
      </w:pPr>
    </w:p>
    <w:p w:rsidR="00CC2C66" w:rsidRDefault="00F80B74">
      <w:pPr>
        <w:numPr>
          <w:ilvl w:val="0"/>
          <w:numId w:val="125"/>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58592"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77" w:name="page77"/>
      <w:bookmarkEnd w:id="77"/>
      <w:r>
        <w:rPr>
          <w:rFonts w:eastAsia="Times New Roman"/>
          <w:b/>
          <w:bCs/>
          <w:noProof/>
          <w:color w:val="0000EE"/>
          <w:sz w:val="17"/>
          <w:szCs w:val="17"/>
          <w:u w:val="single"/>
        </w:rPr>
        <w:drawing>
          <wp:anchor distT="0" distB="0" distL="114300" distR="114300" simplePos="0" relativeHeight="25175961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60640" behindDoc="1" locked="0" layoutInCell="0" allowOverlap="1">
            <wp:simplePos x="0" y="0"/>
            <wp:positionH relativeFrom="column">
              <wp:posOffset>260985</wp:posOffset>
            </wp:positionH>
            <wp:positionV relativeFrom="paragraph">
              <wp:posOffset>196850</wp:posOffset>
            </wp:positionV>
            <wp:extent cx="6620510" cy="47879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
                      <a:extLst/>
                    </a:blip>
                    <a:srcRect/>
                    <a:stretch>
                      <a:fillRect/>
                    </a:stretch>
                  </pic:blipFill>
                  <pic:spPr bwMode="auto">
                    <a:xfrm>
                      <a:off x="0" y="0"/>
                      <a:ext cx="6620510" cy="47879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ind w:left="480"/>
        <w:rPr>
          <w:sz w:val="20"/>
          <w:szCs w:val="20"/>
        </w:rPr>
      </w:pPr>
      <w:r>
        <w:rPr>
          <w:rFonts w:ascii="Arial" w:eastAsia="Arial" w:hAnsi="Arial" w:cs="Arial"/>
          <w:b/>
          <w:bCs/>
          <w:color w:val="FFFFFF"/>
          <w:sz w:val="31"/>
          <w:szCs w:val="31"/>
        </w:rPr>
        <w:t>ADDITIONAL INFORMATION</w:t>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78" w:lineRule="exact"/>
        <w:rPr>
          <w:sz w:val="20"/>
          <w:szCs w:val="20"/>
        </w:rPr>
      </w:pPr>
    </w:p>
    <w:p w:rsidR="00CC2C66" w:rsidRDefault="00F80B74">
      <w:pPr>
        <w:spacing w:line="285" w:lineRule="auto"/>
        <w:ind w:left="420" w:right="240"/>
        <w:rPr>
          <w:sz w:val="20"/>
          <w:szCs w:val="20"/>
        </w:rPr>
      </w:pPr>
      <w:r>
        <w:rPr>
          <w:rFonts w:ascii="Arial" w:eastAsia="Arial" w:hAnsi="Arial" w:cs="Arial"/>
          <w:b/>
          <w:bCs/>
          <w:color w:val="CF0A2C"/>
          <w:sz w:val="31"/>
          <w:szCs w:val="31"/>
        </w:rPr>
        <w:t>Who pays the expenses incurred in connection with the solicitation of proxies?</w:t>
      </w:r>
    </w:p>
    <w:p w:rsidR="00CC2C66" w:rsidRDefault="00F80B74">
      <w:pPr>
        <w:spacing w:line="20" w:lineRule="exact"/>
        <w:rPr>
          <w:sz w:val="20"/>
          <w:szCs w:val="20"/>
        </w:rPr>
      </w:pPr>
      <w:r>
        <w:rPr>
          <w:noProof/>
          <w:sz w:val="20"/>
          <w:szCs w:val="20"/>
        </w:rPr>
        <w:drawing>
          <wp:anchor distT="0" distB="0" distL="114300" distR="114300" simplePos="0" relativeHeight="251761664" behindDoc="1" locked="0" layoutInCell="0" allowOverlap="1">
            <wp:simplePos x="0" y="0"/>
            <wp:positionH relativeFrom="column">
              <wp:posOffset>260985</wp:posOffset>
            </wp:positionH>
            <wp:positionV relativeFrom="paragraph">
              <wp:posOffset>88900</wp:posOffset>
            </wp:positionV>
            <wp:extent cx="6620510" cy="825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3" w:lineRule="exact"/>
        <w:rPr>
          <w:sz w:val="20"/>
          <w:szCs w:val="20"/>
        </w:rPr>
      </w:pPr>
    </w:p>
    <w:p w:rsidR="00CC2C66" w:rsidRDefault="00F80B74">
      <w:pPr>
        <w:spacing w:line="243" w:lineRule="auto"/>
        <w:ind w:left="420"/>
        <w:jc w:val="both"/>
        <w:rPr>
          <w:sz w:val="20"/>
          <w:szCs w:val="20"/>
        </w:rPr>
      </w:pPr>
      <w:r>
        <w:rPr>
          <w:rFonts w:eastAsia="Times New Roman"/>
          <w:sz w:val="19"/>
          <w:szCs w:val="19"/>
        </w:rPr>
        <w:t>Expenses in connection</w:t>
      </w:r>
      <w:r>
        <w:rPr>
          <w:rFonts w:eastAsia="Times New Roman"/>
          <w:sz w:val="19"/>
          <w:szCs w:val="19"/>
        </w:rPr>
        <w:t xml:space="preserve"> with the solicitation of proxies will be paid by us. Proxies are being solicited principally by mail, by telephone and through the Internet. We have retained Georgeson LLC to act as a proxy solicitor for a fee estimated to be $25,000, plus reimbursement o</w:t>
      </w:r>
      <w:r>
        <w:rPr>
          <w:rFonts w:eastAsia="Times New Roman"/>
          <w:sz w:val="19"/>
          <w:szCs w:val="19"/>
        </w:rPr>
        <w:t>f out-of-pocket expenses. In addition, our directors,</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83" w:lineRule="exact"/>
        <w:rPr>
          <w:sz w:val="20"/>
          <w:szCs w:val="20"/>
        </w:rPr>
      </w:pPr>
    </w:p>
    <w:p w:rsidR="00CC2C66" w:rsidRDefault="00F80B74">
      <w:pPr>
        <w:spacing w:line="245" w:lineRule="auto"/>
        <w:ind w:right="20"/>
        <w:jc w:val="both"/>
        <w:rPr>
          <w:sz w:val="20"/>
          <w:szCs w:val="20"/>
        </w:rPr>
      </w:pPr>
      <w:r>
        <w:rPr>
          <w:rFonts w:eastAsia="Times New Roman"/>
          <w:sz w:val="19"/>
          <w:szCs w:val="19"/>
        </w:rPr>
        <w:t>officers and regular employees, without additional compensation, may solicit proxies personally, by e-mail, telephone, fax or special letter. We will reimburse brokerage firms and others for their e</w:t>
      </w:r>
      <w:r>
        <w:rPr>
          <w:rFonts w:eastAsia="Times New Roman"/>
          <w:sz w:val="19"/>
          <w:szCs w:val="19"/>
        </w:rPr>
        <w:t>xpenses in forwarding proxy materials to the beneficial owners of shares of Company common stock.</w:t>
      </w:r>
    </w:p>
    <w:p w:rsidR="00CC2C66" w:rsidRDefault="00F80B74">
      <w:pPr>
        <w:spacing w:line="20" w:lineRule="exact"/>
        <w:rPr>
          <w:sz w:val="20"/>
          <w:szCs w:val="20"/>
        </w:rPr>
      </w:pPr>
      <w:r>
        <w:rPr>
          <w:noProof/>
          <w:sz w:val="20"/>
          <w:szCs w:val="20"/>
        </w:rPr>
        <w:drawing>
          <wp:anchor distT="0" distB="0" distL="114300" distR="114300" simplePos="0" relativeHeight="251762688" behindDoc="1" locked="0" layoutInCell="0" allowOverlap="1">
            <wp:simplePos x="0" y="0"/>
            <wp:positionH relativeFrom="column">
              <wp:posOffset>-3373120</wp:posOffset>
            </wp:positionH>
            <wp:positionV relativeFrom="paragraph">
              <wp:posOffset>438785</wp:posOffset>
            </wp:positionV>
            <wp:extent cx="6624955" cy="21304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5">
                      <a:extLst/>
                    </a:blip>
                    <a:srcRect/>
                    <a:stretch>
                      <a:fillRect/>
                    </a:stretch>
                  </pic:blipFill>
                  <pic:spPr bwMode="auto">
                    <a:xfrm>
                      <a:off x="0" y="0"/>
                      <a:ext cx="6624955" cy="2130425"/>
                    </a:xfrm>
                    <a:prstGeom prst="rect">
                      <a:avLst/>
                    </a:prstGeom>
                    <a:noFill/>
                  </pic:spPr>
                </pic:pic>
              </a:graphicData>
            </a:graphic>
          </wp:anchor>
        </w:drawing>
      </w:r>
    </w:p>
    <w:p w:rsidR="00CC2C66" w:rsidRDefault="00CC2C66">
      <w:pPr>
        <w:spacing w:line="412"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67" w:lineRule="exact"/>
        <w:rPr>
          <w:sz w:val="20"/>
          <w:szCs w:val="20"/>
        </w:rPr>
      </w:pPr>
    </w:p>
    <w:p w:rsidR="00CC2C66" w:rsidRDefault="00F80B74">
      <w:pPr>
        <w:ind w:right="-399"/>
        <w:jc w:val="center"/>
        <w:rPr>
          <w:sz w:val="20"/>
          <w:szCs w:val="20"/>
        </w:rPr>
      </w:pPr>
      <w:r>
        <w:rPr>
          <w:rFonts w:eastAsia="Times New Roman"/>
          <w:b/>
          <w:bCs/>
          <w:sz w:val="19"/>
          <w:szCs w:val="19"/>
        </w:rPr>
        <w:t>1290 Avenue of the Americas, 9</w:t>
      </w:r>
      <w:r>
        <w:rPr>
          <w:rFonts w:eastAsia="Times New Roman"/>
          <w:b/>
          <w:bCs/>
          <w:sz w:val="28"/>
          <w:szCs w:val="28"/>
          <w:vertAlign w:val="superscript"/>
        </w:rPr>
        <w:t>th</w:t>
      </w:r>
      <w:r>
        <w:rPr>
          <w:rFonts w:eastAsia="Times New Roman"/>
          <w:b/>
          <w:bCs/>
          <w:sz w:val="19"/>
          <w:szCs w:val="19"/>
        </w:rPr>
        <w:t xml:space="preserve"> Floor</w:t>
      </w:r>
    </w:p>
    <w:p w:rsidR="00CC2C66" w:rsidRDefault="00F80B74">
      <w:pPr>
        <w:ind w:right="-399"/>
        <w:jc w:val="center"/>
        <w:rPr>
          <w:sz w:val="20"/>
          <w:szCs w:val="20"/>
        </w:rPr>
      </w:pPr>
      <w:r>
        <w:rPr>
          <w:rFonts w:eastAsia="Times New Roman"/>
          <w:b/>
          <w:bCs/>
          <w:sz w:val="19"/>
          <w:szCs w:val="19"/>
        </w:rPr>
        <w:t>New York, NY 10104</w:t>
      </w:r>
    </w:p>
    <w:p w:rsidR="00CC2C66" w:rsidRDefault="00CC2C66">
      <w:pPr>
        <w:spacing w:line="217" w:lineRule="exact"/>
        <w:rPr>
          <w:sz w:val="20"/>
          <w:szCs w:val="20"/>
        </w:rPr>
      </w:pPr>
    </w:p>
    <w:p w:rsidR="00CC2C66" w:rsidRDefault="00F80B74">
      <w:pPr>
        <w:ind w:right="-399"/>
        <w:jc w:val="center"/>
        <w:rPr>
          <w:sz w:val="20"/>
          <w:szCs w:val="20"/>
        </w:rPr>
      </w:pPr>
      <w:r>
        <w:rPr>
          <w:rFonts w:eastAsia="Times New Roman"/>
          <w:b/>
          <w:bCs/>
          <w:sz w:val="19"/>
          <w:szCs w:val="19"/>
        </w:rPr>
        <w:t>Shareholders, Banks and Brokers</w:t>
      </w:r>
    </w:p>
    <w:p w:rsidR="00CC2C66" w:rsidRDefault="00CC2C66">
      <w:pPr>
        <w:spacing w:line="21" w:lineRule="exact"/>
        <w:rPr>
          <w:sz w:val="20"/>
          <w:szCs w:val="20"/>
        </w:rPr>
      </w:pPr>
    </w:p>
    <w:p w:rsidR="00CC2C66" w:rsidRDefault="00F80B74">
      <w:pPr>
        <w:ind w:right="-399"/>
        <w:jc w:val="center"/>
        <w:rPr>
          <w:sz w:val="20"/>
          <w:szCs w:val="20"/>
        </w:rPr>
      </w:pPr>
      <w:r>
        <w:rPr>
          <w:rFonts w:eastAsia="Times New Roman"/>
          <w:b/>
          <w:bCs/>
          <w:sz w:val="19"/>
          <w:szCs w:val="19"/>
        </w:rPr>
        <w:t>Call Toll Free:</w:t>
      </w:r>
    </w:p>
    <w:p w:rsidR="00CC2C66" w:rsidRDefault="00F80B74">
      <w:pPr>
        <w:spacing w:line="238" w:lineRule="auto"/>
        <w:ind w:right="-399"/>
        <w:jc w:val="center"/>
        <w:rPr>
          <w:sz w:val="20"/>
          <w:szCs w:val="20"/>
        </w:rPr>
      </w:pPr>
      <w:r>
        <w:rPr>
          <w:rFonts w:eastAsia="Times New Roman"/>
          <w:b/>
          <w:bCs/>
          <w:sz w:val="19"/>
          <w:szCs w:val="19"/>
        </w:rPr>
        <w:t>866-316-3922</w:t>
      </w:r>
    </w:p>
    <w:p w:rsidR="00CC2C66" w:rsidRDefault="00F80B74">
      <w:pPr>
        <w:ind w:right="-399"/>
        <w:jc w:val="center"/>
        <w:rPr>
          <w:sz w:val="20"/>
          <w:szCs w:val="20"/>
        </w:rPr>
      </w:pPr>
      <w:r>
        <w:rPr>
          <w:rFonts w:eastAsia="Times New Roman"/>
          <w:b/>
          <w:bCs/>
          <w:sz w:val="19"/>
          <w:szCs w:val="19"/>
        </w:rPr>
        <w:t>International Number:</w:t>
      </w:r>
    </w:p>
    <w:p w:rsidR="00CC2C66" w:rsidRDefault="00F80B74">
      <w:pPr>
        <w:ind w:right="-399"/>
        <w:jc w:val="center"/>
        <w:rPr>
          <w:sz w:val="20"/>
          <w:szCs w:val="20"/>
        </w:rPr>
      </w:pPr>
      <w:r>
        <w:rPr>
          <w:rFonts w:eastAsia="Times New Roman"/>
          <w:b/>
          <w:bCs/>
          <w:sz w:val="19"/>
          <w:szCs w:val="19"/>
        </w:rPr>
        <w:t>781-575-2137</w:t>
      </w:r>
    </w:p>
    <w:p w:rsidR="00CC2C66" w:rsidRDefault="00CC2C66">
      <w:pPr>
        <w:spacing w:line="200" w:lineRule="exact"/>
        <w:rPr>
          <w:sz w:val="20"/>
          <w:szCs w:val="20"/>
        </w:rPr>
      </w:pPr>
    </w:p>
    <w:p w:rsidR="00CC2C66" w:rsidRDefault="00CC2C66">
      <w:pPr>
        <w:spacing w:line="372" w:lineRule="exact"/>
        <w:rPr>
          <w:sz w:val="20"/>
          <w:szCs w:val="20"/>
        </w:rPr>
      </w:pPr>
    </w:p>
    <w:p w:rsidR="00CC2C66" w:rsidRDefault="00F80B74">
      <w:pPr>
        <w:spacing w:line="263" w:lineRule="auto"/>
        <w:ind w:left="420" w:right="60"/>
        <w:jc w:val="both"/>
        <w:rPr>
          <w:sz w:val="20"/>
          <w:szCs w:val="20"/>
        </w:rPr>
      </w:pPr>
      <w:r>
        <w:rPr>
          <w:rFonts w:ascii="Arial" w:eastAsia="Arial" w:hAnsi="Arial" w:cs="Arial"/>
          <w:b/>
          <w:bCs/>
          <w:color w:val="CF0A2C"/>
          <w:sz w:val="31"/>
          <w:szCs w:val="31"/>
        </w:rPr>
        <w:t>I share an address with another stockholder, and we received only one paper copy of the proxy materials. How may I obtain an additional copy of the proxy materials?</w:t>
      </w:r>
    </w:p>
    <w:p w:rsidR="00CC2C66" w:rsidRDefault="00F80B74">
      <w:pPr>
        <w:spacing w:line="20" w:lineRule="exact"/>
        <w:rPr>
          <w:sz w:val="20"/>
          <w:szCs w:val="20"/>
        </w:rPr>
      </w:pPr>
      <w:r>
        <w:rPr>
          <w:noProof/>
          <w:sz w:val="20"/>
          <w:szCs w:val="20"/>
        </w:rPr>
        <w:drawing>
          <wp:anchor distT="0" distB="0" distL="114300" distR="114300" simplePos="0" relativeHeight="251763712" behindDoc="1" locked="0" layoutInCell="0" allowOverlap="1">
            <wp:simplePos x="0" y="0"/>
            <wp:positionH relativeFrom="column">
              <wp:posOffset>260985</wp:posOffset>
            </wp:positionH>
            <wp:positionV relativeFrom="paragraph">
              <wp:posOffset>109855</wp:posOffset>
            </wp:positionV>
            <wp:extent cx="6620510" cy="825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35" w:lineRule="exact"/>
        <w:rPr>
          <w:sz w:val="20"/>
          <w:szCs w:val="20"/>
        </w:rPr>
      </w:pPr>
    </w:p>
    <w:p w:rsidR="00CC2C66" w:rsidRDefault="00F80B74">
      <w:pPr>
        <w:spacing w:line="243" w:lineRule="auto"/>
        <w:ind w:left="420"/>
        <w:jc w:val="both"/>
        <w:rPr>
          <w:sz w:val="20"/>
          <w:szCs w:val="20"/>
        </w:rPr>
      </w:pPr>
      <w:r>
        <w:rPr>
          <w:rFonts w:eastAsia="Times New Roman"/>
          <w:sz w:val="19"/>
          <w:szCs w:val="19"/>
        </w:rPr>
        <w:t>The Company has</w:t>
      </w:r>
      <w:r>
        <w:rPr>
          <w:rFonts w:eastAsia="Times New Roman"/>
          <w:sz w:val="19"/>
          <w:szCs w:val="19"/>
        </w:rPr>
        <w:t xml:space="preserve"> adopted a procedure called “householding,” which has been approved by the SEC. The Company and some brokers household proxy materials, delivering this proxy statement to multiple stockholders sharing an address unless contrary instructions have been recei</w:t>
      </w:r>
      <w:r>
        <w:rPr>
          <w:rFonts w:eastAsia="Times New Roman"/>
          <w:sz w:val="19"/>
          <w:szCs w:val="19"/>
        </w:rPr>
        <w:t>ved from the affected stockholders or they participate in electronic delivery of proxy materials.</w:t>
      </w:r>
    </w:p>
    <w:p w:rsidR="00CC2C66" w:rsidRDefault="00CC2C66">
      <w:pPr>
        <w:spacing w:line="215" w:lineRule="exact"/>
        <w:rPr>
          <w:sz w:val="20"/>
          <w:szCs w:val="20"/>
        </w:rPr>
      </w:pPr>
    </w:p>
    <w:p w:rsidR="00CC2C66" w:rsidRDefault="00F80B74">
      <w:pPr>
        <w:spacing w:line="247" w:lineRule="auto"/>
        <w:ind w:left="420"/>
        <w:jc w:val="both"/>
        <w:rPr>
          <w:sz w:val="20"/>
          <w:szCs w:val="20"/>
        </w:rPr>
      </w:pPr>
      <w:r>
        <w:rPr>
          <w:rFonts w:eastAsia="Times New Roman"/>
          <w:sz w:val="19"/>
          <w:szCs w:val="19"/>
        </w:rPr>
        <w:t>Stockholders who participate in householding will continue to access and receive separate proxy cards. This process will help reduce our printing and postage</w:t>
      </w:r>
      <w:r>
        <w:rPr>
          <w:rFonts w:eastAsia="Times New Roman"/>
          <w:sz w:val="19"/>
          <w:szCs w:val="19"/>
        </w:rPr>
        <w:t xml:space="preserve"> fees, as well as save natural resources. If at any time you no longer</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15" w:lineRule="exact"/>
        <w:rPr>
          <w:sz w:val="20"/>
          <w:szCs w:val="20"/>
        </w:rPr>
      </w:pPr>
    </w:p>
    <w:p w:rsidR="00CC2C66" w:rsidRDefault="00F80B74">
      <w:pPr>
        <w:spacing w:line="241" w:lineRule="auto"/>
        <w:jc w:val="both"/>
        <w:rPr>
          <w:sz w:val="20"/>
          <w:szCs w:val="20"/>
        </w:rPr>
      </w:pPr>
      <w:r>
        <w:rPr>
          <w:rFonts w:eastAsia="Times New Roman"/>
          <w:sz w:val="19"/>
          <w:szCs w:val="19"/>
        </w:rPr>
        <w:t>wish to participate in householding and would prefer to receive a separate proxy statement, or if you are receiving multiple copies of the proxy statement and wish to receive only o</w:t>
      </w:r>
      <w:r>
        <w:rPr>
          <w:rFonts w:eastAsia="Times New Roman"/>
          <w:sz w:val="19"/>
          <w:szCs w:val="19"/>
        </w:rPr>
        <w:t>ne, please notify your broker if your shares are held in a brokerage account or us if you hold registered shares. You can notify us by sending a written request to Yum China Holdings, Inc., 7100 Corporate Drive, Plano, Texas 75024, or to Yum China Holdings</w:t>
      </w:r>
      <w:r>
        <w:rPr>
          <w:rFonts w:eastAsia="Times New Roman"/>
          <w:sz w:val="19"/>
          <w:szCs w:val="19"/>
        </w:rPr>
        <w:t>, Inc., Yum China Building, 20 Tian Yao Qiao Road, Shanghai 200030 People’s Republic of China, Attention: Investor Relations, or by calling +86 21 2407 7556 / +852 2267 5801.</w:t>
      </w:r>
    </w:p>
    <w:p w:rsidR="00CC2C66" w:rsidRDefault="00CC2C66">
      <w:pPr>
        <w:spacing w:line="668"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49"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71</w:t>
      </w:r>
    </w:p>
    <w:p w:rsidR="00CC2C66" w:rsidRDefault="00F80B74">
      <w:pPr>
        <w:spacing w:line="20" w:lineRule="exact"/>
        <w:rPr>
          <w:sz w:val="20"/>
          <w:szCs w:val="20"/>
        </w:rPr>
      </w:pPr>
      <w:r>
        <w:rPr>
          <w:noProof/>
          <w:sz w:val="20"/>
          <w:szCs w:val="20"/>
        </w:rPr>
        <w:drawing>
          <wp:anchor distT="0" distB="0" distL="114300" distR="114300" simplePos="0" relativeHeight="251764736"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78" w:name="page78"/>
      <w:bookmarkEnd w:id="78"/>
      <w:r>
        <w:rPr>
          <w:rFonts w:eastAsia="Times New Roman"/>
          <w:b/>
          <w:bCs/>
          <w:noProof/>
          <w:color w:val="0000EE"/>
          <w:sz w:val="17"/>
          <w:szCs w:val="17"/>
          <w:u w:val="single"/>
        </w:rPr>
        <w:drawing>
          <wp:anchor distT="0" distB="0" distL="114300" distR="114300" simplePos="0" relativeHeight="25176576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CC2C66">
      <w:pPr>
        <w:spacing w:line="372" w:lineRule="exact"/>
        <w:rPr>
          <w:sz w:val="20"/>
          <w:szCs w:val="20"/>
        </w:rPr>
      </w:pPr>
    </w:p>
    <w:p w:rsidR="00CC2C66" w:rsidRDefault="00F80B74">
      <w:pPr>
        <w:ind w:left="480"/>
        <w:rPr>
          <w:sz w:val="20"/>
          <w:szCs w:val="20"/>
        </w:rPr>
      </w:pPr>
      <w:r>
        <w:rPr>
          <w:rFonts w:ascii="Arial" w:eastAsia="Arial" w:hAnsi="Arial" w:cs="Arial"/>
          <w:b/>
          <w:bCs/>
          <w:color w:val="FFFFFF"/>
          <w:sz w:val="15"/>
          <w:szCs w:val="15"/>
          <w:shd w:val="clear" w:color="auto" w:fill="CF0A2C"/>
        </w:rPr>
        <w:t>ADDITIONAL INFORMATION</w:t>
      </w:r>
    </w:p>
    <w:p w:rsidR="00CC2C66" w:rsidRDefault="00CC2C66">
      <w:pPr>
        <w:spacing w:line="184" w:lineRule="exact"/>
        <w:rPr>
          <w:sz w:val="20"/>
          <w:szCs w:val="20"/>
        </w:rPr>
      </w:pPr>
    </w:p>
    <w:p w:rsidR="00CC2C66" w:rsidRDefault="00F80B74">
      <w:pPr>
        <w:spacing w:line="263" w:lineRule="auto"/>
        <w:ind w:left="420" w:right="200"/>
        <w:rPr>
          <w:sz w:val="20"/>
          <w:szCs w:val="20"/>
        </w:rPr>
      </w:pPr>
      <w:r>
        <w:rPr>
          <w:rFonts w:ascii="Arial" w:eastAsia="Arial" w:hAnsi="Arial" w:cs="Arial"/>
          <w:b/>
          <w:bCs/>
          <w:color w:val="CF0A2C"/>
          <w:sz w:val="31"/>
          <w:szCs w:val="31"/>
        </w:rPr>
        <w:t>May I propose actions for consideration at next year’s Annual Meeting of the Company’s stockholders or nominate individuals to serve as directors?</w:t>
      </w:r>
    </w:p>
    <w:p w:rsidR="00CC2C66" w:rsidRDefault="00F80B74">
      <w:pPr>
        <w:spacing w:line="20" w:lineRule="exact"/>
        <w:rPr>
          <w:sz w:val="20"/>
          <w:szCs w:val="20"/>
        </w:rPr>
      </w:pPr>
      <w:r>
        <w:rPr>
          <w:noProof/>
          <w:sz w:val="20"/>
          <w:szCs w:val="20"/>
        </w:rPr>
        <w:drawing>
          <wp:anchor distT="0" distB="0" distL="114300" distR="114300" simplePos="0" relativeHeight="251766784" behindDoc="1" locked="0" layoutInCell="0" allowOverlap="1">
            <wp:simplePos x="0" y="0"/>
            <wp:positionH relativeFrom="column">
              <wp:posOffset>260985</wp:posOffset>
            </wp:positionH>
            <wp:positionV relativeFrom="paragraph">
              <wp:posOffset>109855</wp:posOffset>
            </wp:positionV>
            <wp:extent cx="6620510" cy="825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35" w:lineRule="exact"/>
        <w:rPr>
          <w:sz w:val="20"/>
          <w:szCs w:val="20"/>
        </w:rPr>
      </w:pPr>
    </w:p>
    <w:p w:rsidR="00CC2C66" w:rsidRDefault="00F80B74">
      <w:pPr>
        <w:ind w:left="420"/>
        <w:jc w:val="both"/>
        <w:rPr>
          <w:sz w:val="20"/>
          <w:szCs w:val="20"/>
        </w:rPr>
      </w:pPr>
      <w:r>
        <w:rPr>
          <w:rFonts w:eastAsia="Times New Roman"/>
          <w:sz w:val="19"/>
          <w:szCs w:val="19"/>
        </w:rPr>
        <w:t>Under the rules of</w:t>
      </w:r>
      <w:r>
        <w:rPr>
          <w:rFonts w:eastAsia="Times New Roman"/>
          <w:sz w:val="19"/>
          <w:szCs w:val="19"/>
        </w:rPr>
        <w:t xml:space="preserve"> the SEC, if a stockholder wants us to include a proposal in our proxy statement and proxy card for presentation at the 2023 annual meeting of the Company’s stockholders, the proposal must be received by our Corporate Secretary at our principal executive o</w:t>
      </w:r>
      <w:r>
        <w:rPr>
          <w:rFonts w:eastAsia="Times New Roman"/>
          <w:sz w:val="19"/>
          <w:szCs w:val="19"/>
        </w:rPr>
        <w:t>ffices, Yum China Holdings, Inc., 7100 Corporate Drive, Plano, Texas 75024, or Yum China Holdings, Inc., Yum China Building, 20 Tian Yao Qiao Road, Shanghai 200030, People’s Republic of China, by December 16, 2022. We strongly encourage any stockholder int</w:t>
      </w:r>
      <w:r>
        <w:rPr>
          <w:rFonts w:eastAsia="Times New Roman"/>
          <w:sz w:val="19"/>
          <w:szCs w:val="19"/>
        </w:rPr>
        <w:t>erested in submitting a proposal to contact our Chief Legal Officer in advance of this deadline to discuss the proposal. Stockholders may want to consult knowledgeable counsel with regard to the detailed requirements of applicable securities laws. Submitti</w:t>
      </w:r>
      <w:r>
        <w:rPr>
          <w:rFonts w:eastAsia="Times New Roman"/>
          <w:sz w:val="19"/>
          <w:szCs w:val="19"/>
        </w:rPr>
        <w:t>ng a proposal does not guarantee that we will include it in our proxy statement.</w:t>
      </w:r>
    </w:p>
    <w:p w:rsidR="00CC2C66" w:rsidRDefault="00CC2C66">
      <w:pPr>
        <w:spacing w:line="225" w:lineRule="exact"/>
        <w:rPr>
          <w:sz w:val="20"/>
          <w:szCs w:val="20"/>
        </w:rPr>
      </w:pPr>
    </w:p>
    <w:p w:rsidR="00CC2C66" w:rsidRDefault="00F80B74">
      <w:pPr>
        <w:spacing w:line="255" w:lineRule="auto"/>
        <w:ind w:left="420"/>
        <w:jc w:val="both"/>
        <w:rPr>
          <w:sz w:val="20"/>
          <w:szCs w:val="20"/>
        </w:rPr>
      </w:pPr>
      <w:r>
        <w:rPr>
          <w:rFonts w:eastAsia="Times New Roman"/>
          <w:sz w:val="18"/>
          <w:szCs w:val="18"/>
        </w:rPr>
        <w:t>In addition, our Bylaws include provisions permitting, subject to certain terms and conditions, stockholders owning at least 3% of the outstanding shares of Company common st</w:t>
      </w:r>
      <w:r>
        <w:rPr>
          <w:rFonts w:eastAsia="Times New Roman"/>
          <w:sz w:val="18"/>
          <w:szCs w:val="18"/>
        </w:rPr>
        <w:t>ock for at least three consecutive years to use our annual meeting proxy statement to nominate a number of director candidates not to exceed 20% of the number of directors in office, subject to reduction in certain circumstances (the “</w:t>
      </w:r>
      <w:r>
        <w:rPr>
          <w:rFonts w:eastAsia="Times New Roman"/>
          <w:b/>
          <w:bCs/>
          <w:i/>
          <w:iCs/>
          <w:sz w:val="18"/>
          <w:szCs w:val="18"/>
        </w:rPr>
        <w:t>Proxy Access”). Pursu</w:t>
      </w:r>
      <w:r>
        <w:rPr>
          <w:rFonts w:eastAsia="Times New Roman"/>
          <w:b/>
          <w:bCs/>
          <w:i/>
          <w:iCs/>
          <w:sz w:val="18"/>
          <w:szCs w:val="18"/>
        </w:rPr>
        <w:t>ant to our Proxy</w:t>
      </w:r>
    </w:p>
    <w:p w:rsidR="00CC2C66" w:rsidRDefault="00CC2C66">
      <w:pPr>
        <w:spacing w:line="1" w:lineRule="exact"/>
        <w:rPr>
          <w:sz w:val="20"/>
          <w:szCs w:val="20"/>
        </w:rPr>
      </w:pPr>
    </w:p>
    <w:p w:rsidR="00CC2C66" w:rsidRDefault="00F80B74">
      <w:pPr>
        <w:spacing w:line="239" w:lineRule="auto"/>
        <w:ind w:left="420"/>
        <w:jc w:val="both"/>
        <w:rPr>
          <w:sz w:val="20"/>
          <w:szCs w:val="20"/>
        </w:rPr>
      </w:pPr>
      <w:r>
        <w:rPr>
          <w:rFonts w:eastAsia="Times New Roman"/>
          <w:b/>
          <w:bCs/>
          <w:i/>
          <w:iCs/>
          <w:sz w:val="19"/>
          <w:szCs w:val="19"/>
        </w:rPr>
        <w:t>Access bylaw, stockholder nomination of directors to be included in our proxy statement and proxy card for the 2023 annual meeting of the Company’s stockholders must be received by our Corporate Secretary no earlier than November 15, 2022</w:t>
      </w:r>
      <w:r>
        <w:rPr>
          <w:rFonts w:eastAsia="Times New Roman"/>
          <w:b/>
          <w:bCs/>
          <w:i/>
          <w:iCs/>
          <w:sz w:val="19"/>
          <w:szCs w:val="19"/>
        </w:rPr>
        <w:t xml:space="preserve"> and no later than December 15, 2022. Stockholders must also satisfy the other requirements specified in our Bylaws. You may contact the Company’s Corporate Secretary at the addresses mentioned above for a copy of the relevant bylaw provisions regarding th</w:t>
      </w:r>
      <w:r>
        <w:rPr>
          <w:rFonts w:eastAsia="Times New Roman"/>
          <w:b/>
          <w:bCs/>
          <w:i/>
          <w:iCs/>
          <w:sz w:val="19"/>
          <w:szCs w:val="19"/>
        </w:rPr>
        <w:t>e requirements for nominating director candidates pursuant to Proxy Access.</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315" w:lineRule="exact"/>
        <w:rPr>
          <w:sz w:val="20"/>
          <w:szCs w:val="20"/>
        </w:rPr>
      </w:pPr>
    </w:p>
    <w:p w:rsidR="00CC2C66" w:rsidRDefault="00F80B74">
      <w:pPr>
        <w:spacing w:line="239" w:lineRule="auto"/>
        <w:jc w:val="both"/>
        <w:rPr>
          <w:sz w:val="20"/>
          <w:szCs w:val="20"/>
        </w:rPr>
      </w:pPr>
      <w:r>
        <w:rPr>
          <w:rFonts w:eastAsia="Times New Roman"/>
          <w:sz w:val="19"/>
          <w:szCs w:val="19"/>
        </w:rPr>
        <w:t xml:space="preserve">Under our Bylaws, stockholders may also nominate persons for election as directors at an annual meeting or introduce an item of business that is not included in our proxy </w:t>
      </w:r>
      <w:r>
        <w:rPr>
          <w:rFonts w:eastAsia="Times New Roman"/>
          <w:sz w:val="19"/>
          <w:szCs w:val="19"/>
        </w:rPr>
        <w:t>statement. These procedures provide that nominations for director nominees and/or an item of business to be introduced at an annual meeting must be submitted in writing to our Corporate Secretary at our principal executive offices, and the stockholder subm</w:t>
      </w:r>
      <w:r>
        <w:rPr>
          <w:rFonts w:eastAsia="Times New Roman"/>
          <w:sz w:val="19"/>
          <w:szCs w:val="19"/>
        </w:rPr>
        <w:t>itting any such nomination or item of business must include information set forth in our Bylaws. For the 2023 annual meeting of the Company’s stockholders, we must receive the notice of your intention to introduce a nomination or to propose an item of busi</w:t>
      </w:r>
      <w:r>
        <w:rPr>
          <w:rFonts w:eastAsia="Times New Roman"/>
          <w:sz w:val="19"/>
          <w:szCs w:val="19"/>
        </w:rPr>
        <w:t>ness no earlier than January 27, 2023 and no later than February 26, 2023, unless we hold the 2023 annual meeting before April 27, 2023 or after June 26, 2023, in which case notice must be received no later than 10 days after notice of the date of the annu</w:t>
      </w:r>
      <w:r>
        <w:rPr>
          <w:rFonts w:eastAsia="Times New Roman"/>
          <w:sz w:val="19"/>
          <w:szCs w:val="19"/>
        </w:rPr>
        <w:t>al meeting is mailed or public disclosure of the date of the annual meeting is made, whichever first occurs. Stockholders must also satisfy the other requirements specified in our Bylaws. You may contact the Company’s Corporate Secretary at the addresses m</w:t>
      </w:r>
      <w:r>
        <w:rPr>
          <w:rFonts w:eastAsia="Times New Roman"/>
          <w:sz w:val="19"/>
          <w:szCs w:val="19"/>
        </w:rPr>
        <w:t>entioned above for a copy of the relevant bylaw provisions regarding the requirements for making stockholder proposals and nominating director candidates.</w:t>
      </w:r>
    </w:p>
    <w:p w:rsidR="00CC2C66" w:rsidRDefault="00CC2C66">
      <w:pPr>
        <w:spacing w:line="235" w:lineRule="exact"/>
        <w:rPr>
          <w:sz w:val="20"/>
          <w:szCs w:val="20"/>
        </w:rPr>
      </w:pPr>
    </w:p>
    <w:p w:rsidR="00CC2C66" w:rsidRDefault="00F80B74">
      <w:pPr>
        <w:spacing w:line="243" w:lineRule="auto"/>
        <w:jc w:val="both"/>
        <w:rPr>
          <w:sz w:val="20"/>
          <w:szCs w:val="20"/>
        </w:rPr>
      </w:pPr>
      <w:r>
        <w:rPr>
          <w:rFonts w:eastAsia="Times New Roman"/>
          <w:sz w:val="19"/>
          <w:szCs w:val="19"/>
        </w:rPr>
        <w:t xml:space="preserve">In addition to satisfying the foregoing requirements under our Bylaws, to comply with the universal </w:t>
      </w:r>
      <w:r>
        <w:rPr>
          <w:rFonts w:eastAsia="Times New Roman"/>
          <w:sz w:val="19"/>
          <w:szCs w:val="19"/>
        </w:rPr>
        <w:t>proxy rules (once effective), stockholders who intend to solicit proxies in support of director nominees other than our nominees must provide notice that sets forth the information required by Rule 14a-19 under the Exchange Act no later than March 28, 2023</w:t>
      </w:r>
      <w:r>
        <w:rPr>
          <w:rFonts w:eastAsia="Times New Roman"/>
          <w:sz w:val="19"/>
          <w:szCs w:val="19"/>
        </w:rPr>
        <w:t>.</w:t>
      </w:r>
    </w:p>
    <w:p w:rsidR="00CC2C66" w:rsidRDefault="00CC2C66">
      <w:pPr>
        <w:spacing w:line="851"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58" w:lineRule="exact"/>
        <w:rPr>
          <w:sz w:val="20"/>
          <w:szCs w:val="20"/>
        </w:rPr>
      </w:pPr>
    </w:p>
    <w:p w:rsidR="00CC2C66" w:rsidRDefault="00F80B74">
      <w:pPr>
        <w:numPr>
          <w:ilvl w:val="0"/>
          <w:numId w:val="126"/>
        </w:numPr>
        <w:tabs>
          <w:tab w:val="left" w:pos="940"/>
        </w:tabs>
        <w:ind w:left="940" w:hanging="385"/>
        <w:rPr>
          <w:rFonts w:ascii="Arial" w:eastAsia="Arial" w:hAnsi="Arial" w:cs="Arial"/>
          <w:color w:val="CF0A2C"/>
          <w:sz w:val="12"/>
          <w:szCs w:val="12"/>
        </w:rPr>
      </w:pPr>
      <w:r>
        <w:rPr>
          <w:rFonts w:ascii="Arial" w:eastAsia="Arial" w:hAnsi="Arial" w:cs="Arial"/>
          <w:color w:val="4C4C4C"/>
          <w:sz w:val="12"/>
          <w:szCs w:val="12"/>
        </w:rPr>
        <w:t xml:space="preserve">YUM CHINA </w:t>
      </w:r>
      <w:r>
        <w:rPr>
          <w:rFonts w:ascii="Arial" w:eastAsia="Arial" w:hAnsi="Arial" w:cs="Arial"/>
          <w:i/>
          <w:iCs/>
          <w:color w:val="4C4C4C"/>
          <w:sz w:val="12"/>
          <w:szCs w:val="12"/>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67808" behindDoc="1" locked="0" layoutInCell="0" allowOverlap="1">
            <wp:simplePos x="0" y="0"/>
            <wp:positionH relativeFrom="column">
              <wp:posOffset>496570</wp:posOffset>
            </wp:positionH>
            <wp:positionV relativeFrom="paragraph">
              <wp:posOffset>-81915</wp:posOffset>
            </wp:positionV>
            <wp:extent cx="8255" cy="9715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F80B74">
      <w:pPr>
        <w:rPr>
          <w:sz w:val="20"/>
          <w:szCs w:val="20"/>
        </w:rPr>
      </w:pPr>
      <w:bookmarkStart w:id="79" w:name="page79"/>
      <w:bookmarkEnd w:id="79"/>
      <w:r>
        <w:rPr>
          <w:rFonts w:eastAsia="Times New Roman"/>
          <w:b/>
          <w:bCs/>
          <w:noProof/>
          <w:color w:val="0000EE"/>
          <w:sz w:val="17"/>
          <w:szCs w:val="17"/>
          <w:u w:val="single"/>
        </w:rPr>
        <w:drawing>
          <wp:anchor distT="0" distB="0" distL="114300" distR="114300" simplePos="0" relativeHeight="25176883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69856" behindDoc="1" locked="0" layoutInCell="0" allowOverlap="1">
            <wp:simplePos x="0" y="0"/>
            <wp:positionH relativeFrom="column">
              <wp:posOffset>5332095</wp:posOffset>
            </wp:positionH>
            <wp:positionV relativeFrom="paragraph">
              <wp:posOffset>196850</wp:posOffset>
            </wp:positionV>
            <wp:extent cx="1549400" cy="19494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6">
                      <a:extLst/>
                    </a:blip>
                    <a:srcRect/>
                    <a:stretch>
                      <a:fillRect/>
                    </a:stretch>
                  </pic:blipFill>
                  <pic:spPr bwMode="auto">
                    <a:xfrm>
                      <a:off x="0" y="0"/>
                      <a:ext cx="154940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8620"/>
        <w:rPr>
          <w:sz w:val="20"/>
          <w:szCs w:val="20"/>
        </w:rPr>
      </w:pPr>
      <w:r>
        <w:rPr>
          <w:rFonts w:ascii="Arial" w:eastAsia="Arial" w:hAnsi="Arial" w:cs="Arial"/>
          <w:b/>
          <w:bCs/>
          <w:color w:val="FFFFFF"/>
          <w:sz w:val="15"/>
          <w:szCs w:val="15"/>
        </w:rPr>
        <w:t>ADDITIONAL INFORMATION</w:t>
      </w:r>
    </w:p>
    <w:p w:rsidR="00CC2C66" w:rsidRDefault="00CC2C66">
      <w:pPr>
        <w:spacing w:line="184" w:lineRule="exact"/>
        <w:rPr>
          <w:sz w:val="20"/>
          <w:szCs w:val="20"/>
        </w:rPr>
      </w:pPr>
    </w:p>
    <w:p w:rsidR="00CC2C66" w:rsidRDefault="00F80B74">
      <w:pPr>
        <w:spacing w:line="285" w:lineRule="auto"/>
        <w:ind w:left="420" w:right="1360"/>
        <w:rPr>
          <w:sz w:val="20"/>
          <w:szCs w:val="20"/>
        </w:rPr>
      </w:pPr>
      <w:r>
        <w:rPr>
          <w:rFonts w:ascii="Arial" w:eastAsia="Arial" w:hAnsi="Arial" w:cs="Arial"/>
          <w:b/>
          <w:bCs/>
          <w:color w:val="CF0A2C"/>
          <w:sz w:val="31"/>
          <w:szCs w:val="31"/>
        </w:rPr>
        <w:t>Is any other business expected to be conducted at the Special Meeting?</w:t>
      </w:r>
    </w:p>
    <w:p w:rsidR="00CC2C66" w:rsidRDefault="00F80B74">
      <w:pPr>
        <w:spacing w:line="20" w:lineRule="exact"/>
        <w:rPr>
          <w:sz w:val="20"/>
          <w:szCs w:val="20"/>
        </w:rPr>
      </w:pPr>
      <w:r>
        <w:rPr>
          <w:noProof/>
          <w:sz w:val="20"/>
          <w:szCs w:val="20"/>
        </w:rPr>
        <w:drawing>
          <wp:anchor distT="0" distB="0" distL="114300" distR="114300" simplePos="0" relativeHeight="251770880" behindDoc="1" locked="0" layoutInCell="0" allowOverlap="1">
            <wp:simplePos x="0" y="0"/>
            <wp:positionH relativeFrom="column">
              <wp:posOffset>260985</wp:posOffset>
            </wp:positionH>
            <wp:positionV relativeFrom="paragraph">
              <wp:posOffset>88900</wp:posOffset>
            </wp:positionV>
            <wp:extent cx="6620510" cy="825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303" w:lineRule="exact"/>
        <w:rPr>
          <w:sz w:val="20"/>
          <w:szCs w:val="20"/>
        </w:rPr>
      </w:pPr>
    </w:p>
    <w:p w:rsidR="00CC2C66" w:rsidRDefault="00F80B74">
      <w:pPr>
        <w:spacing w:line="245" w:lineRule="auto"/>
        <w:ind w:left="420"/>
        <w:jc w:val="both"/>
        <w:rPr>
          <w:sz w:val="20"/>
          <w:szCs w:val="20"/>
        </w:rPr>
      </w:pPr>
      <w:r>
        <w:rPr>
          <w:rFonts w:eastAsia="Times New Roman"/>
          <w:sz w:val="19"/>
          <w:szCs w:val="19"/>
        </w:rPr>
        <w:t xml:space="preserve">The Board is not aware of any </w:t>
      </w:r>
      <w:r>
        <w:rPr>
          <w:rFonts w:eastAsia="Times New Roman"/>
          <w:sz w:val="19"/>
          <w:szCs w:val="19"/>
        </w:rPr>
        <w:t>matters that are expected to come before the Special Meeting other than those referred to in this proxy statement. If any other matter should come before the Special Meeting, the individuals named on the form of proxy intend to vote the proxies in accordan</w:t>
      </w:r>
      <w:r>
        <w:rPr>
          <w:rFonts w:eastAsia="Times New Roman"/>
          <w:sz w:val="19"/>
          <w:szCs w:val="19"/>
        </w:rPr>
        <w:t>ce with their best judgment.</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83" w:lineRule="exact"/>
        <w:rPr>
          <w:sz w:val="20"/>
          <w:szCs w:val="20"/>
        </w:rPr>
      </w:pPr>
    </w:p>
    <w:p w:rsidR="00CC2C66" w:rsidRDefault="00F80B74">
      <w:pPr>
        <w:spacing w:line="272" w:lineRule="auto"/>
        <w:jc w:val="both"/>
        <w:rPr>
          <w:sz w:val="20"/>
          <w:szCs w:val="20"/>
        </w:rPr>
      </w:pPr>
      <w:r>
        <w:rPr>
          <w:rFonts w:eastAsia="Times New Roman"/>
          <w:sz w:val="18"/>
          <w:szCs w:val="18"/>
        </w:rPr>
        <w:t>The chairman of the Special Meeting may refuse to allow the transaction of any business, or to acknowledge the nomination of any person, not made in compliance with the foregoing procedures.</w:t>
      </w:r>
    </w:p>
    <w:p w:rsidR="00CC2C66" w:rsidRDefault="00CC2C66">
      <w:pPr>
        <w:spacing w:line="611" w:lineRule="exact"/>
        <w:rPr>
          <w:sz w:val="20"/>
          <w:szCs w:val="20"/>
        </w:rPr>
      </w:pP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CC2C66">
      <w:pPr>
        <w:spacing w:line="249" w:lineRule="exact"/>
        <w:rPr>
          <w:sz w:val="20"/>
          <w:szCs w:val="20"/>
        </w:rPr>
      </w:pPr>
    </w:p>
    <w:p w:rsidR="00CC2C66" w:rsidRDefault="00F80B74">
      <w:pPr>
        <w:ind w:left="420"/>
        <w:rPr>
          <w:sz w:val="20"/>
          <w:szCs w:val="20"/>
        </w:rPr>
      </w:pPr>
      <w:r>
        <w:rPr>
          <w:rFonts w:ascii="Arial" w:eastAsia="Arial" w:hAnsi="Arial" w:cs="Arial"/>
          <w:b/>
          <w:bCs/>
          <w:color w:val="CF0A2C"/>
          <w:sz w:val="30"/>
          <w:szCs w:val="30"/>
        </w:rPr>
        <w:t>F</w:t>
      </w:r>
      <w:r>
        <w:rPr>
          <w:rFonts w:ascii="Arial" w:eastAsia="Arial" w:hAnsi="Arial" w:cs="Arial"/>
          <w:b/>
          <w:bCs/>
          <w:color w:val="CF0A2C"/>
          <w:sz w:val="30"/>
          <w:szCs w:val="30"/>
        </w:rPr>
        <w:t>orward-Looking Statements</w:t>
      </w:r>
    </w:p>
    <w:p w:rsidR="00CC2C66" w:rsidRDefault="00F80B74">
      <w:pPr>
        <w:spacing w:line="20" w:lineRule="exact"/>
        <w:rPr>
          <w:sz w:val="20"/>
          <w:szCs w:val="20"/>
        </w:rPr>
      </w:pPr>
      <w:r>
        <w:rPr>
          <w:noProof/>
          <w:sz w:val="20"/>
          <w:szCs w:val="20"/>
        </w:rPr>
        <w:drawing>
          <wp:anchor distT="0" distB="0" distL="114300" distR="114300" simplePos="0" relativeHeight="251771904" behindDoc="1" locked="0" layoutInCell="0" allowOverlap="1">
            <wp:simplePos x="0" y="0"/>
            <wp:positionH relativeFrom="column">
              <wp:posOffset>260985</wp:posOffset>
            </wp:positionH>
            <wp:positionV relativeFrom="paragraph">
              <wp:posOffset>180340</wp:posOffset>
            </wp:positionV>
            <wp:extent cx="6620510" cy="825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
                      <a:extLst/>
                    </a:blip>
                    <a:srcRect/>
                    <a:stretch>
                      <a:fillRect/>
                    </a:stretch>
                  </pic:blipFill>
                  <pic:spPr bwMode="auto">
                    <a:xfrm>
                      <a:off x="0" y="0"/>
                      <a:ext cx="6620510" cy="82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space="720" w:equalWidth="0">
            <w:col w:w="10840"/>
          </w:cols>
        </w:sectPr>
      </w:pP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34" w:lineRule="exact"/>
        <w:rPr>
          <w:sz w:val="20"/>
          <w:szCs w:val="20"/>
        </w:rPr>
      </w:pPr>
    </w:p>
    <w:p w:rsidR="00CC2C66" w:rsidRDefault="00F80B74">
      <w:pPr>
        <w:spacing w:line="253" w:lineRule="auto"/>
        <w:ind w:left="420"/>
        <w:jc w:val="both"/>
        <w:rPr>
          <w:sz w:val="20"/>
          <w:szCs w:val="20"/>
        </w:rPr>
      </w:pPr>
      <w:r>
        <w:rPr>
          <w:rFonts w:eastAsia="Times New Roman"/>
          <w:sz w:val="18"/>
          <w:szCs w:val="18"/>
        </w:rPr>
        <w:t xml:space="preserve">This proxy statement contains “forward-looking statements” within the meaning of Section 27A of the Securities Act of 1933 and Section 21E of the Exchange Act, including, without limitation, statements </w:t>
      </w:r>
      <w:r>
        <w:rPr>
          <w:rFonts w:eastAsia="Times New Roman"/>
          <w:sz w:val="18"/>
          <w:szCs w:val="18"/>
        </w:rPr>
        <w:t>regarding the timeline and completion of the Proposed Primary Conversion and statements regarding our future compensation arrangements, including pursuant to the 2022 LTIP. We intend all forward-looking statements to be covered by the safe harbor provision</w:t>
      </w:r>
      <w:r>
        <w:rPr>
          <w:rFonts w:eastAsia="Times New Roman"/>
          <w:sz w:val="18"/>
          <w:szCs w:val="18"/>
        </w:rPr>
        <w:t>s of the Private Securities Litigation Reform Act of 1995. Forward-looking statements generally can be identified by the fact that they do not relate strictly to historical or current facts and by the use of forward-looking words such as “expect,” “expecta</w:t>
      </w:r>
      <w:r>
        <w:rPr>
          <w:rFonts w:eastAsia="Times New Roman"/>
          <w:sz w:val="18"/>
          <w:szCs w:val="18"/>
        </w:rPr>
        <w:t>tion,” “believe,” “anticipate,” “may,” “could,” “intend,” “belief,” “plan,” “estimate,” “target,” “predict,” “project,” “likely,” “will,” “continue,” “should,” “forecast,” “outlook” or similar terminology. These statements are based on current estimates an</w:t>
      </w:r>
      <w:r>
        <w:rPr>
          <w:rFonts w:eastAsia="Times New Roman"/>
          <w:sz w:val="18"/>
          <w:szCs w:val="18"/>
        </w:rPr>
        <w:t xml:space="preserve">d assumptions made by us in light of our experience and perception of historical trends, current conditions and expected future developments, as well as other factors that we believe are appropriate and reasonable under the circumstances, but there can be </w:t>
      </w:r>
      <w:r>
        <w:rPr>
          <w:rFonts w:eastAsia="Times New Roman"/>
          <w:sz w:val="18"/>
          <w:szCs w:val="18"/>
        </w:rPr>
        <w:t>no assurance that such estimates and assumptions will prove to be correct. Forward-looking statements are not guarantees of performance and are inherently subject to known</w:t>
      </w:r>
    </w:p>
    <w:p w:rsidR="00CC2C66" w:rsidRDefault="00F80B74">
      <w:pPr>
        <w:spacing w:line="20" w:lineRule="exact"/>
        <w:rPr>
          <w:sz w:val="20"/>
          <w:szCs w:val="20"/>
        </w:rPr>
      </w:pPr>
      <w:r>
        <w:rPr>
          <w:sz w:val="20"/>
          <w:szCs w:val="20"/>
        </w:rPr>
        <w:br w:type="column"/>
      </w:r>
    </w:p>
    <w:p w:rsidR="00CC2C66" w:rsidRDefault="00CC2C66">
      <w:pPr>
        <w:spacing w:line="200" w:lineRule="exact"/>
        <w:rPr>
          <w:sz w:val="20"/>
          <w:szCs w:val="20"/>
        </w:rPr>
      </w:pPr>
    </w:p>
    <w:p w:rsidR="00CC2C66" w:rsidRDefault="00CC2C66">
      <w:pPr>
        <w:spacing w:line="200" w:lineRule="exact"/>
        <w:rPr>
          <w:sz w:val="20"/>
          <w:szCs w:val="20"/>
        </w:rPr>
      </w:pPr>
    </w:p>
    <w:p w:rsidR="00CC2C66" w:rsidRDefault="00CC2C66">
      <w:pPr>
        <w:spacing w:line="214" w:lineRule="exact"/>
        <w:rPr>
          <w:sz w:val="20"/>
          <w:szCs w:val="20"/>
        </w:rPr>
      </w:pPr>
    </w:p>
    <w:p w:rsidR="00CC2C66" w:rsidRDefault="00F80B74">
      <w:pPr>
        <w:spacing w:line="239" w:lineRule="auto"/>
        <w:jc w:val="both"/>
        <w:rPr>
          <w:sz w:val="20"/>
          <w:szCs w:val="20"/>
        </w:rPr>
      </w:pPr>
      <w:r>
        <w:rPr>
          <w:rFonts w:eastAsia="Times New Roman"/>
          <w:sz w:val="19"/>
          <w:szCs w:val="19"/>
        </w:rPr>
        <w:t>and unknown risks and uncertainties that are difficult to predict and could cau</w:t>
      </w:r>
      <w:r>
        <w:rPr>
          <w:rFonts w:eastAsia="Times New Roman"/>
          <w:sz w:val="19"/>
          <w:szCs w:val="19"/>
        </w:rPr>
        <w:t>se our actual results or events to differ materially from those indicated by those statements. We cannot assure you that any of our expectations, estimates or assumptions will be achieved. The forward-looking statements included in this proxy statement are</w:t>
      </w:r>
      <w:r>
        <w:rPr>
          <w:rFonts w:eastAsia="Times New Roman"/>
          <w:sz w:val="19"/>
          <w:szCs w:val="19"/>
        </w:rPr>
        <w:t xml:space="preserve"> only made as of the date of this proxy statement, and we disclaim any obligation to publicly update any forward-looking statement to reflect subsequent events or circumstances, except as required by law. Numerous factors could cause our actual results or </w:t>
      </w:r>
      <w:r>
        <w:rPr>
          <w:rFonts w:eastAsia="Times New Roman"/>
          <w:sz w:val="19"/>
          <w:szCs w:val="19"/>
        </w:rPr>
        <w:t>events to differ materially from those expressed or implied by forward-looking statements. In addition, other risks and uncertainties not presently known to us or that we currently believe to be immaterial could affect the accuracy of any such forward-look</w:t>
      </w:r>
      <w:r>
        <w:rPr>
          <w:rFonts w:eastAsia="Times New Roman"/>
          <w:sz w:val="19"/>
          <w:szCs w:val="19"/>
        </w:rPr>
        <w:t>ing statements. All forward-looking statements should be evaluated with the understanding of their inherent uncertainty. You should consult our filings with the SEC (including the information set forth under the captions “Risk Factors” and “Management’s Di</w:t>
      </w:r>
      <w:r>
        <w:rPr>
          <w:rFonts w:eastAsia="Times New Roman"/>
          <w:sz w:val="19"/>
          <w:szCs w:val="19"/>
        </w:rPr>
        <w:t>scussion and Analysis of Financial Condition and Results of Operations” in our Annual Report on Form 10-K and subsequent Quarterly Reports on Form 10-Q) for additional detail about factors that could affect our financial and other results.</w:t>
      </w:r>
    </w:p>
    <w:p w:rsidR="00CC2C66" w:rsidRDefault="00CC2C66">
      <w:pPr>
        <w:spacing w:line="200" w:lineRule="exact"/>
        <w:rPr>
          <w:sz w:val="20"/>
          <w:szCs w:val="20"/>
        </w:rPr>
      </w:pPr>
    </w:p>
    <w:p w:rsidR="00CC2C66" w:rsidRDefault="00CC2C66">
      <w:pPr>
        <w:spacing w:line="302" w:lineRule="exact"/>
        <w:rPr>
          <w:sz w:val="20"/>
          <w:szCs w:val="20"/>
        </w:rPr>
      </w:pPr>
    </w:p>
    <w:p w:rsidR="00CC2C66" w:rsidRDefault="00F80B74">
      <w:pPr>
        <w:tabs>
          <w:tab w:val="left" w:pos="4860"/>
        </w:tabs>
        <w:ind w:left="27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w:t>
      </w:r>
      <w:r>
        <w:rPr>
          <w:rFonts w:ascii="Arial" w:eastAsia="Arial" w:hAnsi="Arial" w:cs="Arial"/>
          <w:i/>
          <w:iCs/>
          <w:color w:val="4C4C4C"/>
          <w:sz w:val="14"/>
          <w:szCs w:val="14"/>
        </w:rPr>
        <w:t>oxy Statement</w:t>
      </w:r>
      <w:r>
        <w:rPr>
          <w:sz w:val="20"/>
          <w:szCs w:val="20"/>
        </w:rPr>
        <w:tab/>
      </w:r>
      <w:r>
        <w:rPr>
          <w:rFonts w:ascii="Arial" w:eastAsia="Arial" w:hAnsi="Arial" w:cs="Arial"/>
          <w:color w:val="CF0A2C"/>
          <w:sz w:val="14"/>
          <w:szCs w:val="14"/>
        </w:rPr>
        <w:t>73</w:t>
      </w:r>
    </w:p>
    <w:p w:rsidR="00CC2C66" w:rsidRDefault="00F80B74">
      <w:pPr>
        <w:spacing w:line="20" w:lineRule="exact"/>
        <w:rPr>
          <w:sz w:val="20"/>
          <w:szCs w:val="20"/>
        </w:rPr>
      </w:pPr>
      <w:r>
        <w:rPr>
          <w:noProof/>
          <w:sz w:val="20"/>
          <w:szCs w:val="20"/>
        </w:rPr>
        <w:drawing>
          <wp:anchor distT="0" distB="0" distL="114300" distR="114300" simplePos="0" relativeHeight="251772928" behindDoc="1" locked="0" layoutInCell="0" allowOverlap="1">
            <wp:simplePos x="0" y="0"/>
            <wp:positionH relativeFrom="column">
              <wp:posOffset>2989580</wp:posOffset>
            </wp:positionH>
            <wp:positionV relativeFrom="paragraph">
              <wp:posOffset>-95885</wp:posOffset>
            </wp:positionV>
            <wp:extent cx="8255" cy="9715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type w:val="continuous"/>
          <w:pgSz w:w="11900" w:h="16838"/>
          <w:pgMar w:top="439" w:right="739" w:bottom="1440" w:left="320" w:header="0" w:footer="0" w:gutter="0"/>
          <w:cols w:num="2" w:space="720" w:equalWidth="0">
            <w:col w:w="5420" w:space="300"/>
            <w:col w:w="5120"/>
          </w:cols>
        </w:sectPr>
      </w:pPr>
    </w:p>
    <w:p w:rsidR="00CC2C66" w:rsidRDefault="00F80B74">
      <w:pPr>
        <w:rPr>
          <w:sz w:val="20"/>
          <w:szCs w:val="20"/>
        </w:rPr>
      </w:pPr>
      <w:bookmarkStart w:id="80" w:name="page80"/>
      <w:bookmarkEnd w:id="80"/>
      <w:r>
        <w:rPr>
          <w:rFonts w:eastAsia="Times New Roman"/>
          <w:b/>
          <w:bCs/>
          <w:noProof/>
          <w:color w:val="0000EE"/>
          <w:sz w:val="17"/>
          <w:szCs w:val="17"/>
          <w:u w:val="single"/>
        </w:rPr>
        <w:drawing>
          <wp:anchor distT="0" distB="0" distL="114300" distR="114300" simplePos="0" relativeHeight="25177395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74976" behindDoc="1" locked="0" layoutInCell="0" allowOverlap="1">
            <wp:simplePos x="0" y="0"/>
            <wp:positionH relativeFrom="column">
              <wp:posOffset>260985</wp:posOffset>
            </wp:positionH>
            <wp:positionV relativeFrom="paragraph">
              <wp:posOffset>196850</wp:posOffset>
            </wp:positionV>
            <wp:extent cx="6620510" cy="706120"/>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4">
                      <a:extLst/>
                    </a:blip>
                    <a:srcRect/>
                    <a:stretch>
                      <a:fillRect/>
                    </a:stretch>
                  </pic:blipFill>
                  <pic:spPr bwMode="auto">
                    <a:xfrm>
                      <a:off x="0" y="0"/>
                      <a:ext cx="6620510" cy="706120"/>
                    </a:xfrm>
                    <a:prstGeom prst="rect">
                      <a:avLst/>
                    </a:prstGeom>
                    <a:noFill/>
                  </pic:spPr>
                </pic:pic>
              </a:graphicData>
            </a:graphic>
          </wp:anchor>
        </w:drawing>
      </w:r>
    </w:p>
    <w:p w:rsidR="00CC2C66" w:rsidRDefault="00CC2C66">
      <w:pPr>
        <w:spacing w:line="200" w:lineRule="exact"/>
        <w:rPr>
          <w:sz w:val="20"/>
          <w:szCs w:val="20"/>
        </w:rPr>
      </w:pPr>
    </w:p>
    <w:p w:rsidR="00CC2C66" w:rsidRDefault="00CC2C66">
      <w:pPr>
        <w:spacing w:line="291" w:lineRule="exact"/>
        <w:rPr>
          <w:sz w:val="20"/>
          <w:szCs w:val="20"/>
        </w:rPr>
      </w:pPr>
    </w:p>
    <w:p w:rsidR="00CC2C66" w:rsidRDefault="00F80B74">
      <w:pPr>
        <w:spacing w:line="285" w:lineRule="auto"/>
        <w:ind w:left="500" w:right="2180" w:hanging="11"/>
        <w:rPr>
          <w:sz w:val="20"/>
          <w:szCs w:val="20"/>
        </w:rPr>
      </w:pPr>
      <w:r>
        <w:rPr>
          <w:rFonts w:ascii="Arial" w:eastAsia="Arial" w:hAnsi="Arial" w:cs="Arial"/>
          <w:b/>
          <w:bCs/>
          <w:color w:val="FFFFFF"/>
          <w:sz w:val="31"/>
          <w:szCs w:val="31"/>
        </w:rPr>
        <w:t>APPENDIX A – YUM CHINA HOLDINGS, INC. 2022 LONG TERM INCENTIVE PLAN</w:t>
      </w:r>
    </w:p>
    <w:p w:rsidR="00CC2C66" w:rsidRDefault="00CC2C66">
      <w:pPr>
        <w:spacing w:line="141" w:lineRule="exact"/>
        <w:rPr>
          <w:sz w:val="20"/>
          <w:szCs w:val="20"/>
        </w:rPr>
      </w:pPr>
    </w:p>
    <w:p w:rsidR="00CC2C66" w:rsidRDefault="00F80B74">
      <w:pPr>
        <w:ind w:right="-419"/>
        <w:jc w:val="center"/>
        <w:rPr>
          <w:sz w:val="20"/>
          <w:szCs w:val="20"/>
        </w:rPr>
      </w:pPr>
      <w:r>
        <w:rPr>
          <w:rFonts w:eastAsia="Times New Roman"/>
          <w:b/>
          <w:bCs/>
          <w:sz w:val="19"/>
          <w:szCs w:val="19"/>
        </w:rPr>
        <w:t>YUM CHINA HOLDINGS, INC.</w:t>
      </w:r>
    </w:p>
    <w:p w:rsidR="00CC2C66" w:rsidRDefault="00CC2C66">
      <w:pPr>
        <w:spacing w:line="101" w:lineRule="exact"/>
        <w:rPr>
          <w:sz w:val="20"/>
          <w:szCs w:val="20"/>
        </w:rPr>
      </w:pPr>
    </w:p>
    <w:p w:rsidR="00CC2C66" w:rsidRDefault="00F80B74">
      <w:pPr>
        <w:ind w:right="-419"/>
        <w:jc w:val="center"/>
        <w:rPr>
          <w:sz w:val="20"/>
          <w:szCs w:val="20"/>
        </w:rPr>
      </w:pPr>
      <w:r>
        <w:rPr>
          <w:rFonts w:eastAsia="Times New Roman"/>
          <w:b/>
          <w:bCs/>
          <w:sz w:val="19"/>
          <w:szCs w:val="19"/>
        </w:rPr>
        <w:t>2022 LONG TERM INCENTIVE PLAN</w:t>
      </w:r>
    </w:p>
    <w:p w:rsidR="00CC2C66" w:rsidRDefault="00CC2C66">
      <w:pPr>
        <w:spacing w:line="241" w:lineRule="exact"/>
        <w:rPr>
          <w:sz w:val="20"/>
          <w:szCs w:val="20"/>
        </w:rPr>
      </w:pPr>
    </w:p>
    <w:p w:rsidR="00CC2C66" w:rsidRDefault="00F80B74">
      <w:pPr>
        <w:ind w:right="-419"/>
        <w:jc w:val="center"/>
        <w:rPr>
          <w:sz w:val="20"/>
          <w:szCs w:val="20"/>
        </w:rPr>
      </w:pPr>
      <w:r>
        <w:rPr>
          <w:rFonts w:eastAsia="Times New Roman"/>
          <w:b/>
          <w:bCs/>
          <w:sz w:val="19"/>
          <w:szCs w:val="19"/>
        </w:rPr>
        <w:t>SECTION 1.</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General</w:t>
      </w:r>
    </w:p>
    <w:p w:rsidR="00CC2C66" w:rsidRDefault="00CC2C66">
      <w:pPr>
        <w:spacing w:line="217" w:lineRule="exact"/>
        <w:rPr>
          <w:sz w:val="20"/>
          <w:szCs w:val="20"/>
        </w:rPr>
      </w:pPr>
    </w:p>
    <w:p w:rsidR="00CC2C66" w:rsidRDefault="00F80B74">
      <w:pPr>
        <w:spacing w:line="244" w:lineRule="auto"/>
        <w:ind w:left="420" w:firstLine="521"/>
        <w:jc w:val="both"/>
        <w:rPr>
          <w:sz w:val="20"/>
          <w:szCs w:val="20"/>
        </w:rPr>
      </w:pPr>
      <w:r>
        <w:rPr>
          <w:rFonts w:eastAsia="Times New Roman"/>
          <w:sz w:val="19"/>
          <w:szCs w:val="19"/>
        </w:rPr>
        <w:t xml:space="preserve">1.1 </w:t>
      </w:r>
      <w:r>
        <w:rPr>
          <w:rFonts w:eastAsia="Times New Roman"/>
          <w:b/>
          <w:bCs/>
          <w:sz w:val="19"/>
          <w:szCs w:val="19"/>
        </w:rPr>
        <w:t>Purpose</w:t>
      </w:r>
      <w:r>
        <w:rPr>
          <w:rFonts w:eastAsia="Times New Roman"/>
          <w:sz w:val="19"/>
          <w:szCs w:val="19"/>
        </w:rPr>
        <w:t xml:space="preserve">. This Yum China Holdings, </w:t>
      </w:r>
      <w:r>
        <w:rPr>
          <w:rFonts w:eastAsia="Times New Roman"/>
          <w:sz w:val="19"/>
          <w:szCs w:val="19"/>
        </w:rPr>
        <w:t>Inc. 2022 Long Term Incentive Plan (the “Plan”) has been established by Yum China Holdings, Inc. (the “Company”) to (i) attract and retain persons eligible to participate in the Plan; (ii) motivate Participants, by means of appropriate incentives, to achie</w:t>
      </w:r>
      <w:r>
        <w:rPr>
          <w:rFonts w:eastAsia="Times New Roman"/>
          <w:sz w:val="19"/>
          <w:szCs w:val="19"/>
        </w:rPr>
        <w:t>ve long-range goals; (iii) provide incentive compensation opportunities that are competitive with those of other similar companies; and (iv) align the interests of Participants with those of the Company’s shareholders. The Plan replaces the Yum China Holdi</w:t>
      </w:r>
      <w:r>
        <w:rPr>
          <w:rFonts w:eastAsia="Times New Roman"/>
          <w:sz w:val="19"/>
          <w:szCs w:val="19"/>
        </w:rPr>
        <w:t>ngs, Inc. Long Term Incentive Plan (the “2016 Plan”) and the 2016 Plan shall continue to govern awards granted prior to the Effective Date (as defined below) but no new awards shall be granted under the 2016 Plan following the Effective Date.</w:t>
      </w:r>
    </w:p>
    <w:p w:rsidR="00CC2C66" w:rsidRDefault="00CC2C66">
      <w:pPr>
        <w:spacing w:line="201" w:lineRule="exact"/>
        <w:rPr>
          <w:sz w:val="20"/>
          <w:szCs w:val="20"/>
        </w:rPr>
      </w:pPr>
    </w:p>
    <w:p w:rsidR="00CC2C66" w:rsidRDefault="00F80B74">
      <w:pPr>
        <w:spacing w:line="254" w:lineRule="auto"/>
        <w:ind w:left="420" w:right="20" w:firstLine="521"/>
        <w:jc w:val="both"/>
        <w:rPr>
          <w:sz w:val="20"/>
          <w:szCs w:val="20"/>
        </w:rPr>
      </w:pPr>
      <w:r>
        <w:rPr>
          <w:rFonts w:eastAsia="Times New Roman"/>
          <w:sz w:val="19"/>
          <w:szCs w:val="19"/>
        </w:rPr>
        <w:t xml:space="preserve">1.2 </w:t>
      </w:r>
      <w:r>
        <w:rPr>
          <w:rFonts w:eastAsia="Times New Roman"/>
          <w:b/>
          <w:bCs/>
          <w:sz w:val="19"/>
          <w:szCs w:val="19"/>
        </w:rPr>
        <w:t>Particip</w:t>
      </w:r>
      <w:r>
        <w:rPr>
          <w:rFonts w:eastAsia="Times New Roman"/>
          <w:b/>
          <w:bCs/>
          <w:sz w:val="19"/>
          <w:szCs w:val="19"/>
        </w:rPr>
        <w:t>ation</w:t>
      </w:r>
      <w:r>
        <w:rPr>
          <w:rFonts w:eastAsia="Times New Roman"/>
          <w:sz w:val="19"/>
          <w:szCs w:val="19"/>
        </w:rPr>
        <w:t>. Subject to the terms and conditions of the Plan, the Committee shall determine and designate, from time to time, from among the Eligible Individuals on the basis of their contributions to the development and growth of the Group, as determined by the</w:t>
      </w:r>
      <w:r>
        <w:rPr>
          <w:rFonts w:eastAsia="Times New Roman"/>
          <w:sz w:val="19"/>
          <w:szCs w:val="19"/>
        </w:rPr>
        <w:t xml:space="preserve"> Company, those persons who will be granted one or more Awards under the Plan, and thereby become a “Participant” in the Plan.</w:t>
      </w:r>
    </w:p>
    <w:p w:rsidR="00CC2C66" w:rsidRDefault="00CC2C66">
      <w:pPr>
        <w:spacing w:line="201" w:lineRule="exact"/>
        <w:rPr>
          <w:sz w:val="20"/>
          <w:szCs w:val="20"/>
        </w:rPr>
      </w:pPr>
    </w:p>
    <w:p w:rsidR="00CC2C66" w:rsidRDefault="00F80B74">
      <w:pPr>
        <w:spacing w:line="254" w:lineRule="auto"/>
        <w:ind w:left="420" w:firstLine="521"/>
        <w:jc w:val="both"/>
        <w:rPr>
          <w:sz w:val="20"/>
          <w:szCs w:val="20"/>
        </w:rPr>
      </w:pPr>
      <w:r>
        <w:rPr>
          <w:rFonts w:eastAsia="Times New Roman"/>
          <w:sz w:val="19"/>
          <w:szCs w:val="19"/>
        </w:rPr>
        <w:t xml:space="preserve">1.3 </w:t>
      </w:r>
      <w:r>
        <w:rPr>
          <w:rFonts w:eastAsia="Times New Roman"/>
          <w:b/>
          <w:bCs/>
          <w:sz w:val="19"/>
          <w:szCs w:val="19"/>
        </w:rPr>
        <w:t>Operation, Administration, and Definitions</w:t>
      </w:r>
      <w:r>
        <w:rPr>
          <w:rFonts w:eastAsia="Times New Roman"/>
          <w:sz w:val="19"/>
          <w:szCs w:val="19"/>
        </w:rPr>
        <w:t>. The operation and administration of the Plan shall be vested in the Committee, a</w:t>
      </w:r>
      <w:r>
        <w:rPr>
          <w:rFonts w:eastAsia="Times New Roman"/>
          <w:sz w:val="19"/>
          <w:szCs w:val="19"/>
        </w:rPr>
        <w:t>s described in Section 7. Capitalized terms in the Plan shall be defined as set forth in the Plan (including the definition provisions of Section 9 hereof).</w:t>
      </w:r>
    </w:p>
    <w:p w:rsidR="00CC2C66" w:rsidRDefault="00CC2C66">
      <w:pPr>
        <w:spacing w:line="265" w:lineRule="exact"/>
        <w:rPr>
          <w:sz w:val="20"/>
          <w:szCs w:val="20"/>
        </w:rPr>
      </w:pPr>
    </w:p>
    <w:p w:rsidR="00CC2C66" w:rsidRDefault="00F80B74">
      <w:pPr>
        <w:ind w:right="-419"/>
        <w:jc w:val="center"/>
        <w:rPr>
          <w:sz w:val="20"/>
          <w:szCs w:val="20"/>
        </w:rPr>
      </w:pPr>
      <w:r>
        <w:rPr>
          <w:rFonts w:eastAsia="Times New Roman"/>
          <w:b/>
          <w:bCs/>
          <w:sz w:val="19"/>
          <w:szCs w:val="19"/>
        </w:rPr>
        <w:t>SECTION 2.</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Options and SARS</w:t>
      </w:r>
    </w:p>
    <w:p w:rsidR="00CC2C66" w:rsidRDefault="00CC2C66">
      <w:pPr>
        <w:spacing w:line="217" w:lineRule="exact"/>
        <w:rPr>
          <w:sz w:val="20"/>
          <w:szCs w:val="20"/>
        </w:rPr>
      </w:pPr>
    </w:p>
    <w:p w:rsidR="00CC2C66" w:rsidRDefault="00F80B74">
      <w:pPr>
        <w:ind w:left="940"/>
        <w:rPr>
          <w:sz w:val="20"/>
          <w:szCs w:val="20"/>
        </w:rPr>
      </w:pPr>
      <w:r>
        <w:rPr>
          <w:rFonts w:eastAsia="Times New Roman"/>
          <w:sz w:val="19"/>
          <w:szCs w:val="19"/>
        </w:rPr>
        <w:t xml:space="preserve">2.1 </w:t>
      </w:r>
      <w:r>
        <w:rPr>
          <w:rFonts w:eastAsia="Times New Roman"/>
          <w:b/>
          <w:bCs/>
          <w:sz w:val="19"/>
          <w:szCs w:val="19"/>
        </w:rPr>
        <w:t>Definitions</w:t>
      </w:r>
      <w:r>
        <w:rPr>
          <w:rFonts w:eastAsia="Times New Roman"/>
          <w:sz w:val="19"/>
          <w:szCs w:val="19"/>
        </w:rPr>
        <w:t>.</w:t>
      </w:r>
    </w:p>
    <w:p w:rsidR="00CC2C66" w:rsidRDefault="00CC2C66">
      <w:pPr>
        <w:spacing w:line="284" w:lineRule="exact"/>
        <w:rPr>
          <w:sz w:val="20"/>
          <w:szCs w:val="20"/>
        </w:rPr>
      </w:pPr>
    </w:p>
    <w:p w:rsidR="00CC2C66" w:rsidRDefault="00F80B74">
      <w:pPr>
        <w:numPr>
          <w:ilvl w:val="0"/>
          <w:numId w:val="127"/>
        </w:numPr>
        <w:tabs>
          <w:tab w:val="left" w:pos="1440"/>
        </w:tabs>
        <w:spacing w:line="243" w:lineRule="auto"/>
        <w:ind w:left="1440" w:hanging="518"/>
        <w:jc w:val="both"/>
        <w:rPr>
          <w:rFonts w:eastAsia="Times New Roman"/>
          <w:sz w:val="19"/>
          <w:szCs w:val="19"/>
        </w:rPr>
      </w:pPr>
      <w:r>
        <w:rPr>
          <w:rFonts w:eastAsia="Times New Roman"/>
          <w:sz w:val="19"/>
          <w:szCs w:val="19"/>
        </w:rPr>
        <w:t xml:space="preserve">The grant of an “Option” entitles the Participant </w:t>
      </w:r>
      <w:r>
        <w:rPr>
          <w:rFonts w:eastAsia="Times New Roman"/>
          <w:sz w:val="19"/>
          <w:szCs w:val="19"/>
        </w:rPr>
        <w:t>to purchase shares of Stock at an Exercise Price and during a specified time established by the Committee. Any Option granted under this Section 2 may be either a non-qualified option (an “NQO”) or an incentive stock option (an “ISO”), as determined in the</w:t>
      </w:r>
      <w:r>
        <w:rPr>
          <w:rFonts w:eastAsia="Times New Roman"/>
          <w:sz w:val="19"/>
          <w:szCs w:val="19"/>
        </w:rPr>
        <w:t xml:space="preserve"> discretion of the Committee. An “NQO” is an Option that is not intended to be an “incentive stock option” as that term is described in Code Section 422(b). An “ISO” is an Option that satisfies the requirements applicable to an “incentive stock option” des</w:t>
      </w:r>
      <w:r>
        <w:rPr>
          <w:rFonts w:eastAsia="Times New Roman"/>
          <w:sz w:val="19"/>
          <w:szCs w:val="19"/>
        </w:rPr>
        <w:t>cribed in Code Section 422(b) and which is designated at the time of grant as an “incentive stock option.” An Option will be deemed to be a NQO unless it is specifically designated by the Committee as an ISO and/or to the extent that it does not meet the r</w:t>
      </w:r>
      <w:r>
        <w:rPr>
          <w:rFonts w:eastAsia="Times New Roman"/>
          <w:sz w:val="19"/>
          <w:szCs w:val="19"/>
        </w:rPr>
        <w:t>equirements of an ISO.</w:t>
      </w:r>
    </w:p>
    <w:p w:rsidR="00CC2C66" w:rsidRDefault="00CC2C66">
      <w:pPr>
        <w:spacing w:line="253" w:lineRule="exact"/>
        <w:rPr>
          <w:rFonts w:eastAsia="Times New Roman"/>
          <w:sz w:val="19"/>
          <w:szCs w:val="19"/>
        </w:rPr>
      </w:pPr>
    </w:p>
    <w:p w:rsidR="00CC2C66" w:rsidRDefault="00F80B74">
      <w:pPr>
        <w:numPr>
          <w:ilvl w:val="0"/>
          <w:numId w:val="127"/>
        </w:numPr>
        <w:tabs>
          <w:tab w:val="left" w:pos="1440"/>
        </w:tabs>
        <w:spacing w:line="247" w:lineRule="auto"/>
        <w:ind w:left="1440" w:hanging="518"/>
        <w:jc w:val="both"/>
        <w:rPr>
          <w:rFonts w:eastAsia="Times New Roman"/>
          <w:sz w:val="19"/>
          <w:szCs w:val="19"/>
        </w:rPr>
      </w:pPr>
      <w:r>
        <w:rPr>
          <w:rFonts w:eastAsia="Times New Roman"/>
          <w:sz w:val="19"/>
          <w:szCs w:val="19"/>
        </w:rPr>
        <w:t>The grant of a stock appreciation right (an “SAR”) entitles the Participant to receive, in cash or Stock (as determined in accordance with the terms of the Plan and specified in the applicable Award Agreement), value equal to (or ot</w:t>
      </w:r>
      <w:r>
        <w:rPr>
          <w:rFonts w:eastAsia="Times New Roman"/>
          <w:sz w:val="19"/>
          <w:szCs w:val="19"/>
        </w:rPr>
        <w:t>herwise based on) the excess of: (i) the Fair Market Value of a specified number of shares of Stock at the time of exercise; over (ii) an Exercise Price established by the Committee.</w:t>
      </w:r>
    </w:p>
    <w:p w:rsidR="00CC2C66" w:rsidRDefault="00CC2C66">
      <w:pPr>
        <w:spacing w:line="123" w:lineRule="exact"/>
        <w:rPr>
          <w:sz w:val="20"/>
          <w:szCs w:val="20"/>
        </w:rPr>
      </w:pPr>
    </w:p>
    <w:p w:rsidR="00CC2C66" w:rsidRDefault="00F80B74">
      <w:pPr>
        <w:numPr>
          <w:ilvl w:val="0"/>
          <w:numId w:val="128"/>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76000"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1" w:name="page81"/>
      <w:bookmarkEnd w:id="81"/>
      <w:r>
        <w:rPr>
          <w:rFonts w:eastAsia="Times New Roman"/>
          <w:b/>
          <w:bCs/>
          <w:noProof/>
          <w:color w:val="0000EE"/>
          <w:sz w:val="17"/>
          <w:szCs w:val="17"/>
          <w:u w:val="single"/>
        </w:rPr>
        <w:drawing>
          <wp:anchor distT="0" distB="0" distL="114300" distR="114300" simplePos="0" relativeHeight="25177702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78048"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87" w:lineRule="exact"/>
        <w:rPr>
          <w:sz w:val="20"/>
          <w:szCs w:val="20"/>
        </w:rPr>
      </w:pPr>
    </w:p>
    <w:p w:rsidR="00CC2C66" w:rsidRDefault="00F80B74">
      <w:pPr>
        <w:spacing w:line="246" w:lineRule="auto"/>
        <w:ind w:left="420" w:firstLine="521"/>
        <w:jc w:val="both"/>
        <w:rPr>
          <w:sz w:val="20"/>
          <w:szCs w:val="20"/>
        </w:rPr>
      </w:pPr>
      <w:r>
        <w:rPr>
          <w:rFonts w:eastAsia="Times New Roman"/>
          <w:sz w:val="19"/>
          <w:szCs w:val="19"/>
        </w:rPr>
        <w:t xml:space="preserve">2.2 </w:t>
      </w:r>
      <w:r>
        <w:rPr>
          <w:rFonts w:eastAsia="Times New Roman"/>
          <w:b/>
          <w:bCs/>
          <w:sz w:val="19"/>
          <w:szCs w:val="19"/>
        </w:rPr>
        <w:t>Eligibility</w:t>
      </w:r>
      <w:r>
        <w:rPr>
          <w:rFonts w:eastAsia="Times New Roman"/>
          <w:sz w:val="19"/>
          <w:szCs w:val="19"/>
        </w:rPr>
        <w:t>. The Committee shall designate the Participants to whom Options or SARs are to be granted under this Section 2 and shall determine the number of shares of Stock subject to</w:t>
      </w:r>
      <w:r>
        <w:rPr>
          <w:rFonts w:eastAsia="Times New Roman"/>
          <w:sz w:val="19"/>
          <w:szCs w:val="19"/>
        </w:rPr>
        <w:t xml:space="preserve"> each such Option or SAR and the other terms and conditions thereof, not inconsistent with the Plan. Without limiting the generality of the foregoing, the Committee may not grant dividends or dividend equivalents (current or deferred) with respect to any O</w:t>
      </w:r>
      <w:r>
        <w:rPr>
          <w:rFonts w:eastAsia="Times New Roman"/>
          <w:sz w:val="19"/>
          <w:szCs w:val="19"/>
        </w:rPr>
        <w:t>ption or SAR granted under the Plan. ISOs may only be granted to employees of the Company or a Subsidiary.</w:t>
      </w:r>
    </w:p>
    <w:p w:rsidR="00CC2C66" w:rsidRDefault="00CC2C66">
      <w:pPr>
        <w:spacing w:line="209" w:lineRule="exact"/>
        <w:rPr>
          <w:sz w:val="20"/>
          <w:szCs w:val="20"/>
        </w:rPr>
      </w:pPr>
    </w:p>
    <w:p w:rsidR="00CC2C66" w:rsidRDefault="00F80B74">
      <w:pPr>
        <w:spacing w:line="246" w:lineRule="auto"/>
        <w:ind w:left="420" w:right="20" w:firstLine="521"/>
        <w:jc w:val="both"/>
        <w:rPr>
          <w:sz w:val="20"/>
          <w:szCs w:val="20"/>
        </w:rPr>
      </w:pPr>
      <w:r>
        <w:rPr>
          <w:rFonts w:eastAsia="Times New Roman"/>
          <w:sz w:val="19"/>
          <w:szCs w:val="19"/>
        </w:rPr>
        <w:t xml:space="preserve">2.3 </w:t>
      </w:r>
      <w:r>
        <w:rPr>
          <w:rFonts w:eastAsia="Times New Roman"/>
          <w:b/>
          <w:bCs/>
          <w:sz w:val="19"/>
          <w:szCs w:val="19"/>
        </w:rPr>
        <w:t>Limits on ISOs</w:t>
      </w:r>
      <w:r>
        <w:rPr>
          <w:rFonts w:eastAsia="Times New Roman"/>
          <w:sz w:val="19"/>
          <w:szCs w:val="19"/>
        </w:rPr>
        <w:t xml:space="preserve">. If the Committee grants ISOs, then to the extent that the aggregate fair market value of shares of Stock with respect to which </w:t>
      </w:r>
      <w:r>
        <w:rPr>
          <w:rFonts w:eastAsia="Times New Roman"/>
          <w:sz w:val="19"/>
          <w:szCs w:val="19"/>
        </w:rPr>
        <w:t>ISOs are exercisable for the first time by any individual during any calendar year (under all plans of the Company, any parent and all Subsidiaries) exceeds the amount (currently $100,000) established by the Code, such Options shall be treated as NQOs to t</w:t>
      </w:r>
      <w:r>
        <w:rPr>
          <w:rFonts w:eastAsia="Times New Roman"/>
          <w:sz w:val="19"/>
          <w:szCs w:val="19"/>
        </w:rPr>
        <w:t>he extent required by Code Section 422. Any Option that is intended to constitute an ISO shall satisfy any other requirements of Code Section 422 and, to the extent such Option does not satisfy such requirements, the Option shall be treated as an NQO.</w:t>
      </w:r>
    </w:p>
    <w:p w:rsidR="00CC2C66" w:rsidRDefault="00CC2C66">
      <w:pPr>
        <w:spacing w:line="209" w:lineRule="exact"/>
        <w:rPr>
          <w:sz w:val="20"/>
          <w:szCs w:val="20"/>
        </w:rPr>
      </w:pPr>
    </w:p>
    <w:p w:rsidR="00CC2C66" w:rsidRDefault="00F80B74">
      <w:pPr>
        <w:spacing w:line="242" w:lineRule="auto"/>
        <w:ind w:left="420" w:firstLine="521"/>
        <w:jc w:val="both"/>
        <w:rPr>
          <w:sz w:val="20"/>
          <w:szCs w:val="20"/>
        </w:rPr>
      </w:pPr>
      <w:r>
        <w:rPr>
          <w:rFonts w:eastAsia="Times New Roman"/>
          <w:sz w:val="19"/>
          <w:szCs w:val="19"/>
        </w:rPr>
        <w:t>2.4</w:t>
      </w:r>
      <w:r>
        <w:rPr>
          <w:rFonts w:eastAsia="Times New Roman"/>
          <w:sz w:val="19"/>
          <w:szCs w:val="19"/>
        </w:rPr>
        <w:t xml:space="preserve"> </w:t>
      </w:r>
      <w:r>
        <w:rPr>
          <w:rFonts w:eastAsia="Times New Roman"/>
          <w:b/>
          <w:bCs/>
          <w:sz w:val="19"/>
          <w:szCs w:val="19"/>
        </w:rPr>
        <w:t>Exercise Price</w:t>
      </w:r>
      <w:r>
        <w:rPr>
          <w:rFonts w:eastAsia="Times New Roman"/>
          <w:sz w:val="19"/>
          <w:szCs w:val="19"/>
        </w:rPr>
        <w:t>. The “Exercise Price” of each Option or SAR granted under this Section 2 shall be established by the Committee or shall be determined by a method established by the Committee at the time the Option or SAR is granted; provided, however, that</w:t>
      </w:r>
      <w:r>
        <w:rPr>
          <w:rFonts w:eastAsia="Times New Roman"/>
          <w:sz w:val="19"/>
          <w:szCs w:val="19"/>
        </w:rPr>
        <w:t xml:space="preserve"> the Exercise Price shall not be less than the higher of (i) the Fair Market Value of a share of Stock on the date of grant (which must be a NYSE trading day) and (ii) the average Fair Market Value of a Share of common stock for the five NYSE trading days </w:t>
      </w:r>
      <w:r>
        <w:rPr>
          <w:rFonts w:eastAsia="Times New Roman"/>
          <w:sz w:val="19"/>
          <w:szCs w:val="19"/>
        </w:rPr>
        <w:t>immediately preceding the date of grant (or, if greater, the par value of a share of Stock on such date(s)). Notwithstanding the foregoing and subject to approval, waiver, confirmation or otherwise as applicable from the HKEx, Options and SARs granted unde</w:t>
      </w:r>
      <w:r>
        <w:rPr>
          <w:rFonts w:eastAsia="Times New Roman"/>
          <w:sz w:val="19"/>
          <w:szCs w:val="19"/>
        </w:rPr>
        <w:t>r the Plan in replacement for awards under plans and arrangements of the Company or a Subsidiary that are assumed in business combinations or similar corporate transactions may provide for Exercise Prices that are less than the Fair Market Value of the Sto</w:t>
      </w:r>
      <w:r>
        <w:rPr>
          <w:rFonts w:eastAsia="Times New Roman"/>
          <w:sz w:val="19"/>
          <w:szCs w:val="19"/>
        </w:rPr>
        <w:t>ck at the time of the replacement grants, if the Committee determines that such Exercise Price is appropriate to preserve the economic benefit of the award.</w:t>
      </w:r>
    </w:p>
    <w:p w:rsidR="00CC2C66" w:rsidRDefault="00CC2C66">
      <w:pPr>
        <w:spacing w:line="202" w:lineRule="exact"/>
        <w:rPr>
          <w:sz w:val="20"/>
          <w:szCs w:val="20"/>
        </w:rPr>
      </w:pPr>
    </w:p>
    <w:p w:rsidR="00CC2C66" w:rsidRDefault="00F80B74">
      <w:pPr>
        <w:spacing w:line="269" w:lineRule="auto"/>
        <w:ind w:left="420" w:right="20" w:firstLine="521"/>
        <w:jc w:val="both"/>
        <w:rPr>
          <w:sz w:val="20"/>
          <w:szCs w:val="20"/>
        </w:rPr>
      </w:pPr>
      <w:r>
        <w:rPr>
          <w:rFonts w:eastAsia="Times New Roman"/>
          <w:sz w:val="19"/>
          <w:szCs w:val="19"/>
        </w:rPr>
        <w:t xml:space="preserve">2.5 </w:t>
      </w:r>
      <w:r>
        <w:rPr>
          <w:rFonts w:eastAsia="Times New Roman"/>
          <w:b/>
          <w:bCs/>
          <w:sz w:val="19"/>
          <w:szCs w:val="19"/>
        </w:rPr>
        <w:t>Exercise/Vesting</w:t>
      </w:r>
      <w:r>
        <w:rPr>
          <w:rFonts w:eastAsia="Times New Roman"/>
          <w:sz w:val="19"/>
          <w:szCs w:val="19"/>
        </w:rPr>
        <w:t>. Except as otherwise expressly provided in the Plan, an Option or SAR granted</w:t>
      </w:r>
      <w:r>
        <w:rPr>
          <w:rFonts w:eastAsia="Times New Roman"/>
          <w:sz w:val="19"/>
          <w:szCs w:val="19"/>
        </w:rPr>
        <w:t xml:space="preserve"> under the Plan shall be exercisable in accordance with the following:</w:t>
      </w:r>
    </w:p>
    <w:p w:rsidR="00CC2C66" w:rsidRDefault="00CC2C66">
      <w:pPr>
        <w:spacing w:line="230" w:lineRule="exact"/>
        <w:rPr>
          <w:sz w:val="20"/>
          <w:szCs w:val="20"/>
        </w:rPr>
      </w:pPr>
    </w:p>
    <w:p w:rsidR="00CC2C66" w:rsidRDefault="00F80B74">
      <w:pPr>
        <w:numPr>
          <w:ilvl w:val="0"/>
          <w:numId w:val="129"/>
        </w:numPr>
        <w:tabs>
          <w:tab w:val="left" w:pos="1440"/>
        </w:tabs>
        <w:spacing w:line="247" w:lineRule="auto"/>
        <w:ind w:left="1440" w:right="20" w:hanging="518"/>
        <w:jc w:val="both"/>
        <w:rPr>
          <w:rFonts w:eastAsia="Times New Roman"/>
          <w:sz w:val="19"/>
          <w:szCs w:val="19"/>
        </w:rPr>
      </w:pPr>
      <w:r>
        <w:rPr>
          <w:rFonts w:eastAsia="Times New Roman"/>
          <w:sz w:val="19"/>
          <w:szCs w:val="19"/>
        </w:rPr>
        <w:t>The terms and conditions relating to exercise and vesting of an Option or SAR shall be established by the Committee to the extent not inconsistent with the Plan and may include, withou</w:t>
      </w:r>
      <w:r>
        <w:rPr>
          <w:rFonts w:eastAsia="Times New Roman"/>
          <w:sz w:val="19"/>
          <w:szCs w:val="19"/>
        </w:rPr>
        <w:t>t limitation, conditions relating to completion of a specified period of service, achievement of performance standards as assessed in accordance with the Performance Measures prior to exercise or the achievement of stock ownership guidelines by the Partici</w:t>
      </w:r>
      <w:r>
        <w:rPr>
          <w:rFonts w:eastAsia="Times New Roman"/>
          <w:sz w:val="19"/>
          <w:szCs w:val="19"/>
        </w:rPr>
        <w:t>pant.</w:t>
      </w:r>
    </w:p>
    <w:p w:rsidR="00CC2C66" w:rsidRDefault="00CC2C66">
      <w:pPr>
        <w:spacing w:line="250" w:lineRule="exact"/>
        <w:rPr>
          <w:rFonts w:eastAsia="Times New Roman"/>
          <w:sz w:val="19"/>
          <w:szCs w:val="19"/>
        </w:rPr>
      </w:pPr>
    </w:p>
    <w:p w:rsidR="00CC2C66" w:rsidRDefault="00F80B74">
      <w:pPr>
        <w:numPr>
          <w:ilvl w:val="0"/>
          <w:numId w:val="129"/>
        </w:numPr>
        <w:tabs>
          <w:tab w:val="left" w:pos="1440"/>
        </w:tabs>
        <w:spacing w:line="247" w:lineRule="auto"/>
        <w:ind w:left="1440" w:hanging="518"/>
        <w:jc w:val="both"/>
        <w:rPr>
          <w:rFonts w:eastAsia="Times New Roman"/>
          <w:sz w:val="19"/>
          <w:szCs w:val="19"/>
        </w:rPr>
      </w:pPr>
      <w:r>
        <w:rPr>
          <w:rFonts w:eastAsia="Times New Roman"/>
          <w:sz w:val="19"/>
          <w:szCs w:val="19"/>
        </w:rPr>
        <w:t>No Option or SAR may be exercised by a Participant prior to the date on which it is exercisable (or vested) or after the ten-year anniversary of the date on which the Option or SAR was granted (or such shorter period as determined by the Committee a</w:t>
      </w:r>
      <w:r>
        <w:rPr>
          <w:rFonts w:eastAsia="Times New Roman"/>
          <w:sz w:val="19"/>
          <w:szCs w:val="19"/>
        </w:rPr>
        <w:t>t the time of grant or as required by law or the rules of any stock exchange on which the Stock is listed or the Code).</w:t>
      </w:r>
    </w:p>
    <w:p w:rsidR="00CC2C66" w:rsidRDefault="00CC2C66">
      <w:pPr>
        <w:spacing w:line="208" w:lineRule="exact"/>
        <w:rPr>
          <w:sz w:val="20"/>
          <w:szCs w:val="20"/>
        </w:rPr>
      </w:pPr>
    </w:p>
    <w:p w:rsidR="00CC2C66" w:rsidRDefault="00F80B74">
      <w:pPr>
        <w:spacing w:line="269" w:lineRule="auto"/>
        <w:ind w:left="420" w:right="20" w:firstLine="521"/>
        <w:rPr>
          <w:sz w:val="20"/>
          <w:szCs w:val="20"/>
        </w:rPr>
      </w:pPr>
      <w:r>
        <w:rPr>
          <w:rFonts w:eastAsia="Times New Roman"/>
          <w:sz w:val="19"/>
          <w:szCs w:val="19"/>
        </w:rPr>
        <w:t xml:space="preserve">2.6 </w:t>
      </w:r>
      <w:r>
        <w:rPr>
          <w:rFonts w:eastAsia="Times New Roman"/>
          <w:b/>
          <w:bCs/>
          <w:sz w:val="19"/>
          <w:szCs w:val="19"/>
        </w:rPr>
        <w:t>Payment of Option Exercise Price</w:t>
      </w:r>
      <w:r>
        <w:rPr>
          <w:rFonts w:eastAsia="Times New Roman"/>
          <w:sz w:val="19"/>
          <w:szCs w:val="19"/>
        </w:rPr>
        <w:t>. The payment of the Exercise Price of an Option granted under this Section 2 shall be subject to t</w:t>
      </w:r>
      <w:r>
        <w:rPr>
          <w:rFonts w:eastAsia="Times New Roman"/>
          <w:sz w:val="19"/>
          <w:szCs w:val="19"/>
        </w:rPr>
        <w:t>he following:</w:t>
      </w:r>
    </w:p>
    <w:p w:rsidR="00CC2C66" w:rsidRDefault="00CC2C66">
      <w:pPr>
        <w:spacing w:line="230" w:lineRule="exact"/>
        <w:rPr>
          <w:sz w:val="20"/>
          <w:szCs w:val="20"/>
        </w:rPr>
      </w:pPr>
    </w:p>
    <w:p w:rsidR="00CC2C66" w:rsidRDefault="00F80B74">
      <w:pPr>
        <w:numPr>
          <w:ilvl w:val="0"/>
          <w:numId w:val="130"/>
        </w:numPr>
        <w:tabs>
          <w:tab w:val="left" w:pos="1440"/>
        </w:tabs>
        <w:spacing w:line="247" w:lineRule="auto"/>
        <w:ind w:left="1440" w:hanging="518"/>
        <w:jc w:val="both"/>
        <w:rPr>
          <w:rFonts w:eastAsia="Times New Roman"/>
          <w:sz w:val="19"/>
          <w:szCs w:val="19"/>
        </w:rPr>
      </w:pPr>
      <w:r>
        <w:rPr>
          <w:rFonts w:eastAsia="Times New Roman"/>
          <w:sz w:val="19"/>
          <w:szCs w:val="19"/>
        </w:rPr>
        <w:t>Subject to the following provisions of this subsection 2.6, the full Exercise Price for shares of Stock purchased upon the exercise of any Option shall be paid at the time of such exercise (except that, in the case of an exercise arrangement</w:t>
      </w:r>
      <w:r>
        <w:rPr>
          <w:rFonts w:eastAsia="Times New Roman"/>
          <w:sz w:val="19"/>
          <w:szCs w:val="19"/>
        </w:rPr>
        <w:t xml:space="preserve"> approved by the Committee and described in paragraph 2.6(c), payment may be made as soon as practicable after the exercise).</w:t>
      </w:r>
    </w:p>
    <w:p w:rsidR="00CC2C66" w:rsidRDefault="00CC2C66">
      <w:pPr>
        <w:spacing w:line="250" w:lineRule="exact"/>
        <w:rPr>
          <w:rFonts w:eastAsia="Times New Roman"/>
          <w:sz w:val="19"/>
          <w:szCs w:val="19"/>
        </w:rPr>
      </w:pPr>
    </w:p>
    <w:p w:rsidR="00CC2C66" w:rsidRDefault="00F80B74">
      <w:pPr>
        <w:numPr>
          <w:ilvl w:val="0"/>
          <w:numId w:val="130"/>
        </w:numPr>
        <w:tabs>
          <w:tab w:val="left" w:pos="1440"/>
        </w:tabs>
        <w:spacing w:line="265" w:lineRule="auto"/>
        <w:ind w:left="1440" w:right="20" w:hanging="518"/>
        <w:rPr>
          <w:rFonts w:eastAsia="Times New Roman"/>
          <w:sz w:val="19"/>
          <w:szCs w:val="19"/>
        </w:rPr>
      </w:pPr>
      <w:r>
        <w:rPr>
          <w:rFonts w:eastAsia="Times New Roman"/>
          <w:sz w:val="19"/>
          <w:szCs w:val="19"/>
        </w:rPr>
        <w:t xml:space="preserve">The Exercise Price shall be payable in cash or by way of a net exercise through authorizing the Company to withhold whole shares </w:t>
      </w:r>
      <w:r>
        <w:rPr>
          <w:rFonts w:eastAsia="Times New Roman"/>
          <w:sz w:val="19"/>
          <w:szCs w:val="19"/>
        </w:rPr>
        <w:t>of Stock which would otherwise be delivered having an aggregate Fair Market</w:t>
      </w:r>
    </w:p>
    <w:p w:rsidR="00CC2C66" w:rsidRDefault="00CC2C66">
      <w:pPr>
        <w:spacing w:line="104"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75</w:t>
      </w:r>
    </w:p>
    <w:p w:rsidR="00CC2C66" w:rsidRDefault="00F80B74">
      <w:pPr>
        <w:spacing w:line="20" w:lineRule="exact"/>
        <w:rPr>
          <w:sz w:val="20"/>
          <w:szCs w:val="20"/>
        </w:rPr>
      </w:pPr>
      <w:r>
        <w:rPr>
          <w:noProof/>
          <w:sz w:val="20"/>
          <w:szCs w:val="20"/>
        </w:rPr>
        <w:drawing>
          <wp:anchor distT="0" distB="0" distL="114300" distR="114300" simplePos="0" relativeHeight="251779072"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2" w:name="page82"/>
      <w:bookmarkEnd w:id="82"/>
      <w:r>
        <w:rPr>
          <w:rFonts w:eastAsia="Times New Roman"/>
          <w:b/>
          <w:bCs/>
          <w:noProof/>
          <w:color w:val="0000EE"/>
          <w:sz w:val="17"/>
          <w:szCs w:val="17"/>
          <w:u w:val="single"/>
        </w:rPr>
        <w:drawing>
          <wp:anchor distT="0" distB="0" distL="114300" distR="114300" simplePos="0" relativeHeight="25178009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81120" behindDoc="1" locked="0" layoutInCell="0" allowOverlap="1">
            <wp:simplePos x="0" y="0"/>
            <wp:positionH relativeFrom="column">
              <wp:posOffset>260985</wp:posOffset>
            </wp:positionH>
            <wp:positionV relativeFrom="paragraph">
              <wp:posOffset>196850</wp:posOffset>
            </wp:positionV>
            <wp:extent cx="3853815" cy="19494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8">
                      <a:extLst/>
                    </a:blip>
                    <a:srcRect/>
                    <a:stretch>
                      <a:fillRect/>
                    </a:stretch>
                  </pic:blipFill>
                  <pic:spPr bwMode="auto">
                    <a:xfrm>
                      <a:off x="0" y="0"/>
                      <a:ext cx="38538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65" w:lineRule="auto"/>
        <w:ind w:left="1440"/>
        <w:rPr>
          <w:sz w:val="20"/>
          <w:szCs w:val="20"/>
        </w:rPr>
      </w:pPr>
      <w:r>
        <w:rPr>
          <w:rFonts w:eastAsia="Times New Roman"/>
          <w:sz w:val="19"/>
          <w:szCs w:val="19"/>
        </w:rPr>
        <w:t>Value, determined as of the date of</w:t>
      </w:r>
      <w:r>
        <w:rPr>
          <w:rFonts w:eastAsia="Times New Roman"/>
          <w:sz w:val="19"/>
          <w:szCs w:val="19"/>
        </w:rPr>
        <w:t xml:space="preserve"> exercise, equal to the amount necessary to satisfy such obligation, or in any combination thereof, as determined by the Committee.</w:t>
      </w:r>
    </w:p>
    <w:p w:rsidR="00CC2C66" w:rsidRDefault="00CC2C66">
      <w:pPr>
        <w:spacing w:line="233" w:lineRule="exact"/>
        <w:rPr>
          <w:sz w:val="20"/>
          <w:szCs w:val="20"/>
        </w:rPr>
      </w:pPr>
    </w:p>
    <w:p w:rsidR="00CC2C66" w:rsidRDefault="00F80B74">
      <w:pPr>
        <w:numPr>
          <w:ilvl w:val="0"/>
          <w:numId w:val="131"/>
        </w:numPr>
        <w:tabs>
          <w:tab w:val="left" w:pos="1440"/>
        </w:tabs>
        <w:spacing w:line="247" w:lineRule="auto"/>
        <w:ind w:left="1440" w:hanging="518"/>
        <w:jc w:val="both"/>
        <w:rPr>
          <w:rFonts w:eastAsia="Times New Roman"/>
          <w:sz w:val="19"/>
          <w:szCs w:val="19"/>
        </w:rPr>
      </w:pPr>
      <w:r>
        <w:rPr>
          <w:rFonts w:eastAsia="Times New Roman"/>
          <w:sz w:val="19"/>
          <w:szCs w:val="19"/>
        </w:rPr>
        <w:t xml:space="preserve">The Committee may permit a Participant to elect to pay the Exercise Price upon the exercise of an Option by irrevocably </w:t>
      </w:r>
      <w:r>
        <w:rPr>
          <w:rFonts w:eastAsia="Times New Roman"/>
          <w:sz w:val="19"/>
          <w:szCs w:val="19"/>
        </w:rPr>
        <w:t>authorizing a third party to sell shares of Stock (or a sufficient portion of the shares) acquired upon exercise of the Option and remit to the Company a sufficient portion of the sale proceeds to pay the entire Exercise Price and any tax withholding resul</w:t>
      </w:r>
      <w:r>
        <w:rPr>
          <w:rFonts w:eastAsia="Times New Roman"/>
          <w:sz w:val="19"/>
          <w:szCs w:val="19"/>
        </w:rPr>
        <w:t>ting from such exercise.</w:t>
      </w:r>
    </w:p>
    <w:p w:rsidR="00CC2C66" w:rsidRDefault="00CC2C66">
      <w:pPr>
        <w:spacing w:line="208" w:lineRule="exact"/>
        <w:rPr>
          <w:sz w:val="20"/>
          <w:szCs w:val="20"/>
        </w:rPr>
      </w:pPr>
    </w:p>
    <w:p w:rsidR="00CC2C66" w:rsidRDefault="00F80B74">
      <w:pPr>
        <w:spacing w:line="249" w:lineRule="auto"/>
        <w:ind w:left="420" w:firstLine="521"/>
        <w:jc w:val="both"/>
        <w:rPr>
          <w:sz w:val="20"/>
          <w:szCs w:val="20"/>
        </w:rPr>
      </w:pPr>
      <w:r>
        <w:rPr>
          <w:rFonts w:eastAsia="Times New Roman"/>
          <w:sz w:val="19"/>
          <w:szCs w:val="19"/>
        </w:rPr>
        <w:t xml:space="preserve">2.7 </w:t>
      </w:r>
      <w:r>
        <w:rPr>
          <w:rFonts w:eastAsia="Times New Roman"/>
          <w:b/>
          <w:bCs/>
          <w:sz w:val="19"/>
          <w:szCs w:val="19"/>
        </w:rPr>
        <w:t>Post-Exercise Limitations</w:t>
      </w:r>
      <w:r>
        <w:rPr>
          <w:rFonts w:eastAsia="Times New Roman"/>
          <w:sz w:val="19"/>
          <w:szCs w:val="19"/>
        </w:rPr>
        <w:t>. The Committee, in its discretion, may impose such restrictions on shares of Stock acquired pursuant to the exercise of an Option or SAR as it determines to be desirable, including, without limitation</w:t>
      </w:r>
      <w:r>
        <w:rPr>
          <w:rFonts w:eastAsia="Times New Roman"/>
          <w:sz w:val="19"/>
          <w:szCs w:val="19"/>
        </w:rPr>
        <w:t>, restrictions relating to disposition of the shares and forfeiture restrictions based on service, performance, Stock ownership by the Participant, conformity with the Company’s recoupment or clawback policies and such other factors as the Committee determ</w:t>
      </w:r>
      <w:r>
        <w:rPr>
          <w:rFonts w:eastAsia="Times New Roman"/>
          <w:sz w:val="19"/>
          <w:szCs w:val="19"/>
        </w:rPr>
        <w:t>ines to be appropriate.</w:t>
      </w:r>
    </w:p>
    <w:p w:rsidR="00CC2C66" w:rsidRDefault="00CC2C66">
      <w:pPr>
        <w:spacing w:line="205" w:lineRule="exact"/>
        <w:rPr>
          <w:sz w:val="20"/>
          <w:szCs w:val="20"/>
        </w:rPr>
      </w:pPr>
    </w:p>
    <w:p w:rsidR="00CC2C66" w:rsidRDefault="00F80B74">
      <w:pPr>
        <w:spacing w:line="243" w:lineRule="auto"/>
        <w:ind w:left="420" w:firstLine="521"/>
        <w:jc w:val="both"/>
        <w:rPr>
          <w:sz w:val="20"/>
          <w:szCs w:val="20"/>
        </w:rPr>
      </w:pPr>
      <w:r>
        <w:rPr>
          <w:rFonts w:eastAsia="Times New Roman"/>
          <w:sz w:val="19"/>
          <w:szCs w:val="19"/>
        </w:rPr>
        <w:t xml:space="preserve">2.8 </w:t>
      </w:r>
      <w:r>
        <w:rPr>
          <w:rFonts w:eastAsia="Times New Roman"/>
          <w:b/>
          <w:bCs/>
          <w:sz w:val="19"/>
          <w:szCs w:val="19"/>
        </w:rPr>
        <w:t>Tandem Grants of Options and SARS</w:t>
      </w:r>
      <w:r>
        <w:rPr>
          <w:rFonts w:eastAsia="Times New Roman"/>
          <w:sz w:val="19"/>
          <w:szCs w:val="19"/>
        </w:rPr>
        <w:t>. An Option may but need not be in tandem with an SAR, and an SAR may but need not be in tandem with an Option (in either case, regardless of whether the original award was granted under this Pl</w:t>
      </w:r>
      <w:r>
        <w:rPr>
          <w:rFonts w:eastAsia="Times New Roman"/>
          <w:sz w:val="19"/>
          <w:szCs w:val="19"/>
        </w:rPr>
        <w:t xml:space="preserve">an or another plan or arrangement). If an Option is in tandem with an SAR, the Exercise Price of both the Option and SAR shall be the same, and the exercise of the corresponding tandem SAR or Option shall cancel the corresponding tandem SAR or Option with </w:t>
      </w:r>
      <w:r>
        <w:rPr>
          <w:rFonts w:eastAsia="Times New Roman"/>
          <w:sz w:val="19"/>
          <w:szCs w:val="19"/>
        </w:rPr>
        <w:t>respect to such share. If an SAR is in tandem with an Option but is granted after the grant of the Option, or if an Option is in tandem with an SAR but is granted after the grant of the SAR, the later granted tandem Award shall have the same Exercise Price</w:t>
      </w:r>
      <w:r>
        <w:rPr>
          <w:rFonts w:eastAsia="Times New Roman"/>
          <w:sz w:val="19"/>
          <w:szCs w:val="19"/>
        </w:rPr>
        <w:t xml:space="preserve"> as the earlier granted Award, but in any event subject to subsection 2.4.</w:t>
      </w:r>
    </w:p>
    <w:p w:rsidR="00CC2C66" w:rsidRDefault="00CC2C66">
      <w:pPr>
        <w:spacing w:line="202" w:lineRule="exact"/>
        <w:rPr>
          <w:sz w:val="20"/>
          <w:szCs w:val="20"/>
        </w:rPr>
      </w:pPr>
    </w:p>
    <w:p w:rsidR="00CC2C66" w:rsidRDefault="00F80B74">
      <w:pPr>
        <w:spacing w:line="243" w:lineRule="auto"/>
        <w:ind w:left="420" w:firstLine="521"/>
        <w:jc w:val="both"/>
        <w:rPr>
          <w:sz w:val="20"/>
          <w:szCs w:val="20"/>
        </w:rPr>
      </w:pPr>
      <w:r>
        <w:rPr>
          <w:rFonts w:eastAsia="Times New Roman"/>
          <w:sz w:val="19"/>
          <w:szCs w:val="19"/>
        </w:rPr>
        <w:t xml:space="preserve">2.9 </w:t>
      </w:r>
      <w:r>
        <w:rPr>
          <w:rFonts w:eastAsia="Times New Roman"/>
          <w:b/>
          <w:bCs/>
          <w:sz w:val="19"/>
          <w:szCs w:val="19"/>
        </w:rPr>
        <w:t>No Repricing</w:t>
      </w:r>
      <w:r>
        <w:rPr>
          <w:rFonts w:eastAsia="Times New Roman"/>
          <w:sz w:val="19"/>
          <w:szCs w:val="19"/>
        </w:rPr>
        <w:t>. Except for either adjustments pursuant to subsection 4.2 (relating to the adjustment of shares) or reductions of the Exercise Price approved by the Company’s shar</w:t>
      </w:r>
      <w:r>
        <w:rPr>
          <w:rFonts w:eastAsia="Times New Roman"/>
          <w:sz w:val="19"/>
          <w:szCs w:val="19"/>
        </w:rPr>
        <w:t xml:space="preserve">eholders, the Exercise Price for any outstanding Option or SAR may not be decreased after the date of grant nor may an outstanding Option or SAR granted under the Plan be surrendered to the Company as consideration for the grant of a replacement Option or </w:t>
      </w:r>
      <w:r>
        <w:rPr>
          <w:rFonts w:eastAsia="Times New Roman"/>
          <w:sz w:val="19"/>
          <w:szCs w:val="19"/>
        </w:rPr>
        <w:t>SAR with a lower Exercise Price or a Full Value Award. Except as approved by the Company’s shareholders, in no event shall any Option or SAR granted under the Plan be surrendered to the Company in consideration for a cash payment if, at the time of such su</w:t>
      </w:r>
      <w:r>
        <w:rPr>
          <w:rFonts w:eastAsia="Times New Roman"/>
          <w:sz w:val="19"/>
          <w:szCs w:val="19"/>
        </w:rPr>
        <w:t>rrender, the Exercise Price of the Option or SAR is greater than the then current Fair Market Value of a share of Stock. In the event of a repricing, the Exercise Price shall still be subject to any other requirements imposed or waivers granted under appli</w:t>
      </w:r>
      <w:r>
        <w:rPr>
          <w:rFonts w:eastAsia="Times New Roman"/>
          <w:sz w:val="19"/>
          <w:szCs w:val="19"/>
        </w:rPr>
        <w:t>cable laws or applicable rules of any stock exchange on which the Stock is listed.</w:t>
      </w:r>
    </w:p>
    <w:p w:rsidR="00CC2C66" w:rsidRDefault="00CC2C66">
      <w:pPr>
        <w:spacing w:line="275" w:lineRule="exact"/>
        <w:rPr>
          <w:sz w:val="20"/>
          <w:szCs w:val="20"/>
        </w:rPr>
      </w:pPr>
    </w:p>
    <w:p w:rsidR="00CC2C66" w:rsidRDefault="00F80B74">
      <w:pPr>
        <w:ind w:right="-419"/>
        <w:jc w:val="center"/>
        <w:rPr>
          <w:sz w:val="20"/>
          <w:szCs w:val="20"/>
        </w:rPr>
      </w:pPr>
      <w:r>
        <w:rPr>
          <w:rFonts w:eastAsia="Times New Roman"/>
          <w:b/>
          <w:bCs/>
          <w:sz w:val="19"/>
          <w:szCs w:val="19"/>
        </w:rPr>
        <w:t>SECTION 3.</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Full Value Awards and Cash Incentive Awards</w:t>
      </w:r>
    </w:p>
    <w:p w:rsidR="00CC2C66" w:rsidRDefault="00CC2C66">
      <w:pPr>
        <w:spacing w:line="217" w:lineRule="exact"/>
        <w:rPr>
          <w:sz w:val="20"/>
          <w:szCs w:val="20"/>
        </w:rPr>
      </w:pPr>
    </w:p>
    <w:p w:rsidR="00CC2C66" w:rsidRDefault="00F80B74">
      <w:pPr>
        <w:ind w:left="940"/>
        <w:rPr>
          <w:sz w:val="20"/>
          <w:szCs w:val="20"/>
        </w:rPr>
      </w:pPr>
      <w:r>
        <w:rPr>
          <w:rFonts w:eastAsia="Times New Roman"/>
          <w:sz w:val="19"/>
          <w:szCs w:val="19"/>
        </w:rPr>
        <w:t xml:space="preserve">3.1 </w:t>
      </w:r>
      <w:r>
        <w:rPr>
          <w:rFonts w:eastAsia="Times New Roman"/>
          <w:b/>
          <w:bCs/>
          <w:sz w:val="19"/>
          <w:szCs w:val="19"/>
        </w:rPr>
        <w:t>Definitions</w:t>
      </w:r>
      <w:r>
        <w:rPr>
          <w:rFonts w:eastAsia="Times New Roman"/>
          <w:sz w:val="19"/>
          <w:szCs w:val="19"/>
        </w:rPr>
        <w:t>.</w:t>
      </w:r>
    </w:p>
    <w:p w:rsidR="00CC2C66" w:rsidRDefault="00CC2C66">
      <w:pPr>
        <w:spacing w:line="284" w:lineRule="exact"/>
        <w:rPr>
          <w:sz w:val="20"/>
          <w:szCs w:val="20"/>
        </w:rPr>
      </w:pPr>
    </w:p>
    <w:p w:rsidR="00CC2C66" w:rsidRDefault="00F80B74">
      <w:pPr>
        <w:numPr>
          <w:ilvl w:val="0"/>
          <w:numId w:val="132"/>
        </w:numPr>
        <w:tabs>
          <w:tab w:val="left" w:pos="1440"/>
        </w:tabs>
        <w:spacing w:line="242" w:lineRule="auto"/>
        <w:ind w:left="1440" w:hanging="518"/>
        <w:jc w:val="both"/>
        <w:rPr>
          <w:rFonts w:eastAsia="Times New Roman"/>
          <w:sz w:val="19"/>
          <w:szCs w:val="19"/>
        </w:rPr>
      </w:pPr>
      <w:r>
        <w:rPr>
          <w:rFonts w:eastAsia="Times New Roman"/>
          <w:sz w:val="19"/>
          <w:szCs w:val="19"/>
        </w:rPr>
        <w:t xml:space="preserve">A “Full Value Award” is a grant of one or more shares of Stock or a right to receive one or more </w:t>
      </w:r>
      <w:r>
        <w:rPr>
          <w:rFonts w:eastAsia="Times New Roman"/>
          <w:sz w:val="19"/>
          <w:szCs w:val="19"/>
        </w:rPr>
        <w:t>shares of Stock in the future (including restricted stock, restricted stock units, performance shares, and performance units) which is contingent on continuing service, the achievement of performance objectives as assessed in accordance with the Performanc</w:t>
      </w:r>
      <w:r>
        <w:rPr>
          <w:rFonts w:eastAsia="Times New Roman"/>
          <w:sz w:val="19"/>
          <w:szCs w:val="19"/>
        </w:rPr>
        <w:t>e Measures during a specified performance period, or other restrictions as determined by the Committee. The grant of Full Value Awards may also be subject to such other conditions, restrictions and contingencies, as determined by the Committee, including p</w:t>
      </w:r>
      <w:r>
        <w:rPr>
          <w:rFonts w:eastAsia="Times New Roman"/>
          <w:sz w:val="19"/>
          <w:szCs w:val="19"/>
        </w:rPr>
        <w:t>rovisions relating to dividend or dividend equivalent rights and deferred payment or settlement. Notwithstanding the foregoing, no dividends or dividend equivalent rights will be paid or settled on Full Value Awards that have not been earned or vested.</w:t>
      </w:r>
    </w:p>
    <w:p w:rsidR="00CC2C66" w:rsidRDefault="00CC2C66">
      <w:pPr>
        <w:spacing w:line="256" w:lineRule="exact"/>
        <w:rPr>
          <w:rFonts w:eastAsia="Times New Roman"/>
          <w:sz w:val="19"/>
          <w:szCs w:val="19"/>
        </w:rPr>
      </w:pPr>
    </w:p>
    <w:p w:rsidR="00CC2C66" w:rsidRDefault="00F80B74">
      <w:pPr>
        <w:numPr>
          <w:ilvl w:val="0"/>
          <w:numId w:val="132"/>
        </w:numPr>
        <w:tabs>
          <w:tab w:val="left" w:pos="1440"/>
        </w:tabs>
        <w:spacing w:line="265" w:lineRule="auto"/>
        <w:ind w:left="1440" w:right="20" w:hanging="518"/>
        <w:rPr>
          <w:rFonts w:eastAsia="Times New Roman"/>
          <w:sz w:val="19"/>
          <w:szCs w:val="19"/>
        </w:rPr>
      </w:pPr>
      <w:r>
        <w:rPr>
          <w:rFonts w:eastAsia="Times New Roman"/>
          <w:sz w:val="19"/>
          <w:szCs w:val="19"/>
        </w:rPr>
        <w:t xml:space="preserve">A </w:t>
      </w:r>
      <w:r>
        <w:rPr>
          <w:rFonts w:eastAsia="Times New Roman"/>
          <w:sz w:val="19"/>
          <w:szCs w:val="19"/>
        </w:rPr>
        <w:t>“Cash Incentive Award” is the grant of a right to receive a payment of cash (or in the discretion of the Committee, shares of Stock having value equivalent to the cash otherwise payable) that is contingent on achieve-</w:t>
      </w:r>
    </w:p>
    <w:p w:rsidR="00CC2C66" w:rsidRDefault="00CC2C66">
      <w:pPr>
        <w:spacing w:line="106" w:lineRule="exact"/>
        <w:rPr>
          <w:sz w:val="20"/>
          <w:szCs w:val="20"/>
        </w:rPr>
      </w:pPr>
    </w:p>
    <w:p w:rsidR="00CC2C66" w:rsidRDefault="00F80B74">
      <w:pPr>
        <w:numPr>
          <w:ilvl w:val="0"/>
          <w:numId w:val="133"/>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82144"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3" w:name="page83"/>
      <w:bookmarkEnd w:id="83"/>
      <w:r>
        <w:rPr>
          <w:rFonts w:eastAsia="Times New Roman"/>
          <w:b/>
          <w:bCs/>
          <w:noProof/>
          <w:color w:val="0000EE"/>
          <w:sz w:val="17"/>
          <w:szCs w:val="17"/>
          <w:u w:val="single"/>
        </w:rPr>
        <w:drawing>
          <wp:anchor distT="0" distB="0" distL="114300" distR="114300" simplePos="0" relativeHeight="25178316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84192"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52" w:lineRule="auto"/>
        <w:ind w:left="1440"/>
        <w:jc w:val="both"/>
        <w:rPr>
          <w:sz w:val="20"/>
          <w:szCs w:val="20"/>
        </w:rPr>
      </w:pPr>
      <w:r>
        <w:rPr>
          <w:rFonts w:eastAsia="Times New Roman"/>
          <w:sz w:val="19"/>
          <w:szCs w:val="19"/>
        </w:rPr>
        <w:t>ment of performance objectives as assessed in accordance with the Performance Measures over a specified period established by the Committee. The</w:t>
      </w:r>
      <w:r>
        <w:rPr>
          <w:rFonts w:eastAsia="Times New Roman"/>
          <w:sz w:val="19"/>
          <w:szCs w:val="19"/>
        </w:rPr>
        <w:t xml:space="preserve"> grant of Cash Incentive Awards may also be subject to such other conditions, restrictions and contingencies, as determined by the Committee, including provisions relating to deferred payment.</w:t>
      </w:r>
    </w:p>
    <w:p w:rsidR="00CC2C66" w:rsidRDefault="00CC2C66">
      <w:pPr>
        <w:spacing w:line="202" w:lineRule="exact"/>
        <w:rPr>
          <w:sz w:val="20"/>
          <w:szCs w:val="20"/>
        </w:rPr>
      </w:pPr>
    </w:p>
    <w:p w:rsidR="00CC2C66" w:rsidRDefault="00F80B74">
      <w:pPr>
        <w:spacing w:line="269" w:lineRule="auto"/>
        <w:ind w:left="420" w:right="20" w:firstLine="521"/>
        <w:jc w:val="both"/>
        <w:rPr>
          <w:sz w:val="20"/>
          <w:szCs w:val="20"/>
        </w:rPr>
      </w:pPr>
      <w:r>
        <w:rPr>
          <w:rFonts w:eastAsia="Times New Roman"/>
          <w:sz w:val="19"/>
          <w:szCs w:val="19"/>
        </w:rPr>
        <w:t xml:space="preserve">3.2 </w:t>
      </w:r>
      <w:r>
        <w:rPr>
          <w:rFonts w:eastAsia="Times New Roman"/>
          <w:b/>
          <w:bCs/>
          <w:sz w:val="19"/>
          <w:szCs w:val="19"/>
        </w:rPr>
        <w:t>Restrictions on Full Value Awards</w:t>
      </w:r>
      <w:r>
        <w:rPr>
          <w:rFonts w:eastAsia="Times New Roman"/>
          <w:sz w:val="19"/>
          <w:szCs w:val="19"/>
        </w:rPr>
        <w:t xml:space="preserve">. Each Full Value Award </w:t>
      </w:r>
      <w:r>
        <w:rPr>
          <w:rFonts w:eastAsia="Times New Roman"/>
          <w:sz w:val="19"/>
          <w:szCs w:val="19"/>
        </w:rPr>
        <w:t>shall be subject to such conditions, restrictions and contingencies set forth in this Plan and as the Committee shall determine and which are consistent with this Plan.</w:t>
      </w:r>
    </w:p>
    <w:p w:rsidR="00CC2C66" w:rsidRDefault="00CC2C66">
      <w:pPr>
        <w:spacing w:line="187" w:lineRule="exact"/>
        <w:rPr>
          <w:sz w:val="20"/>
          <w:szCs w:val="20"/>
        </w:rPr>
      </w:pPr>
    </w:p>
    <w:p w:rsidR="00CC2C66" w:rsidRDefault="00F80B74">
      <w:pPr>
        <w:spacing w:line="254" w:lineRule="auto"/>
        <w:ind w:left="420" w:firstLine="521"/>
        <w:jc w:val="both"/>
        <w:rPr>
          <w:sz w:val="20"/>
          <w:szCs w:val="20"/>
        </w:rPr>
      </w:pPr>
      <w:r>
        <w:rPr>
          <w:rFonts w:eastAsia="Times New Roman"/>
          <w:sz w:val="19"/>
          <w:szCs w:val="19"/>
        </w:rPr>
        <w:t xml:space="preserve">3.3 </w:t>
      </w:r>
      <w:r>
        <w:rPr>
          <w:rFonts w:eastAsia="Times New Roman"/>
          <w:b/>
          <w:bCs/>
          <w:sz w:val="19"/>
          <w:szCs w:val="19"/>
        </w:rPr>
        <w:t>No Purchase Price</w:t>
      </w:r>
      <w:r>
        <w:rPr>
          <w:rFonts w:eastAsia="Times New Roman"/>
          <w:sz w:val="19"/>
          <w:szCs w:val="19"/>
        </w:rPr>
        <w:t>. Grants of Full Value Awards shall be made based on the basis of</w:t>
      </w:r>
      <w:r>
        <w:rPr>
          <w:rFonts w:eastAsia="Times New Roman"/>
          <w:sz w:val="19"/>
          <w:szCs w:val="19"/>
        </w:rPr>
        <w:t xml:space="preserve"> their contributions to the development and growth of the Group, as determined by the Company, and the Participant is not required to pay any purchase price of shares of Stock awarded under the Full Value Award and the Cash Incentive Award.</w:t>
      </w:r>
    </w:p>
    <w:p w:rsidR="00CC2C66" w:rsidRDefault="00CC2C66">
      <w:pPr>
        <w:spacing w:line="265" w:lineRule="exact"/>
        <w:rPr>
          <w:sz w:val="20"/>
          <w:szCs w:val="20"/>
        </w:rPr>
      </w:pPr>
    </w:p>
    <w:p w:rsidR="00CC2C66" w:rsidRDefault="00F80B74">
      <w:pPr>
        <w:ind w:right="-419"/>
        <w:jc w:val="center"/>
        <w:rPr>
          <w:sz w:val="20"/>
          <w:szCs w:val="20"/>
        </w:rPr>
      </w:pPr>
      <w:r>
        <w:rPr>
          <w:rFonts w:eastAsia="Times New Roman"/>
          <w:b/>
          <w:bCs/>
          <w:sz w:val="19"/>
          <w:szCs w:val="19"/>
        </w:rPr>
        <w:t>SECTION 4.</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Stock Reserved and Limitations</w:t>
      </w:r>
    </w:p>
    <w:p w:rsidR="00CC2C66" w:rsidRDefault="00CC2C66">
      <w:pPr>
        <w:spacing w:line="205" w:lineRule="exact"/>
        <w:rPr>
          <w:sz w:val="20"/>
          <w:szCs w:val="20"/>
        </w:rPr>
      </w:pPr>
    </w:p>
    <w:p w:rsidR="00CC2C66" w:rsidRDefault="00F80B74">
      <w:pPr>
        <w:spacing w:line="298" w:lineRule="auto"/>
        <w:ind w:left="420" w:firstLine="521"/>
        <w:jc w:val="both"/>
        <w:rPr>
          <w:sz w:val="20"/>
          <w:szCs w:val="20"/>
        </w:rPr>
      </w:pPr>
      <w:r>
        <w:rPr>
          <w:rFonts w:eastAsia="Times New Roman"/>
          <w:sz w:val="18"/>
          <w:szCs w:val="18"/>
        </w:rPr>
        <w:t xml:space="preserve">4.1 </w:t>
      </w:r>
      <w:r>
        <w:rPr>
          <w:rFonts w:eastAsia="Times New Roman"/>
          <w:b/>
          <w:bCs/>
          <w:sz w:val="18"/>
          <w:szCs w:val="18"/>
        </w:rPr>
        <w:t>Shares Reserved and Other Amounts Subject to the Plan/Limitations</w:t>
      </w:r>
      <w:r>
        <w:rPr>
          <w:rFonts w:eastAsia="Times New Roman"/>
          <w:sz w:val="18"/>
          <w:szCs w:val="18"/>
        </w:rPr>
        <w:t>. The shares of Stock for which Awards (which, for the avoidance of doubt, includes Options, SARs and Full Value Awards) may be granted under the Plan shal</w:t>
      </w:r>
      <w:r>
        <w:rPr>
          <w:rFonts w:eastAsia="Times New Roman"/>
          <w:sz w:val="18"/>
          <w:szCs w:val="18"/>
        </w:rPr>
        <w:t>l be subject to the following:</w:t>
      </w:r>
    </w:p>
    <w:p w:rsidR="00CC2C66" w:rsidRDefault="00CC2C66">
      <w:pPr>
        <w:spacing w:line="205" w:lineRule="exact"/>
        <w:rPr>
          <w:sz w:val="20"/>
          <w:szCs w:val="20"/>
        </w:rPr>
      </w:pPr>
    </w:p>
    <w:p w:rsidR="00CC2C66" w:rsidRDefault="00F80B74">
      <w:pPr>
        <w:numPr>
          <w:ilvl w:val="0"/>
          <w:numId w:val="134"/>
        </w:numPr>
        <w:tabs>
          <w:tab w:val="left" w:pos="1440"/>
        </w:tabs>
        <w:spacing w:line="265" w:lineRule="auto"/>
        <w:ind w:left="1440" w:right="20" w:hanging="518"/>
        <w:rPr>
          <w:rFonts w:eastAsia="Times New Roman"/>
          <w:sz w:val="19"/>
          <w:szCs w:val="19"/>
        </w:rPr>
      </w:pPr>
      <w:r>
        <w:rPr>
          <w:rFonts w:eastAsia="Times New Roman"/>
          <w:sz w:val="19"/>
          <w:szCs w:val="19"/>
        </w:rPr>
        <w:t>The shares of Stock with respect to which Awards may be made under the Plan shall be shares currently authorized but unissued.</w:t>
      </w:r>
    </w:p>
    <w:p w:rsidR="00CC2C66" w:rsidRDefault="00CC2C66">
      <w:pPr>
        <w:spacing w:line="233" w:lineRule="exact"/>
        <w:rPr>
          <w:rFonts w:eastAsia="Times New Roman"/>
          <w:sz w:val="19"/>
          <w:szCs w:val="19"/>
        </w:rPr>
      </w:pPr>
    </w:p>
    <w:p w:rsidR="00CC2C66" w:rsidRDefault="00F80B74">
      <w:pPr>
        <w:numPr>
          <w:ilvl w:val="0"/>
          <w:numId w:val="134"/>
        </w:numPr>
        <w:tabs>
          <w:tab w:val="left" w:pos="1440"/>
        </w:tabs>
        <w:spacing w:line="241" w:lineRule="auto"/>
        <w:ind w:left="1440" w:hanging="518"/>
        <w:jc w:val="both"/>
        <w:rPr>
          <w:rFonts w:eastAsia="Times New Roman"/>
          <w:sz w:val="19"/>
          <w:szCs w:val="19"/>
        </w:rPr>
      </w:pPr>
      <w:r>
        <w:rPr>
          <w:rFonts w:eastAsia="Times New Roman"/>
          <w:sz w:val="19"/>
          <w:szCs w:val="19"/>
        </w:rPr>
        <w:t>Subject to the following provisions of this subsection 4.1 and the provisions of subsection 4.2,</w:t>
      </w:r>
      <w:r>
        <w:rPr>
          <w:rFonts w:eastAsia="Times New Roman"/>
          <w:sz w:val="19"/>
          <w:szCs w:val="19"/>
        </w:rPr>
        <w:t xml:space="preserve"> the maximum number of shares of Stock that may be delivered to Participants and their beneficiaries under the Plan shall be equal to 31,000,000; provided, however, that the maximum number of shares of Stock in respect of all Awards which may be granted un</w:t>
      </w:r>
      <w:r>
        <w:rPr>
          <w:rFonts w:eastAsia="Times New Roman"/>
          <w:sz w:val="19"/>
          <w:szCs w:val="19"/>
        </w:rPr>
        <w:t>der this Plan (the “Scheme Mandate Limit”) shall be the lower of (i) 31,000,000 shares of Stock and (ii) such number of shares of Stock representing 10% of the total number of shares of Stock outstanding as of the date of approval of the Plan by the Compan</w:t>
      </w:r>
      <w:r>
        <w:rPr>
          <w:rFonts w:eastAsia="Times New Roman"/>
          <w:sz w:val="19"/>
          <w:szCs w:val="19"/>
        </w:rPr>
        <w:t>y’s shareholders (the “10% Limit”). The foregoing Scheme Mandate Limit shall be reduced by the number of shares of Stock (or, with respect to Full Value Awards, two times the number of shares of Stock) subject to any grants that occur under the 2016 Plan b</w:t>
      </w:r>
      <w:r>
        <w:rPr>
          <w:rFonts w:eastAsia="Times New Roman"/>
          <w:sz w:val="19"/>
          <w:szCs w:val="19"/>
        </w:rPr>
        <w:t>etween August 24, 2022 and the Effective Date. For purposes of applying the limitations of this paragraph 4.1(b), each share of Stock delivered pursuant to Section 3 (relating to Full Value Awards) shall be counted as covering two shares of Stock, and shal</w:t>
      </w:r>
      <w:r>
        <w:rPr>
          <w:rFonts w:eastAsia="Times New Roman"/>
          <w:sz w:val="19"/>
          <w:szCs w:val="19"/>
        </w:rPr>
        <w:t>l reduce the number of shares of Stock available for delivery under this paragraph 4.1(b) by two shares.</w:t>
      </w:r>
    </w:p>
    <w:p w:rsidR="00CC2C66" w:rsidRDefault="00CC2C66">
      <w:pPr>
        <w:spacing w:line="257" w:lineRule="exact"/>
        <w:rPr>
          <w:rFonts w:eastAsia="Times New Roman"/>
          <w:sz w:val="19"/>
          <w:szCs w:val="19"/>
        </w:rPr>
      </w:pPr>
    </w:p>
    <w:p w:rsidR="00CC2C66" w:rsidRDefault="00F80B74">
      <w:pPr>
        <w:numPr>
          <w:ilvl w:val="0"/>
          <w:numId w:val="134"/>
        </w:numPr>
        <w:tabs>
          <w:tab w:val="left" w:pos="1440"/>
        </w:tabs>
        <w:spacing w:line="247" w:lineRule="auto"/>
        <w:ind w:left="1440" w:hanging="518"/>
        <w:jc w:val="both"/>
        <w:rPr>
          <w:rFonts w:eastAsia="Times New Roman"/>
          <w:sz w:val="19"/>
          <w:szCs w:val="19"/>
        </w:rPr>
      </w:pPr>
      <w:r>
        <w:rPr>
          <w:rFonts w:eastAsia="Times New Roman"/>
          <w:sz w:val="19"/>
          <w:szCs w:val="19"/>
        </w:rPr>
        <w:t xml:space="preserve">To the extent provided by the Committee and set forth in the Award Agreement, any Award may be settled in cash rather than Stock. To the extent any </w:t>
      </w:r>
      <w:r>
        <w:rPr>
          <w:rFonts w:eastAsia="Times New Roman"/>
          <w:sz w:val="19"/>
          <w:szCs w:val="19"/>
        </w:rPr>
        <w:t>shares of Stock covered by an Award are not delivered to a Participant or beneficiary because the Award is settled in cash, such shares shall not be deemed to have been delivered for purposes of determining the maximum number of shares of Stock available f</w:t>
      </w:r>
      <w:r>
        <w:rPr>
          <w:rFonts w:eastAsia="Times New Roman"/>
          <w:sz w:val="19"/>
          <w:szCs w:val="19"/>
        </w:rPr>
        <w:t>or delivery under the Plan.</w:t>
      </w:r>
    </w:p>
    <w:p w:rsidR="00CC2C66" w:rsidRDefault="00CC2C66">
      <w:pPr>
        <w:spacing w:line="250" w:lineRule="exact"/>
        <w:rPr>
          <w:rFonts w:eastAsia="Times New Roman"/>
          <w:sz w:val="19"/>
          <w:szCs w:val="19"/>
        </w:rPr>
      </w:pPr>
    </w:p>
    <w:p w:rsidR="00CC2C66" w:rsidRDefault="00F80B74">
      <w:pPr>
        <w:numPr>
          <w:ilvl w:val="0"/>
          <w:numId w:val="134"/>
        </w:numPr>
        <w:tabs>
          <w:tab w:val="left" w:pos="1440"/>
        </w:tabs>
        <w:spacing w:line="243" w:lineRule="auto"/>
        <w:ind w:left="1440" w:hanging="518"/>
        <w:jc w:val="both"/>
        <w:rPr>
          <w:rFonts w:eastAsia="Times New Roman"/>
          <w:sz w:val="19"/>
          <w:szCs w:val="19"/>
        </w:rPr>
      </w:pPr>
      <w:r>
        <w:rPr>
          <w:rFonts w:eastAsia="Times New Roman"/>
          <w:sz w:val="19"/>
          <w:szCs w:val="19"/>
        </w:rPr>
        <w:t>To the extent any shares of Stock covered by an Award are not delivered to a Participant or beneficiary because they have already lapsed in accordance with the terms of this Plan, including due to forfeiture, termination, or ex</w:t>
      </w:r>
      <w:r>
        <w:rPr>
          <w:rFonts w:eastAsia="Times New Roman"/>
          <w:sz w:val="19"/>
          <w:szCs w:val="19"/>
        </w:rPr>
        <w:t>piration of the Award, then such shares shall not reduce the Scheme Mandate Limit and shall remain available for grant under the Plan. In addition, only the shares subject to a stock-settled SAR that are issued to a Participant upon exercise of such stock-</w:t>
      </w:r>
      <w:r>
        <w:rPr>
          <w:rFonts w:eastAsia="Times New Roman"/>
          <w:sz w:val="19"/>
          <w:szCs w:val="19"/>
        </w:rPr>
        <w:t>settled SAR shall reduce the Scheme Mandate Limit. To the extent any shares of Stock covered by an Award are not delivered to a Participant or beneficiary because (i) the shares of Stock were subject to an Option and were not issued or delivered upon the n</w:t>
      </w:r>
      <w:r>
        <w:rPr>
          <w:rFonts w:eastAsia="Times New Roman"/>
          <w:sz w:val="19"/>
          <w:szCs w:val="19"/>
        </w:rPr>
        <w:t>et settlement or net</w:t>
      </w:r>
    </w:p>
    <w:p w:rsidR="00CC2C66" w:rsidRDefault="00CC2C66">
      <w:pPr>
        <w:spacing w:line="124"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77</w:t>
      </w:r>
    </w:p>
    <w:p w:rsidR="00CC2C66" w:rsidRDefault="00F80B74">
      <w:pPr>
        <w:spacing w:line="20" w:lineRule="exact"/>
        <w:rPr>
          <w:sz w:val="20"/>
          <w:szCs w:val="20"/>
        </w:rPr>
      </w:pPr>
      <w:r>
        <w:rPr>
          <w:noProof/>
          <w:sz w:val="20"/>
          <w:szCs w:val="20"/>
        </w:rPr>
        <w:drawing>
          <wp:anchor distT="0" distB="0" distL="114300" distR="114300" simplePos="0" relativeHeight="251785216"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4" w:name="page84"/>
      <w:bookmarkEnd w:id="84"/>
      <w:r>
        <w:rPr>
          <w:rFonts w:eastAsia="Times New Roman"/>
          <w:b/>
          <w:bCs/>
          <w:noProof/>
          <w:color w:val="0000EE"/>
          <w:sz w:val="17"/>
          <w:szCs w:val="17"/>
          <w:u w:val="single"/>
        </w:rPr>
        <w:drawing>
          <wp:anchor distT="0" distB="0" distL="114300" distR="114300" simplePos="0" relativeHeight="25178624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87264" behindDoc="1" locked="0" layoutInCell="0" allowOverlap="1">
            <wp:simplePos x="0" y="0"/>
            <wp:positionH relativeFrom="column">
              <wp:posOffset>260985</wp:posOffset>
            </wp:positionH>
            <wp:positionV relativeFrom="paragraph">
              <wp:posOffset>196850</wp:posOffset>
            </wp:positionV>
            <wp:extent cx="3853815" cy="19494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8">
                      <a:extLst/>
                    </a:blip>
                    <a:srcRect/>
                    <a:stretch>
                      <a:fillRect/>
                    </a:stretch>
                  </pic:blipFill>
                  <pic:spPr bwMode="auto">
                    <a:xfrm>
                      <a:off x="0" y="0"/>
                      <a:ext cx="38538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41" w:lineRule="auto"/>
        <w:ind w:left="1440"/>
        <w:jc w:val="both"/>
        <w:rPr>
          <w:sz w:val="20"/>
          <w:szCs w:val="20"/>
        </w:rPr>
      </w:pPr>
      <w:r>
        <w:rPr>
          <w:rFonts w:eastAsia="Times New Roman"/>
          <w:sz w:val="19"/>
          <w:szCs w:val="19"/>
        </w:rPr>
        <w:t xml:space="preserve">exercise of such Option or (ii) the shares of Stock were withheld by the Company to pay </w:t>
      </w:r>
      <w:r>
        <w:rPr>
          <w:rFonts w:eastAsia="Times New Roman"/>
          <w:sz w:val="19"/>
          <w:szCs w:val="19"/>
        </w:rPr>
        <w:t>the purchase price or the withholding taxes related to an outstanding Award, then such shares shall not reduce the Scheme Mandate Limit and shall remain available for grant under the Plan. In addition, subject to the 10% Limit, (x) shares withheld by the C</w:t>
      </w:r>
      <w:r>
        <w:rPr>
          <w:rFonts w:eastAsia="Times New Roman"/>
          <w:sz w:val="19"/>
          <w:szCs w:val="19"/>
        </w:rPr>
        <w:t>ompany after August 24, 2022 to pay the withholding taxes related to an outstanding Award granted under the 2016 Plan and (y) shares subject to Awards granted under the 2016 Plan between August 24, 2022 and the Effective Date which are not delivered to a P</w:t>
      </w:r>
      <w:r>
        <w:rPr>
          <w:rFonts w:eastAsia="Times New Roman"/>
          <w:sz w:val="19"/>
          <w:szCs w:val="19"/>
        </w:rPr>
        <w:t>articipant or beneficiary because they have lapsed in accordance with the terms of the 2016 Plan, including due to forfeiture, termination, or expiration of the Award, in each case, shall become available for grant under the Plan. Shares of Stock repurchas</w:t>
      </w:r>
      <w:r>
        <w:rPr>
          <w:rFonts w:eastAsia="Times New Roman"/>
          <w:sz w:val="19"/>
          <w:szCs w:val="19"/>
        </w:rPr>
        <w:t>ed by the Company on the open market with the proceeds of an Option exercise shall be cancelled and shall not again be available for delivery under the Plan.</w:t>
      </w:r>
    </w:p>
    <w:p w:rsidR="00CC2C66" w:rsidRDefault="00CC2C66">
      <w:pPr>
        <w:spacing w:line="261" w:lineRule="exact"/>
        <w:rPr>
          <w:sz w:val="20"/>
          <w:szCs w:val="20"/>
        </w:rPr>
      </w:pPr>
    </w:p>
    <w:p w:rsidR="00CC2C66" w:rsidRDefault="00F80B74">
      <w:pPr>
        <w:numPr>
          <w:ilvl w:val="0"/>
          <w:numId w:val="135"/>
        </w:numPr>
        <w:tabs>
          <w:tab w:val="left" w:pos="1440"/>
        </w:tabs>
        <w:spacing w:line="247" w:lineRule="auto"/>
        <w:ind w:left="1440" w:hanging="518"/>
        <w:jc w:val="both"/>
        <w:rPr>
          <w:rFonts w:eastAsia="Times New Roman"/>
          <w:sz w:val="19"/>
          <w:szCs w:val="19"/>
        </w:rPr>
      </w:pPr>
      <w:r>
        <w:rPr>
          <w:rFonts w:eastAsia="Times New Roman"/>
          <w:sz w:val="19"/>
          <w:szCs w:val="19"/>
        </w:rPr>
        <w:t xml:space="preserve">Subject to the terms and conditions of the Plan, the maximum number of shares of Stock that may </w:t>
      </w:r>
      <w:r>
        <w:rPr>
          <w:rFonts w:eastAsia="Times New Roman"/>
          <w:sz w:val="19"/>
          <w:szCs w:val="19"/>
        </w:rPr>
        <w:t xml:space="preserve">be delivered to Participants and their beneficiaries with respect to ISOs under the Plan shall be 31,000,000; provided, however, that to the extent that shares not issued must be counted against this limit as a condition of satisfying the rules applicable </w:t>
      </w:r>
      <w:r>
        <w:rPr>
          <w:rFonts w:eastAsia="Times New Roman"/>
          <w:sz w:val="19"/>
          <w:szCs w:val="19"/>
        </w:rPr>
        <w:t>to ISOs, such rules shall apply to the limit on ISOs granted under the Plan.</w:t>
      </w:r>
    </w:p>
    <w:p w:rsidR="00CC2C66" w:rsidRDefault="00CC2C66">
      <w:pPr>
        <w:spacing w:line="250" w:lineRule="exact"/>
        <w:rPr>
          <w:rFonts w:eastAsia="Times New Roman"/>
          <w:sz w:val="19"/>
          <w:szCs w:val="19"/>
        </w:rPr>
      </w:pPr>
    </w:p>
    <w:p w:rsidR="00CC2C66" w:rsidRDefault="00F80B74">
      <w:pPr>
        <w:numPr>
          <w:ilvl w:val="0"/>
          <w:numId w:val="135"/>
        </w:numPr>
        <w:tabs>
          <w:tab w:val="left" w:pos="1440"/>
        </w:tabs>
        <w:ind w:left="1440" w:hanging="518"/>
        <w:rPr>
          <w:rFonts w:eastAsia="Times New Roman"/>
          <w:sz w:val="19"/>
          <w:szCs w:val="19"/>
        </w:rPr>
      </w:pPr>
      <w:r>
        <w:rPr>
          <w:rFonts w:eastAsia="Times New Roman"/>
          <w:sz w:val="19"/>
          <w:szCs w:val="19"/>
        </w:rPr>
        <w:t>Subject to subsection 4.2, the following additional maximums are imposed under the Plan:</w:t>
      </w:r>
    </w:p>
    <w:p w:rsidR="00CC2C66" w:rsidRDefault="00CC2C66">
      <w:pPr>
        <w:spacing w:line="279" w:lineRule="exact"/>
        <w:rPr>
          <w:rFonts w:eastAsia="Times New Roman"/>
          <w:sz w:val="19"/>
          <w:szCs w:val="19"/>
        </w:rPr>
      </w:pPr>
    </w:p>
    <w:p w:rsidR="00CC2C66" w:rsidRDefault="00F80B74">
      <w:pPr>
        <w:numPr>
          <w:ilvl w:val="1"/>
          <w:numId w:val="135"/>
        </w:numPr>
        <w:tabs>
          <w:tab w:val="left" w:pos="1960"/>
        </w:tabs>
        <w:spacing w:line="243" w:lineRule="auto"/>
        <w:ind w:left="1960" w:hanging="514"/>
        <w:jc w:val="both"/>
        <w:rPr>
          <w:rFonts w:eastAsia="Times New Roman"/>
          <w:sz w:val="19"/>
          <w:szCs w:val="19"/>
        </w:rPr>
      </w:pPr>
      <w:r>
        <w:rPr>
          <w:rFonts w:eastAsia="Times New Roman"/>
          <w:sz w:val="19"/>
          <w:szCs w:val="19"/>
        </w:rPr>
        <w:t>Within the Scheme Mandate Limit, the maximum number of shares of Stock that may be issue</w:t>
      </w:r>
      <w:r>
        <w:rPr>
          <w:rFonts w:eastAsia="Times New Roman"/>
          <w:sz w:val="19"/>
          <w:szCs w:val="19"/>
        </w:rPr>
        <w:t>d in respect of all Awards granted to any Eligible Individual pursuant to Section 2 (relating to Options and SARs) shall be 9,000,000 shares during any five calendar-year period and shall be subject to any other requirements imposed under applicable laws o</w:t>
      </w:r>
      <w:r>
        <w:rPr>
          <w:rFonts w:eastAsia="Times New Roman"/>
          <w:sz w:val="19"/>
          <w:szCs w:val="19"/>
        </w:rPr>
        <w:t>r applicable rules of any stock exchange on which the Stock is listed. If an Option is in tandem with an SAR, such that the exercise of the Option or SAR with respect to a share of Stock cancels the tandem SAR or Option right, respectively, with respect to</w:t>
      </w:r>
      <w:r>
        <w:rPr>
          <w:rFonts w:eastAsia="Times New Roman"/>
          <w:sz w:val="19"/>
          <w:szCs w:val="19"/>
        </w:rPr>
        <w:t xml:space="preserve"> such share, the tandem Option and SAR rights with respect to each share of Stock shall be counted as covering one share of Stock for purposes of applying the limitations of this subparagraph (i).</w:t>
      </w:r>
    </w:p>
    <w:p w:rsidR="00CC2C66" w:rsidRDefault="00CC2C66">
      <w:pPr>
        <w:spacing w:line="253" w:lineRule="exact"/>
        <w:rPr>
          <w:rFonts w:eastAsia="Times New Roman"/>
          <w:sz w:val="19"/>
          <w:szCs w:val="19"/>
        </w:rPr>
      </w:pPr>
    </w:p>
    <w:p w:rsidR="00CC2C66" w:rsidRDefault="00F80B74">
      <w:pPr>
        <w:numPr>
          <w:ilvl w:val="1"/>
          <w:numId w:val="135"/>
        </w:numPr>
        <w:tabs>
          <w:tab w:val="left" w:pos="1960"/>
        </w:tabs>
        <w:spacing w:line="247" w:lineRule="auto"/>
        <w:ind w:left="1960" w:hanging="514"/>
        <w:jc w:val="both"/>
        <w:rPr>
          <w:rFonts w:eastAsia="Times New Roman"/>
          <w:sz w:val="19"/>
          <w:szCs w:val="19"/>
        </w:rPr>
      </w:pPr>
      <w:r>
        <w:rPr>
          <w:rFonts w:eastAsia="Times New Roman"/>
          <w:sz w:val="19"/>
          <w:szCs w:val="19"/>
        </w:rPr>
        <w:t>For Full Value Awards, no more than 3,000,000 shares of St</w:t>
      </w:r>
      <w:r>
        <w:rPr>
          <w:rFonts w:eastAsia="Times New Roman"/>
          <w:sz w:val="19"/>
          <w:szCs w:val="19"/>
        </w:rPr>
        <w:t>ock may be subject to such Awards granted to any Eligible Individual during any five-calendar-year period (regardless of when such shares are deliverable) and shall be subject to any other requirements imposed under applicable laws or applicable rules of a</w:t>
      </w:r>
      <w:r>
        <w:rPr>
          <w:rFonts w:eastAsia="Times New Roman"/>
          <w:sz w:val="19"/>
          <w:szCs w:val="19"/>
        </w:rPr>
        <w:t>ny stock exchange on which the Stock is listed.</w:t>
      </w:r>
    </w:p>
    <w:p w:rsidR="00CC2C66" w:rsidRDefault="00CC2C66">
      <w:pPr>
        <w:spacing w:line="250" w:lineRule="exact"/>
        <w:rPr>
          <w:rFonts w:eastAsia="Times New Roman"/>
          <w:sz w:val="19"/>
          <w:szCs w:val="19"/>
        </w:rPr>
      </w:pPr>
    </w:p>
    <w:p w:rsidR="00CC2C66" w:rsidRDefault="00F80B74">
      <w:pPr>
        <w:numPr>
          <w:ilvl w:val="1"/>
          <w:numId w:val="135"/>
        </w:numPr>
        <w:tabs>
          <w:tab w:val="left" w:pos="1960"/>
        </w:tabs>
        <w:spacing w:line="243" w:lineRule="auto"/>
        <w:ind w:left="1960" w:hanging="514"/>
        <w:jc w:val="both"/>
        <w:rPr>
          <w:rFonts w:eastAsia="Times New Roman"/>
          <w:sz w:val="19"/>
          <w:szCs w:val="19"/>
        </w:rPr>
      </w:pPr>
      <w:r>
        <w:rPr>
          <w:rFonts w:eastAsia="Times New Roman"/>
          <w:sz w:val="19"/>
          <w:szCs w:val="19"/>
        </w:rPr>
        <w:t>To the extent any grant of an Award to an Eligible Individual would result in the shares of Stock issued or to be issued in respect of all Awards granted to such individual (excluding any Awards that have be</w:t>
      </w:r>
      <w:r>
        <w:rPr>
          <w:rFonts w:eastAsia="Times New Roman"/>
          <w:sz w:val="19"/>
          <w:szCs w:val="19"/>
        </w:rPr>
        <w:t>en forfeited or lapsed in accordance with the terms of the Plan) in the 12-month period up to and including the date of such grant representing in the aggregate more than the limit set out in the HKEx Listing Rules (which is currently 1% of the shares of S</w:t>
      </w:r>
      <w:r>
        <w:rPr>
          <w:rFonts w:eastAsia="Times New Roman"/>
          <w:sz w:val="19"/>
          <w:szCs w:val="19"/>
        </w:rPr>
        <w:t>tock of the Company issued as of such date (the “1% Individual Limit”)), such grant must be separately approved by the shareholders of the Company in accordance with the HKEx Listing Rules.</w:t>
      </w:r>
    </w:p>
    <w:p w:rsidR="00CC2C66" w:rsidRDefault="00CC2C66">
      <w:pPr>
        <w:spacing w:line="257" w:lineRule="exact"/>
        <w:rPr>
          <w:rFonts w:eastAsia="Times New Roman"/>
          <w:sz w:val="19"/>
          <w:szCs w:val="19"/>
        </w:rPr>
      </w:pPr>
    </w:p>
    <w:p w:rsidR="00CC2C66" w:rsidRDefault="00F80B74">
      <w:pPr>
        <w:numPr>
          <w:ilvl w:val="1"/>
          <w:numId w:val="135"/>
        </w:numPr>
        <w:tabs>
          <w:tab w:val="left" w:pos="1960"/>
        </w:tabs>
        <w:spacing w:line="265" w:lineRule="auto"/>
        <w:ind w:left="1960" w:right="20" w:hanging="514"/>
        <w:rPr>
          <w:rFonts w:eastAsia="Times New Roman"/>
          <w:sz w:val="19"/>
          <w:szCs w:val="19"/>
        </w:rPr>
      </w:pPr>
      <w:r>
        <w:rPr>
          <w:rFonts w:eastAsia="Times New Roman"/>
          <w:sz w:val="19"/>
          <w:szCs w:val="19"/>
        </w:rPr>
        <w:t xml:space="preserve">In the case of any Award to a Non-employee Director, in no event </w:t>
      </w:r>
      <w:r>
        <w:rPr>
          <w:rFonts w:eastAsia="Times New Roman"/>
          <w:sz w:val="19"/>
          <w:szCs w:val="19"/>
        </w:rPr>
        <w:t>shall the dollar value of the Award granted to any Non-employee Director for any calendar year (determined as of the date of grant) exceed $1,500,000.</w:t>
      </w:r>
    </w:p>
    <w:p w:rsidR="00CC2C66" w:rsidRDefault="00CC2C66">
      <w:pPr>
        <w:spacing w:line="233" w:lineRule="exact"/>
        <w:rPr>
          <w:rFonts w:eastAsia="Times New Roman"/>
          <w:sz w:val="19"/>
          <w:szCs w:val="19"/>
        </w:rPr>
      </w:pPr>
    </w:p>
    <w:p w:rsidR="00CC2C66" w:rsidRDefault="00F80B74">
      <w:pPr>
        <w:numPr>
          <w:ilvl w:val="0"/>
          <w:numId w:val="135"/>
        </w:numPr>
        <w:tabs>
          <w:tab w:val="left" w:pos="1440"/>
        </w:tabs>
        <w:spacing w:line="252" w:lineRule="auto"/>
        <w:ind w:left="1440" w:hanging="518"/>
        <w:jc w:val="both"/>
        <w:rPr>
          <w:rFonts w:eastAsia="Times New Roman"/>
          <w:sz w:val="19"/>
          <w:szCs w:val="19"/>
        </w:rPr>
      </w:pPr>
      <w:r>
        <w:rPr>
          <w:rFonts w:eastAsia="Times New Roman"/>
          <w:sz w:val="19"/>
          <w:szCs w:val="19"/>
        </w:rPr>
        <w:t xml:space="preserve">The Company shall in any event comply with all applicable requirements, including the approval </w:t>
      </w:r>
      <w:r>
        <w:rPr>
          <w:rFonts w:eastAsia="Times New Roman"/>
          <w:sz w:val="19"/>
          <w:szCs w:val="19"/>
        </w:rPr>
        <w:t>requirement, in respect of grants beyond applicable individual limits under any applicable laws or applicable rules of any stock exchange on which the Stock is listed.</w:t>
      </w:r>
    </w:p>
    <w:p w:rsidR="00CC2C66" w:rsidRDefault="00CC2C66">
      <w:pPr>
        <w:spacing w:line="117" w:lineRule="exact"/>
        <w:rPr>
          <w:sz w:val="20"/>
          <w:szCs w:val="20"/>
        </w:rPr>
      </w:pPr>
    </w:p>
    <w:p w:rsidR="00CC2C66" w:rsidRDefault="00F80B74">
      <w:pPr>
        <w:numPr>
          <w:ilvl w:val="0"/>
          <w:numId w:val="136"/>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78828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5" w:name="page85"/>
      <w:bookmarkEnd w:id="85"/>
      <w:r>
        <w:rPr>
          <w:rFonts w:eastAsia="Times New Roman"/>
          <w:b/>
          <w:bCs/>
          <w:noProof/>
          <w:color w:val="0000EE"/>
          <w:sz w:val="17"/>
          <w:szCs w:val="17"/>
          <w:u w:val="single"/>
        </w:rPr>
        <w:drawing>
          <wp:anchor distT="0" distB="0" distL="114300" distR="114300" simplePos="0" relativeHeight="25178931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90336"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 xml:space="preserve">APPENDIX A – </w:t>
      </w:r>
      <w:r>
        <w:rPr>
          <w:rFonts w:ascii="Arial" w:eastAsia="Arial" w:hAnsi="Arial" w:cs="Arial"/>
          <w:b/>
          <w:bCs/>
          <w:color w:val="FFFFFF"/>
          <w:sz w:val="15"/>
          <w:szCs w:val="15"/>
        </w:rPr>
        <w:t>YUM CHINA HOLDINGS, INC. 2022 LONG TERM INCENTIVE PLAN</w:t>
      </w:r>
    </w:p>
    <w:p w:rsidR="00CC2C66" w:rsidRDefault="00CC2C66">
      <w:pPr>
        <w:spacing w:line="187" w:lineRule="exact"/>
        <w:rPr>
          <w:sz w:val="20"/>
          <w:szCs w:val="20"/>
        </w:rPr>
      </w:pPr>
    </w:p>
    <w:p w:rsidR="00CC2C66" w:rsidRDefault="00F80B74">
      <w:pPr>
        <w:spacing w:line="241" w:lineRule="auto"/>
        <w:ind w:left="420" w:firstLine="521"/>
        <w:jc w:val="both"/>
        <w:rPr>
          <w:sz w:val="20"/>
          <w:szCs w:val="20"/>
        </w:rPr>
      </w:pPr>
      <w:r>
        <w:rPr>
          <w:rFonts w:eastAsia="Times New Roman"/>
          <w:sz w:val="19"/>
          <w:szCs w:val="19"/>
        </w:rPr>
        <w:t xml:space="preserve">4.2 </w:t>
      </w:r>
      <w:r>
        <w:rPr>
          <w:rFonts w:eastAsia="Times New Roman"/>
          <w:b/>
          <w:bCs/>
          <w:sz w:val="19"/>
          <w:szCs w:val="19"/>
        </w:rPr>
        <w:t>Adjustments to Shares of Stock and Stock Awards</w:t>
      </w:r>
      <w:r>
        <w:rPr>
          <w:rFonts w:eastAsia="Times New Roman"/>
          <w:sz w:val="19"/>
          <w:szCs w:val="19"/>
        </w:rPr>
        <w:t>. In the event of a capitalization issue, rights issue, subdivision or consolidation of shares or reduction of capital, the number and class of secur</w:t>
      </w:r>
      <w:r>
        <w:rPr>
          <w:rFonts w:eastAsia="Times New Roman"/>
          <w:sz w:val="19"/>
          <w:szCs w:val="19"/>
        </w:rPr>
        <w:t>ities available under this Plan, the terms of each outstanding Option and SAR (including the number and class of securities subject to each outstanding Option or SAR and the Exercise Price or base price per share) and the terms of each outstanding Full Val</w:t>
      </w:r>
      <w:r>
        <w:rPr>
          <w:rFonts w:eastAsia="Times New Roman"/>
          <w:sz w:val="19"/>
          <w:szCs w:val="19"/>
        </w:rPr>
        <w:t>ue Award (including the number and class of securities subject thereto), shall be appropriately adjusted by the Committee, such adjustments to be made in the case of outstanding Options and SARs in accordance with Section 409A of the Code and Rule 17.03(13</w:t>
      </w:r>
      <w:r>
        <w:rPr>
          <w:rFonts w:eastAsia="Times New Roman"/>
          <w:sz w:val="19"/>
          <w:szCs w:val="19"/>
        </w:rPr>
        <w:t>) of the HKEx Listing Rules to the extent applicable. Only where approval, waiver, confirmation or otherwise as applicable from the HKEx is obtained, in the event of any other equity restructuring event as defined under Financial Accounting Standards Board</w:t>
      </w:r>
      <w:r>
        <w:rPr>
          <w:rFonts w:eastAsia="Times New Roman"/>
          <w:sz w:val="19"/>
          <w:szCs w:val="19"/>
        </w:rPr>
        <w:t xml:space="preserve"> Accounting Standards Codification Topic 718, Compensation—Stock Compensation or any successor or replacement accounting standard, or any other change in corporate capitalization, including a merger, consolidation, reorganization, or partial or complete li</w:t>
      </w:r>
      <w:r>
        <w:rPr>
          <w:rFonts w:eastAsia="Times New Roman"/>
          <w:sz w:val="19"/>
          <w:szCs w:val="19"/>
        </w:rPr>
        <w:t>quidation of the Company, such equitable adjustments described in the foregoing sentence may be made as determined to be appropriate and equitable by the Committee to the extent necessary to prevent dilution or enlargement of rights of participants. In cas</w:t>
      </w:r>
      <w:r>
        <w:rPr>
          <w:rFonts w:eastAsia="Times New Roman"/>
          <w:sz w:val="19"/>
          <w:szCs w:val="19"/>
        </w:rPr>
        <w:t>e of an adjustment pursuant to this Section 4.2, the decision of the Committee regarding any such adjustment shall be final, binding and conclusive.</w:t>
      </w:r>
    </w:p>
    <w:p w:rsidR="00CC2C66" w:rsidRDefault="00CC2C66">
      <w:pPr>
        <w:spacing w:line="214" w:lineRule="exact"/>
        <w:rPr>
          <w:sz w:val="20"/>
          <w:szCs w:val="20"/>
        </w:rPr>
      </w:pPr>
    </w:p>
    <w:p w:rsidR="00CC2C66" w:rsidRDefault="00F80B74">
      <w:pPr>
        <w:spacing w:line="249" w:lineRule="auto"/>
        <w:ind w:left="420" w:firstLine="521"/>
        <w:jc w:val="both"/>
        <w:rPr>
          <w:sz w:val="20"/>
          <w:szCs w:val="20"/>
        </w:rPr>
      </w:pPr>
      <w:r>
        <w:rPr>
          <w:rFonts w:eastAsia="Times New Roman"/>
          <w:sz w:val="19"/>
          <w:szCs w:val="19"/>
        </w:rPr>
        <w:t xml:space="preserve">4.3 </w:t>
      </w:r>
      <w:r>
        <w:rPr>
          <w:rFonts w:eastAsia="Times New Roman"/>
          <w:b/>
          <w:bCs/>
          <w:sz w:val="19"/>
          <w:szCs w:val="19"/>
        </w:rPr>
        <w:t>Grant of Awards to Directors, Chief Executive Officer or Substantial Shareholders</w:t>
      </w:r>
      <w:r>
        <w:rPr>
          <w:rFonts w:eastAsia="Times New Roman"/>
          <w:sz w:val="19"/>
          <w:szCs w:val="19"/>
        </w:rPr>
        <w:t>. Where an Award is t</w:t>
      </w:r>
      <w:r>
        <w:rPr>
          <w:rFonts w:eastAsia="Times New Roman"/>
          <w:sz w:val="19"/>
          <w:szCs w:val="19"/>
        </w:rPr>
        <w:t>o be granted to a Director, chief executive officer or substantial shareholder of the Company or any of their associates (as determined in accordance with the HKEx Listing Rules) or any other connected persons of the Company (as defined under the HKEx List</w:t>
      </w:r>
      <w:r>
        <w:rPr>
          <w:rFonts w:eastAsia="Times New Roman"/>
          <w:sz w:val="19"/>
          <w:szCs w:val="19"/>
        </w:rPr>
        <w:t>ing Rules), the grant shall be subject to approval requirements under applicable laws or applicable rules of any stock exchange on which the Stock is listed.</w:t>
      </w:r>
    </w:p>
    <w:p w:rsidR="00CC2C66" w:rsidRDefault="00CC2C66">
      <w:pPr>
        <w:spacing w:line="205" w:lineRule="exact"/>
        <w:rPr>
          <w:sz w:val="20"/>
          <w:szCs w:val="20"/>
        </w:rPr>
      </w:pPr>
    </w:p>
    <w:p w:rsidR="00CC2C66" w:rsidRDefault="00F80B74">
      <w:pPr>
        <w:spacing w:line="244" w:lineRule="auto"/>
        <w:ind w:left="420" w:firstLine="521"/>
        <w:jc w:val="both"/>
        <w:rPr>
          <w:sz w:val="20"/>
          <w:szCs w:val="20"/>
        </w:rPr>
      </w:pPr>
      <w:r>
        <w:rPr>
          <w:rFonts w:eastAsia="Times New Roman"/>
          <w:sz w:val="19"/>
          <w:szCs w:val="19"/>
        </w:rPr>
        <w:t xml:space="preserve">4.4 </w:t>
      </w:r>
      <w:r>
        <w:rPr>
          <w:rFonts w:eastAsia="Times New Roman"/>
          <w:b/>
          <w:bCs/>
          <w:sz w:val="19"/>
          <w:szCs w:val="19"/>
        </w:rPr>
        <w:t>Refreshment of the Scheme Mandate Limit</w:t>
      </w:r>
      <w:r>
        <w:rPr>
          <w:rFonts w:eastAsia="Times New Roman"/>
          <w:sz w:val="19"/>
          <w:szCs w:val="19"/>
        </w:rPr>
        <w:t xml:space="preserve">. Subject to the requirements of the HKEx Listing </w:t>
      </w:r>
      <w:r>
        <w:rPr>
          <w:rFonts w:eastAsia="Times New Roman"/>
          <w:sz w:val="19"/>
          <w:szCs w:val="19"/>
        </w:rPr>
        <w:t>Rules in force from time to time, the Scheme Mandate Limit may be refreshed by the shareholders in a general meeting after three years from the date of the Company’s shareholders’ approval for the last refreshment (or the adoption of this Plan). Additional</w:t>
      </w:r>
      <w:r>
        <w:rPr>
          <w:rFonts w:eastAsia="Times New Roman"/>
          <w:sz w:val="19"/>
          <w:szCs w:val="19"/>
        </w:rPr>
        <w:t xml:space="preserve"> “refreshment” within any three year period must be approved by independent shareholders of the Company in a manner compliant with Chapter 17 of the Listing Rules in force from time to time. The Scheme Mandate Limit so refreshed shall not exceed 10% of the</w:t>
      </w:r>
      <w:r>
        <w:rPr>
          <w:rFonts w:eastAsia="Times New Roman"/>
          <w:sz w:val="19"/>
          <w:szCs w:val="19"/>
        </w:rPr>
        <w:t xml:space="preserve"> total number of issued shares of Stock as at the date of the shareholders’ approval of the refreshing of the Scheme Mandate Limit.</w:t>
      </w:r>
    </w:p>
    <w:p w:rsidR="00CC2C66" w:rsidRDefault="00CC2C66">
      <w:pPr>
        <w:spacing w:line="201" w:lineRule="exact"/>
        <w:rPr>
          <w:sz w:val="20"/>
          <w:szCs w:val="20"/>
        </w:rPr>
      </w:pPr>
    </w:p>
    <w:p w:rsidR="00CC2C66" w:rsidRDefault="00F80B74">
      <w:pPr>
        <w:spacing w:line="269" w:lineRule="auto"/>
        <w:ind w:left="420" w:firstLine="521"/>
        <w:jc w:val="both"/>
        <w:rPr>
          <w:sz w:val="20"/>
          <w:szCs w:val="20"/>
        </w:rPr>
      </w:pPr>
      <w:r>
        <w:rPr>
          <w:rFonts w:eastAsia="Times New Roman"/>
          <w:sz w:val="19"/>
          <w:szCs w:val="19"/>
        </w:rPr>
        <w:t xml:space="preserve">4.5 </w:t>
      </w:r>
      <w:r>
        <w:rPr>
          <w:rFonts w:eastAsia="Times New Roman"/>
          <w:b/>
          <w:bCs/>
          <w:sz w:val="19"/>
          <w:szCs w:val="19"/>
        </w:rPr>
        <w:t>Grants beyond the Scheme Mandate Limit</w:t>
      </w:r>
      <w:r>
        <w:rPr>
          <w:rFonts w:eastAsia="Times New Roman"/>
          <w:sz w:val="19"/>
          <w:szCs w:val="19"/>
        </w:rPr>
        <w:t>. The Company may seek separate approvals from the shareholders for granting Awar</w:t>
      </w:r>
      <w:r>
        <w:rPr>
          <w:rFonts w:eastAsia="Times New Roman"/>
          <w:sz w:val="19"/>
          <w:szCs w:val="19"/>
        </w:rPr>
        <w:t>ds beyond the Scheme Mandate Limit in a manner as allowed under the HKEx Listing Rules.</w:t>
      </w:r>
    </w:p>
    <w:p w:rsidR="00CC2C66" w:rsidRDefault="00CC2C66">
      <w:pPr>
        <w:spacing w:line="187" w:lineRule="exact"/>
        <w:rPr>
          <w:sz w:val="20"/>
          <w:szCs w:val="20"/>
        </w:rPr>
      </w:pPr>
    </w:p>
    <w:p w:rsidR="00CC2C66" w:rsidRDefault="00F80B74">
      <w:pPr>
        <w:spacing w:line="261" w:lineRule="auto"/>
        <w:ind w:left="420" w:right="20" w:firstLine="521"/>
        <w:jc w:val="both"/>
        <w:rPr>
          <w:sz w:val="20"/>
          <w:szCs w:val="20"/>
        </w:rPr>
      </w:pPr>
      <w:r>
        <w:rPr>
          <w:rFonts w:eastAsia="Times New Roman"/>
          <w:sz w:val="18"/>
          <w:szCs w:val="18"/>
        </w:rPr>
        <w:t xml:space="preserve">4.6 </w:t>
      </w:r>
      <w:r>
        <w:rPr>
          <w:rFonts w:eastAsia="Times New Roman"/>
          <w:b/>
          <w:bCs/>
          <w:sz w:val="18"/>
          <w:szCs w:val="18"/>
        </w:rPr>
        <w:t>Minimum Vesting Requirements</w:t>
      </w:r>
      <w:r>
        <w:rPr>
          <w:rFonts w:eastAsia="Times New Roman"/>
          <w:sz w:val="18"/>
          <w:szCs w:val="18"/>
        </w:rPr>
        <w:t>. Notwithstanding any other provision of the Plan to the contrary, Awards granted under the Plan (other than cash-based awards) shall v</w:t>
      </w:r>
      <w:r>
        <w:rPr>
          <w:rFonts w:eastAsia="Times New Roman"/>
          <w:sz w:val="18"/>
          <w:szCs w:val="18"/>
        </w:rPr>
        <w:t>est no earlier than the first anniversary of the date on which the Award is granted; provided, that the following Awards granted to Employee Participants shall not be subject to the foregoing minimum vesting requirement: any</w:t>
      </w:r>
    </w:p>
    <w:p w:rsidR="00CC2C66" w:rsidRDefault="00F80B74">
      <w:pPr>
        <w:numPr>
          <w:ilvl w:val="0"/>
          <w:numId w:val="137"/>
        </w:numPr>
        <w:tabs>
          <w:tab w:val="left" w:pos="660"/>
        </w:tabs>
        <w:spacing w:line="239" w:lineRule="auto"/>
        <w:ind w:left="420" w:hanging="9"/>
        <w:jc w:val="both"/>
        <w:rPr>
          <w:rFonts w:eastAsia="Times New Roman"/>
          <w:sz w:val="19"/>
          <w:szCs w:val="19"/>
        </w:rPr>
      </w:pPr>
      <w:r>
        <w:rPr>
          <w:rFonts w:eastAsia="Times New Roman"/>
          <w:sz w:val="19"/>
          <w:szCs w:val="19"/>
        </w:rPr>
        <w:t xml:space="preserve">Substitute Awards granted in </w:t>
      </w:r>
      <w:r>
        <w:rPr>
          <w:rFonts w:eastAsia="Times New Roman"/>
          <w:sz w:val="19"/>
          <w:szCs w:val="19"/>
        </w:rPr>
        <w:t>connection with awards that are assumed, converted or substituted pursuant to a merger, acquisition or similar transaction entered into by the Company or any of its Subsidiaries, (ii) Awards to Non-employee Directors that vest on earlier of the one-year an</w:t>
      </w:r>
      <w:r>
        <w:rPr>
          <w:rFonts w:eastAsia="Times New Roman"/>
          <w:sz w:val="19"/>
          <w:szCs w:val="19"/>
        </w:rPr>
        <w:t>niversary of the date of grant and the next annual meeting of shareholders which is at least 50 weeks after the immediately preceding year’s annual meeting, and (iii) any additional Awards the Committee may grant, up to a maximum of five percent (5%) of th</w:t>
      </w:r>
      <w:r>
        <w:rPr>
          <w:rFonts w:eastAsia="Times New Roman"/>
          <w:sz w:val="19"/>
          <w:szCs w:val="19"/>
        </w:rPr>
        <w:t>e Scheme Mandate Limit pursuant to Section 4.1(b) (subject to adjustment under Section 4.2) in respect of (A) sign-on or make-whole grants to new Employee Participants, (B) grants of Awards with performance-based vesting conditions, (C) grants of Awards th</w:t>
      </w:r>
      <w:r>
        <w:rPr>
          <w:rFonts w:eastAsia="Times New Roman"/>
          <w:sz w:val="19"/>
          <w:szCs w:val="19"/>
        </w:rPr>
        <w:t xml:space="preserve">at are made in batches for administrative or compliance reasons, (D) grants of Awards that vest evenly over a period of 12 months or more, (E) grants of Awards with a total vesting and holding period of more than 12 months, and (F) shares of Stock subject </w:t>
      </w:r>
      <w:r>
        <w:rPr>
          <w:rFonts w:eastAsia="Times New Roman"/>
          <w:sz w:val="19"/>
          <w:szCs w:val="19"/>
        </w:rPr>
        <w:t>to a minimum holding period of 12 months which are delivered to an Employee Participant under his/her compensation arrangements with the Company, including shares of stock delivered to a Non-employee</w:t>
      </w:r>
    </w:p>
    <w:p w:rsidR="00CC2C66" w:rsidRDefault="00CC2C66">
      <w:pPr>
        <w:spacing w:line="128"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79</w:t>
      </w:r>
    </w:p>
    <w:p w:rsidR="00CC2C66" w:rsidRDefault="00F80B74">
      <w:pPr>
        <w:spacing w:line="20" w:lineRule="exact"/>
        <w:rPr>
          <w:sz w:val="20"/>
          <w:szCs w:val="20"/>
        </w:rPr>
      </w:pPr>
      <w:r>
        <w:rPr>
          <w:noProof/>
          <w:sz w:val="20"/>
          <w:szCs w:val="20"/>
        </w:rPr>
        <w:drawing>
          <wp:anchor distT="0" distB="0" distL="114300" distR="114300" simplePos="0" relativeHeight="251791360"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6" w:name="page86"/>
      <w:bookmarkEnd w:id="86"/>
      <w:r>
        <w:rPr>
          <w:rFonts w:eastAsia="Times New Roman"/>
          <w:b/>
          <w:bCs/>
          <w:noProof/>
          <w:color w:val="0000EE"/>
          <w:sz w:val="17"/>
          <w:szCs w:val="17"/>
          <w:u w:val="single"/>
        </w:rPr>
        <w:drawing>
          <wp:anchor distT="0" distB="0" distL="114300" distR="114300" simplePos="0" relativeHeight="25179238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w:t>
      </w:r>
      <w:r>
        <w:rPr>
          <w:rFonts w:eastAsia="Times New Roman"/>
          <w:b/>
          <w:bCs/>
          <w:color w:val="0000EE"/>
          <w:sz w:val="17"/>
          <w:szCs w:val="17"/>
          <w:u w:val="single"/>
        </w:rPr>
        <w:t>able of Contents</w:t>
      </w:r>
    </w:p>
    <w:p w:rsidR="00CC2C66" w:rsidRDefault="00F80B74">
      <w:pPr>
        <w:spacing w:line="20" w:lineRule="exact"/>
        <w:rPr>
          <w:sz w:val="20"/>
          <w:szCs w:val="20"/>
        </w:rPr>
      </w:pPr>
      <w:r>
        <w:rPr>
          <w:noProof/>
          <w:sz w:val="20"/>
          <w:szCs w:val="20"/>
        </w:rPr>
        <w:drawing>
          <wp:anchor distT="0" distB="0" distL="114300" distR="114300" simplePos="0" relativeHeight="251793408" behindDoc="1" locked="0" layoutInCell="0" allowOverlap="1">
            <wp:simplePos x="0" y="0"/>
            <wp:positionH relativeFrom="column">
              <wp:posOffset>260985</wp:posOffset>
            </wp:positionH>
            <wp:positionV relativeFrom="paragraph">
              <wp:posOffset>196850</wp:posOffset>
            </wp:positionV>
            <wp:extent cx="3853815" cy="19494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8">
                      <a:extLst/>
                    </a:blip>
                    <a:srcRect/>
                    <a:stretch>
                      <a:fillRect/>
                    </a:stretch>
                  </pic:blipFill>
                  <pic:spPr bwMode="auto">
                    <a:xfrm>
                      <a:off x="0" y="0"/>
                      <a:ext cx="38538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45" w:lineRule="auto"/>
        <w:ind w:left="420"/>
        <w:jc w:val="both"/>
        <w:rPr>
          <w:sz w:val="20"/>
          <w:szCs w:val="20"/>
        </w:rPr>
      </w:pPr>
      <w:r>
        <w:rPr>
          <w:rFonts w:eastAsia="Times New Roman"/>
          <w:sz w:val="19"/>
          <w:szCs w:val="19"/>
        </w:rPr>
        <w:t xml:space="preserve">Director in respect of such Non-employee Director’s annual retainer; and, provided, further, that the foregoing restriction does not apply to the Committee’s </w:t>
      </w:r>
      <w:r>
        <w:rPr>
          <w:rFonts w:eastAsia="Times New Roman"/>
          <w:sz w:val="19"/>
          <w:szCs w:val="19"/>
        </w:rPr>
        <w:t>discretion to provide for accelerated exercisability or vesting of any award in cases of retirement, separation, retention arrangements, death, disability or a Change in Control, in the terms of the Award Agreement or otherwise. The Committee shall when de</w:t>
      </w:r>
      <w:r>
        <w:rPr>
          <w:rFonts w:eastAsia="Times New Roman"/>
          <w:sz w:val="19"/>
          <w:szCs w:val="19"/>
        </w:rPr>
        <w:t>termining the vesting period of each grant of Award consider the purpose of the Plan, including but not limited to attraction and retention of individuals to the Company, motivation of performance and provision of competitive incentive opportunities.</w:t>
      </w:r>
    </w:p>
    <w:p w:rsidR="00CC2C66" w:rsidRDefault="00CC2C66">
      <w:pPr>
        <w:spacing w:line="210" w:lineRule="exact"/>
        <w:rPr>
          <w:sz w:val="20"/>
          <w:szCs w:val="20"/>
        </w:rPr>
      </w:pPr>
    </w:p>
    <w:p w:rsidR="00CC2C66" w:rsidRDefault="00F80B74">
      <w:pPr>
        <w:spacing w:line="263" w:lineRule="auto"/>
        <w:ind w:left="420" w:firstLine="521"/>
        <w:jc w:val="both"/>
        <w:rPr>
          <w:sz w:val="20"/>
          <w:szCs w:val="20"/>
        </w:rPr>
      </w:pPr>
      <w:r>
        <w:rPr>
          <w:rFonts w:eastAsia="Times New Roman"/>
          <w:sz w:val="18"/>
          <w:szCs w:val="18"/>
        </w:rPr>
        <w:t xml:space="preserve">4.7 </w:t>
      </w:r>
      <w:r>
        <w:rPr>
          <w:rFonts w:eastAsia="Times New Roman"/>
          <w:b/>
          <w:bCs/>
          <w:sz w:val="18"/>
          <w:szCs w:val="18"/>
        </w:rPr>
        <w:t>Lapse of Awards</w:t>
      </w:r>
      <w:r>
        <w:rPr>
          <w:rFonts w:eastAsia="Times New Roman"/>
          <w:sz w:val="18"/>
          <w:szCs w:val="18"/>
        </w:rPr>
        <w:t>. Unless otherwise set forth in the Award Agreement or determined by the Committee, Awards shall cease to vest upon a termination of the Participant’s employment or service with the Company or the Participant ceasing to be an Eligible Indivi</w:t>
      </w:r>
      <w:r>
        <w:rPr>
          <w:rFonts w:eastAsia="Times New Roman"/>
          <w:sz w:val="18"/>
          <w:szCs w:val="18"/>
        </w:rPr>
        <w:t>dual. In the event an Option or SAR expires without being exercised during the period prescribed under section 2.5(b) or an Award do not vest, such Award shall lapse, automatically forfeited and cancelled by the Company without action on the part of the Pa</w:t>
      </w:r>
      <w:r>
        <w:rPr>
          <w:rFonts w:eastAsia="Times New Roman"/>
          <w:sz w:val="18"/>
          <w:szCs w:val="18"/>
        </w:rPr>
        <w:t>rticipant and for no consideration. The Company shall owe no liability to any participant for the lapse of any Award under this paragraph.</w:t>
      </w:r>
    </w:p>
    <w:p w:rsidR="00CC2C66" w:rsidRDefault="00CC2C66">
      <w:pPr>
        <w:spacing w:line="259" w:lineRule="exact"/>
        <w:rPr>
          <w:sz w:val="20"/>
          <w:szCs w:val="20"/>
        </w:rPr>
      </w:pPr>
    </w:p>
    <w:p w:rsidR="00CC2C66" w:rsidRDefault="00F80B74">
      <w:pPr>
        <w:ind w:right="-419"/>
        <w:jc w:val="center"/>
        <w:rPr>
          <w:sz w:val="20"/>
          <w:szCs w:val="20"/>
        </w:rPr>
      </w:pPr>
      <w:r>
        <w:rPr>
          <w:rFonts w:eastAsia="Times New Roman"/>
          <w:b/>
          <w:bCs/>
          <w:sz w:val="19"/>
          <w:szCs w:val="19"/>
        </w:rPr>
        <w:t>SECTION 5.</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Change in Control</w:t>
      </w:r>
    </w:p>
    <w:p w:rsidR="00CC2C66" w:rsidRDefault="00CC2C66">
      <w:pPr>
        <w:spacing w:line="221" w:lineRule="exact"/>
        <w:rPr>
          <w:sz w:val="20"/>
          <w:szCs w:val="20"/>
        </w:rPr>
      </w:pPr>
    </w:p>
    <w:p w:rsidR="00CC2C66" w:rsidRDefault="00F80B74">
      <w:pPr>
        <w:spacing w:line="247" w:lineRule="auto"/>
        <w:ind w:left="420"/>
        <w:jc w:val="both"/>
        <w:rPr>
          <w:sz w:val="20"/>
          <w:szCs w:val="20"/>
        </w:rPr>
      </w:pPr>
      <w:r>
        <w:rPr>
          <w:rFonts w:eastAsia="Times New Roman"/>
          <w:sz w:val="19"/>
          <w:szCs w:val="19"/>
        </w:rPr>
        <w:t>Subject to the provisions of subsection 4.2 (relating to the adjustment of shares), a</w:t>
      </w:r>
      <w:r>
        <w:rPr>
          <w:rFonts w:eastAsia="Times New Roman"/>
          <w:sz w:val="19"/>
          <w:szCs w:val="19"/>
        </w:rPr>
        <w:t xml:space="preserve">nd except as otherwise provided in the Plan or the Award Agreement reflecting the applicable Award, if a Change in Control occurs prior to the date on which an Award is vested and prior to the Participant’s separation from service and if the Participant’s </w:t>
      </w:r>
      <w:r>
        <w:rPr>
          <w:rFonts w:eastAsia="Times New Roman"/>
          <w:sz w:val="19"/>
          <w:szCs w:val="19"/>
        </w:rPr>
        <w:t>employment is involuntarily terminated by the Company (other than for cause) on or within two years following the Change in Control, then:</w:t>
      </w:r>
    </w:p>
    <w:p w:rsidR="00CC2C66" w:rsidRDefault="00CC2C66">
      <w:pPr>
        <w:spacing w:line="251" w:lineRule="exact"/>
        <w:rPr>
          <w:sz w:val="20"/>
          <w:szCs w:val="20"/>
        </w:rPr>
      </w:pPr>
    </w:p>
    <w:p w:rsidR="00CC2C66" w:rsidRDefault="00F80B74">
      <w:pPr>
        <w:numPr>
          <w:ilvl w:val="0"/>
          <w:numId w:val="138"/>
        </w:numPr>
        <w:tabs>
          <w:tab w:val="left" w:pos="1440"/>
        </w:tabs>
        <w:ind w:left="1440" w:hanging="518"/>
        <w:rPr>
          <w:rFonts w:eastAsia="Times New Roman"/>
          <w:sz w:val="19"/>
          <w:szCs w:val="19"/>
        </w:rPr>
      </w:pPr>
      <w:r>
        <w:rPr>
          <w:rFonts w:eastAsia="Times New Roman"/>
          <w:sz w:val="19"/>
          <w:szCs w:val="19"/>
        </w:rPr>
        <w:t>All outstanding Options (regardless of whether in tandem with SARs) shall become fully exercisable.</w:t>
      </w:r>
    </w:p>
    <w:p w:rsidR="00CC2C66" w:rsidRDefault="00CC2C66">
      <w:pPr>
        <w:spacing w:line="279" w:lineRule="exact"/>
        <w:rPr>
          <w:rFonts w:eastAsia="Times New Roman"/>
          <w:sz w:val="19"/>
          <w:szCs w:val="19"/>
        </w:rPr>
      </w:pPr>
    </w:p>
    <w:p w:rsidR="00CC2C66" w:rsidRDefault="00F80B74">
      <w:pPr>
        <w:numPr>
          <w:ilvl w:val="0"/>
          <w:numId w:val="138"/>
        </w:numPr>
        <w:tabs>
          <w:tab w:val="left" w:pos="1440"/>
        </w:tabs>
        <w:ind w:left="1440" w:hanging="518"/>
        <w:rPr>
          <w:rFonts w:eastAsia="Times New Roman"/>
          <w:sz w:val="19"/>
          <w:szCs w:val="19"/>
        </w:rPr>
      </w:pPr>
      <w:r>
        <w:rPr>
          <w:rFonts w:eastAsia="Times New Roman"/>
          <w:sz w:val="19"/>
          <w:szCs w:val="19"/>
        </w:rPr>
        <w:t>All outstanding</w:t>
      </w:r>
      <w:r>
        <w:rPr>
          <w:rFonts w:eastAsia="Times New Roman"/>
          <w:sz w:val="19"/>
          <w:szCs w:val="19"/>
        </w:rPr>
        <w:t xml:space="preserve"> SARs (regardless of whether in tandem with Options) shall become fully exercisable.</w:t>
      </w:r>
    </w:p>
    <w:p w:rsidR="00CC2C66" w:rsidRDefault="00CC2C66">
      <w:pPr>
        <w:spacing w:line="279" w:lineRule="exact"/>
        <w:rPr>
          <w:rFonts w:eastAsia="Times New Roman"/>
          <w:sz w:val="19"/>
          <w:szCs w:val="19"/>
        </w:rPr>
      </w:pPr>
    </w:p>
    <w:p w:rsidR="00CC2C66" w:rsidRDefault="00F80B74">
      <w:pPr>
        <w:numPr>
          <w:ilvl w:val="0"/>
          <w:numId w:val="138"/>
        </w:numPr>
        <w:tabs>
          <w:tab w:val="left" w:pos="1440"/>
        </w:tabs>
        <w:spacing w:line="247" w:lineRule="auto"/>
        <w:ind w:left="1440" w:hanging="518"/>
        <w:jc w:val="both"/>
        <w:rPr>
          <w:rFonts w:eastAsia="Times New Roman"/>
          <w:sz w:val="19"/>
          <w:szCs w:val="19"/>
        </w:rPr>
      </w:pPr>
      <w:r>
        <w:rPr>
          <w:rFonts w:eastAsia="Times New Roman"/>
          <w:sz w:val="19"/>
          <w:szCs w:val="19"/>
        </w:rPr>
        <w:t>All Full Value Awards (including any Award payable in Stock which is granted in conjunction with a Company deferral program) shall become fully vested and the Committee s</w:t>
      </w:r>
      <w:r>
        <w:rPr>
          <w:rFonts w:eastAsia="Times New Roman"/>
          <w:sz w:val="19"/>
          <w:szCs w:val="19"/>
        </w:rPr>
        <w:t>hall determine the extent to which performance conditions as assessed in accordance with the Performance Measures are met in accordance with the terms of the Plan and the applicable Award Agreement.</w:t>
      </w:r>
    </w:p>
    <w:p w:rsidR="00CC2C66" w:rsidRDefault="00CC2C66">
      <w:pPr>
        <w:spacing w:line="199" w:lineRule="exact"/>
        <w:rPr>
          <w:sz w:val="20"/>
          <w:szCs w:val="20"/>
        </w:rPr>
      </w:pPr>
    </w:p>
    <w:p w:rsidR="00CC2C66" w:rsidRDefault="00F80B74">
      <w:pPr>
        <w:spacing w:line="265" w:lineRule="auto"/>
        <w:ind w:left="420"/>
        <w:jc w:val="both"/>
        <w:rPr>
          <w:sz w:val="20"/>
          <w:szCs w:val="20"/>
        </w:rPr>
      </w:pPr>
      <w:r>
        <w:rPr>
          <w:rFonts w:eastAsia="Times New Roman"/>
          <w:sz w:val="19"/>
          <w:szCs w:val="19"/>
        </w:rPr>
        <w:t xml:space="preserve">In no event shall the application of this Section 5 </w:t>
      </w:r>
      <w:r>
        <w:rPr>
          <w:rFonts w:eastAsia="Times New Roman"/>
          <w:sz w:val="19"/>
          <w:szCs w:val="19"/>
        </w:rPr>
        <w:t>cause the vesting period of any Award of any Participant who is not an Employee Participant to be less than 12 months.</w:t>
      </w:r>
    </w:p>
    <w:p w:rsidR="00CC2C66" w:rsidRDefault="00CC2C66">
      <w:pPr>
        <w:spacing w:line="195" w:lineRule="exact"/>
        <w:rPr>
          <w:sz w:val="20"/>
          <w:szCs w:val="20"/>
        </w:rPr>
      </w:pPr>
    </w:p>
    <w:p w:rsidR="00CC2C66" w:rsidRDefault="00F80B74">
      <w:pPr>
        <w:spacing w:line="265" w:lineRule="auto"/>
        <w:ind w:left="420"/>
        <w:jc w:val="both"/>
        <w:rPr>
          <w:sz w:val="20"/>
          <w:szCs w:val="20"/>
        </w:rPr>
      </w:pPr>
      <w:r>
        <w:rPr>
          <w:rFonts w:eastAsia="Times New Roman"/>
          <w:sz w:val="18"/>
          <w:szCs w:val="18"/>
        </w:rPr>
        <w:t>Notwithstanding anything in this Plan or any Award agreement to the contrary, to the extent any provision of this Plan or an Award agree</w:t>
      </w:r>
      <w:r>
        <w:rPr>
          <w:rFonts w:eastAsia="Times New Roman"/>
          <w:sz w:val="18"/>
          <w:szCs w:val="18"/>
        </w:rPr>
        <w:t>ment would cause a payment of deferred compensation that is subject to Code Section 409A to be made upon the occurrence of a Change in Control, then such payment shall not be made unless such Change in Control also constitutes a “change in ownership”, “cha</w:t>
      </w:r>
      <w:r>
        <w:rPr>
          <w:rFonts w:eastAsia="Times New Roman"/>
          <w:sz w:val="18"/>
          <w:szCs w:val="18"/>
        </w:rPr>
        <w:t>nge in effective control” or “change in ownership of a substantial portion of the Company’s assets” within the meaning of Code Section 409A.</w:t>
      </w:r>
    </w:p>
    <w:p w:rsidR="00CC2C66" w:rsidRDefault="00CC2C66">
      <w:pPr>
        <w:spacing w:line="257" w:lineRule="exact"/>
        <w:rPr>
          <w:sz w:val="20"/>
          <w:szCs w:val="20"/>
        </w:rPr>
      </w:pPr>
    </w:p>
    <w:p w:rsidR="00CC2C66" w:rsidRDefault="00F80B74">
      <w:pPr>
        <w:ind w:left="5100"/>
        <w:rPr>
          <w:sz w:val="20"/>
          <w:szCs w:val="20"/>
        </w:rPr>
      </w:pPr>
      <w:r>
        <w:rPr>
          <w:rFonts w:eastAsia="Times New Roman"/>
          <w:b/>
          <w:bCs/>
          <w:sz w:val="19"/>
          <w:szCs w:val="19"/>
        </w:rPr>
        <w:t>SECTION 6.</w:t>
      </w:r>
    </w:p>
    <w:p w:rsidR="00CC2C66" w:rsidRDefault="00CC2C66">
      <w:pPr>
        <w:spacing w:line="23" w:lineRule="exact"/>
        <w:rPr>
          <w:sz w:val="20"/>
          <w:szCs w:val="20"/>
        </w:rPr>
      </w:pPr>
    </w:p>
    <w:p w:rsidR="00CC2C66" w:rsidRDefault="00F80B74">
      <w:pPr>
        <w:ind w:left="5060"/>
        <w:rPr>
          <w:sz w:val="20"/>
          <w:szCs w:val="20"/>
        </w:rPr>
      </w:pPr>
      <w:r>
        <w:rPr>
          <w:rFonts w:eastAsia="Times New Roman"/>
          <w:b/>
          <w:bCs/>
          <w:sz w:val="19"/>
          <w:szCs w:val="19"/>
        </w:rPr>
        <w:t>Miscellaneous</w:t>
      </w:r>
    </w:p>
    <w:p w:rsidR="00CC2C66" w:rsidRDefault="00CC2C66">
      <w:pPr>
        <w:spacing w:line="217" w:lineRule="exact"/>
        <w:rPr>
          <w:sz w:val="20"/>
          <w:szCs w:val="20"/>
        </w:rPr>
      </w:pPr>
    </w:p>
    <w:p w:rsidR="00CC2C66" w:rsidRDefault="00F80B74">
      <w:pPr>
        <w:spacing w:line="246" w:lineRule="auto"/>
        <w:ind w:left="420" w:firstLine="521"/>
        <w:jc w:val="both"/>
        <w:rPr>
          <w:sz w:val="20"/>
          <w:szCs w:val="20"/>
        </w:rPr>
      </w:pPr>
      <w:r>
        <w:rPr>
          <w:rFonts w:eastAsia="Times New Roman"/>
          <w:sz w:val="19"/>
          <w:szCs w:val="19"/>
        </w:rPr>
        <w:t xml:space="preserve">6.1 </w:t>
      </w:r>
      <w:r>
        <w:rPr>
          <w:rFonts w:eastAsia="Times New Roman"/>
          <w:b/>
          <w:bCs/>
          <w:sz w:val="19"/>
          <w:szCs w:val="19"/>
        </w:rPr>
        <w:t>Effective Date; Duration</w:t>
      </w:r>
      <w:r>
        <w:rPr>
          <w:rFonts w:eastAsia="Times New Roman"/>
          <w:sz w:val="19"/>
          <w:szCs w:val="19"/>
        </w:rPr>
        <w:t>. Subject to its prior approval by the Company’s shareholde</w:t>
      </w:r>
      <w:r>
        <w:rPr>
          <w:rFonts w:eastAsia="Times New Roman"/>
          <w:sz w:val="19"/>
          <w:szCs w:val="19"/>
        </w:rPr>
        <w:t>rs, this Plan shall become effective as of the effective date of the dual primary listing of the Stock on the Main Board of HKEx (the “Effective Date”). This Plan shall terminate as of the tenth anniversary of the date on which it was approved by the Compa</w:t>
      </w:r>
      <w:r>
        <w:rPr>
          <w:rFonts w:eastAsia="Times New Roman"/>
          <w:sz w:val="19"/>
          <w:szCs w:val="19"/>
        </w:rPr>
        <w:t>ny’s shareholders, unless terminated earlier by the Board. Upon termination of the Plan, no further Award will be offered but the provisions of this Plan shall remain in full force and effect in all other respects. Termination of this Plan</w:t>
      </w:r>
    </w:p>
    <w:p w:rsidR="00CC2C66" w:rsidRDefault="00CC2C66">
      <w:pPr>
        <w:spacing w:line="124" w:lineRule="exact"/>
        <w:rPr>
          <w:sz w:val="20"/>
          <w:szCs w:val="20"/>
        </w:rPr>
      </w:pPr>
    </w:p>
    <w:p w:rsidR="00CC2C66" w:rsidRDefault="00F80B74">
      <w:pPr>
        <w:numPr>
          <w:ilvl w:val="0"/>
          <w:numId w:val="139"/>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w:t>
      </w:r>
      <w:r>
        <w:rPr>
          <w:rFonts w:ascii="Arial" w:eastAsia="Arial" w:hAnsi="Arial" w:cs="Arial"/>
          <w:i/>
          <w:iCs/>
          <w:color w:val="4C4C4C"/>
          <w:sz w:val="14"/>
          <w:szCs w:val="14"/>
        </w:rPr>
        <w:t>xy Statement</w:t>
      </w:r>
    </w:p>
    <w:p w:rsidR="00CC2C66" w:rsidRDefault="00F80B74">
      <w:pPr>
        <w:spacing w:line="20" w:lineRule="exact"/>
        <w:rPr>
          <w:sz w:val="20"/>
          <w:szCs w:val="20"/>
        </w:rPr>
      </w:pPr>
      <w:r>
        <w:rPr>
          <w:noProof/>
          <w:sz w:val="20"/>
          <w:szCs w:val="20"/>
        </w:rPr>
        <w:drawing>
          <wp:anchor distT="0" distB="0" distL="114300" distR="114300" simplePos="0" relativeHeight="251794432"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7" w:name="page87"/>
      <w:bookmarkEnd w:id="87"/>
      <w:r>
        <w:rPr>
          <w:rFonts w:eastAsia="Times New Roman"/>
          <w:b/>
          <w:bCs/>
          <w:noProof/>
          <w:color w:val="0000EE"/>
          <w:sz w:val="17"/>
          <w:szCs w:val="17"/>
          <w:u w:val="single"/>
        </w:rPr>
        <w:drawing>
          <wp:anchor distT="0" distB="0" distL="114300" distR="114300" simplePos="0" relativeHeight="25179545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96480"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65" w:lineRule="auto"/>
        <w:ind w:left="420" w:right="20"/>
        <w:rPr>
          <w:sz w:val="20"/>
          <w:szCs w:val="20"/>
        </w:rPr>
      </w:pPr>
      <w:r>
        <w:rPr>
          <w:rFonts w:eastAsia="Times New Roman"/>
          <w:sz w:val="19"/>
          <w:szCs w:val="19"/>
        </w:rPr>
        <w:t>shall not affect the terms or conditions of any Award granted prior to termination. Awards granted but not yet exercised or vested</w:t>
      </w:r>
      <w:r>
        <w:rPr>
          <w:rFonts w:eastAsia="Times New Roman"/>
          <w:sz w:val="19"/>
          <w:szCs w:val="19"/>
        </w:rPr>
        <w:t xml:space="preserve"> shall continue to be valid and exercisable in accordance with this Plan.</w:t>
      </w:r>
    </w:p>
    <w:p w:rsidR="00CC2C66" w:rsidRDefault="00CC2C66">
      <w:pPr>
        <w:spacing w:line="191" w:lineRule="exact"/>
        <w:rPr>
          <w:sz w:val="20"/>
          <w:szCs w:val="20"/>
        </w:rPr>
      </w:pPr>
    </w:p>
    <w:p w:rsidR="00CC2C66" w:rsidRDefault="00F80B74">
      <w:pPr>
        <w:ind w:left="940"/>
        <w:rPr>
          <w:sz w:val="20"/>
          <w:szCs w:val="20"/>
        </w:rPr>
      </w:pPr>
      <w:r>
        <w:rPr>
          <w:rFonts w:eastAsia="Times New Roman"/>
          <w:sz w:val="19"/>
          <w:szCs w:val="19"/>
        </w:rPr>
        <w:t xml:space="preserve">6.2 </w:t>
      </w:r>
      <w:r>
        <w:rPr>
          <w:rFonts w:eastAsia="Times New Roman"/>
          <w:b/>
          <w:bCs/>
          <w:sz w:val="19"/>
          <w:szCs w:val="19"/>
        </w:rPr>
        <w:t>General Restrictions</w:t>
      </w:r>
      <w:r>
        <w:rPr>
          <w:rFonts w:eastAsia="Times New Roman"/>
          <w:sz w:val="19"/>
          <w:szCs w:val="19"/>
        </w:rPr>
        <w:t>. Distribution of shares of Stock or other amounts under the Plan shall be subject to the following:</w:t>
      </w:r>
    </w:p>
    <w:p w:rsidR="00CC2C66" w:rsidRDefault="00CC2C66">
      <w:pPr>
        <w:spacing w:line="284" w:lineRule="exact"/>
        <w:rPr>
          <w:sz w:val="20"/>
          <w:szCs w:val="20"/>
        </w:rPr>
      </w:pPr>
    </w:p>
    <w:p w:rsidR="00CC2C66" w:rsidRDefault="00F80B74">
      <w:pPr>
        <w:numPr>
          <w:ilvl w:val="0"/>
          <w:numId w:val="140"/>
        </w:numPr>
        <w:tabs>
          <w:tab w:val="left" w:pos="1440"/>
        </w:tabs>
        <w:spacing w:line="247" w:lineRule="auto"/>
        <w:ind w:left="1440" w:hanging="518"/>
        <w:jc w:val="both"/>
        <w:rPr>
          <w:rFonts w:eastAsia="Times New Roman"/>
          <w:sz w:val="19"/>
          <w:szCs w:val="19"/>
        </w:rPr>
      </w:pPr>
      <w:r>
        <w:rPr>
          <w:rFonts w:eastAsia="Times New Roman"/>
          <w:sz w:val="19"/>
          <w:szCs w:val="19"/>
        </w:rPr>
        <w:t>Notwithstanding any other provision of the Plan, the Co</w:t>
      </w:r>
      <w:r>
        <w:rPr>
          <w:rFonts w:eastAsia="Times New Roman"/>
          <w:sz w:val="19"/>
          <w:szCs w:val="19"/>
        </w:rPr>
        <w:t>mpany shall have no liability to deliver any shares of Stock under the Plan or make any other distribution of benefits under the Plan unless such delivery or distribution would comply with all applicable laws (including, without limitation, the requirement</w:t>
      </w:r>
      <w:r>
        <w:rPr>
          <w:rFonts w:eastAsia="Times New Roman"/>
          <w:sz w:val="19"/>
          <w:szCs w:val="19"/>
        </w:rPr>
        <w:t>s of the Securities Act of 1933), and the applicable requirements of any securities exchange or similar entity.</w:t>
      </w:r>
    </w:p>
    <w:p w:rsidR="00CC2C66" w:rsidRDefault="00CC2C66">
      <w:pPr>
        <w:spacing w:line="250" w:lineRule="exact"/>
        <w:rPr>
          <w:rFonts w:eastAsia="Times New Roman"/>
          <w:sz w:val="19"/>
          <w:szCs w:val="19"/>
        </w:rPr>
      </w:pPr>
    </w:p>
    <w:p w:rsidR="00CC2C66" w:rsidRDefault="00F80B74">
      <w:pPr>
        <w:numPr>
          <w:ilvl w:val="0"/>
          <w:numId w:val="140"/>
        </w:numPr>
        <w:tabs>
          <w:tab w:val="left" w:pos="1440"/>
        </w:tabs>
        <w:spacing w:line="247" w:lineRule="auto"/>
        <w:ind w:left="1440" w:hanging="518"/>
        <w:jc w:val="both"/>
        <w:rPr>
          <w:rFonts w:eastAsia="Times New Roman"/>
          <w:sz w:val="19"/>
          <w:szCs w:val="19"/>
        </w:rPr>
      </w:pPr>
      <w:r>
        <w:rPr>
          <w:rFonts w:eastAsia="Times New Roman"/>
          <w:sz w:val="19"/>
          <w:szCs w:val="19"/>
        </w:rPr>
        <w:t>In the case of a Participant who is subject to Section 16(a) and 16(b) of the Exchange Act, the Committee may, at any time, add such conditions</w:t>
      </w:r>
      <w:r>
        <w:rPr>
          <w:rFonts w:eastAsia="Times New Roman"/>
          <w:sz w:val="19"/>
          <w:szCs w:val="19"/>
        </w:rPr>
        <w:t xml:space="preserve"> and limitations to any Award to such Participant, or any feature of any such Award, as the Committee, in its sole discretion, deems necessary or desirable to comply with Section 16(a) or 16(b) of the Exchange Act and the rules and regulations thereunder o</w:t>
      </w:r>
      <w:r>
        <w:rPr>
          <w:rFonts w:eastAsia="Times New Roman"/>
          <w:sz w:val="19"/>
          <w:szCs w:val="19"/>
        </w:rPr>
        <w:t>r to obtain any exemption therefrom.</w:t>
      </w:r>
    </w:p>
    <w:p w:rsidR="00CC2C66" w:rsidRDefault="00CC2C66">
      <w:pPr>
        <w:spacing w:line="250" w:lineRule="exact"/>
        <w:rPr>
          <w:rFonts w:eastAsia="Times New Roman"/>
          <w:sz w:val="19"/>
          <w:szCs w:val="19"/>
        </w:rPr>
      </w:pPr>
    </w:p>
    <w:p w:rsidR="00CC2C66" w:rsidRDefault="00F80B74">
      <w:pPr>
        <w:numPr>
          <w:ilvl w:val="0"/>
          <w:numId w:val="140"/>
        </w:numPr>
        <w:tabs>
          <w:tab w:val="left" w:pos="1440"/>
        </w:tabs>
        <w:spacing w:line="252" w:lineRule="auto"/>
        <w:ind w:left="1440" w:hanging="518"/>
        <w:jc w:val="both"/>
        <w:rPr>
          <w:rFonts w:eastAsia="Times New Roman"/>
          <w:sz w:val="19"/>
          <w:szCs w:val="19"/>
        </w:rPr>
      </w:pPr>
      <w:r>
        <w:rPr>
          <w:rFonts w:eastAsia="Times New Roman"/>
          <w:sz w:val="19"/>
          <w:szCs w:val="19"/>
        </w:rPr>
        <w:t>To the extent that the Plan provides for issuance of stock certificates to reflect the issuance of shares of Stock, the issuance may be effected on a non-certificated basis, to the extent not prohibited by applicable l</w:t>
      </w:r>
      <w:r>
        <w:rPr>
          <w:rFonts w:eastAsia="Times New Roman"/>
          <w:sz w:val="19"/>
          <w:szCs w:val="19"/>
        </w:rPr>
        <w:t>aw or the applicable rules of any stock exchange.</w:t>
      </w:r>
    </w:p>
    <w:p w:rsidR="00CC2C66" w:rsidRDefault="00CC2C66">
      <w:pPr>
        <w:spacing w:line="202" w:lineRule="exact"/>
        <w:rPr>
          <w:sz w:val="20"/>
          <w:szCs w:val="20"/>
        </w:rPr>
      </w:pPr>
    </w:p>
    <w:p w:rsidR="00CC2C66" w:rsidRDefault="00F80B74">
      <w:pPr>
        <w:spacing w:line="241" w:lineRule="auto"/>
        <w:ind w:left="420" w:firstLine="521"/>
        <w:jc w:val="both"/>
        <w:rPr>
          <w:sz w:val="20"/>
          <w:szCs w:val="20"/>
        </w:rPr>
      </w:pPr>
      <w:r>
        <w:rPr>
          <w:rFonts w:eastAsia="Times New Roman"/>
          <w:sz w:val="19"/>
          <w:szCs w:val="19"/>
        </w:rPr>
        <w:t xml:space="preserve">6.3 </w:t>
      </w:r>
      <w:r>
        <w:rPr>
          <w:rFonts w:eastAsia="Times New Roman"/>
          <w:b/>
          <w:bCs/>
          <w:sz w:val="19"/>
          <w:szCs w:val="19"/>
        </w:rPr>
        <w:t>Tax Withholding</w:t>
      </w:r>
      <w:r>
        <w:rPr>
          <w:rFonts w:eastAsia="Times New Roman"/>
          <w:sz w:val="19"/>
          <w:szCs w:val="19"/>
        </w:rPr>
        <w:t>. All distributions under the Plan are subject to withholding of all applicable taxes, and the Committee may condition the delivery of any shares or other benefits under the Plan on sati</w:t>
      </w:r>
      <w:r>
        <w:rPr>
          <w:rFonts w:eastAsia="Times New Roman"/>
          <w:sz w:val="19"/>
          <w:szCs w:val="19"/>
        </w:rPr>
        <w:t xml:space="preserve">sfaction of the applicable withholding obligations. The Committee, in its discretion, and subject to such requirements as the Committee may impose prior to the occurrence of such withholding, may permit such withholding obligations to be satisfied through </w:t>
      </w:r>
      <w:r>
        <w:rPr>
          <w:rFonts w:eastAsia="Times New Roman"/>
          <w:sz w:val="19"/>
          <w:szCs w:val="19"/>
        </w:rPr>
        <w:t>(i) cash payment by the Participant, (ii) net settlement by authorizing the Company to withhold whole shares of Stock which would otherwise be delivered having an aggregate Fair Market Value, determined as of the date of settlement, equal to the amount nec</w:t>
      </w:r>
      <w:r>
        <w:rPr>
          <w:rFonts w:eastAsia="Times New Roman"/>
          <w:sz w:val="19"/>
          <w:szCs w:val="19"/>
        </w:rPr>
        <w:t>essary to satisfy such withholding obligation, (iii) the Participant irrevocably authorizing a third party to sell shares of Stock (or a sufficient portion of the shares) acquired upon settlement of the Award and remit to the Company a sufficient portion o</w:t>
      </w:r>
      <w:r>
        <w:rPr>
          <w:rFonts w:eastAsia="Times New Roman"/>
          <w:sz w:val="19"/>
          <w:szCs w:val="19"/>
        </w:rPr>
        <w:t>f the sale proceeds to pay the tax withholding resulting from such settlement, or (iv) any other means approved by the Committee and permitted under applicable law; provided, however, previously-owned Stock that has been held by the Participant or Stock to</w:t>
      </w:r>
      <w:r>
        <w:rPr>
          <w:rFonts w:eastAsia="Times New Roman"/>
          <w:sz w:val="19"/>
          <w:szCs w:val="19"/>
        </w:rPr>
        <w:t xml:space="preserve"> which the Participant is entitled under the Plan may only be used to satisfy the minimum tax withholding required by applicable law (or, if permitted by the Company, such other rate as shall not cause adverse accounting consequences under the accounting r</w:t>
      </w:r>
      <w:r>
        <w:rPr>
          <w:rFonts w:eastAsia="Times New Roman"/>
          <w:sz w:val="19"/>
          <w:szCs w:val="19"/>
        </w:rPr>
        <w:t>ules then in effect).</w:t>
      </w:r>
    </w:p>
    <w:p w:rsidR="00CC2C66" w:rsidRDefault="00CC2C66">
      <w:pPr>
        <w:spacing w:line="204" w:lineRule="exact"/>
        <w:rPr>
          <w:sz w:val="20"/>
          <w:szCs w:val="20"/>
        </w:rPr>
      </w:pPr>
    </w:p>
    <w:p w:rsidR="00CC2C66" w:rsidRDefault="00F80B74">
      <w:pPr>
        <w:spacing w:line="242" w:lineRule="auto"/>
        <w:ind w:left="420" w:firstLine="521"/>
        <w:jc w:val="both"/>
        <w:rPr>
          <w:sz w:val="20"/>
          <w:szCs w:val="20"/>
        </w:rPr>
      </w:pPr>
      <w:r>
        <w:rPr>
          <w:rFonts w:eastAsia="Times New Roman"/>
          <w:sz w:val="19"/>
          <w:szCs w:val="19"/>
        </w:rPr>
        <w:t xml:space="preserve">6.4 </w:t>
      </w:r>
      <w:r>
        <w:rPr>
          <w:rFonts w:eastAsia="Times New Roman"/>
          <w:b/>
          <w:bCs/>
          <w:sz w:val="19"/>
          <w:szCs w:val="19"/>
        </w:rPr>
        <w:t>Grant and Use of Awards</w:t>
      </w:r>
      <w:r>
        <w:rPr>
          <w:rFonts w:eastAsia="Times New Roman"/>
          <w:sz w:val="19"/>
          <w:szCs w:val="19"/>
        </w:rPr>
        <w:t xml:space="preserve">. Subject to subsection 4.1, in the discretion of the Committee, a Participant may be granted any Award permitted under the provisions of the Plan, and more than one Award may be granted to a Participant. </w:t>
      </w:r>
      <w:r>
        <w:rPr>
          <w:rFonts w:eastAsia="Times New Roman"/>
          <w:sz w:val="19"/>
          <w:szCs w:val="19"/>
        </w:rPr>
        <w:t xml:space="preserve">Except as required by applicable law, a Participant is not required to pay any amount in order to apply or accept an Award. Subject to subsection 2.9, Awards may be granted as alternatives to or replacement of awards granted or outstanding under the Plan, </w:t>
      </w:r>
      <w:r>
        <w:rPr>
          <w:rFonts w:eastAsia="Times New Roman"/>
          <w:sz w:val="19"/>
          <w:szCs w:val="19"/>
        </w:rPr>
        <w:t>or any other plan or arrangement of the Company or a Subsidiary (including a plan or arrangement of a business or entity, all or a portion of which is acquired by the Company or a Subsidiary). Subject to applicable laws and applicable rules of any stock ex</w:t>
      </w:r>
      <w:r>
        <w:rPr>
          <w:rFonts w:eastAsia="Times New Roman"/>
          <w:sz w:val="19"/>
          <w:szCs w:val="19"/>
        </w:rPr>
        <w:t>change on which the Stock is listed and the overall limitation on the number of shares of Stock that may be delivered under the Plan, the Committee may use available shares of Stock as the form of payment for compensation, grants or rights earned or due un</w:t>
      </w:r>
      <w:r>
        <w:rPr>
          <w:rFonts w:eastAsia="Times New Roman"/>
          <w:sz w:val="19"/>
          <w:szCs w:val="19"/>
        </w:rPr>
        <w:t>der any other compensation plans or arrangements of the Company or a Subsidiary, including the plans and arrangements of the Company or a Subsidiary assumed in business combinations.</w:t>
      </w:r>
    </w:p>
    <w:p w:rsidR="00CC2C66" w:rsidRDefault="00CC2C66">
      <w:pPr>
        <w:spacing w:line="215" w:lineRule="exact"/>
        <w:rPr>
          <w:sz w:val="20"/>
          <w:szCs w:val="20"/>
        </w:rPr>
      </w:pPr>
    </w:p>
    <w:p w:rsidR="00CC2C66" w:rsidRDefault="00F80B74">
      <w:pPr>
        <w:spacing w:line="269" w:lineRule="auto"/>
        <w:ind w:left="420" w:firstLine="521"/>
        <w:jc w:val="both"/>
        <w:rPr>
          <w:sz w:val="20"/>
          <w:szCs w:val="20"/>
        </w:rPr>
      </w:pPr>
      <w:r>
        <w:rPr>
          <w:rFonts w:eastAsia="Times New Roman"/>
          <w:sz w:val="19"/>
          <w:szCs w:val="19"/>
        </w:rPr>
        <w:t xml:space="preserve">6.5 </w:t>
      </w:r>
      <w:r>
        <w:rPr>
          <w:rFonts w:eastAsia="Times New Roman"/>
          <w:b/>
          <w:bCs/>
          <w:sz w:val="19"/>
          <w:szCs w:val="19"/>
        </w:rPr>
        <w:t>Timing on the grant of Awards</w:t>
      </w:r>
      <w:r>
        <w:rPr>
          <w:rFonts w:eastAsia="Times New Roman"/>
          <w:sz w:val="19"/>
          <w:szCs w:val="19"/>
        </w:rPr>
        <w:t>. No Awards shall be granted in the per</w:t>
      </w:r>
      <w:r>
        <w:rPr>
          <w:rFonts w:eastAsia="Times New Roman"/>
          <w:sz w:val="19"/>
          <w:szCs w:val="19"/>
        </w:rPr>
        <w:t>iods prohibited under applicable law or the applicable rules of any stock exchange on which the Stock is listed.</w:t>
      </w:r>
    </w:p>
    <w:p w:rsidR="00CC2C66" w:rsidRDefault="00CC2C66">
      <w:pPr>
        <w:spacing w:line="101"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81</w:t>
      </w:r>
    </w:p>
    <w:p w:rsidR="00CC2C66" w:rsidRDefault="00F80B74">
      <w:pPr>
        <w:spacing w:line="20" w:lineRule="exact"/>
        <w:rPr>
          <w:sz w:val="20"/>
          <w:szCs w:val="20"/>
        </w:rPr>
      </w:pPr>
      <w:r>
        <w:rPr>
          <w:noProof/>
          <w:sz w:val="20"/>
          <w:szCs w:val="20"/>
        </w:rPr>
        <w:drawing>
          <wp:anchor distT="0" distB="0" distL="114300" distR="114300" simplePos="0" relativeHeight="251797504"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8" w:name="page88"/>
      <w:bookmarkEnd w:id="88"/>
      <w:r>
        <w:rPr>
          <w:rFonts w:eastAsia="Times New Roman"/>
          <w:b/>
          <w:bCs/>
          <w:noProof/>
          <w:color w:val="0000EE"/>
          <w:sz w:val="17"/>
          <w:szCs w:val="17"/>
          <w:u w:val="single"/>
        </w:rPr>
        <w:drawing>
          <wp:anchor distT="0" distB="0" distL="114300" distR="114300" simplePos="0" relativeHeight="25179852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799552" behindDoc="1" locked="0" layoutInCell="0" allowOverlap="1">
            <wp:simplePos x="0" y="0"/>
            <wp:positionH relativeFrom="column">
              <wp:posOffset>260985</wp:posOffset>
            </wp:positionH>
            <wp:positionV relativeFrom="paragraph">
              <wp:posOffset>196850</wp:posOffset>
            </wp:positionV>
            <wp:extent cx="3853815" cy="19494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8">
                      <a:extLst/>
                    </a:blip>
                    <a:srcRect/>
                    <a:stretch>
                      <a:fillRect/>
                    </a:stretch>
                  </pic:blipFill>
                  <pic:spPr bwMode="auto">
                    <a:xfrm>
                      <a:off x="0" y="0"/>
                      <a:ext cx="38538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87" w:lineRule="exact"/>
        <w:rPr>
          <w:sz w:val="20"/>
          <w:szCs w:val="20"/>
        </w:rPr>
      </w:pPr>
    </w:p>
    <w:p w:rsidR="00CC2C66" w:rsidRDefault="00F80B74">
      <w:pPr>
        <w:spacing w:line="243" w:lineRule="auto"/>
        <w:ind w:left="420" w:firstLine="521"/>
        <w:jc w:val="both"/>
        <w:rPr>
          <w:sz w:val="20"/>
          <w:szCs w:val="20"/>
        </w:rPr>
      </w:pPr>
      <w:r>
        <w:rPr>
          <w:rFonts w:eastAsia="Times New Roman"/>
          <w:sz w:val="19"/>
          <w:szCs w:val="19"/>
        </w:rPr>
        <w:t xml:space="preserve">6.6 </w:t>
      </w:r>
      <w:r>
        <w:rPr>
          <w:rFonts w:eastAsia="Times New Roman"/>
          <w:b/>
          <w:bCs/>
          <w:sz w:val="19"/>
          <w:szCs w:val="19"/>
        </w:rPr>
        <w:t>Settlement and Payments</w:t>
      </w:r>
      <w:r>
        <w:rPr>
          <w:rFonts w:eastAsia="Times New Roman"/>
          <w:sz w:val="19"/>
          <w:szCs w:val="19"/>
        </w:rPr>
        <w:t>. Awards may be settled through cash payments, the delivery of shares of Stock, the granting of replacement Awards, or combination thereof as the Committee shall determine. Any Award settlement, including payment deferrals, may</w:t>
      </w:r>
      <w:r>
        <w:rPr>
          <w:rFonts w:eastAsia="Times New Roman"/>
          <w:sz w:val="19"/>
          <w:szCs w:val="19"/>
        </w:rPr>
        <w:t xml:space="preserve"> be subject to such conditions, restrictions and contingencies as the Committee shall determine. The Committee may permit or require the deferral of any Award payment (other than Option or SAR other than to the extent permitted by Code Section 409A), subje</w:t>
      </w:r>
      <w:r>
        <w:rPr>
          <w:rFonts w:eastAsia="Times New Roman"/>
          <w:sz w:val="19"/>
          <w:szCs w:val="19"/>
        </w:rPr>
        <w:t>ct to such rules and procedures as it may establish, which may include provisions for the payment or crediting of interest, or dividend equivalents, including converting such credits into deferred Stock equivalents. Each Subsidiary shall be liable for paym</w:t>
      </w:r>
      <w:r>
        <w:rPr>
          <w:rFonts w:eastAsia="Times New Roman"/>
          <w:sz w:val="19"/>
          <w:szCs w:val="19"/>
        </w:rPr>
        <w:t xml:space="preserve">ent of cash due under the Plan with respect to any Participant to the extent that such benefits are attributable to the services rendered for that Subsidiary by the Participant. Any disputes relating to liability of a Subsidiary for cash payments shall be </w:t>
      </w:r>
      <w:r>
        <w:rPr>
          <w:rFonts w:eastAsia="Times New Roman"/>
          <w:sz w:val="19"/>
          <w:szCs w:val="19"/>
        </w:rPr>
        <w:t>resolved by the Committee.</w:t>
      </w:r>
    </w:p>
    <w:p w:rsidR="00CC2C66" w:rsidRDefault="00CC2C66">
      <w:pPr>
        <w:spacing w:line="211" w:lineRule="exact"/>
        <w:rPr>
          <w:sz w:val="20"/>
          <w:szCs w:val="20"/>
        </w:rPr>
      </w:pPr>
    </w:p>
    <w:p w:rsidR="00CC2C66" w:rsidRDefault="00F80B74">
      <w:pPr>
        <w:spacing w:line="242" w:lineRule="auto"/>
        <w:ind w:left="420" w:firstLine="521"/>
        <w:jc w:val="both"/>
        <w:rPr>
          <w:sz w:val="20"/>
          <w:szCs w:val="20"/>
        </w:rPr>
      </w:pPr>
      <w:r>
        <w:rPr>
          <w:rFonts w:eastAsia="Times New Roman"/>
          <w:sz w:val="19"/>
          <w:szCs w:val="19"/>
        </w:rPr>
        <w:t xml:space="preserve">6.7 </w:t>
      </w:r>
      <w:r>
        <w:rPr>
          <w:rFonts w:eastAsia="Times New Roman"/>
          <w:b/>
          <w:bCs/>
          <w:sz w:val="19"/>
          <w:szCs w:val="19"/>
        </w:rPr>
        <w:t>Transferability</w:t>
      </w:r>
      <w:r>
        <w:rPr>
          <w:rFonts w:eastAsia="Times New Roman"/>
          <w:sz w:val="19"/>
          <w:szCs w:val="19"/>
        </w:rPr>
        <w:t>. Awards under the Plan are not transferable except as designated by the Participant by will or by the laws of descent and distribution, or, if provided by the Committee, pursuant to a qualified domestic relat</w:t>
      </w:r>
      <w:r>
        <w:rPr>
          <w:rFonts w:eastAsia="Times New Roman"/>
          <w:sz w:val="19"/>
          <w:szCs w:val="19"/>
        </w:rPr>
        <w:t>ions order (within the meaning of the Code and applicable rules thereunder), in each case, to the extent permitted by applicable law. To the extent that Participant who receives an Award under the Plan has the right to exercise such Award, the Award may be</w:t>
      </w:r>
      <w:r>
        <w:rPr>
          <w:rFonts w:eastAsia="Times New Roman"/>
          <w:sz w:val="19"/>
          <w:szCs w:val="19"/>
        </w:rPr>
        <w:t xml:space="preserve"> exercised during the lifetime of the Participant only by the Participant. Notwithstanding the foregoing provisions of this subsection 6.7, if provided by the Committee and subject to approval, waiver, confirmation or otherwise (as applicable) from the HKE</w:t>
      </w:r>
      <w:r>
        <w:rPr>
          <w:rFonts w:eastAsia="Times New Roman"/>
          <w:sz w:val="19"/>
          <w:szCs w:val="19"/>
        </w:rPr>
        <w:t>x, Awards may be transferred to or for the benefit of the Participant’s family (including, without limitation, to a trust or partnership for the benefit of a Participant’s family), subject to such procedures as the Committee may establish. In no event shal</w:t>
      </w:r>
      <w:r>
        <w:rPr>
          <w:rFonts w:eastAsia="Times New Roman"/>
          <w:sz w:val="19"/>
          <w:szCs w:val="19"/>
        </w:rPr>
        <w:t>l an ISO be transferable to the extent that such transferability would violate the requirements applicable to such option under Code Section 422.</w:t>
      </w:r>
    </w:p>
    <w:p w:rsidR="00CC2C66" w:rsidRDefault="00CC2C66">
      <w:pPr>
        <w:spacing w:line="215" w:lineRule="exact"/>
        <w:rPr>
          <w:sz w:val="20"/>
          <w:szCs w:val="20"/>
        </w:rPr>
      </w:pPr>
    </w:p>
    <w:p w:rsidR="00CC2C66" w:rsidRDefault="00F80B74">
      <w:pPr>
        <w:spacing w:line="243" w:lineRule="auto"/>
        <w:ind w:left="420" w:firstLine="521"/>
        <w:jc w:val="both"/>
        <w:rPr>
          <w:sz w:val="20"/>
          <w:szCs w:val="20"/>
        </w:rPr>
      </w:pPr>
      <w:r>
        <w:rPr>
          <w:rFonts w:eastAsia="Times New Roman"/>
          <w:sz w:val="19"/>
          <w:szCs w:val="19"/>
        </w:rPr>
        <w:t xml:space="preserve">6.8 </w:t>
      </w:r>
      <w:r>
        <w:rPr>
          <w:rFonts w:eastAsia="Times New Roman"/>
          <w:b/>
          <w:bCs/>
          <w:sz w:val="19"/>
          <w:szCs w:val="19"/>
        </w:rPr>
        <w:t>Rights as Shareholder</w:t>
      </w:r>
      <w:r>
        <w:rPr>
          <w:rFonts w:eastAsia="Times New Roman"/>
          <w:sz w:val="19"/>
          <w:szCs w:val="19"/>
        </w:rPr>
        <w:t>. No Participant shall have any right as a shareholder of the Company with respect t</w:t>
      </w:r>
      <w:r>
        <w:rPr>
          <w:rFonts w:eastAsia="Times New Roman"/>
          <w:sz w:val="19"/>
          <w:szCs w:val="19"/>
        </w:rPr>
        <w:t>o any shares of Stock unless and until such Participant becomes a shareholder of record with respect to such shares of Stock. Once a Participant becomes a shareholder of record with respect to the shares of Stock subject to the Award, the Participant shall</w:t>
      </w:r>
      <w:r>
        <w:rPr>
          <w:rFonts w:eastAsia="Times New Roman"/>
          <w:sz w:val="19"/>
          <w:szCs w:val="19"/>
        </w:rPr>
        <w:t xml:space="preserve"> have all rights as a shareholder of the Company, including, but not limited to, voting rights, the right to receive dividends and the right to participate in any capital adjustment applicable to all holders of Common Stock; </w:t>
      </w:r>
      <w:r>
        <w:rPr>
          <w:rFonts w:eastAsia="Times New Roman"/>
          <w:sz w:val="19"/>
          <w:szCs w:val="19"/>
          <w:u w:val="single"/>
        </w:rPr>
        <w:t>provided</w:t>
      </w:r>
      <w:r>
        <w:rPr>
          <w:rFonts w:eastAsia="Times New Roman"/>
          <w:sz w:val="19"/>
          <w:szCs w:val="19"/>
        </w:rPr>
        <w:t xml:space="preserve">, </w:t>
      </w:r>
      <w:r>
        <w:rPr>
          <w:rFonts w:eastAsia="Times New Roman"/>
          <w:sz w:val="19"/>
          <w:szCs w:val="19"/>
          <w:u w:val="single"/>
        </w:rPr>
        <w:t>however</w:t>
      </w:r>
      <w:r>
        <w:rPr>
          <w:rFonts w:eastAsia="Times New Roman"/>
          <w:sz w:val="19"/>
          <w:szCs w:val="19"/>
        </w:rPr>
        <w:t xml:space="preserve">, that a </w:t>
      </w:r>
      <w:r>
        <w:rPr>
          <w:rFonts w:eastAsia="Times New Roman"/>
          <w:sz w:val="19"/>
          <w:szCs w:val="19"/>
        </w:rPr>
        <w:t>distribution or dividend with respect to shares of Stock subject to vesting conditions, including a regular cash dividend, shall be deposited with the Company and shall be subject to the same restrictions as the shares of Stock with respect to which such d</w:t>
      </w:r>
      <w:r>
        <w:rPr>
          <w:rFonts w:eastAsia="Times New Roman"/>
          <w:sz w:val="19"/>
          <w:szCs w:val="19"/>
        </w:rPr>
        <w:t>istribution was made.</w:t>
      </w:r>
    </w:p>
    <w:p w:rsidR="00CC2C66" w:rsidRDefault="00CC2C66">
      <w:pPr>
        <w:spacing w:line="202" w:lineRule="exact"/>
        <w:rPr>
          <w:sz w:val="20"/>
          <w:szCs w:val="20"/>
        </w:rPr>
      </w:pPr>
    </w:p>
    <w:p w:rsidR="00CC2C66" w:rsidRDefault="00F80B74">
      <w:pPr>
        <w:spacing w:line="249" w:lineRule="auto"/>
        <w:ind w:left="420" w:firstLine="521"/>
        <w:jc w:val="both"/>
        <w:rPr>
          <w:sz w:val="20"/>
          <w:szCs w:val="20"/>
        </w:rPr>
      </w:pPr>
      <w:r>
        <w:rPr>
          <w:rFonts w:eastAsia="Times New Roman"/>
          <w:sz w:val="19"/>
          <w:szCs w:val="19"/>
        </w:rPr>
        <w:t xml:space="preserve">6.9 </w:t>
      </w:r>
      <w:r>
        <w:rPr>
          <w:rFonts w:eastAsia="Times New Roman"/>
          <w:b/>
          <w:bCs/>
          <w:sz w:val="19"/>
          <w:szCs w:val="19"/>
        </w:rPr>
        <w:t>Form and Time of Elections</w:t>
      </w:r>
      <w:r>
        <w:rPr>
          <w:rFonts w:eastAsia="Times New Roman"/>
          <w:sz w:val="19"/>
          <w:szCs w:val="19"/>
        </w:rPr>
        <w:t xml:space="preserve">. Unless otherwise specified herein, each election required or permitted to be made by any Participant or other person entitled to benefits under the Plan, and any permitted modification, or revocation </w:t>
      </w:r>
      <w:r>
        <w:rPr>
          <w:rFonts w:eastAsia="Times New Roman"/>
          <w:sz w:val="19"/>
          <w:szCs w:val="19"/>
        </w:rPr>
        <w:t>thereof, shall be in writing filed with the Committee at such times, in such form, and subject to such restrictions and limitations, not inconsistent with the terms of the Plan, as the Committee shall require.</w:t>
      </w:r>
    </w:p>
    <w:p w:rsidR="00CC2C66" w:rsidRDefault="00CC2C66">
      <w:pPr>
        <w:spacing w:line="205" w:lineRule="exact"/>
        <w:rPr>
          <w:sz w:val="20"/>
          <w:szCs w:val="20"/>
        </w:rPr>
      </w:pPr>
    </w:p>
    <w:p w:rsidR="00CC2C66" w:rsidRDefault="00F80B74">
      <w:pPr>
        <w:spacing w:line="246" w:lineRule="auto"/>
        <w:ind w:left="420" w:firstLine="521"/>
        <w:jc w:val="both"/>
        <w:rPr>
          <w:sz w:val="20"/>
          <w:szCs w:val="20"/>
        </w:rPr>
      </w:pPr>
      <w:r>
        <w:rPr>
          <w:rFonts w:eastAsia="Times New Roman"/>
          <w:sz w:val="19"/>
          <w:szCs w:val="19"/>
        </w:rPr>
        <w:t xml:space="preserve">6.10 </w:t>
      </w:r>
      <w:r>
        <w:rPr>
          <w:rFonts w:eastAsia="Times New Roman"/>
          <w:b/>
          <w:bCs/>
          <w:sz w:val="19"/>
          <w:szCs w:val="19"/>
        </w:rPr>
        <w:t>Agreement with Company</w:t>
      </w:r>
      <w:r>
        <w:rPr>
          <w:rFonts w:eastAsia="Times New Roman"/>
          <w:sz w:val="19"/>
          <w:szCs w:val="19"/>
        </w:rPr>
        <w:t>. An Award under t</w:t>
      </w:r>
      <w:r>
        <w:rPr>
          <w:rFonts w:eastAsia="Times New Roman"/>
          <w:sz w:val="19"/>
          <w:szCs w:val="19"/>
        </w:rPr>
        <w:t>he Plan shall be subject to such terms and conditions, not inconsistent with the Plan, as the Committee shall, in its sole discretion, prescribe. The terms and conditions of any Award to any Participant shall be reflected in such form of written document a</w:t>
      </w:r>
      <w:r>
        <w:rPr>
          <w:rFonts w:eastAsia="Times New Roman"/>
          <w:sz w:val="19"/>
          <w:szCs w:val="19"/>
        </w:rPr>
        <w:t xml:space="preserve">s is determined by the Committee. A copy of such document shall be provided to the Participant, and the Committee may, but need not require that the Participant sign a copy of such document. Such document is referred to in the Plan as an “Award Agreement” </w:t>
      </w:r>
      <w:r>
        <w:rPr>
          <w:rFonts w:eastAsia="Times New Roman"/>
          <w:sz w:val="19"/>
          <w:szCs w:val="19"/>
        </w:rPr>
        <w:t>regardless of whether any Participant signature is required.</w:t>
      </w:r>
    </w:p>
    <w:p w:rsidR="00CC2C66" w:rsidRDefault="00CC2C66">
      <w:pPr>
        <w:spacing w:line="209" w:lineRule="exact"/>
        <w:rPr>
          <w:sz w:val="20"/>
          <w:szCs w:val="20"/>
        </w:rPr>
      </w:pPr>
    </w:p>
    <w:p w:rsidR="00CC2C66" w:rsidRDefault="00F80B74">
      <w:pPr>
        <w:spacing w:line="249" w:lineRule="auto"/>
        <w:ind w:left="420" w:firstLine="521"/>
        <w:jc w:val="both"/>
        <w:rPr>
          <w:sz w:val="20"/>
          <w:szCs w:val="20"/>
        </w:rPr>
      </w:pPr>
      <w:r>
        <w:rPr>
          <w:rFonts w:eastAsia="Times New Roman"/>
          <w:sz w:val="19"/>
          <w:szCs w:val="19"/>
        </w:rPr>
        <w:t xml:space="preserve">6.11 </w:t>
      </w:r>
      <w:r>
        <w:rPr>
          <w:rFonts w:eastAsia="Times New Roman"/>
          <w:b/>
          <w:bCs/>
          <w:sz w:val="19"/>
          <w:szCs w:val="19"/>
        </w:rPr>
        <w:t>Notices</w:t>
      </w:r>
      <w:r>
        <w:rPr>
          <w:rFonts w:eastAsia="Times New Roman"/>
          <w:sz w:val="19"/>
          <w:szCs w:val="19"/>
        </w:rPr>
        <w:t xml:space="preserve">. Any notice or document required to be filed with the Committee under the Plan shall be properly filed if delivered or mailed by registered mail, postage prepaid, to the Committee, </w:t>
      </w:r>
      <w:r>
        <w:rPr>
          <w:rFonts w:eastAsia="Times New Roman"/>
          <w:sz w:val="19"/>
          <w:szCs w:val="19"/>
        </w:rPr>
        <w:t xml:space="preserve">in care of the Company or the Subsidiary, as applicable, at its principal executive offices. The Committee may, by advance written notice to affected persons, revise such notice procedure from time to time. Any notice required under the Plan (other than a </w:t>
      </w:r>
      <w:r>
        <w:rPr>
          <w:rFonts w:eastAsia="Times New Roman"/>
          <w:sz w:val="19"/>
          <w:szCs w:val="19"/>
        </w:rPr>
        <w:t>notice of election) may be waived by the person entitled to notice.</w:t>
      </w:r>
    </w:p>
    <w:p w:rsidR="00CC2C66" w:rsidRDefault="00CC2C66">
      <w:pPr>
        <w:spacing w:line="120" w:lineRule="exact"/>
        <w:rPr>
          <w:sz w:val="20"/>
          <w:szCs w:val="20"/>
        </w:rPr>
      </w:pPr>
    </w:p>
    <w:p w:rsidR="00CC2C66" w:rsidRDefault="00F80B74">
      <w:pPr>
        <w:numPr>
          <w:ilvl w:val="0"/>
          <w:numId w:val="141"/>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800576"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89" w:name="page89"/>
      <w:bookmarkEnd w:id="89"/>
      <w:r>
        <w:rPr>
          <w:rFonts w:eastAsia="Times New Roman"/>
          <w:b/>
          <w:bCs/>
          <w:noProof/>
          <w:color w:val="0000EE"/>
          <w:sz w:val="17"/>
          <w:szCs w:val="17"/>
          <w:u w:val="single"/>
        </w:rPr>
        <w:drawing>
          <wp:anchor distT="0" distB="0" distL="114300" distR="114300" simplePos="0" relativeHeight="25180160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02624"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87" w:lineRule="exact"/>
        <w:rPr>
          <w:sz w:val="20"/>
          <w:szCs w:val="20"/>
        </w:rPr>
      </w:pPr>
    </w:p>
    <w:p w:rsidR="00CC2C66" w:rsidRDefault="00F80B74">
      <w:pPr>
        <w:spacing w:line="246" w:lineRule="auto"/>
        <w:ind w:left="420" w:firstLine="521"/>
        <w:jc w:val="both"/>
        <w:rPr>
          <w:sz w:val="20"/>
          <w:szCs w:val="20"/>
        </w:rPr>
      </w:pPr>
      <w:r>
        <w:rPr>
          <w:rFonts w:eastAsia="Times New Roman"/>
          <w:sz w:val="19"/>
          <w:szCs w:val="19"/>
        </w:rPr>
        <w:t xml:space="preserve">6.12 </w:t>
      </w:r>
      <w:r>
        <w:rPr>
          <w:rFonts w:eastAsia="Times New Roman"/>
          <w:b/>
          <w:bCs/>
          <w:sz w:val="19"/>
          <w:szCs w:val="19"/>
        </w:rPr>
        <w:t>Action by Company or Subsidiary</w:t>
      </w:r>
      <w:r>
        <w:rPr>
          <w:rFonts w:eastAsia="Times New Roman"/>
          <w:sz w:val="19"/>
          <w:szCs w:val="19"/>
        </w:rPr>
        <w:t xml:space="preserve">. Any </w:t>
      </w:r>
      <w:r>
        <w:rPr>
          <w:rFonts w:eastAsia="Times New Roman"/>
          <w:sz w:val="19"/>
          <w:szCs w:val="19"/>
        </w:rPr>
        <w:t>action required or permitted to be taken under the Plan by the Company or any Subsidiary shall be by resolution of its board of directors, or by action of one or more non-employee members of the board (including a committee of the board) who are duly autho</w:t>
      </w:r>
      <w:r>
        <w:rPr>
          <w:rFonts w:eastAsia="Times New Roman"/>
          <w:sz w:val="19"/>
          <w:szCs w:val="19"/>
        </w:rPr>
        <w:t>rized to act for the board, or (except to the extent prohibited by applicable law or applicable rules of any stock exchange) by a duly authorized officer of such company, or by any employee of the Company or a Subsidiary who is delegated by the board of di</w:t>
      </w:r>
      <w:r>
        <w:rPr>
          <w:rFonts w:eastAsia="Times New Roman"/>
          <w:sz w:val="19"/>
          <w:szCs w:val="19"/>
        </w:rPr>
        <w:t>rectors authority to take such action.</w:t>
      </w:r>
    </w:p>
    <w:p w:rsidR="00CC2C66" w:rsidRDefault="00CC2C66">
      <w:pPr>
        <w:spacing w:line="209" w:lineRule="exact"/>
        <w:rPr>
          <w:sz w:val="20"/>
          <w:szCs w:val="20"/>
        </w:rPr>
      </w:pPr>
    </w:p>
    <w:p w:rsidR="00CC2C66" w:rsidRDefault="00F80B74">
      <w:pPr>
        <w:spacing w:line="269" w:lineRule="auto"/>
        <w:ind w:left="420" w:firstLine="521"/>
        <w:jc w:val="both"/>
        <w:rPr>
          <w:sz w:val="20"/>
          <w:szCs w:val="20"/>
        </w:rPr>
      </w:pPr>
      <w:r>
        <w:rPr>
          <w:rFonts w:eastAsia="Times New Roman"/>
          <w:sz w:val="19"/>
          <w:szCs w:val="19"/>
        </w:rPr>
        <w:t xml:space="preserve">6.13 </w:t>
      </w:r>
      <w:r>
        <w:rPr>
          <w:rFonts w:eastAsia="Times New Roman"/>
          <w:b/>
          <w:bCs/>
          <w:sz w:val="19"/>
          <w:szCs w:val="19"/>
        </w:rPr>
        <w:t>Gender and Number</w:t>
      </w:r>
      <w:r>
        <w:rPr>
          <w:rFonts w:eastAsia="Times New Roman"/>
          <w:sz w:val="19"/>
          <w:szCs w:val="19"/>
        </w:rPr>
        <w:t>. Where the context admits, words in any gender shall include any other gender, words in the singular shall include the plural and the plural shall include the singular.</w:t>
      </w:r>
    </w:p>
    <w:p w:rsidR="00CC2C66" w:rsidRDefault="00CC2C66">
      <w:pPr>
        <w:spacing w:line="187" w:lineRule="exact"/>
        <w:rPr>
          <w:sz w:val="20"/>
          <w:szCs w:val="20"/>
        </w:rPr>
      </w:pPr>
    </w:p>
    <w:p w:rsidR="00CC2C66" w:rsidRDefault="00F80B74">
      <w:pPr>
        <w:ind w:left="940"/>
        <w:rPr>
          <w:sz w:val="20"/>
          <w:szCs w:val="20"/>
        </w:rPr>
      </w:pPr>
      <w:r>
        <w:rPr>
          <w:rFonts w:eastAsia="Times New Roman"/>
          <w:sz w:val="19"/>
          <w:szCs w:val="19"/>
        </w:rPr>
        <w:t xml:space="preserve">6.14 </w:t>
      </w:r>
      <w:r>
        <w:rPr>
          <w:rFonts w:eastAsia="Times New Roman"/>
          <w:b/>
          <w:bCs/>
          <w:sz w:val="19"/>
          <w:szCs w:val="19"/>
        </w:rPr>
        <w:t xml:space="preserve">Limitation of </w:t>
      </w:r>
      <w:r>
        <w:rPr>
          <w:rFonts w:eastAsia="Times New Roman"/>
          <w:b/>
          <w:bCs/>
          <w:sz w:val="19"/>
          <w:szCs w:val="19"/>
        </w:rPr>
        <w:t>Implied Rights</w:t>
      </w:r>
      <w:r>
        <w:rPr>
          <w:rFonts w:eastAsia="Times New Roman"/>
          <w:sz w:val="19"/>
          <w:szCs w:val="19"/>
        </w:rPr>
        <w:t>.</w:t>
      </w:r>
    </w:p>
    <w:p w:rsidR="00CC2C66" w:rsidRDefault="00CC2C66">
      <w:pPr>
        <w:spacing w:line="284" w:lineRule="exact"/>
        <w:rPr>
          <w:sz w:val="20"/>
          <w:szCs w:val="20"/>
        </w:rPr>
      </w:pPr>
    </w:p>
    <w:p w:rsidR="00CC2C66" w:rsidRDefault="00F80B74">
      <w:pPr>
        <w:numPr>
          <w:ilvl w:val="0"/>
          <w:numId w:val="142"/>
        </w:numPr>
        <w:tabs>
          <w:tab w:val="left" w:pos="1440"/>
        </w:tabs>
        <w:spacing w:line="243" w:lineRule="auto"/>
        <w:ind w:left="1440" w:hanging="518"/>
        <w:jc w:val="both"/>
        <w:rPr>
          <w:rFonts w:eastAsia="Times New Roman"/>
          <w:sz w:val="19"/>
          <w:szCs w:val="19"/>
        </w:rPr>
      </w:pPr>
      <w:r>
        <w:rPr>
          <w:rFonts w:eastAsia="Times New Roman"/>
          <w:sz w:val="19"/>
          <w:szCs w:val="19"/>
        </w:rPr>
        <w:t>Neither a Participant nor any other person shall, by reason of participation in the Plan, acquire any right in or title to any assets, funds or property of the Company or any of the Subsidiaries whatsoever, including, without limitation, a</w:t>
      </w:r>
      <w:r>
        <w:rPr>
          <w:rFonts w:eastAsia="Times New Roman"/>
          <w:sz w:val="19"/>
          <w:szCs w:val="19"/>
        </w:rPr>
        <w:t>ny specific funds, assets, or other property which the Company or any of the Subsidiaries, in its sole discretion, may set aside in anticipation of a liability under the Plan. A Participant shall have only a contractual right to the Stock or amounts, if an</w:t>
      </w:r>
      <w:r>
        <w:rPr>
          <w:rFonts w:eastAsia="Times New Roman"/>
          <w:sz w:val="19"/>
          <w:szCs w:val="19"/>
        </w:rPr>
        <w:t>y, payable under the Plan, unsecured by any assets of the Company or any of the Subsidiaries, and nothing contained in the Plan shall constitute a guarantee that the assets of the Company or any of the Subsidiaries shall be sufficient to pay any benefits t</w:t>
      </w:r>
      <w:r>
        <w:rPr>
          <w:rFonts w:eastAsia="Times New Roman"/>
          <w:sz w:val="19"/>
          <w:szCs w:val="19"/>
        </w:rPr>
        <w:t>o any person.</w:t>
      </w:r>
    </w:p>
    <w:p w:rsidR="00CC2C66" w:rsidRDefault="00CC2C66">
      <w:pPr>
        <w:spacing w:line="253" w:lineRule="exact"/>
        <w:rPr>
          <w:rFonts w:eastAsia="Times New Roman"/>
          <w:sz w:val="19"/>
          <w:szCs w:val="19"/>
        </w:rPr>
      </w:pPr>
    </w:p>
    <w:p w:rsidR="00CC2C66" w:rsidRDefault="00F80B74">
      <w:pPr>
        <w:numPr>
          <w:ilvl w:val="0"/>
          <w:numId w:val="142"/>
        </w:numPr>
        <w:tabs>
          <w:tab w:val="left" w:pos="1440"/>
        </w:tabs>
        <w:spacing w:line="243" w:lineRule="auto"/>
        <w:ind w:left="1440" w:hanging="518"/>
        <w:jc w:val="both"/>
        <w:rPr>
          <w:rFonts w:eastAsia="Times New Roman"/>
          <w:sz w:val="19"/>
          <w:szCs w:val="19"/>
        </w:rPr>
      </w:pPr>
      <w:r>
        <w:rPr>
          <w:rFonts w:eastAsia="Times New Roman"/>
          <w:sz w:val="19"/>
          <w:szCs w:val="19"/>
        </w:rPr>
        <w:t xml:space="preserve">The Plan does not constitute a contract of employment or continued service, and selection as a Participant will not give any participating employee or other individual the right to be retained in the employ of the Company or a Subsidiary or </w:t>
      </w:r>
      <w:r>
        <w:rPr>
          <w:rFonts w:eastAsia="Times New Roman"/>
          <w:sz w:val="19"/>
          <w:szCs w:val="19"/>
        </w:rPr>
        <w:t>the right to continue to provide services to the Company or a Subsidiary, nor any right or claim to any benefit under the Plan, unless such right or claim has specifically accrued under the terms of the Plan. Except as otherwise provided in the Plan, no Aw</w:t>
      </w:r>
      <w:r>
        <w:rPr>
          <w:rFonts w:eastAsia="Times New Roman"/>
          <w:sz w:val="19"/>
          <w:szCs w:val="19"/>
        </w:rPr>
        <w:t>ard under the Plan shall confer upon the holder thereof any rights as a shareholder of the Company prior to the date on which the individual fulfills all conditions for receipt of such rights and shares of Stock are registered in his name.</w:t>
      </w:r>
    </w:p>
    <w:p w:rsidR="00CC2C66" w:rsidRDefault="00CC2C66">
      <w:pPr>
        <w:spacing w:line="202" w:lineRule="exact"/>
        <w:rPr>
          <w:sz w:val="20"/>
          <w:szCs w:val="20"/>
        </w:rPr>
      </w:pPr>
    </w:p>
    <w:p w:rsidR="00CC2C66" w:rsidRDefault="00F80B74">
      <w:pPr>
        <w:spacing w:line="269" w:lineRule="auto"/>
        <w:ind w:left="420" w:right="20" w:firstLine="521"/>
        <w:jc w:val="both"/>
        <w:rPr>
          <w:sz w:val="20"/>
          <w:szCs w:val="20"/>
        </w:rPr>
      </w:pPr>
      <w:r>
        <w:rPr>
          <w:rFonts w:eastAsia="Times New Roman"/>
          <w:sz w:val="19"/>
          <w:szCs w:val="19"/>
        </w:rPr>
        <w:t xml:space="preserve">6.15 </w:t>
      </w:r>
      <w:r>
        <w:rPr>
          <w:rFonts w:eastAsia="Times New Roman"/>
          <w:b/>
          <w:bCs/>
          <w:sz w:val="19"/>
          <w:szCs w:val="19"/>
        </w:rPr>
        <w:t>Evidence</w:t>
      </w:r>
      <w:r>
        <w:rPr>
          <w:rFonts w:eastAsia="Times New Roman"/>
          <w:sz w:val="19"/>
          <w:szCs w:val="19"/>
        </w:rPr>
        <w:t xml:space="preserve">. </w:t>
      </w:r>
      <w:r>
        <w:rPr>
          <w:rFonts w:eastAsia="Times New Roman"/>
          <w:sz w:val="19"/>
          <w:szCs w:val="19"/>
        </w:rPr>
        <w:t>Evidence required of anyone under the Plan may be by certificate, affidavit, document or other information which the person acting on it considers pertinent and reliable, and signed, made or presented by the proper party or parties.</w:t>
      </w:r>
    </w:p>
    <w:p w:rsidR="00CC2C66" w:rsidRDefault="00CC2C66">
      <w:pPr>
        <w:spacing w:line="187" w:lineRule="exact"/>
        <w:rPr>
          <w:sz w:val="20"/>
          <w:szCs w:val="20"/>
        </w:rPr>
      </w:pPr>
    </w:p>
    <w:p w:rsidR="00CC2C66" w:rsidRDefault="00F80B74">
      <w:pPr>
        <w:spacing w:line="241" w:lineRule="auto"/>
        <w:ind w:left="420" w:firstLine="521"/>
        <w:jc w:val="both"/>
        <w:rPr>
          <w:sz w:val="20"/>
          <w:szCs w:val="20"/>
        </w:rPr>
      </w:pPr>
      <w:r>
        <w:rPr>
          <w:rFonts w:eastAsia="Times New Roman"/>
          <w:sz w:val="19"/>
          <w:szCs w:val="19"/>
        </w:rPr>
        <w:t xml:space="preserve">6.16 </w:t>
      </w:r>
      <w:r>
        <w:rPr>
          <w:rFonts w:eastAsia="Times New Roman"/>
          <w:b/>
          <w:bCs/>
          <w:sz w:val="19"/>
          <w:szCs w:val="19"/>
        </w:rPr>
        <w:t>Misconduct</w:t>
      </w:r>
      <w:r>
        <w:rPr>
          <w:rFonts w:eastAsia="Times New Roman"/>
          <w:sz w:val="19"/>
          <w:szCs w:val="19"/>
        </w:rPr>
        <w:t>. If th</w:t>
      </w:r>
      <w:r>
        <w:rPr>
          <w:rFonts w:eastAsia="Times New Roman"/>
          <w:sz w:val="19"/>
          <w:szCs w:val="19"/>
        </w:rPr>
        <w:t>e Committee determines that a present or former employee has (a) used for profit or disclosed to unauthorized persons, confidential or trade secrets of the Company or any Subsidiary; (b) breached any contract with or violated any fiduciary obligation to th</w:t>
      </w:r>
      <w:r>
        <w:rPr>
          <w:rFonts w:eastAsia="Times New Roman"/>
          <w:sz w:val="19"/>
          <w:szCs w:val="19"/>
        </w:rPr>
        <w:t>e Company or any Subsidiary; or (c) engaged in any conduct which the Committee determines is injurious to the Company or its Subsidiaries, the Committee may cause that employee to forfeit his or her outstanding awards under the Plan, provided, however, tha</w:t>
      </w:r>
      <w:r>
        <w:rPr>
          <w:rFonts w:eastAsia="Times New Roman"/>
          <w:sz w:val="19"/>
          <w:szCs w:val="19"/>
        </w:rPr>
        <w:t>t during the pendency of a Potential Change in Control and as of and following the occurrence a Change in Control, no outstanding awards under the Plan shall be subject to forfeiture pursuant to this subsection 6.16. Nothing in this Plan or otherwise is in</w:t>
      </w:r>
      <w:r>
        <w:rPr>
          <w:rFonts w:eastAsia="Times New Roman"/>
          <w:sz w:val="19"/>
          <w:szCs w:val="19"/>
        </w:rPr>
        <w:t xml:space="preserve">tended to, or does, prohibit an Eligible Individual from (i) filing a charge or complaint with, providing truthful information to, or cooperating with an investigation being conducted by a governmental agency (such as the U.S. Equal Employment Opportunity </w:t>
      </w:r>
      <w:r>
        <w:rPr>
          <w:rFonts w:eastAsia="Times New Roman"/>
          <w:sz w:val="19"/>
          <w:szCs w:val="19"/>
        </w:rPr>
        <w:t>Commission, another other fair employment practices agency, the U.S. National Labor Relations Board, the U.S. Department of Labor, or the U.S. Securities and Exchange Commission (the “SEC”)); (ii) engaging in other legally-protected activities; (iii) givin</w:t>
      </w:r>
      <w:r>
        <w:rPr>
          <w:rFonts w:eastAsia="Times New Roman"/>
          <w:sz w:val="19"/>
          <w:szCs w:val="19"/>
        </w:rPr>
        <w:t>g truthful testimony or making statements under oath in response to a subpoena or other valid legal process or in any legal proceeding; (iv) otherwise making truthful statements as required by law or valid legal process; or (v) disclosing a trade secret in</w:t>
      </w:r>
      <w:r>
        <w:rPr>
          <w:rFonts w:eastAsia="Times New Roman"/>
          <w:sz w:val="19"/>
          <w:szCs w:val="19"/>
        </w:rPr>
        <w:t xml:space="preserve"> confidence to a governmental official, directly or indirectly, or to an attorney, if the disclosure is made solely for the purpose of reporting or investigating a suspected violation of law. Accordingly, an Eligible Individual shall not be</w:t>
      </w:r>
    </w:p>
    <w:p w:rsidR="00CC2C66" w:rsidRDefault="00CC2C66">
      <w:pPr>
        <w:spacing w:line="125"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w:t>
      </w:r>
      <w:r>
        <w:rPr>
          <w:rFonts w:ascii="Arial" w:eastAsia="Arial" w:hAnsi="Arial" w:cs="Arial"/>
          <w:i/>
          <w:iCs/>
          <w:color w:val="4C4C4C"/>
          <w:sz w:val="14"/>
          <w:szCs w:val="14"/>
        </w:rPr>
        <w:t>oxy Statement</w:t>
      </w:r>
      <w:r>
        <w:rPr>
          <w:sz w:val="20"/>
          <w:szCs w:val="20"/>
        </w:rPr>
        <w:tab/>
      </w:r>
      <w:r>
        <w:rPr>
          <w:rFonts w:ascii="Arial" w:eastAsia="Arial" w:hAnsi="Arial" w:cs="Arial"/>
          <w:color w:val="CF0A2C"/>
          <w:sz w:val="14"/>
          <w:szCs w:val="14"/>
        </w:rPr>
        <w:t>83</w:t>
      </w:r>
    </w:p>
    <w:p w:rsidR="00CC2C66" w:rsidRDefault="00F80B74">
      <w:pPr>
        <w:spacing w:line="20" w:lineRule="exact"/>
        <w:rPr>
          <w:sz w:val="20"/>
          <w:szCs w:val="20"/>
        </w:rPr>
      </w:pPr>
      <w:r>
        <w:rPr>
          <w:noProof/>
          <w:sz w:val="20"/>
          <w:szCs w:val="20"/>
        </w:rPr>
        <w:drawing>
          <wp:anchor distT="0" distB="0" distL="114300" distR="114300" simplePos="0" relativeHeight="251803648"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0" w:name="page90"/>
      <w:bookmarkEnd w:id="90"/>
      <w:r>
        <w:rPr>
          <w:rFonts w:eastAsia="Times New Roman"/>
          <w:b/>
          <w:bCs/>
          <w:noProof/>
          <w:color w:val="0000EE"/>
          <w:sz w:val="17"/>
          <w:szCs w:val="17"/>
          <w:u w:val="single"/>
        </w:rPr>
        <w:drawing>
          <wp:anchor distT="0" distB="0" distL="114300" distR="114300" simplePos="0" relativeHeight="25180467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05696" behindDoc="1" locked="0" layoutInCell="0" allowOverlap="1">
            <wp:simplePos x="0" y="0"/>
            <wp:positionH relativeFrom="column">
              <wp:posOffset>260985</wp:posOffset>
            </wp:positionH>
            <wp:positionV relativeFrom="paragraph">
              <wp:posOffset>196850</wp:posOffset>
            </wp:positionV>
            <wp:extent cx="3853815" cy="19494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8">
                      <a:extLst/>
                    </a:blip>
                    <a:srcRect/>
                    <a:stretch>
                      <a:fillRect/>
                    </a:stretch>
                  </pic:blipFill>
                  <pic:spPr bwMode="auto">
                    <a:xfrm>
                      <a:off x="0" y="0"/>
                      <a:ext cx="38538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54" w:lineRule="auto"/>
        <w:ind w:left="420"/>
        <w:jc w:val="both"/>
        <w:rPr>
          <w:sz w:val="20"/>
          <w:szCs w:val="20"/>
        </w:rPr>
      </w:pPr>
      <w:r>
        <w:rPr>
          <w:rFonts w:eastAsia="Times New Roman"/>
          <w:sz w:val="18"/>
          <w:szCs w:val="18"/>
        </w:rPr>
        <w:t>held criminally or civilly liable under any federal or state trade secret law for the disclosure of a trade secret that (i) is</w:t>
      </w:r>
      <w:r>
        <w:rPr>
          <w:rFonts w:eastAsia="Times New Roman"/>
          <w:sz w:val="18"/>
          <w:szCs w:val="18"/>
        </w:rPr>
        <w:t xml:space="preserve"> made (A) in confidence to a federal, state, or local government official, either directly or indirectly, or to an attorney, and (B) solely for the purpose of reporting or investigating a suspected violation of law; or (ii) is made in a complaint or other </w:t>
      </w:r>
      <w:r>
        <w:rPr>
          <w:rFonts w:eastAsia="Times New Roman"/>
          <w:sz w:val="18"/>
          <w:szCs w:val="18"/>
        </w:rPr>
        <w:t>document filed in a lawsuit or other proceeding, if such filing is made under seal. In the event an Eligible Individual files a lawsuit for retaliation by the Company for reporting a suspected violation of law, the Eligible Individual may disclose the trad</w:t>
      </w:r>
      <w:r>
        <w:rPr>
          <w:rFonts w:eastAsia="Times New Roman"/>
          <w:sz w:val="18"/>
          <w:szCs w:val="18"/>
        </w:rPr>
        <w:t xml:space="preserve">e secret(s) of the Company to his attorney and use the trade secret information in the court proceeding, if the Eligible Individual (i) files any document containing the trade secret under seal; and (ii) does not disclose the trade secret, except pursuant </w:t>
      </w:r>
      <w:r>
        <w:rPr>
          <w:rFonts w:eastAsia="Times New Roman"/>
          <w:sz w:val="18"/>
          <w:szCs w:val="18"/>
        </w:rPr>
        <w:t>to court order. In accordance with applicable law, and notwithstanding any other provision of this Plan, nothing in this Plan or any of any policies or agreements of the Company or any affiliate applicable to the Eligible Individual</w:t>
      </w:r>
    </w:p>
    <w:p w:rsidR="00CC2C66" w:rsidRDefault="00CC2C66">
      <w:pPr>
        <w:spacing w:line="5" w:lineRule="exact"/>
        <w:rPr>
          <w:sz w:val="20"/>
          <w:szCs w:val="20"/>
        </w:rPr>
      </w:pPr>
    </w:p>
    <w:p w:rsidR="00CC2C66" w:rsidRDefault="00F80B74">
      <w:pPr>
        <w:numPr>
          <w:ilvl w:val="0"/>
          <w:numId w:val="143"/>
        </w:numPr>
        <w:tabs>
          <w:tab w:val="left" w:pos="662"/>
        </w:tabs>
        <w:spacing w:line="241" w:lineRule="auto"/>
        <w:ind w:left="420" w:hanging="9"/>
        <w:jc w:val="both"/>
        <w:rPr>
          <w:rFonts w:eastAsia="Times New Roman"/>
          <w:sz w:val="19"/>
          <w:szCs w:val="19"/>
        </w:rPr>
      </w:pPr>
      <w:r>
        <w:rPr>
          <w:rFonts w:eastAsia="Times New Roman"/>
          <w:sz w:val="19"/>
          <w:szCs w:val="19"/>
        </w:rPr>
        <w:t>impedes an Eligible In</w:t>
      </w:r>
      <w:r>
        <w:rPr>
          <w:rFonts w:eastAsia="Times New Roman"/>
          <w:sz w:val="19"/>
          <w:szCs w:val="19"/>
        </w:rPr>
        <w:t xml:space="preserve">dividual’s right to communicate with the SEC or any other governmental agency about possible violations of federal securities or other laws or regulations or (ii) requires an Eligible Individual to provide any prior notice to the Company or its affiliates </w:t>
      </w:r>
      <w:r>
        <w:rPr>
          <w:rFonts w:eastAsia="Times New Roman"/>
          <w:sz w:val="19"/>
          <w:szCs w:val="19"/>
        </w:rPr>
        <w:t>or obtain their prior approval before engaging in any such communications.</w:t>
      </w:r>
    </w:p>
    <w:p w:rsidR="00CC2C66" w:rsidRDefault="00CC2C66">
      <w:pPr>
        <w:spacing w:line="212" w:lineRule="exact"/>
        <w:rPr>
          <w:sz w:val="20"/>
          <w:szCs w:val="20"/>
        </w:rPr>
      </w:pPr>
    </w:p>
    <w:p w:rsidR="00CC2C66" w:rsidRDefault="00F80B74">
      <w:pPr>
        <w:spacing w:line="243" w:lineRule="auto"/>
        <w:ind w:left="420" w:firstLine="521"/>
        <w:jc w:val="both"/>
        <w:rPr>
          <w:sz w:val="20"/>
          <w:szCs w:val="20"/>
        </w:rPr>
      </w:pPr>
      <w:r>
        <w:rPr>
          <w:rFonts w:eastAsia="Times New Roman"/>
          <w:sz w:val="19"/>
          <w:szCs w:val="19"/>
        </w:rPr>
        <w:t xml:space="preserve">6.17 </w:t>
      </w:r>
      <w:r>
        <w:rPr>
          <w:rFonts w:eastAsia="Times New Roman"/>
          <w:b/>
          <w:bCs/>
          <w:sz w:val="19"/>
          <w:szCs w:val="19"/>
        </w:rPr>
        <w:t>Restrictions on Shares and Awards</w:t>
      </w:r>
      <w:r>
        <w:rPr>
          <w:rFonts w:eastAsia="Times New Roman"/>
          <w:sz w:val="19"/>
          <w:szCs w:val="19"/>
        </w:rPr>
        <w:t>. The Committee, in its discretion, may impose such restrictions on shares of Stock acquired pursuant to the Plan, whether pursuant to the exe</w:t>
      </w:r>
      <w:r>
        <w:rPr>
          <w:rFonts w:eastAsia="Times New Roman"/>
          <w:sz w:val="19"/>
          <w:szCs w:val="19"/>
        </w:rPr>
        <w:t>rcise of an Option or SAR, settlement of a Full Value Award or Cash Incentive Award or otherwise, as it determines to be desirable, including, without limitation, restrictions relating to disposition of the shares and forfeiture restrictions based on servi</w:t>
      </w:r>
      <w:r>
        <w:rPr>
          <w:rFonts w:eastAsia="Times New Roman"/>
          <w:sz w:val="19"/>
          <w:szCs w:val="19"/>
        </w:rPr>
        <w:t>ce, performance, Stock ownership by the Participant, conformity with the Company’s recoupment, compensation recovery, or clawback policies and such other factors as the Committee determines to be appropriate. Without limiting the generality of the foregoin</w:t>
      </w:r>
      <w:r>
        <w:rPr>
          <w:rFonts w:eastAsia="Times New Roman"/>
          <w:sz w:val="19"/>
          <w:szCs w:val="19"/>
        </w:rPr>
        <w:t>g, unless otherwise specified by the Committee, any awards under the Plan and any shares of Stock issued pursuant to the Plan shall be subject to the Company’s compensation recovery, clawback, and recoupment policies as in effect from time to time.</w:t>
      </w:r>
    </w:p>
    <w:p w:rsidR="00CC2C66" w:rsidRDefault="00CC2C66">
      <w:pPr>
        <w:spacing w:line="211" w:lineRule="exact"/>
        <w:rPr>
          <w:sz w:val="20"/>
          <w:szCs w:val="20"/>
        </w:rPr>
      </w:pPr>
    </w:p>
    <w:p w:rsidR="00CC2C66" w:rsidRDefault="00F80B74">
      <w:pPr>
        <w:spacing w:line="254" w:lineRule="auto"/>
        <w:ind w:left="420" w:firstLine="521"/>
        <w:jc w:val="both"/>
        <w:rPr>
          <w:sz w:val="20"/>
          <w:szCs w:val="20"/>
        </w:rPr>
      </w:pPr>
      <w:r>
        <w:rPr>
          <w:rFonts w:eastAsia="Times New Roman"/>
          <w:sz w:val="19"/>
          <w:szCs w:val="19"/>
        </w:rPr>
        <w:t xml:space="preserve">6.18 </w:t>
      </w:r>
      <w:r>
        <w:rPr>
          <w:rFonts w:eastAsia="Times New Roman"/>
          <w:b/>
          <w:bCs/>
          <w:sz w:val="19"/>
          <w:szCs w:val="19"/>
        </w:rPr>
        <w:t>A</w:t>
      </w:r>
      <w:r>
        <w:rPr>
          <w:rFonts w:eastAsia="Times New Roman"/>
          <w:b/>
          <w:bCs/>
          <w:sz w:val="19"/>
          <w:szCs w:val="19"/>
        </w:rPr>
        <w:t>pplicable Law</w:t>
      </w:r>
      <w:r>
        <w:rPr>
          <w:rFonts w:eastAsia="Times New Roman"/>
          <w:sz w:val="19"/>
          <w:szCs w:val="19"/>
        </w:rPr>
        <w:t>. The provisions of the Plan shall be construed in accordance with the laws of the State of Delaware, without giving effect to choice of law principles. In the event any term of this Plan shall be inconsistent with or not in compliance with th</w:t>
      </w:r>
      <w:r>
        <w:rPr>
          <w:rFonts w:eastAsia="Times New Roman"/>
          <w:sz w:val="19"/>
          <w:szCs w:val="19"/>
        </w:rPr>
        <w:t>e applicable rules of the NYSE or the HKEx, the applicable rules of the NYSE or the HKEx shall prevail.</w:t>
      </w:r>
    </w:p>
    <w:p w:rsidR="00CC2C66" w:rsidRDefault="00CC2C66">
      <w:pPr>
        <w:spacing w:line="188" w:lineRule="exact"/>
        <w:rPr>
          <w:sz w:val="20"/>
          <w:szCs w:val="20"/>
        </w:rPr>
      </w:pPr>
    </w:p>
    <w:p w:rsidR="00CC2C66" w:rsidRDefault="00F80B74">
      <w:pPr>
        <w:spacing w:line="243" w:lineRule="auto"/>
        <w:ind w:left="420" w:firstLine="521"/>
        <w:jc w:val="both"/>
        <w:rPr>
          <w:sz w:val="20"/>
          <w:szCs w:val="20"/>
        </w:rPr>
      </w:pPr>
      <w:r>
        <w:rPr>
          <w:rFonts w:eastAsia="Times New Roman"/>
          <w:sz w:val="19"/>
          <w:szCs w:val="19"/>
        </w:rPr>
        <w:t xml:space="preserve">6.19 </w:t>
      </w:r>
      <w:r>
        <w:rPr>
          <w:rFonts w:eastAsia="Times New Roman"/>
          <w:b/>
          <w:bCs/>
          <w:sz w:val="19"/>
          <w:szCs w:val="19"/>
        </w:rPr>
        <w:t>Foreign Individuals</w:t>
      </w:r>
      <w:r>
        <w:rPr>
          <w:rFonts w:eastAsia="Times New Roman"/>
          <w:sz w:val="19"/>
          <w:szCs w:val="19"/>
        </w:rPr>
        <w:t>. Notwithstanding any other provision of the Plan to the contrary, the Committee may grant Awards to eligible persons who are f</w:t>
      </w:r>
      <w:r>
        <w:rPr>
          <w:rFonts w:eastAsia="Times New Roman"/>
          <w:sz w:val="19"/>
          <w:szCs w:val="19"/>
        </w:rPr>
        <w:t>oreign nationals on such terms and conditions different from those specified in the Plan as may, in the judgment of the Committee, be necessary or desirable to foster and promote achievement of the purposes of the Plan. In furtherance of such purposes, the</w:t>
      </w:r>
      <w:r>
        <w:rPr>
          <w:rFonts w:eastAsia="Times New Roman"/>
          <w:sz w:val="19"/>
          <w:szCs w:val="19"/>
        </w:rPr>
        <w:t xml:space="preserve"> Committee may make such modifications, amendments, procedures and subplans as may be necessary or advisable to comply with provisions of laws in other countries or jurisdictions in which the Company or any of the Subsidiaries operates or has employees. Th</w:t>
      </w:r>
      <w:r>
        <w:rPr>
          <w:rFonts w:eastAsia="Times New Roman"/>
          <w:sz w:val="19"/>
          <w:szCs w:val="19"/>
        </w:rPr>
        <w:t>e foregoing provisions of this subsection 6.19 shall not be applied to increase the share limitations of Section 4 or to otherwise change any provision of the Plan that would otherwise require the approval of the Company’s shareholders.</w:t>
      </w:r>
    </w:p>
    <w:p w:rsidR="00CC2C66" w:rsidRDefault="00CC2C66">
      <w:pPr>
        <w:spacing w:line="215" w:lineRule="exact"/>
        <w:rPr>
          <w:sz w:val="20"/>
          <w:szCs w:val="20"/>
        </w:rPr>
      </w:pPr>
    </w:p>
    <w:p w:rsidR="00CC2C66" w:rsidRDefault="00F80B74">
      <w:pPr>
        <w:spacing w:line="254" w:lineRule="auto"/>
        <w:ind w:left="420" w:firstLine="521"/>
        <w:jc w:val="both"/>
        <w:rPr>
          <w:sz w:val="20"/>
          <w:szCs w:val="20"/>
        </w:rPr>
      </w:pPr>
      <w:r>
        <w:rPr>
          <w:rFonts w:eastAsia="Times New Roman"/>
          <w:sz w:val="19"/>
          <w:szCs w:val="19"/>
        </w:rPr>
        <w:t xml:space="preserve">6.20 </w:t>
      </w:r>
      <w:r>
        <w:rPr>
          <w:rFonts w:eastAsia="Times New Roman"/>
          <w:b/>
          <w:bCs/>
          <w:sz w:val="19"/>
          <w:szCs w:val="19"/>
        </w:rPr>
        <w:t>Liability for</w:t>
      </w:r>
      <w:r>
        <w:rPr>
          <w:rFonts w:eastAsia="Times New Roman"/>
          <w:b/>
          <w:bCs/>
          <w:sz w:val="19"/>
          <w:szCs w:val="19"/>
        </w:rPr>
        <w:t xml:space="preserve"> Cash Payments</w:t>
      </w:r>
      <w:r>
        <w:rPr>
          <w:rFonts w:eastAsia="Times New Roman"/>
          <w:sz w:val="19"/>
          <w:szCs w:val="19"/>
        </w:rPr>
        <w:t>. Subject to the provisions of this Section 6, each Subsidiary shall be liable for payment of cash due under the Plan with respect to any Participant to the extent that such payment is attributable to the services rendered for that Subsidiary</w:t>
      </w:r>
      <w:r>
        <w:rPr>
          <w:rFonts w:eastAsia="Times New Roman"/>
          <w:sz w:val="19"/>
          <w:szCs w:val="19"/>
        </w:rPr>
        <w:t xml:space="preserve"> by the Participant. Any disputes relating to liability of a Subsidiary for cash payments shall be resolved by the Committee.</w:t>
      </w:r>
    </w:p>
    <w:p w:rsidR="00CC2C66" w:rsidRDefault="00CC2C66">
      <w:pPr>
        <w:spacing w:line="265" w:lineRule="exact"/>
        <w:rPr>
          <w:sz w:val="20"/>
          <w:szCs w:val="20"/>
        </w:rPr>
      </w:pPr>
    </w:p>
    <w:p w:rsidR="00CC2C66" w:rsidRDefault="00F80B74">
      <w:pPr>
        <w:ind w:right="-419"/>
        <w:jc w:val="center"/>
        <w:rPr>
          <w:sz w:val="20"/>
          <w:szCs w:val="20"/>
        </w:rPr>
      </w:pPr>
      <w:r>
        <w:rPr>
          <w:rFonts w:eastAsia="Times New Roman"/>
          <w:b/>
          <w:bCs/>
          <w:sz w:val="19"/>
          <w:szCs w:val="19"/>
        </w:rPr>
        <w:t>SECTION 7.</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Committee</w:t>
      </w:r>
    </w:p>
    <w:p w:rsidR="00CC2C66" w:rsidRDefault="00CC2C66">
      <w:pPr>
        <w:spacing w:line="217" w:lineRule="exact"/>
        <w:rPr>
          <w:sz w:val="20"/>
          <w:szCs w:val="20"/>
        </w:rPr>
      </w:pPr>
    </w:p>
    <w:p w:rsidR="00CC2C66" w:rsidRDefault="00F80B74">
      <w:pPr>
        <w:spacing w:line="269" w:lineRule="auto"/>
        <w:ind w:left="420" w:firstLine="521"/>
        <w:jc w:val="both"/>
        <w:rPr>
          <w:sz w:val="20"/>
          <w:szCs w:val="20"/>
        </w:rPr>
      </w:pPr>
      <w:r>
        <w:rPr>
          <w:rFonts w:eastAsia="Times New Roman"/>
          <w:sz w:val="19"/>
          <w:szCs w:val="19"/>
        </w:rPr>
        <w:t xml:space="preserve">7.1 </w:t>
      </w:r>
      <w:r>
        <w:rPr>
          <w:rFonts w:eastAsia="Times New Roman"/>
          <w:b/>
          <w:bCs/>
          <w:sz w:val="19"/>
          <w:szCs w:val="19"/>
        </w:rPr>
        <w:t>Administration</w:t>
      </w:r>
      <w:r>
        <w:rPr>
          <w:rFonts w:eastAsia="Times New Roman"/>
          <w:sz w:val="19"/>
          <w:szCs w:val="19"/>
        </w:rPr>
        <w:t>. The authority to control and manage the operation and administration of the Plan shall</w:t>
      </w:r>
      <w:r>
        <w:rPr>
          <w:rFonts w:eastAsia="Times New Roman"/>
          <w:sz w:val="19"/>
          <w:szCs w:val="19"/>
        </w:rPr>
        <w:t xml:space="preserve"> be vested in a committee of the Board (the “Committee”) in accordance with this Section 7. The Committee shall be</w:t>
      </w:r>
    </w:p>
    <w:p w:rsidR="00CC2C66" w:rsidRDefault="00CC2C66">
      <w:pPr>
        <w:spacing w:line="103" w:lineRule="exact"/>
        <w:rPr>
          <w:sz w:val="20"/>
          <w:szCs w:val="20"/>
        </w:rPr>
      </w:pPr>
    </w:p>
    <w:p w:rsidR="00CC2C66" w:rsidRDefault="00F80B74">
      <w:pPr>
        <w:numPr>
          <w:ilvl w:val="0"/>
          <w:numId w:val="144"/>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806720" behindDoc="1" locked="0" layoutInCell="0" allowOverlap="1">
            <wp:simplePos x="0" y="0"/>
            <wp:positionH relativeFrom="column">
              <wp:posOffset>496570</wp:posOffset>
            </wp:positionH>
            <wp:positionV relativeFrom="paragraph">
              <wp:posOffset>-97155</wp:posOffset>
            </wp:positionV>
            <wp:extent cx="8255" cy="9715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1" w:name="page91"/>
      <w:bookmarkEnd w:id="91"/>
      <w:r>
        <w:rPr>
          <w:rFonts w:eastAsia="Times New Roman"/>
          <w:b/>
          <w:bCs/>
          <w:noProof/>
          <w:color w:val="0000EE"/>
          <w:sz w:val="17"/>
          <w:szCs w:val="17"/>
          <w:u w:val="single"/>
        </w:rPr>
        <w:drawing>
          <wp:anchor distT="0" distB="0" distL="114300" distR="114300" simplePos="0" relativeHeight="25180774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08768"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45" w:lineRule="auto"/>
        <w:ind w:left="420"/>
        <w:jc w:val="both"/>
        <w:rPr>
          <w:sz w:val="20"/>
          <w:szCs w:val="20"/>
        </w:rPr>
      </w:pPr>
      <w:r>
        <w:rPr>
          <w:rFonts w:eastAsia="Times New Roman"/>
          <w:sz w:val="19"/>
          <w:szCs w:val="19"/>
        </w:rPr>
        <w:t>selected by the Board, and shall consist solely of two or more non-employee members of the Board, each of whom is intended to be (i) a “Non-Employee Director” within the meaning of Rule 16b-3 under the Exchange Act and (ii) “independent” within the meanin</w:t>
      </w:r>
      <w:r>
        <w:rPr>
          <w:rFonts w:eastAsia="Times New Roman"/>
          <w:sz w:val="19"/>
          <w:szCs w:val="19"/>
        </w:rPr>
        <w:t>g of the rules of the principal stock exchange on which the Stock is then traded. If the Committee does not exist, or for any other reason determined by the Board, the Board may take any action under the Plan that would otherwise be the responsibility of t</w:t>
      </w:r>
      <w:r>
        <w:rPr>
          <w:rFonts w:eastAsia="Times New Roman"/>
          <w:sz w:val="19"/>
          <w:szCs w:val="19"/>
        </w:rPr>
        <w:t>he Committee. As of the Effective Date, the Committee shall mean the Compensation Committee of the Board.</w:t>
      </w:r>
    </w:p>
    <w:p w:rsidR="00CC2C66" w:rsidRDefault="00CC2C66">
      <w:pPr>
        <w:spacing w:line="210" w:lineRule="exact"/>
        <w:rPr>
          <w:sz w:val="20"/>
          <w:szCs w:val="20"/>
        </w:rPr>
      </w:pPr>
    </w:p>
    <w:p w:rsidR="00CC2C66" w:rsidRDefault="00F80B74">
      <w:pPr>
        <w:ind w:left="940"/>
        <w:rPr>
          <w:sz w:val="20"/>
          <w:szCs w:val="20"/>
        </w:rPr>
      </w:pPr>
      <w:r>
        <w:rPr>
          <w:rFonts w:eastAsia="Times New Roman"/>
          <w:sz w:val="19"/>
          <w:szCs w:val="19"/>
        </w:rPr>
        <w:t xml:space="preserve">7.2 </w:t>
      </w:r>
      <w:r>
        <w:rPr>
          <w:rFonts w:eastAsia="Times New Roman"/>
          <w:b/>
          <w:bCs/>
          <w:sz w:val="19"/>
          <w:szCs w:val="19"/>
        </w:rPr>
        <w:t>Powers of Committee</w:t>
      </w:r>
      <w:r>
        <w:rPr>
          <w:rFonts w:eastAsia="Times New Roman"/>
          <w:sz w:val="19"/>
          <w:szCs w:val="19"/>
        </w:rPr>
        <w:t>. The Committee’s administration of the Plan shall be subject to the following:</w:t>
      </w:r>
    </w:p>
    <w:p w:rsidR="00CC2C66" w:rsidRDefault="00CC2C66">
      <w:pPr>
        <w:spacing w:line="284" w:lineRule="exact"/>
        <w:rPr>
          <w:sz w:val="20"/>
          <w:szCs w:val="20"/>
        </w:rPr>
      </w:pPr>
    </w:p>
    <w:p w:rsidR="00CC2C66" w:rsidRDefault="00F80B74">
      <w:pPr>
        <w:numPr>
          <w:ilvl w:val="0"/>
          <w:numId w:val="145"/>
        </w:numPr>
        <w:tabs>
          <w:tab w:val="left" w:pos="1440"/>
        </w:tabs>
        <w:spacing w:line="242" w:lineRule="auto"/>
        <w:ind w:left="1440" w:hanging="518"/>
        <w:jc w:val="both"/>
        <w:rPr>
          <w:rFonts w:eastAsia="Times New Roman"/>
          <w:sz w:val="19"/>
          <w:szCs w:val="19"/>
        </w:rPr>
      </w:pPr>
      <w:r>
        <w:rPr>
          <w:rFonts w:eastAsia="Times New Roman"/>
          <w:sz w:val="19"/>
          <w:szCs w:val="19"/>
        </w:rPr>
        <w:t xml:space="preserve">Subject to the provisions of the Plan, the </w:t>
      </w:r>
      <w:r>
        <w:rPr>
          <w:rFonts w:eastAsia="Times New Roman"/>
          <w:sz w:val="19"/>
          <w:szCs w:val="19"/>
        </w:rPr>
        <w:t>Committee will have the authority and discretion to select from among the Eligible Individuals those persons who shall receive Awards, to determine the time or times of receipt, to determine the types of Awards and the number of shares covered by the Award</w:t>
      </w:r>
      <w:r>
        <w:rPr>
          <w:rFonts w:eastAsia="Times New Roman"/>
          <w:sz w:val="19"/>
          <w:szCs w:val="19"/>
        </w:rPr>
        <w:t>s, to establish the terms, conditions, performance targets, restrictions, and other provisions of such Awards, and, subject to the restrictions imposed by Section 8, to cancel or suspend Awards, reissue or repurchase Awards, and accelerate the exercisabili</w:t>
      </w:r>
      <w:r>
        <w:rPr>
          <w:rFonts w:eastAsia="Times New Roman"/>
          <w:sz w:val="19"/>
          <w:szCs w:val="19"/>
        </w:rPr>
        <w:t>ty or vesting of any Award. In making such Award determinations, the Committee may take into account the nature of services rendered by the respective employee, the individual’s contributions to the Company’s or a Subsidiary’s success and such other factor</w:t>
      </w:r>
      <w:r>
        <w:rPr>
          <w:rFonts w:eastAsia="Times New Roman"/>
          <w:sz w:val="19"/>
          <w:szCs w:val="19"/>
        </w:rPr>
        <w:t>s as the Committee deems relevant.</w:t>
      </w:r>
    </w:p>
    <w:p w:rsidR="00CC2C66" w:rsidRDefault="00CC2C66">
      <w:pPr>
        <w:spacing w:line="256" w:lineRule="exact"/>
        <w:rPr>
          <w:rFonts w:eastAsia="Times New Roman"/>
          <w:sz w:val="19"/>
          <w:szCs w:val="19"/>
        </w:rPr>
      </w:pPr>
    </w:p>
    <w:p w:rsidR="00CC2C66" w:rsidRDefault="00F80B74">
      <w:pPr>
        <w:numPr>
          <w:ilvl w:val="0"/>
          <w:numId w:val="145"/>
        </w:numPr>
        <w:tabs>
          <w:tab w:val="left" w:pos="1440"/>
        </w:tabs>
        <w:spacing w:line="247" w:lineRule="auto"/>
        <w:ind w:left="1440" w:hanging="518"/>
        <w:jc w:val="both"/>
        <w:rPr>
          <w:rFonts w:eastAsia="Times New Roman"/>
          <w:sz w:val="19"/>
          <w:szCs w:val="19"/>
        </w:rPr>
      </w:pPr>
      <w:r>
        <w:rPr>
          <w:rFonts w:eastAsia="Times New Roman"/>
          <w:sz w:val="19"/>
          <w:szCs w:val="19"/>
        </w:rPr>
        <w:t>To the extent that the Committee determines that the restrictions imposed by the Plan preclude the achievement of the material purposes of the Awards in jurisdictions outside the United States, the Committee will have th</w:t>
      </w:r>
      <w:r>
        <w:rPr>
          <w:rFonts w:eastAsia="Times New Roman"/>
          <w:sz w:val="19"/>
          <w:szCs w:val="19"/>
        </w:rPr>
        <w:t>e authority and discretion to modify those restrictions as the Committee determines to be necessary or appropriate to conform to applicable requirements or practices of jurisdictions outside of the United States.</w:t>
      </w:r>
    </w:p>
    <w:p w:rsidR="00CC2C66" w:rsidRDefault="00CC2C66">
      <w:pPr>
        <w:spacing w:line="250" w:lineRule="exact"/>
        <w:rPr>
          <w:rFonts w:eastAsia="Times New Roman"/>
          <w:sz w:val="19"/>
          <w:szCs w:val="19"/>
        </w:rPr>
      </w:pPr>
    </w:p>
    <w:p w:rsidR="00CC2C66" w:rsidRDefault="00F80B74">
      <w:pPr>
        <w:numPr>
          <w:ilvl w:val="0"/>
          <w:numId w:val="145"/>
        </w:numPr>
        <w:tabs>
          <w:tab w:val="left" w:pos="1440"/>
        </w:tabs>
        <w:spacing w:line="252" w:lineRule="auto"/>
        <w:ind w:left="1440" w:hanging="518"/>
        <w:jc w:val="both"/>
        <w:rPr>
          <w:rFonts w:eastAsia="Times New Roman"/>
          <w:sz w:val="19"/>
          <w:szCs w:val="19"/>
        </w:rPr>
      </w:pPr>
      <w:r>
        <w:rPr>
          <w:rFonts w:eastAsia="Times New Roman"/>
          <w:sz w:val="19"/>
          <w:szCs w:val="19"/>
        </w:rPr>
        <w:t xml:space="preserve">The Committee will have the authority and </w:t>
      </w:r>
      <w:r>
        <w:rPr>
          <w:rFonts w:eastAsia="Times New Roman"/>
          <w:sz w:val="19"/>
          <w:szCs w:val="19"/>
        </w:rPr>
        <w:t xml:space="preserve">discretion to conclusively interpret the Plan, to establish, amend, and rescind any rules and regulations relating to the Plan, to determine the terms and provisions of any agreement made pursuant to the Plan, and to make all other determinations that may </w:t>
      </w:r>
      <w:r>
        <w:rPr>
          <w:rFonts w:eastAsia="Times New Roman"/>
          <w:sz w:val="19"/>
          <w:szCs w:val="19"/>
        </w:rPr>
        <w:t>be necessary or advisable for the administration of the Plan.</w:t>
      </w:r>
    </w:p>
    <w:p w:rsidR="00CC2C66" w:rsidRDefault="00CC2C66">
      <w:pPr>
        <w:spacing w:line="244" w:lineRule="exact"/>
        <w:rPr>
          <w:rFonts w:eastAsia="Times New Roman"/>
          <w:sz w:val="19"/>
          <w:szCs w:val="19"/>
        </w:rPr>
      </w:pPr>
    </w:p>
    <w:p w:rsidR="00CC2C66" w:rsidRDefault="00F80B74">
      <w:pPr>
        <w:numPr>
          <w:ilvl w:val="0"/>
          <w:numId w:val="145"/>
        </w:numPr>
        <w:tabs>
          <w:tab w:val="left" w:pos="1440"/>
        </w:tabs>
        <w:spacing w:line="265" w:lineRule="auto"/>
        <w:ind w:left="1440" w:hanging="518"/>
        <w:rPr>
          <w:rFonts w:eastAsia="Times New Roman"/>
          <w:sz w:val="19"/>
          <w:szCs w:val="19"/>
        </w:rPr>
      </w:pPr>
      <w:r>
        <w:rPr>
          <w:rFonts w:eastAsia="Times New Roman"/>
          <w:sz w:val="19"/>
          <w:szCs w:val="19"/>
        </w:rPr>
        <w:t>Any interpretation of the Plan by the Committee and any decision made by it under the Plan is final and binding on all persons.</w:t>
      </w:r>
    </w:p>
    <w:p w:rsidR="00CC2C66" w:rsidRDefault="00CC2C66">
      <w:pPr>
        <w:spacing w:line="233" w:lineRule="exact"/>
        <w:rPr>
          <w:rFonts w:eastAsia="Times New Roman"/>
          <w:sz w:val="19"/>
          <w:szCs w:val="19"/>
        </w:rPr>
      </w:pPr>
    </w:p>
    <w:p w:rsidR="00CC2C66" w:rsidRDefault="00F80B74">
      <w:pPr>
        <w:numPr>
          <w:ilvl w:val="0"/>
          <w:numId w:val="145"/>
        </w:numPr>
        <w:tabs>
          <w:tab w:val="left" w:pos="1440"/>
        </w:tabs>
        <w:spacing w:line="265" w:lineRule="auto"/>
        <w:ind w:left="1440" w:hanging="518"/>
        <w:rPr>
          <w:rFonts w:eastAsia="Times New Roman"/>
          <w:sz w:val="19"/>
          <w:szCs w:val="19"/>
        </w:rPr>
      </w:pPr>
      <w:r>
        <w:rPr>
          <w:rFonts w:eastAsia="Times New Roman"/>
          <w:sz w:val="19"/>
          <w:szCs w:val="19"/>
        </w:rPr>
        <w:t xml:space="preserve">In controlling and managing the operation and administration of </w:t>
      </w:r>
      <w:r>
        <w:rPr>
          <w:rFonts w:eastAsia="Times New Roman"/>
          <w:sz w:val="19"/>
          <w:szCs w:val="19"/>
        </w:rPr>
        <w:t>the Plan, the Committee shall take action in a manner that conforms to the articles and by-laws of the Company, and applicable state corporate law.</w:t>
      </w:r>
    </w:p>
    <w:p w:rsidR="00CC2C66" w:rsidRDefault="00CC2C66">
      <w:pPr>
        <w:spacing w:line="191" w:lineRule="exact"/>
        <w:rPr>
          <w:sz w:val="20"/>
          <w:szCs w:val="20"/>
        </w:rPr>
      </w:pPr>
    </w:p>
    <w:p w:rsidR="00CC2C66" w:rsidRDefault="00F80B74">
      <w:pPr>
        <w:spacing w:line="249" w:lineRule="auto"/>
        <w:ind w:left="420" w:firstLine="521"/>
        <w:jc w:val="both"/>
        <w:rPr>
          <w:sz w:val="20"/>
          <w:szCs w:val="20"/>
        </w:rPr>
      </w:pPr>
      <w:r>
        <w:rPr>
          <w:rFonts w:eastAsia="Times New Roman"/>
          <w:sz w:val="19"/>
          <w:szCs w:val="19"/>
        </w:rPr>
        <w:t xml:space="preserve">7.3 </w:t>
      </w:r>
      <w:r>
        <w:rPr>
          <w:rFonts w:eastAsia="Times New Roman"/>
          <w:b/>
          <w:bCs/>
          <w:sz w:val="19"/>
          <w:szCs w:val="19"/>
        </w:rPr>
        <w:t>Delegation by Committee</w:t>
      </w:r>
      <w:r>
        <w:rPr>
          <w:rFonts w:eastAsia="Times New Roman"/>
          <w:sz w:val="19"/>
          <w:szCs w:val="19"/>
        </w:rPr>
        <w:t>. Except to the extent prohibited by applicable law or the applicable rules of a</w:t>
      </w:r>
      <w:r>
        <w:rPr>
          <w:rFonts w:eastAsia="Times New Roman"/>
          <w:sz w:val="19"/>
          <w:szCs w:val="19"/>
        </w:rPr>
        <w:t xml:space="preserve"> stock exchange on which the Stock is listed, the Committee may allocate all or any portion of its responsibilities and powers to any one or more of its members and may delegate all or any part of its responsibilities and powers to any person or persons se</w:t>
      </w:r>
      <w:r>
        <w:rPr>
          <w:rFonts w:eastAsia="Times New Roman"/>
          <w:sz w:val="19"/>
          <w:szCs w:val="19"/>
        </w:rPr>
        <w:t>lected by it. Any such allocation or delegation may be revoked by the Committee at any time.</w:t>
      </w:r>
    </w:p>
    <w:p w:rsidR="00CC2C66" w:rsidRDefault="00CC2C66">
      <w:pPr>
        <w:spacing w:line="192" w:lineRule="exact"/>
        <w:rPr>
          <w:sz w:val="20"/>
          <w:szCs w:val="20"/>
        </w:rPr>
      </w:pPr>
    </w:p>
    <w:p w:rsidR="00CC2C66" w:rsidRDefault="00F80B74">
      <w:pPr>
        <w:spacing w:line="244" w:lineRule="auto"/>
        <w:ind w:left="420" w:firstLine="521"/>
        <w:jc w:val="both"/>
        <w:rPr>
          <w:sz w:val="20"/>
          <w:szCs w:val="20"/>
        </w:rPr>
      </w:pPr>
      <w:r>
        <w:rPr>
          <w:rFonts w:eastAsia="Times New Roman"/>
          <w:sz w:val="19"/>
          <w:szCs w:val="19"/>
        </w:rPr>
        <w:t xml:space="preserve">7.4 </w:t>
      </w:r>
      <w:r>
        <w:rPr>
          <w:rFonts w:eastAsia="Times New Roman"/>
          <w:b/>
          <w:bCs/>
          <w:sz w:val="19"/>
          <w:szCs w:val="19"/>
        </w:rPr>
        <w:t>Information to be Furnished to Committee</w:t>
      </w:r>
      <w:r>
        <w:rPr>
          <w:rFonts w:eastAsia="Times New Roman"/>
          <w:sz w:val="19"/>
          <w:szCs w:val="19"/>
        </w:rPr>
        <w:t xml:space="preserve">. The Company and the Subsidiaries shall furnish the Committee with such data and information as it determines may be </w:t>
      </w:r>
      <w:r>
        <w:rPr>
          <w:rFonts w:eastAsia="Times New Roman"/>
          <w:sz w:val="19"/>
          <w:szCs w:val="19"/>
        </w:rPr>
        <w:t>required for it to discharge its duties. The records of the Company and the Subsidiaries as to an individual’s or Participant’s employment (or other provision of services), termination of employment (or cessation of the provision of services), leave of abs</w:t>
      </w:r>
      <w:r>
        <w:rPr>
          <w:rFonts w:eastAsia="Times New Roman"/>
          <w:sz w:val="19"/>
          <w:szCs w:val="19"/>
        </w:rPr>
        <w:t>ence, reemployment and compensation shall be conclusive on all persons unless determined to be incorrect. Participants and other persons entitled to benefits under the Plan must furnish the Committee such evidence, data or information as the Committee cons</w:t>
      </w:r>
      <w:r>
        <w:rPr>
          <w:rFonts w:eastAsia="Times New Roman"/>
          <w:sz w:val="19"/>
          <w:szCs w:val="19"/>
        </w:rPr>
        <w:t>iders desirable to carry out the terms of the Plan.</w:t>
      </w:r>
    </w:p>
    <w:p w:rsidR="00CC2C66" w:rsidRDefault="00CC2C66">
      <w:pPr>
        <w:spacing w:line="126"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85</w:t>
      </w:r>
    </w:p>
    <w:p w:rsidR="00CC2C66" w:rsidRDefault="00F80B74">
      <w:pPr>
        <w:spacing w:line="20" w:lineRule="exact"/>
        <w:rPr>
          <w:sz w:val="20"/>
          <w:szCs w:val="20"/>
        </w:rPr>
      </w:pPr>
      <w:r>
        <w:rPr>
          <w:noProof/>
          <w:sz w:val="20"/>
          <w:szCs w:val="20"/>
        </w:rPr>
        <w:drawing>
          <wp:anchor distT="0" distB="0" distL="114300" distR="114300" simplePos="0" relativeHeight="251809792"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2" w:name="page92"/>
      <w:bookmarkEnd w:id="92"/>
      <w:r>
        <w:rPr>
          <w:rFonts w:eastAsia="Times New Roman"/>
          <w:b/>
          <w:bCs/>
          <w:noProof/>
          <w:color w:val="0000EE"/>
          <w:sz w:val="17"/>
          <w:szCs w:val="17"/>
          <w:u w:val="single"/>
        </w:rPr>
        <w:drawing>
          <wp:anchor distT="0" distB="0" distL="114300" distR="114300" simplePos="0" relativeHeight="25181081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11840" behindDoc="1" locked="0" layoutInCell="0" allowOverlap="1">
            <wp:simplePos x="0" y="0"/>
            <wp:positionH relativeFrom="column">
              <wp:posOffset>260985</wp:posOffset>
            </wp:positionH>
            <wp:positionV relativeFrom="paragraph">
              <wp:posOffset>196850</wp:posOffset>
            </wp:positionV>
            <wp:extent cx="3902710" cy="19494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9">
                      <a:extLst/>
                    </a:blip>
                    <a:srcRect/>
                    <a:stretch>
                      <a:fillRect/>
                    </a:stretch>
                  </pic:blipFill>
                  <pic:spPr bwMode="auto">
                    <a:xfrm>
                      <a:off x="0" y="0"/>
                      <a:ext cx="3902710"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87" w:lineRule="exact"/>
        <w:rPr>
          <w:sz w:val="20"/>
          <w:szCs w:val="20"/>
        </w:rPr>
      </w:pPr>
    </w:p>
    <w:p w:rsidR="00CC2C66" w:rsidRDefault="00F80B74">
      <w:pPr>
        <w:spacing w:line="242" w:lineRule="auto"/>
        <w:ind w:left="420" w:firstLine="521"/>
        <w:jc w:val="both"/>
        <w:rPr>
          <w:sz w:val="20"/>
          <w:szCs w:val="20"/>
        </w:rPr>
      </w:pPr>
      <w:r>
        <w:rPr>
          <w:rFonts w:eastAsia="Times New Roman"/>
          <w:sz w:val="19"/>
          <w:szCs w:val="19"/>
        </w:rPr>
        <w:t xml:space="preserve">7.5 </w:t>
      </w:r>
      <w:r>
        <w:rPr>
          <w:rFonts w:eastAsia="Times New Roman"/>
          <w:b/>
          <w:bCs/>
          <w:sz w:val="19"/>
          <w:szCs w:val="19"/>
        </w:rPr>
        <w:t xml:space="preserve">Limitation on Liability and Indemnification of </w:t>
      </w:r>
      <w:r>
        <w:rPr>
          <w:rFonts w:eastAsia="Times New Roman"/>
          <w:b/>
          <w:bCs/>
          <w:sz w:val="19"/>
          <w:szCs w:val="19"/>
        </w:rPr>
        <w:t>Committee</w:t>
      </w:r>
      <w:r>
        <w:rPr>
          <w:rFonts w:eastAsia="Times New Roman"/>
          <w:sz w:val="19"/>
          <w:szCs w:val="19"/>
        </w:rPr>
        <w:t>. No member or authorized delegate of the Committee shall be liable to any person for any action taken or omitted in connection with the administration of the Plan unless attributable to his own fraud or willful misconduct; nor shall the Company o</w:t>
      </w:r>
      <w:r>
        <w:rPr>
          <w:rFonts w:eastAsia="Times New Roman"/>
          <w:sz w:val="19"/>
          <w:szCs w:val="19"/>
        </w:rPr>
        <w:t>r any Subsidiary be liable to any person for any such action unless attributable to fraud or willful misconduct on the part of a director or employee of the Company or Subsidiary. The Committee, the individual members thereof, and persons acting as the aut</w:t>
      </w:r>
      <w:r>
        <w:rPr>
          <w:rFonts w:eastAsia="Times New Roman"/>
          <w:sz w:val="19"/>
          <w:szCs w:val="19"/>
        </w:rPr>
        <w:t>horized delegates of the Committee under the Plan, shall be indemnified by the Company against any and all liabilities, losses, costs and expenses (including legal fees and expenses) of whatsoever kind and nature which may be imposed on, incurred by or ass</w:t>
      </w:r>
      <w:r>
        <w:rPr>
          <w:rFonts w:eastAsia="Times New Roman"/>
          <w:sz w:val="19"/>
          <w:szCs w:val="19"/>
        </w:rPr>
        <w:t>erted against the Committee or its members or authorized delegates by reason of the performance of a Committee function if the Committee or its members or authorized delegates did not act dishonestly or in willful violation of the law or regulation under w</w:t>
      </w:r>
      <w:r>
        <w:rPr>
          <w:rFonts w:eastAsia="Times New Roman"/>
          <w:sz w:val="19"/>
          <w:szCs w:val="19"/>
        </w:rPr>
        <w:t>hich such liability, loss, cost or expense arises. This indemnification shall not duplicate but may supplement any coverage available under any applicable insurance.</w:t>
      </w:r>
    </w:p>
    <w:p w:rsidR="00CC2C66" w:rsidRDefault="00CC2C66">
      <w:pPr>
        <w:spacing w:line="276" w:lineRule="exact"/>
        <w:rPr>
          <w:sz w:val="20"/>
          <w:szCs w:val="20"/>
        </w:rPr>
      </w:pPr>
    </w:p>
    <w:p w:rsidR="00CC2C66" w:rsidRDefault="00F80B74">
      <w:pPr>
        <w:ind w:right="-419"/>
        <w:jc w:val="center"/>
        <w:rPr>
          <w:sz w:val="20"/>
          <w:szCs w:val="20"/>
        </w:rPr>
      </w:pPr>
      <w:r>
        <w:rPr>
          <w:rFonts w:eastAsia="Times New Roman"/>
          <w:b/>
          <w:bCs/>
          <w:sz w:val="19"/>
          <w:szCs w:val="19"/>
        </w:rPr>
        <w:t>SECTION 8.</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Amendment and Termination</w:t>
      </w:r>
    </w:p>
    <w:p w:rsidR="00CC2C66" w:rsidRDefault="00CC2C66">
      <w:pPr>
        <w:spacing w:line="221" w:lineRule="exact"/>
        <w:rPr>
          <w:sz w:val="20"/>
          <w:szCs w:val="20"/>
        </w:rPr>
      </w:pPr>
    </w:p>
    <w:p w:rsidR="00CC2C66" w:rsidRDefault="00F80B74">
      <w:pPr>
        <w:spacing w:line="265" w:lineRule="auto"/>
        <w:ind w:left="420" w:right="20"/>
        <w:jc w:val="both"/>
        <w:rPr>
          <w:sz w:val="20"/>
          <w:szCs w:val="20"/>
        </w:rPr>
      </w:pPr>
      <w:r>
        <w:rPr>
          <w:rFonts w:eastAsia="Times New Roman"/>
          <w:sz w:val="19"/>
          <w:szCs w:val="19"/>
        </w:rPr>
        <w:t>The Board may, at any time, amend or terminate the</w:t>
      </w:r>
      <w:r>
        <w:rPr>
          <w:rFonts w:eastAsia="Times New Roman"/>
          <w:sz w:val="19"/>
          <w:szCs w:val="19"/>
        </w:rPr>
        <w:t xml:space="preserve"> Plan (and the Committee may amend any Award Agreement); provided, however, that:</w:t>
      </w:r>
    </w:p>
    <w:p w:rsidR="00CC2C66" w:rsidRDefault="00CC2C66">
      <w:pPr>
        <w:spacing w:line="233" w:lineRule="exact"/>
        <w:rPr>
          <w:sz w:val="20"/>
          <w:szCs w:val="20"/>
        </w:rPr>
      </w:pPr>
    </w:p>
    <w:p w:rsidR="00CC2C66" w:rsidRDefault="00F80B74">
      <w:pPr>
        <w:numPr>
          <w:ilvl w:val="0"/>
          <w:numId w:val="146"/>
        </w:numPr>
        <w:tabs>
          <w:tab w:val="left" w:pos="1440"/>
        </w:tabs>
        <w:spacing w:line="245" w:lineRule="auto"/>
        <w:ind w:left="1440" w:hanging="518"/>
        <w:jc w:val="both"/>
        <w:rPr>
          <w:rFonts w:eastAsia="Times New Roman"/>
          <w:sz w:val="19"/>
          <w:szCs w:val="19"/>
        </w:rPr>
      </w:pPr>
      <w:r>
        <w:rPr>
          <w:rFonts w:eastAsia="Times New Roman"/>
          <w:sz w:val="19"/>
          <w:szCs w:val="19"/>
        </w:rPr>
        <w:t>no amendment or termination of the Plan or amendment of any Award Agreement may, in the absence of written consent to the change by the affected Participant (or, if the Part</w:t>
      </w:r>
      <w:r>
        <w:rPr>
          <w:rFonts w:eastAsia="Times New Roman"/>
          <w:sz w:val="19"/>
          <w:szCs w:val="19"/>
        </w:rPr>
        <w:t>icipant is not then living, the affected beneficiary), adversely affect in any material way the rights of any Participant or beneficiary under any Award granted under the Plan prior to the date such amendment or termination is adopted by the Board or the C</w:t>
      </w:r>
      <w:r>
        <w:rPr>
          <w:rFonts w:eastAsia="Times New Roman"/>
          <w:sz w:val="19"/>
          <w:szCs w:val="19"/>
        </w:rPr>
        <w:t>ommittee, as applicable, unless the Committee expressly reserved the right to do so at the time the Award was granted;</w:t>
      </w:r>
    </w:p>
    <w:p w:rsidR="00CC2C66" w:rsidRDefault="00CC2C66">
      <w:pPr>
        <w:spacing w:line="251" w:lineRule="exact"/>
        <w:rPr>
          <w:rFonts w:eastAsia="Times New Roman"/>
          <w:sz w:val="19"/>
          <w:szCs w:val="19"/>
        </w:rPr>
      </w:pPr>
    </w:p>
    <w:p w:rsidR="00CC2C66" w:rsidRDefault="00F80B74">
      <w:pPr>
        <w:numPr>
          <w:ilvl w:val="0"/>
          <w:numId w:val="146"/>
        </w:numPr>
        <w:tabs>
          <w:tab w:val="left" w:pos="1440"/>
        </w:tabs>
        <w:ind w:left="1440" w:hanging="518"/>
        <w:rPr>
          <w:rFonts w:eastAsia="Times New Roman"/>
          <w:sz w:val="19"/>
          <w:szCs w:val="19"/>
        </w:rPr>
      </w:pPr>
      <w:r>
        <w:rPr>
          <w:rFonts w:eastAsia="Times New Roman"/>
          <w:sz w:val="19"/>
          <w:szCs w:val="19"/>
        </w:rPr>
        <w:t>adjustments pursuant to subsection 4.2 shall not be subject to the foregoing limitations of this Section 8;</w:t>
      </w:r>
    </w:p>
    <w:p w:rsidR="00CC2C66" w:rsidRDefault="00CC2C66">
      <w:pPr>
        <w:spacing w:line="279" w:lineRule="exact"/>
        <w:rPr>
          <w:rFonts w:eastAsia="Times New Roman"/>
          <w:sz w:val="19"/>
          <w:szCs w:val="19"/>
        </w:rPr>
      </w:pPr>
    </w:p>
    <w:p w:rsidR="00CC2C66" w:rsidRDefault="00F80B74">
      <w:pPr>
        <w:numPr>
          <w:ilvl w:val="0"/>
          <w:numId w:val="146"/>
        </w:numPr>
        <w:tabs>
          <w:tab w:val="left" w:pos="1440"/>
        </w:tabs>
        <w:spacing w:line="245" w:lineRule="auto"/>
        <w:ind w:left="1440" w:hanging="518"/>
        <w:jc w:val="both"/>
        <w:rPr>
          <w:rFonts w:eastAsia="Times New Roman"/>
          <w:sz w:val="19"/>
          <w:szCs w:val="19"/>
        </w:rPr>
      </w:pPr>
      <w:r>
        <w:rPr>
          <w:rFonts w:eastAsia="Times New Roman"/>
          <w:sz w:val="19"/>
          <w:szCs w:val="19"/>
        </w:rPr>
        <w:t xml:space="preserve">all material amendments to </w:t>
      </w:r>
      <w:r>
        <w:rPr>
          <w:rFonts w:eastAsia="Times New Roman"/>
          <w:sz w:val="19"/>
          <w:szCs w:val="19"/>
        </w:rPr>
        <w:t xml:space="preserve">the Plan, including but not limited to amendments to the provisions of subsection 2.9 (relating to Option and SAR repricing), amendments expanding the group of Eligible Individuals, and amendments to or increases in the number of shares reserved under the </w:t>
      </w:r>
      <w:r>
        <w:rPr>
          <w:rFonts w:eastAsia="Times New Roman"/>
          <w:sz w:val="19"/>
          <w:szCs w:val="19"/>
        </w:rPr>
        <w:t>Plan pursuant to paragraphs 4.1(b) (total shares reserved), 4.1(e) (relating to the limitations on ISOs), and 4.1(f) (relating to individual limits) will not be effective unless approved by the Company’s shareholders, in each case, to the extent required b</w:t>
      </w:r>
      <w:r>
        <w:rPr>
          <w:rFonts w:eastAsia="Times New Roman"/>
          <w:sz w:val="19"/>
          <w:szCs w:val="19"/>
        </w:rPr>
        <w:t>y applicable law;</w:t>
      </w:r>
    </w:p>
    <w:p w:rsidR="00CC2C66" w:rsidRDefault="00CC2C66">
      <w:pPr>
        <w:spacing w:line="251" w:lineRule="exact"/>
        <w:rPr>
          <w:rFonts w:eastAsia="Times New Roman"/>
          <w:sz w:val="19"/>
          <w:szCs w:val="19"/>
        </w:rPr>
      </w:pPr>
    </w:p>
    <w:p w:rsidR="00CC2C66" w:rsidRDefault="00F80B74">
      <w:pPr>
        <w:numPr>
          <w:ilvl w:val="0"/>
          <w:numId w:val="146"/>
        </w:numPr>
        <w:tabs>
          <w:tab w:val="left" w:pos="1440"/>
        </w:tabs>
        <w:spacing w:line="242" w:lineRule="auto"/>
        <w:ind w:left="1440" w:hanging="518"/>
        <w:jc w:val="both"/>
        <w:rPr>
          <w:rFonts w:eastAsia="Times New Roman"/>
          <w:sz w:val="19"/>
          <w:szCs w:val="19"/>
        </w:rPr>
      </w:pPr>
      <w:r>
        <w:rPr>
          <w:rFonts w:eastAsia="Times New Roman"/>
          <w:sz w:val="19"/>
          <w:szCs w:val="19"/>
        </w:rPr>
        <w:t>if applicable laws or the rules of any stock exchange on which the Stock is listed require any amendment to the Plan, the Award Agreement and the terms of the Awards to seek the approval from the Company’s shareholders, the Board, the in</w:t>
      </w:r>
      <w:r>
        <w:rPr>
          <w:rFonts w:eastAsia="Times New Roman"/>
          <w:sz w:val="19"/>
          <w:szCs w:val="19"/>
        </w:rPr>
        <w:t>dependent directors of the Board or the Committee, as applicable, such approval shall be obtained. It is the intention of the Company that, to the extent that any provisions of this Plan or any Awards granted hereunder are subject to Code Section 409A, the</w:t>
      </w:r>
      <w:r>
        <w:rPr>
          <w:rFonts w:eastAsia="Times New Roman"/>
          <w:sz w:val="19"/>
          <w:szCs w:val="19"/>
        </w:rPr>
        <w:t xml:space="preserve"> Plan and the Awards comply with the requirements of Code Section 409A and that the Board shall have the authority to amend the Plan as it deems necessary or desirable to conform to Code Section 409A. Notwithstanding the foregoing, neither the Company nor </w:t>
      </w:r>
      <w:r>
        <w:rPr>
          <w:rFonts w:eastAsia="Times New Roman"/>
          <w:sz w:val="19"/>
          <w:szCs w:val="19"/>
        </w:rPr>
        <w:t>the Subsidiaries guarantee that Awards under the Plan will comply with Code Section 409A and the Committee is under no obligation to make any changes to any Award to cause such compliance; and</w:t>
      </w:r>
    </w:p>
    <w:p w:rsidR="00CC2C66" w:rsidRDefault="00CC2C66">
      <w:pPr>
        <w:spacing w:line="256" w:lineRule="exact"/>
        <w:rPr>
          <w:rFonts w:eastAsia="Times New Roman"/>
          <w:sz w:val="19"/>
          <w:szCs w:val="19"/>
        </w:rPr>
      </w:pPr>
    </w:p>
    <w:p w:rsidR="00CC2C66" w:rsidRDefault="00F80B74">
      <w:pPr>
        <w:numPr>
          <w:ilvl w:val="0"/>
          <w:numId w:val="146"/>
        </w:numPr>
        <w:tabs>
          <w:tab w:val="left" w:pos="1440"/>
        </w:tabs>
        <w:spacing w:line="265" w:lineRule="auto"/>
        <w:ind w:left="1440" w:right="20" w:hanging="518"/>
        <w:rPr>
          <w:rFonts w:eastAsia="Times New Roman"/>
          <w:sz w:val="19"/>
          <w:szCs w:val="19"/>
        </w:rPr>
      </w:pPr>
      <w:r>
        <w:rPr>
          <w:rFonts w:eastAsia="Times New Roman"/>
          <w:sz w:val="19"/>
          <w:szCs w:val="19"/>
        </w:rPr>
        <w:t>the amended Plan or the amended Award Agreement must still com</w:t>
      </w:r>
      <w:r>
        <w:rPr>
          <w:rFonts w:eastAsia="Times New Roman"/>
          <w:sz w:val="19"/>
          <w:szCs w:val="19"/>
        </w:rPr>
        <w:t>ply with the relevant applicable laws or applicable rules of any stock exchange on which the Stock is listed.</w:t>
      </w:r>
    </w:p>
    <w:p w:rsidR="00CC2C66" w:rsidRDefault="00CC2C66">
      <w:pPr>
        <w:spacing w:line="106" w:lineRule="exact"/>
        <w:rPr>
          <w:sz w:val="20"/>
          <w:szCs w:val="20"/>
        </w:rPr>
      </w:pPr>
    </w:p>
    <w:p w:rsidR="00CC2C66" w:rsidRDefault="00F80B74">
      <w:pPr>
        <w:numPr>
          <w:ilvl w:val="0"/>
          <w:numId w:val="147"/>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812864"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3" w:name="page93"/>
      <w:bookmarkEnd w:id="93"/>
      <w:r>
        <w:rPr>
          <w:rFonts w:eastAsia="Times New Roman"/>
          <w:b/>
          <w:bCs/>
          <w:noProof/>
          <w:color w:val="0000EE"/>
          <w:sz w:val="17"/>
          <w:szCs w:val="17"/>
          <w:u w:val="single"/>
        </w:rPr>
        <w:drawing>
          <wp:anchor distT="0" distB="0" distL="114300" distR="114300" simplePos="0" relativeHeight="25181388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14912"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87" w:lineRule="exact"/>
        <w:rPr>
          <w:sz w:val="20"/>
          <w:szCs w:val="20"/>
        </w:rPr>
      </w:pPr>
    </w:p>
    <w:p w:rsidR="00CC2C66" w:rsidRDefault="00F80B74">
      <w:pPr>
        <w:ind w:right="-419"/>
        <w:jc w:val="center"/>
        <w:rPr>
          <w:sz w:val="20"/>
          <w:szCs w:val="20"/>
        </w:rPr>
      </w:pPr>
      <w:r>
        <w:rPr>
          <w:rFonts w:eastAsia="Times New Roman"/>
          <w:b/>
          <w:bCs/>
          <w:sz w:val="19"/>
          <w:szCs w:val="19"/>
        </w:rPr>
        <w:t>SECTION 9.</w:t>
      </w:r>
    </w:p>
    <w:p w:rsidR="00CC2C66" w:rsidRDefault="00CC2C66">
      <w:pPr>
        <w:spacing w:line="23" w:lineRule="exact"/>
        <w:rPr>
          <w:sz w:val="20"/>
          <w:szCs w:val="20"/>
        </w:rPr>
      </w:pPr>
    </w:p>
    <w:p w:rsidR="00CC2C66" w:rsidRDefault="00F80B74">
      <w:pPr>
        <w:ind w:right="-419"/>
        <w:jc w:val="center"/>
        <w:rPr>
          <w:sz w:val="20"/>
          <w:szCs w:val="20"/>
        </w:rPr>
      </w:pPr>
      <w:r>
        <w:rPr>
          <w:rFonts w:eastAsia="Times New Roman"/>
          <w:b/>
          <w:bCs/>
          <w:sz w:val="19"/>
          <w:szCs w:val="19"/>
        </w:rPr>
        <w:t>Defined Terms</w:t>
      </w:r>
    </w:p>
    <w:p w:rsidR="00CC2C66" w:rsidRDefault="00CC2C66">
      <w:pPr>
        <w:spacing w:line="221" w:lineRule="exact"/>
        <w:rPr>
          <w:sz w:val="20"/>
          <w:szCs w:val="20"/>
        </w:rPr>
      </w:pPr>
    </w:p>
    <w:p w:rsidR="00CC2C66" w:rsidRDefault="00F80B74">
      <w:pPr>
        <w:ind w:left="420"/>
        <w:rPr>
          <w:sz w:val="20"/>
          <w:szCs w:val="20"/>
        </w:rPr>
      </w:pPr>
      <w:r>
        <w:rPr>
          <w:rFonts w:eastAsia="Times New Roman"/>
          <w:sz w:val="19"/>
          <w:szCs w:val="19"/>
        </w:rPr>
        <w:t>In addition to the other definitions contained herein, the following definitions shall apply:</w:t>
      </w:r>
    </w:p>
    <w:p w:rsidR="00CC2C66" w:rsidRDefault="00CC2C66">
      <w:pPr>
        <w:spacing w:line="276" w:lineRule="exact"/>
        <w:rPr>
          <w:sz w:val="20"/>
          <w:szCs w:val="20"/>
        </w:rPr>
      </w:pPr>
    </w:p>
    <w:p w:rsidR="00CC2C66" w:rsidRDefault="00F80B74">
      <w:pPr>
        <w:numPr>
          <w:ilvl w:val="0"/>
          <w:numId w:val="148"/>
        </w:numPr>
        <w:tabs>
          <w:tab w:val="left" w:pos="1440"/>
        </w:tabs>
        <w:ind w:left="1440" w:hanging="518"/>
        <w:rPr>
          <w:rFonts w:eastAsia="Times New Roman"/>
          <w:sz w:val="19"/>
          <w:szCs w:val="19"/>
        </w:rPr>
      </w:pPr>
      <w:r>
        <w:rPr>
          <w:rFonts w:eastAsia="Times New Roman"/>
          <w:b/>
          <w:bCs/>
          <w:sz w:val="19"/>
          <w:szCs w:val="19"/>
        </w:rPr>
        <w:t>1% Individual Limit</w:t>
      </w:r>
      <w:r>
        <w:rPr>
          <w:rFonts w:eastAsia="Times New Roman"/>
          <w:sz w:val="19"/>
          <w:szCs w:val="19"/>
        </w:rPr>
        <w:t>. The term “1% Individual Limit” is defined in subsection 4.1(f)(iii).</w:t>
      </w:r>
    </w:p>
    <w:p w:rsidR="00CC2C66" w:rsidRDefault="00CC2C66">
      <w:pPr>
        <w:spacing w:line="279" w:lineRule="exact"/>
        <w:rPr>
          <w:rFonts w:eastAsia="Times New Roman"/>
          <w:sz w:val="19"/>
          <w:szCs w:val="19"/>
        </w:rPr>
      </w:pPr>
    </w:p>
    <w:p w:rsidR="00CC2C66" w:rsidRDefault="00F80B74">
      <w:pPr>
        <w:numPr>
          <w:ilvl w:val="0"/>
          <w:numId w:val="148"/>
        </w:numPr>
        <w:tabs>
          <w:tab w:val="left" w:pos="1440"/>
        </w:tabs>
        <w:ind w:left="1440" w:hanging="518"/>
        <w:rPr>
          <w:rFonts w:eastAsia="Times New Roman"/>
          <w:sz w:val="19"/>
          <w:szCs w:val="19"/>
        </w:rPr>
      </w:pPr>
      <w:r>
        <w:rPr>
          <w:rFonts w:eastAsia="Times New Roman"/>
          <w:b/>
          <w:bCs/>
          <w:sz w:val="19"/>
          <w:szCs w:val="19"/>
        </w:rPr>
        <w:t>10% Limit</w:t>
      </w:r>
      <w:r>
        <w:rPr>
          <w:rFonts w:eastAsia="Times New Roman"/>
          <w:sz w:val="19"/>
          <w:szCs w:val="19"/>
        </w:rPr>
        <w:t xml:space="preserve">. The term “10% Limit” is defined </w:t>
      </w:r>
      <w:r>
        <w:rPr>
          <w:rFonts w:eastAsia="Times New Roman"/>
          <w:sz w:val="19"/>
          <w:szCs w:val="19"/>
        </w:rPr>
        <w:t>in subsection 4.1(b).</w:t>
      </w:r>
    </w:p>
    <w:p w:rsidR="00CC2C66" w:rsidRDefault="00CC2C66">
      <w:pPr>
        <w:spacing w:line="279" w:lineRule="exact"/>
        <w:rPr>
          <w:rFonts w:eastAsia="Times New Roman"/>
          <w:sz w:val="19"/>
          <w:szCs w:val="19"/>
        </w:rPr>
      </w:pPr>
    </w:p>
    <w:p w:rsidR="00CC2C66" w:rsidRDefault="00F80B74">
      <w:pPr>
        <w:numPr>
          <w:ilvl w:val="0"/>
          <w:numId w:val="148"/>
        </w:numPr>
        <w:tabs>
          <w:tab w:val="left" w:pos="1440"/>
        </w:tabs>
        <w:spacing w:line="269" w:lineRule="auto"/>
        <w:ind w:left="1440" w:hanging="518"/>
        <w:rPr>
          <w:rFonts w:eastAsia="Times New Roman"/>
          <w:sz w:val="19"/>
          <w:szCs w:val="19"/>
        </w:rPr>
      </w:pPr>
      <w:r>
        <w:rPr>
          <w:rFonts w:eastAsia="Times New Roman"/>
          <w:b/>
          <w:bCs/>
          <w:sz w:val="19"/>
          <w:szCs w:val="19"/>
        </w:rPr>
        <w:t>Award</w:t>
      </w:r>
      <w:r>
        <w:rPr>
          <w:rFonts w:eastAsia="Times New Roman"/>
          <w:sz w:val="19"/>
          <w:szCs w:val="19"/>
        </w:rPr>
        <w:t>. The term “Award” shall mean any award or benefit granted under the Plan, including, without limitation, the grant of</w:t>
      </w:r>
      <w:r>
        <w:rPr>
          <w:rFonts w:eastAsia="Times New Roman"/>
          <w:b/>
          <w:bCs/>
          <w:sz w:val="19"/>
          <w:szCs w:val="19"/>
        </w:rPr>
        <w:t xml:space="preserve"> </w:t>
      </w:r>
      <w:r>
        <w:rPr>
          <w:rFonts w:eastAsia="Times New Roman"/>
          <w:sz w:val="19"/>
          <w:szCs w:val="19"/>
        </w:rPr>
        <w:t>Options, SARs, or Full Value Awards.</w:t>
      </w:r>
    </w:p>
    <w:p w:rsidR="00CC2C66" w:rsidRDefault="00CC2C66">
      <w:pPr>
        <w:spacing w:line="225" w:lineRule="exact"/>
        <w:rPr>
          <w:rFonts w:eastAsia="Times New Roman"/>
          <w:sz w:val="19"/>
          <w:szCs w:val="19"/>
        </w:rPr>
      </w:pPr>
    </w:p>
    <w:p w:rsidR="00CC2C66" w:rsidRDefault="00F80B74">
      <w:pPr>
        <w:numPr>
          <w:ilvl w:val="0"/>
          <w:numId w:val="148"/>
        </w:numPr>
        <w:tabs>
          <w:tab w:val="left" w:pos="1440"/>
        </w:tabs>
        <w:ind w:left="1440" w:hanging="518"/>
        <w:rPr>
          <w:rFonts w:eastAsia="Times New Roman"/>
          <w:sz w:val="19"/>
          <w:szCs w:val="19"/>
        </w:rPr>
      </w:pPr>
      <w:r>
        <w:rPr>
          <w:rFonts w:eastAsia="Times New Roman"/>
          <w:b/>
          <w:bCs/>
          <w:sz w:val="19"/>
          <w:szCs w:val="19"/>
        </w:rPr>
        <w:t>Award Agreement</w:t>
      </w:r>
      <w:r>
        <w:rPr>
          <w:rFonts w:eastAsia="Times New Roman"/>
          <w:sz w:val="19"/>
          <w:szCs w:val="19"/>
        </w:rPr>
        <w:t xml:space="preserve">. The term “Award Agreement” is defined in subsection </w:t>
      </w:r>
      <w:r>
        <w:rPr>
          <w:rFonts w:eastAsia="Times New Roman"/>
          <w:sz w:val="19"/>
          <w:szCs w:val="19"/>
        </w:rPr>
        <w:t>6.10.</w:t>
      </w:r>
    </w:p>
    <w:p w:rsidR="00CC2C66" w:rsidRDefault="00CC2C66">
      <w:pPr>
        <w:spacing w:line="279" w:lineRule="exact"/>
        <w:rPr>
          <w:rFonts w:eastAsia="Times New Roman"/>
          <w:sz w:val="19"/>
          <w:szCs w:val="19"/>
        </w:rPr>
      </w:pPr>
    </w:p>
    <w:p w:rsidR="00CC2C66" w:rsidRDefault="00F80B74">
      <w:pPr>
        <w:numPr>
          <w:ilvl w:val="0"/>
          <w:numId w:val="148"/>
        </w:numPr>
        <w:tabs>
          <w:tab w:val="left" w:pos="1440"/>
        </w:tabs>
        <w:ind w:left="1440" w:hanging="518"/>
        <w:rPr>
          <w:rFonts w:eastAsia="Times New Roman"/>
          <w:sz w:val="19"/>
          <w:szCs w:val="19"/>
        </w:rPr>
      </w:pPr>
      <w:r>
        <w:rPr>
          <w:rFonts w:eastAsia="Times New Roman"/>
          <w:b/>
          <w:bCs/>
          <w:sz w:val="19"/>
          <w:szCs w:val="19"/>
        </w:rPr>
        <w:t>Board</w:t>
      </w:r>
      <w:r>
        <w:rPr>
          <w:rFonts w:eastAsia="Times New Roman"/>
          <w:sz w:val="19"/>
          <w:szCs w:val="19"/>
        </w:rPr>
        <w:t>. The term “Board” shall mean the Board of Directors of the Company.</w:t>
      </w:r>
    </w:p>
    <w:p w:rsidR="00CC2C66" w:rsidRDefault="00CC2C66">
      <w:pPr>
        <w:spacing w:line="279" w:lineRule="exact"/>
        <w:rPr>
          <w:rFonts w:eastAsia="Times New Roman"/>
          <w:sz w:val="19"/>
          <w:szCs w:val="19"/>
        </w:rPr>
      </w:pPr>
    </w:p>
    <w:p w:rsidR="00CC2C66" w:rsidRDefault="00F80B74">
      <w:pPr>
        <w:numPr>
          <w:ilvl w:val="0"/>
          <w:numId w:val="148"/>
        </w:numPr>
        <w:tabs>
          <w:tab w:val="left" w:pos="1440"/>
        </w:tabs>
        <w:spacing w:line="269" w:lineRule="auto"/>
        <w:ind w:left="1440" w:right="20" w:hanging="518"/>
        <w:rPr>
          <w:rFonts w:eastAsia="Times New Roman"/>
          <w:sz w:val="19"/>
          <w:szCs w:val="19"/>
        </w:rPr>
      </w:pPr>
      <w:r>
        <w:rPr>
          <w:rFonts w:eastAsia="Times New Roman"/>
          <w:b/>
          <w:bCs/>
          <w:sz w:val="19"/>
          <w:szCs w:val="19"/>
        </w:rPr>
        <w:t>Change in Control</w:t>
      </w:r>
      <w:r>
        <w:rPr>
          <w:rFonts w:eastAsia="Times New Roman"/>
          <w:sz w:val="19"/>
          <w:szCs w:val="19"/>
        </w:rPr>
        <w:t>. A “Change in Control” shall be deemed to have occurred if the event set forth in any one of the</w:t>
      </w:r>
      <w:r>
        <w:rPr>
          <w:rFonts w:eastAsia="Times New Roman"/>
          <w:b/>
          <w:bCs/>
          <w:sz w:val="19"/>
          <w:szCs w:val="19"/>
        </w:rPr>
        <w:t xml:space="preserve"> </w:t>
      </w:r>
      <w:r>
        <w:rPr>
          <w:rFonts w:eastAsia="Times New Roman"/>
          <w:sz w:val="19"/>
          <w:szCs w:val="19"/>
        </w:rPr>
        <w:t>following subparagraphs shall have occurred:</w:t>
      </w:r>
    </w:p>
    <w:p w:rsidR="00CC2C66" w:rsidRDefault="00CC2C66">
      <w:pPr>
        <w:spacing w:line="229" w:lineRule="exact"/>
        <w:rPr>
          <w:rFonts w:eastAsia="Times New Roman"/>
          <w:sz w:val="19"/>
          <w:szCs w:val="19"/>
        </w:rPr>
      </w:pPr>
    </w:p>
    <w:p w:rsidR="00CC2C66" w:rsidRDefault="00F80B74">
      <w:pPr>
        <w:numPr>
          <w:ilvl w:val="1"/>
          <w:numId w:val="148"/>
        </w:numPr>
        <w:tabs>
          <w:tab w:val="left" w:pos="1960"/>
        </w:tabs>
        <w:spacing w:line="245" w:lineRule="auto"/>
        <w:ind w:left="1960" w:hanging="514"/>
        <w:jc w:val="both"/>
        <w:rPr>
          <w:rFonts w:eastAsia="Times New Roman"/>
          <w:sz w:val="19"/>
          <w:szCs w:val="19"/>
        </w:rPr>
      </w:pPr>
      <w:r>
        <w:rPr>
          <w:rFonts w:eastAsia="Times New Roman"/>
          <w:sz w:val="19"/>
          <w:szCs w:val="19"/>
        </w:rPr>
        <w:t>any Person is</w:t>
      </w:r>
      <w:r>
        <w:rPr>
          <w:rFonts w:eastAsia="Times New Roman"/>
          <w:sz w:val="19"/>
          <w:szCs w:val="19"/>
        </w:rPr>
        <w:t xml:space="preserve"> or becomes the Beneficial Owner, directly or indirectly, of securities of the Company (not including in the securities beneficially owned by such Person any securities acquired directly from the Company or its Affiliates) representing 35% or more of the c</w:t>
      </w:r>
      <w:r>
        <w:rPr>
          <w:rFonts w:eastAsia="Times New Roman"/>
          <w:sz w:val="19"/>
          <w:szCs w:val="19"/>
        </w:rPr>
        <w:t>ombined voting power of the Company’s then outstanding securities, excluding any Person who becomes such a Beneficial Owner in connection with a transaction described in clause (I) of subparagraph (iii) below; or</w:t>
      </w:r>
    </w:p>
    <w:p w:rsidR="00CC2C66" w:rsidRDefault="00CC2C66">
      <w:pPr>
        <w:spacing w:line="251" w:lineRule="exact"/>
        <w:rPr>
          <w:rFonts w:eastAsia="Times New Roman"/>
          <w:sz w:val="19"/>
          <w:szCs w:val="19"/>
        </w:rPr>
      </w:pPr>
    </w:p>
    <w:p w:rsidR="00CC2C66" w:rsidRDefault="00F80B74">
      <w:pPr>
        <w:numPr>
          <w:ilvl w:val="1"/>
          <w:numId w:val="148"/>
        </w:numPr>
        <w:tabs>
          <w:tab w:val="left" w:pos="1960"/>
        </w:tabs>
        <w:spacing w:line="243" w:lineRule="auto"/>
        <w:ind w:left="1960" w:hanging="514"/>
        <w:jc w:val="both"/>
        <w:rPr>
          <w:rFonts w:eastAsia="Times New Roman"/>
          <w:sz w:val="19"/>
          <w:szCs w:val="19"/>
        </w:rPr>
      </w:pPr>
      <w:r>
        <w:rPr>
          <w:rFonts w:eastAsia="Times New Roman"/>
          <w:sz w:val="19"/>
          <w:szCs w:val="19"/>
        </w:rPr>
        <w:t>the following individuals cease for any re</w:t>
      </w:r>
      <w:r>
        <w:rPr>
          <w:rFonts w:eastAsia="Times New Roman"/>
          <w:sz w:val="19"/>
          <w:szCs w:val="19"/>
        </w:rPr>
        <w:t>ason to constitute a majority of the number of directors then serving; individuals who, on the date hereof, constitute the Board and any new director (other than a director whose initial assumption of office is in connection with an actual or threatened el</w:t>
      </w:r>
      <w:r>
        <w:rPr>
          <w:rFonts w:eastAsia="Times New Roman"/>
          <w:sz w:val="19"/>
          <w:szCs w:val="19"/>
        </w:rPr>
        <w:t>ection contest, including but not limited to a consent solicitation, relating to the election of directors of the Company), whose appointment or election by the Board or nomination for election by the Company’s shareholders was approved or recommended by a</w:t>
      </w:r>
      <w:r>
        <w:rPr>
          <w:rFonts w:eastAsia="Times New Roman"/>
          <w:sz w:val="19"/>
          <w:szCs w:val="19"/>
        </w:rPr>
        <w:t xml:space="preserve"> vote of at least two-thirds (2/3) of the directors then still in office who either were directors on the date hereof or whose appointment, election or nomination for election was previously so approved or recommended; or</w:t>
      </w:r>
    </w:p>
    <w:p w:rsidR="00CC2C66" w:rsidRDefault="00CC2C66">
      <w:pPr>
        <w:spacing w:line="253" w:lineRule="exact"/>
        <w:rPr>
          <w:rFonts w:eastAsia="Times New Roman"/>
          <w:sz w:val="19"/>
          <w:szCs w:val="19"/>
        </w:rPr>
      </w:pPr>
    </w:p>
    <w:p w:rsidR="00CC2C66" w:rsidRDefault="00F80B74">
      <w:pPr>
        <w:numPr>
          <w:ilvl w:val="1"/>
          <w:numId w:val="148"/>
        </w:numPr>
        <w:tabs>
          <w:tab w:val="left" w:pos="1960"/>
        </w:tabs>
        <w:spacing w:line="241" w:lineRule="auto"/>
        <w:ind w:left="1960" w:hanging="514"/>
        <w:jc w:val="both"/>
        <w:rPr>
          <w:rFonts w:eastAsia="Times New Roman"/>
          <w:sz w:val="19"/>
          <w:szCs w:val="19"/>
        </w:rPr>
      </w:pPr>
      <w:r>
        <w:rPr>
          <w:rFonts w:eastAsia="Times New Roman"/>
          <w:sz w:val="19"/>
          <w:szCs w:val="19"/>
        </w:rPr>
        <w:t xml:space="preserve">there is consummated a merger or </w:t>
      </w:r>
      <w:r>
        <w:rPr>
          <w:rFonts w:eastAsia="Times New Roman"/>
          <w:sz w:val="19"/>
          <w:szCs w:val="19"/>
        </w:rPr>
        <w:t>consolidation of the Company or any direct or indirect Subsidiary with any other corporation, other than (I) a merger or consolidation (A) immediately following which those individuals who, immediately prior to the consummation of such merger or consolidat</w:t>
      </w:r>
      <w:r>
        <w:rPr>
          <w:rFonts w:eastAsia="Times New Roman"/>
          <w:sz w:val="19"/>
          <w:szCs w:val="19"/>
        </w:rPr>
        <w:t>ion, constituted the Board, constitute a majority of the board of directors of the Company or the surviving or resulting entity or any parent thereof, or (B) which results in the voting securities of the Company outstanding immediately prior to such merger</w:t>
      </w:r>
      <w:r>
        <w:rPr>
          <w:rFonts w:eastAsia="Times New Roman"/>
          <w:sz w:val="19"/>
          <w:szCs w:val="19"/>
        </w:rPr>
        <w:t xml:space="preserve"> or consolidation continuing to represent (either by remaining outstanding or by being converted into voting securities of the surviving entity or any parent thereof), in combination with the ownership of any trustee or other fiduciary holding securities u</w:t>
      </w:r>
      <w:r>
        <w:rPr>
          <w:rFonts w:eastAsia="Times New Roman"/>
          <w:sz w:val="19"/>
          <w:szCs w:val="19"/>
        </w:rPr>
        <w:t>nder an employee benefit plan of the Company or any subsidiary of the Company, at least 50% of the combined voting power of the securities of the Company (or such surviving entity or any parent thereof) outstanding immediately after such merger or consolid</w:t>
      </w:r>
      <w:r>
        <w:rPr>
          <w:rFonts w:eastAsia="Times New Roman"/>
          <w:sz w:val="19"/>
          <w:szCs w:val="19"/>
        </w:rPr>
        <w:t>ation, or (II) a merger or consolidation effected to implement a recapitalization of the Company (or similar transaction) in which no Person is or becomes the Beneficial Owner, directly or indirectly, of securities of the Company (not including in the secu</w:t>
      </w:r>
      <w:r>
        <w:rPr>
          <w:rFonts w:eastAsia="Times New Roman"/>
          <w:sz w:val="19"/>
          <w:szCs w:val="19"/>
        </w:rPr>
        <w:t>rities beneficially</w:t>
      </w:r>
    </w:p>
    <w:p w:rsidR="00CC2C66" w:rsidRDefault="00CC2C66">
      <w:pPr>
        <w:spacing w:line="126"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87</w:t>
      </w:r>
    </w:p>
    <w:p w:rsidR="00CC2C66" w:rsidRDefault="00F80B74">
      <w:pPr>
        <w:spacing w:line="20" w:lineRule="exact"/>
        <w:rPr>
          <w:sz w:val="20"/>
          <w:szCs w:val="20"/>
        </w:rPr>
      </w:pPr>
      <w:r>
        <w:rPr>
          <w:noProof/>
          <w:sz w:val="20"/>
          <w:szCs w:val="20"/>
        </w:rPr>
        <w:drawing>
          <wp:anchor distT="0" distB="0" distL="114300" distR="114300" simplePos="0" relativeHeight="251815936" behindDoc="1" locked="0" layoutInCell="0" allowOverlap="1">
            <wp:simplePos x="0" y="0"/>
            <wp:positionH relativeFrom="column">
              <wp:posOffset>6621780</wp:posOffset>
            </wp:positionH>
            <wp:positionV relativeFrom="paragraph">
              <wp:posOffset>-95250</wp:posOffset>
            </wp:positionV>
            <wp:extent cx="8255" cy="9715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4" w:name="page94"/>
      <w:bookmarkEnd w:id="94"/>
      <w:r>
        <w:rPr>
          <w:rFonts w:eastAsia="Times New Roman"/>
          <w:b/>
          <w:bCs/>
          <w:noProof/>
          <w:color w:val="0000EE"/>
          <w:sz w:val="17"/>
          <w:szCs w:val="17"/>
          <w:u w:val="single"/>
        </w:rPr>
        <w:drawing>
          <wp:anchor distT="0" distB="0" distL="114300" distR="114300" simplePos="0" relativeHeight="251816960"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17984" behindDoc="1" locked="0" layoutInCell="0" allowOverlap="1">
            <wp:simplePos x="0" y="0"/>
            <wp:positionH relativeFrom="column">
              <wp:posOffset>260985</wp:posOffset>
            </wp:positionH>
            <wp:positionV relativeFrom="paragraph">
              <wp:posOffset>196850</wp:posOffset>
            </wp:positionV>
            <wp:extent cx="3853815" cy="19494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8">
                      <a:extLst/>
                    </a:blip>
                    <a:srcRect/>
                    <a:stretch>
                      <a:fillRect/>
                    </a:stretch>
                  </pic:blipFill>
                  <pic:spPr bwMode="auto">
                    <a:xfrm>
                      <a:off x="0" y="0"/>
                      <a:ext cx="38538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65" w:lineRule="auto"/>
        <w:ind w:left="1960"/>
        <w:jc w:val="both"/>
        <w:rPr>
          <w:sz w:val="20"/>
          <w:szCs w:val="20"/>
        </w:rPr>
      </w:pPr>
      <w:r>
        <w:rPr>
          <w:rFonts w:eastAsia="Times New Roman"/>
          <w:sz w:val="19"/>
          <w:szCs w:val="19"/>
        </w:rPr>
        <w:t xml:space="preserve">owned by such Person any securities acquired directly from the Company or its Affiliates) </w:t>
      </w:r>
      <w:r>
        <w:rPr>
          <w:rFonts w:eastAsia="Times New Roman"/>
          <w:sz w:val="19"/>
          <w:szCs w:val="19"/>
        </w:rPr>
        <w:t>representing 35% or more of the combined voting power of the Company’s then outstanding securities.</w:t>
      </w:r>
    </w:p>
    <w:p w:rsidR="00CC2C66" w:rsidRDefault="00CC2C66">
      <w:pPr>
        <w:spacing w:line="195" w:lineRule="exact"/>
        <w:rPr>
          <w:sz w:val="20"/>
          <w:szCs w:val="20"/>
        </w:rPr>
      </w:pPr>
    </w:p>
    <w:p w:rsidR="00CC2C66" w:rsidRDefault="00F80B74">
      <w:pPr>
        <w:spacing w:line="242" w:lineRule="auto"/>
        <w:ind w:left="1980"/>
        <w:jc w:val="both"/>
        <w:rPr>
          <w:sz w:val="20"/>
          <w:szCs w:val="20"/>
        </w:rPr>
      </w:pPr>
      <w:r>
        <w:rPr>
          <w:rFonts w:eastAsia="Times New Roman"/>
          <w:sz w:val="19"/>
          <w:szCs w:val="19"/>
        </w:rPr>
        <w:t>Notwithstanding the foregoing, a “Change in Control” shall not be deemed to have occurred by virtue of the consummation of any transaction or series of int</w:t>
      </w:r>
      <w:r>
        <w:rPr>
          <w:rFonts w:eastAsia="Times New Roman"/>
          <w:sz w:val="19"/>
          <w:szCs w:val="19"/>
        </w:rPr>
        <w:t>egrated transactions immediately following which the record holders of the common stock of the Company immediately prior to such transaction or series of transactions continue to have substantially the same proportionate ownership in an entity which owns a</w:t>
      </w:r>
      <w:r>
        <w:rPr>
          <w:rFonts w:eastAsia="Times New Roman"/>
          <w:sz w:val="19"/>
          <w:szCs w:val="19"/>
        </w:rPr>
        <w:t>ll or substantially all of the assets of the Company immediately following such transaction or series of transactions. Notwithstanding the foregoing definition or any other provision of this Plan, the term Change in Control shall not include a sale of asse</w:t>
      </w:r>
      <w:r>
        <w:rPr>
          <w:rFonts w:eastAsia="Times New Roman"/>
          <w:sz w:val="19"/>
          <w:szCs w:val="19"/>
        </w:rPr>
        <w:t>ts, merger or other transaction effected exclusively for the purpose of changing the domicile of the Company. For purposes of this definition, the following terms shall have the meaning specified:</w:t>
      </w:r>
    </w:p>
    <w:p w:rsidR="00CC2C66" w:rsidRDefault="00CC2C66">
      <w:pPr>
        <w:spacing w:line="256" w:lineRule="exact"/>
        <w:rPr>
          <w:sz w:val="20"/>
          <w:szCs w:val="20"/>
        </w:rPr>
      </w:pPr>
    </w:p>
    <w:p w:rsidR="00CC2C66" w:rsidRDefault="00F80B74">
      <w:pPr>
        <w:numPr>
          <w:ilvl w:val="0"/>
          <w:numId w:val="149"/>
        </w:numPr>
        <w:tabs>
          <w:tab w:val="left" w:pos="2480"/>
        </w:tabs>
        <w:ind w:left="2480" w:hanging="510"/>
        <w:rPr>
          <w:rFonts w:eastAsia="Times New Roman"/>
          <w:sz w:val="19"/>
          <w:szCs w:val="19"/>
        </w:rPr>
      </w:pPr>
      <w:r>
        <w:rPr>
          <w:rFonts w:eastAsia="Times New Roman"/>
          <w:sz w:val="19"/>
          <w:szCs w:val="19"/>
        </w:rPr>
        <w:t>“Affiliate” shall have the meaning set forth in Rule 12b-2</w:t>
      </w:r>
      <w:r>
        <w:rPr>
          <w:rFonts w:eastAsia="Times New Roman"/>
          <w:sz w:val="19"/>
          <w:szCs w:val="19"/>
        </w:rPr>
        <w:t xml:space="preserve"> under Section 12 of the Exchange Act.</w:t>
      </w:r>
    </w:p>
    <w:p w:rsidR="00CC2C66" w:rsidRDefault="00CC2C66">
      <w:pPr>
        <w:spacing w:line="280" w:lineRule="exact"/>
        <w:rPr>
          <w:sz w:val="20"/>
          <w:szCs w:val="20"/>
        </w:rPr>
      </w:pPr>
    </w:p>
    <w:p w:rsidR="00CC2C66" w:rsidRDefault="00F80B74">
      <w:pPr>
        <w:numPr>
          <w:ilvl w:val="0"/>
          <w:numId w:val="150"/>
        </w:numPr>
        <w:tabs>
          <w:tab w:val="left" w:pos="2480"/>
        </w:tabs>
        <w:spacing w:line="252" w:lineRule="auto"/>
        <w:ind w:left="2480" w:hanging="510"/>
        <w:jc w:val="both"/>
        <w:rPr>
          <w:rFonts w:eastAsia="Times New Roman"/>
          <w:sz w:val="19"/>
          <w:szCs w:val="19"/>
        </w:rPr>
      </w:pPr>
      <w:r>
        <w:rPr>
          <w:rFonts w:eastAsia="Times New Roman"/>
          <w:sz w:val="19"/>
          <w:szCs w:val="19"/>
        </w:rPr>
        <w:t>“Beneficial Owner” shall have the meaning set forth in Rule 13d-3 under the Exchange Act, except that a Person shall not be deemed to be the Beneficial Owner of any securities which are properly filed on a Form 13-G.</w:t>
      </w:r>
    </w:p>
    <w:p w:rsidR="00CC2C66" w:rsidRDefault="00CC2C66">
      <w:pPr>
        <w:spacing w:line="245" w:lineRule="exact"/>
        <w:rPr>
          <w:sz w:val="20"/>
          <w:szCs w:val="20"/>
        </w:rPr>
      </w:pPr>
    </w:p>
    <w:p w:rsidR="00CC2C66" w:rsidRDefault="00F80B74">
      <w:pPr>
        <w:numPr>
          <w:ilvl w:val="1"/>
          <w:numId w:val="151"/>
        </w:numPr>
        <w:tabs>
          <w:tab w:val="left" w:pos="2480"/>
        </w:tabs>
        <w:spacing w:line="243" w:lineRule="auto"/>
        <w:ind w:left="2480" w:hanging="510"/>
        <w:jc w:val="both"/>
        <w:rPr>
          <w:rFonts w:eastAsia="Times New Roman"/>
          <w:sz w:val="19"/>
          <w:szCs w:val="19"/>
        </w:rPr>
      </w:pPr>
      <w:r>
        <w:rPr>
          <w:rFonts w:eastAsia="Times New Roman"/>
          <w:sz w:val="19"/>
          <w:szCs w:val="19"/>
        </w:rPr>
        <w:t>“Person” shall have the meaning given in Section 3(a)(9) of the Exchange Act, as modified and used in Sections 13(d) and 14(d) thereof, except that such term shall not include (i) the Company or any of its Affiliates; (ii) a trustee or other fiduciary ho</w:t>
      </w:r>
      <w:r>
        <w:rPr>
          <w:rFonts w:eastAsia="Times New Roman"/>
          <w:sz w:val="19"/>
          <w:szCs w:val="19"/>
        </w:rPr>
        <w:t>lding securities under an employee benefit plan of the Company or any of its subsidiaries; (iii) an underwriter temporarily holding securities pursuant to an offering of such securities; or (iv) a corporation owned, directly or indirectly, by the sharehold</w:t>
      </w:r>
      <w:r>
        <w:rPr>
          <w:rFonts w:eastAsia="Times New Roman"/>
          <w:sz w:val="19"/>
          <w:szCs w:val="19"/>
        </w:rPr>
        <w:t>ers of the Company in substantially the same proportions as their ownership of stock of the Company.</w:t>
      </w:r>
    </w:p>
    <w:p w:rsidR="00CC2C66" w:rsidRDefault="00CC2C66">
      <w:pPr>
        <w:spacing w:line="253" w:lineRule="exact"/>
        <w:rPr>
          <w:rFonts w:eastAsia="Times New Roman"/>
          <w:sz w:val="19"/>
          <w:szCs w:val="19"/>
        </w:rPr>
      </w:pPr>
    </w:p>
    <w:p w:rsidR="00CC2C66" w:rsidRDefault="00F80B74">
      <w:pPr>
        <w:numPr>
          <w:ilvl w:val="0"/>
          <w:numId w:val="152"/>
        </w:numPr>
        <w:tabs>
          <w:tab w:val="left" w:pos="1440"/>
        </w:tabs>
        <w:spacing w:line="269" w:lineRule="auto"/>
        <w:ind w:left="1440" w:right="20" w:hanging="518"/>
        <w:rPr>
          <w:rFonts w:eastAsia="Times New Roman"/>
          <w:sz w:val="19"/>
          <w:szCs w:val="19"/>
        </w:rPr>
      </w:pPr>
      <w:r>
        <w:rPr>
          <w:rFonts w:eastAsia="Times New Roman"/>
          <w:b/>
          <w:bCs/>
          <w:sz w:val="19"/>
          <w:szCs w:val="19"/>
        </w:rPr>
        <w:t>Code</w:t>
      </w:r>
      <w:r>
        <w:rPr>
          <w:rFonts w:eastAsia="Times New Roman"/>
          <w:sz w:val="19"/>
          <w:szCs w:val="19"/>
        </w:rPr>
        <w:t>. The term “Code” shall mean the U.S. Internal Revenue Code of 1986, as amended. A reference to any Code provision</w:t>
      </w:r>
      <w:r>
        <w:rPr>
          <w:rFonts w:eastAsia="Times New Roman"/>
          <w:b/>
          <w:bCs/>
          <w:sz w:val="19"/>
          <w:szCs w:val="19"/>
        </w:rPr>
        <w:t xml:space="preserve"> </w:t>
      </w:r>
      <w:r>
        <w:rPr>
          <w:rFonts w:eastAsia="Times New Roman"/>
          <w:sz w:val="19"/>
          <w:szCs w:val="19"/>
        </w:rPr>
        <w:t>shall include reference to any succ</w:t>
      </w:r>
      <w:r>
        <w:rPr>
          <w:rFonts w:eastAsia="Times New Roman"/>
          <w:sz w:val="19"/>
          <w:szCs w:val="19"/>
        </w:rPr>
        <w:t>essor provision of the Code.</w:t>
      </w:r>
    </w:p>
    <w:p w:rsidR="00CC2C66" w:rsidRDefault="00CC2C66">
      <w:pPr>
        <w:spacing w:line="225" w:lineRule="exact"/>
        <w:rPr>
          <w:rFonts w:eastAsia="Times New Roman"/>
          <w:sz w:val="19"/>
          <w:szCs w:val="19"/>
        </w:rPr>
      </w:pPr>
    </w:p>
    <w:p w:rsidR="00CC2C66" w:rsidRDefault="00F80B74">
      <w:pPr>
        <w:numPr>
          <w:ilvl w:val="0"/>
          <w:numId w:val="152"/>
        </w:numPr>
        <w:tabs>
          <w:tab w:val="left" w:pos="1440"/>
        </w:tabs>
        <w:ind w:left="1440" w:hanging="518"/>
        <w:rPr>
          <w:rFonts w:eastAsia="Times New Roman"/>
          <w:sz w:val="19"/>
          <w:szCs w:val="19"/>
        </w:rPr>
      </w:pPr>
      <w:r>
        <w:rPr>
          <w:rFonts w:eastAsia="Times New Roman"/>
          <w:b/>
          <w:bCs/>
          <w:sz w:val="19"/>
          <w:szCs w:val="19"/>
        </w:rPr>
        <w:t>Committee</w:t>
      </w:r>
      <w:r>
        <w:rPr>
          <w:rFonts w:eastAsia="Times New Roman"/>
          <w:sz w:val="19"/>
          <w:szCs w:val="19"/>
        </w:rPr>
        <w:t>. The term “Committee” is defined in subsection 7.1.</w:t>
      </w:r>
    </w:p>
    <w:p w:rsidR="00CC2C66" w:rsidRDefault="00CC2C66">
      <w:pPr>
        <w:spacing w:line="279" w:lineRule="exact"/>
        <w:rPr>
          <w:rFonts w:eastAsia="Times New Roman"/>
          <w:sz w:val="19"/>
          <w:szCs w:val="19"/>
        </w:rPr>
      </w:pPr>
    </w:p>
    <w:p w:rsidR="00CC2C66" w:rsidRDefault="00F80B74">
      <w:pPr>
        <w:numPr>
          <w:ilvl w:val="0"/>
          <w:numId w:val="152"/>
        </w:numPr>
        <w:tabs>
          <w:tab w:val="left" w:pos="1440"/>
        </w:tabs>
        <w:ind w:left="1440" w:hanging="518"/>
        <w:rPr>
          <w:rFonts w:eastAsia="Times New Roman"/>
          <w:sz w:val="19"/>
          <w:szCs w:val="19"/>
        </w:rPr>
      </w:pPr>
      <w:r>
        <w:rPr>
          <w:rFonts w:eastAsia="Times New Roman"/>
          <w:b/>
          <w:bCs/>
          <w:sz w:val="19"/>
          <w:szCs w:val="19"/>
        </w:rPr>
        <w:t>Director</w:t>
      </w:r>
      <w:r>
        <w:rPr>
          <w:rFonts w:eastAsia="Times New Roman"/>
          <w:sz w:val="19"/>
          <w:szCs w:val="19"/>
        </w:rPr>
        <w:t>. For purposes of the Plan, the term “Director” shall mean a member of the Board.</w:t>
      </w:r>
    </w:p>
    <w:p w:rsidR="00CC2C66" w:rsidRDefault="00CC2C66">
      <w:pPr>
        <w:spacing w:line="279" w:lineRule="exact"/>
        <w:rPr>
          <w:rFonts w:eastAsia="Times New Roman"/>
          <w:sz w:val="19"/>
          <w:szCs w:val="19"/>
        </w:rPr>
      </w:pPr>
    </w:p>
    <w:p w:rsidR="00CC2C66" w:rsidRDefault="00F80B74">
      <w:pPr>
        <w:numPr>
          <w:ilvl w:val="0"/>
          <w:numId w:val="152"/>
        </w:numPr>
        <w:tabs>
          <w:tab w:val="left" w:pos="1440"/>
        </w:tabs>
        <w:ind w:left="1440" w:hanging="518"/>
        <w:rPr>
          <w:rFonts w:eastAsia="Times New Roman"/>
          <w:sz w:val="19"/>
          <w:szCs w:val="19"/>
        </w:rPr>
      </w:pPr>
      <w:r>
        <w:rPr>
          <w:rFonts w:eastAsia="Times New Roman"/>
          <w:b/>
          <w:bCs/>
          <w:sz w:val="19"/>
          <w:szCs w:val="19"/>
        </w:rPr>
        <w:t>Effective Date</w:t>
      </w:r>
      <w:r>
        <w:rPr>
          <w:rFonts w:eastAsia="Times New Roman"/>
          <w:sz w:val="19"/>
          <w:szCs w:val="19"/>
        </w:rPr>
        <w:t>. The term “Effective Date” is defined in subsection 6.1.</w:t>
      </w:r>
    </w:p>
    <w:p w:rsidR="00CC2C66" w:rsidRDefault="00CC2C66">
      <w:pPr>
        <w:spacing w:line="279" w:lineRule="exact"/>
        <w:rPr>
          <w:rFonts w:eastAsia="Times New Roman"/>
          <w:sz w:val="19"/>
          <w:szCs w:val="19"/>
        </w:rPr>
      </w:pPr>
    </w:p>
    <w:p w:rsidR="00CC2C66" w:rsidRDefault="00F80B74">
      <w:pPr>
        <w:numPr>
          <w:ilvl w:val="0"/>
          <w:numId w:val="152"/>
        </w:numPr>
        <w:tabs>
          <w:tab w:val="left" w:pos="1440"/>
        </w:tabs>
        <w:spacing w:line="263" w:lineRule="auto"/>
        <w:ind w:left="1440" w:hanging="518"/>
        <w:jc w:val="both"/>
        <w:rPr>
          <w:rFonts w:eastAsia="Times New Roman"/>
          <w:sz w:val="18"/>
          <w:szCs w:val="18"/>
        </w:rPr>
      </w:pPr>
      <w:r>
        <w:rPr>
          <w:rFonts w:eastAsia="Times New Roman"/>
          <w:b/>
          <w:bCs/>
          <w:sz w:val="18"/>
          <w:szCs w:val="18"/>
        </w:rPr>
        <w:t>Eligible Individual</w:t>
      </w:r>
      <w:r>
        <w:rPr>
          <w:rFonts w:eastAsia="Times New Roman"/>
          <w:sz w:val="18"/>
          <w:szCs w:val="18"/>
        </w:rPr>
        <w:t>. For purposes of the Plan, the term “Eligible Individual” shall mean Employee Participants and any</w:t>
      </w:r>
      <w:r>
        <w:rPr>
          <w:rFonts w:eastAsia="Times New Roman"/>
          <w:b/>
          <w:bCs/>
          <w:sz w:val="18"/>
          <w:szCs w:val="18"/>
        </w:rPr>
        <w:t xml:space="preserve"> </w:t>
      </w:r>
      <w:r>
        <w:rPr>
          <w:rFonts w:eastAsia="Times New Roman"/>
          <w:sz w:val="18"/>
          <w:szCs w:val="18"/>
        </w:rPr>
        <w:t>officers, directors or other employees of associated companies of the Company in which the Company has an equity interest, and persons w</w:t>
      </w:r>
      <w:r>
        <w:rPr>
          <w:rFonts w:eastAsia="Times New Roman"/>
          <w:sz w:val="18"/>
          <w:szCs w:val="18"/>
        </w:rPr>
        <w:t xml:space="preserve">ho are expected to become Employee Participants or officers, directors or other employees of associated companies of the Company in which the Company has an equity interest (but effective no earlier than the date on which such individual begins to provide </w:t>
      </w:r>
      <w:r>
        <w:rPr>
          <w:rFonts w:eastAsia="Times New Roman"/>
          <w:sz w:val="18"/>
          <w:szCs w:val="18"/>
        </w:rPr>
        <w:t>services to the Company, a Subsidiary or an associated company of the Company).</w:t>
      </w:r>
    </w:p>
    <w:p w:rsidR="00CC2C66" w:rsidRDefault="00CC2C66">
      <w:pPr>
        <w:spacing w:line="233" w:lineRule="exact"/>
        <w:rPr>
          <w:rFonts w:eastAsia="Times New Roman"/>
          <w:sz w:val="18"/>
          <w:szCs w:val="18"/>
        </w:rPr>
      </w:pPr>
    </w:p>
    <w:p w:rsidR="00CC2C66" w:rsidRDefault="00F80B74">
      <w:pPr>
        <w:numPr>
          <w:ilvl w:val="0"/>
          <w:numId w:val="152"/>
        </w:numPr>
        <w:tabs>
          <w:tab w:val="left" w:pos="1440"/>
        </w:tabs>
        <w:spacing w:line="254" w:lineRule="auto"/>
        <w:ind w:left="1440" w:hanging="518"/>
        <w:jc w:val="both"/>
        <w:rPr>
          <w:rFonts w:eastAsia="Times New Roman"/>
          <w:sz w:val="19"/>
          <w:szCs w:val="19"/>
        </w:rPr>
      </w:pPr>
      <w:r>
        <w:rPr>
          <w:rFonts w:eastAsia="Times New Roman"/>
          <w:b/>
          <w:bCs/>
          <w:sz w:val="19"/>
          <w:szCs w:val="19"/>
        </w:rPr>
        <w:t>Employee Participant</w:t>
      </w:r>
      <w:r>
        <w:rPr>
          <w:rFonts w:eastAsia="Times New Roman"/>
          <w:sz w:val="19"/>
          <w:szCs w:val="19"/>
        </w:rPr>
        <w:t>. For purposes of the Plan, “Employee Participant” shall mean any officers, directors or other</w:t>
      </w:r>
      <w:r>
        <w:rPr>
          <w:rFonts w:eastAsia="Times New Roman"/>
          <w:b/>
          <w:bCs/>
          <w:sz w:val="19"/>
          <w:szCs w:val="19"/>
        </w:rPr>
        <w:t xml:space="preserve"> </w:t>
      </w:r>
      <w:r>
        <w:rPr>
          <w:rFonts w:eastAsia="Times New Roman"/>
          <w:sz w:val="19"/>
          <w:szCs w:val="19"/>
        </w:rPr>
        <w:t xml:space="preserve">employees of the Company (including, for the avoidance of </w:t>
      </w:r>
      <w:r>
        <w:rPr>
          <w:rFonts w:eastAsia="Times New Roman"/>
          <w:sz w:val="19"/>
          <w:szCs w:val="19"/>
        </w:rPr>
        <w:t>doubt, Non-employee Directors) or any of its Subsidiaries, and persons who are expected to become officers, directors or other employees of the Company or any of its Subsidiaries.</w:t>
      </w:r>
    </w:p>
    <w:p w:rsidR="00CC2C66" w:rsidRDefault="00CC2C66">
      <w:pPr>
        <w:spacing w:line="239" w:lineRule="exact"/>
        <w:rPr>
          <w:rFonts w:eastAsia="Times New Roman"/>
          <w:sz w:val="19"/>
          <w:szCs w:val="19"/>
        </w:rPr>
      </w:pPr>
    </w:p>
    <w:p w:rsidR="00CC2C66" w:rsidRDefault="00F80B74">
      <w:pPr>
        <w:numPr>
          <w:ilvl w:val="0"/>
          <w:numId w:val="152"/>
        </w:numPr>
        <w:tabs>
          <w:tab w:val="left" w:pos="1440"/>
        </w:tabs>
        <w:spacing w:line="269" w:lineRule="auto"/>
        <w:ind w:left="1440" w:right="20" w:hanging="518"/>
        <w:rPr>
          <w:rFonts w:eastAsia="Times New Roman"/>
          <w:sz w:val="19"/>
          <w:szCs w:val="19"/>
        </w:rPr>
      </w:pPr>
      <w:r>
        <w:rPr>
          <w:rFonts w:eastAsia="Times New Roman"/>
          <w:b/>
          <w:bCs/>
          <w:sz w:val="19"/>
          <w:szCs w:val="19"/>
        </w:rPr>
        <w:t>Exchange Act</w:t>
      </w:r>
      <w:r>
        <w:rPr>
          <w:rFonts w:eastAsia="Times New Roman"/>
          <w:sz w:val="19"/>
          <w:szCs w:val="19"/>
        </w:rPr>
        <w:t>. The term “Exchange Act” shall mean the U.S. Securities Exchan</w:t>
      </w:r>
      <w:r>
        <w:rPr>
          <w:rFonts w:eastAsia="Times New Roman"/>
          <w:sz w:val="19"/>
          <w:szCs w:val="19"/>
        </w:rPr>
        <w:t>ge Act of 1934, as amended from time to</w:t>
      </w:r>
      <w:r>
        <w:rPr>
          <w:rFonts w:eastAsia="Times New Roman"/>
          <w:b/>
          <w:bCs/>
          <w:sz w:val="19"/>
          <w:szCs w:val="19"/>
        </w:rPr>
        <w:t xml:space="preserve"> </w:t>
      </w:r>
      <w:r>
        <w:rPr>
          <w:rFonts w:eastAsia="Times New Roman"/>
          <w:sz w:val="19"/>
          <w:szCs w:val="19"/>
        </w:rPr>
        <w:t>time.</w:t>
      </w:r>
    </w:p>
    <w:p w:rsidR="00CC2C66" w:rsidRDefault="00CC2C66">
      <w:pPr>
        <w:spacing w:line="103" w:lineRule="exact"/>
        <w:rPr>
          <w:sz w:val="20"/>
          <w:szCs w:val="20"/>
        </w:rPr>
      </w:pPr>
    </w:p>
    <w:p w:rsidR="00CC2C66" w:rsidRDefault="00F80B74">
      <w:pPr>
        <w:numPr>
          <w:ilvl w:val="0"/>
          <w:numId w:val="153"/>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819008"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5" w:name="page95"/>
      <w:bookmarkEnd w:id="95"/>
      <w:r>
        <w:rPr>
          <w:rFonts w:eastAsia="Times New Roman"/>
          <w:b/>
          <w:bCs/>
          <w:noProof/>
          <w:color w:val="0000EE"/>
          <w:sz w:val="17"/>
          <w:szCs w:val="17"/>
          <w:u w:val="single"/>
        </w:rPr>
        <w:drawing>
          <wp:anchor distT="0" distB="0" distL="114300" distR="114300" simplePos="0" relativeHeight="251820032"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21056"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87" w:lineRule="exact"/>
        <w:rPr>
          <w:sz w:val="20"/>
          <w:szCs w:val="20"/>
        </w:rPr>
      </w:pPr>
    </w:p>
    <w:p w:rsidR="00CC2C66" w:rsidRDefault="00F80B74">
      <w:pPr>
        <w:numPr>
          <w:ilvl w:val="0"/>
          <w:numId w:val="154"/>
        </w:numPr>
        <w:tabs>
          <w:tab w:val="left" w:pos="1440"/>
        </w:tabs>
        <w:ind w:left="1440" w:hanging="518"/>
        <w:rPr>
          <w:rFonts w:eastAsia="Times New Roman"/>
          <w:sz w:val="19"/>
          <w:szCs w:val="19"/>
        </w:rPr>
      </w:pPr>
      <w:r>
        <w:rPr>
          <w:rFonts w:eastAsia="Times New Roman"/>
          <w:b/>
          <w:bCs/>
          <w:sz w:val="19"/>
          <w:szCs w:val="19"/>
        </w:rPr>
        <w:t>Exercise Price</w:t>
      </w:r>
      <w:r>
        <w:rPr>
          <w:rFonts w:eastAsia="Times New Roman"/>
          <w:sz w:val="19"/>
          <w:szCs w:val="19"/>
        </w:rPr>
        <w:t xml:space="preserve">. The term “Exercise Price” is defined in subsection </w:t>
      </w:r>
      <w:r>
        <w:rPr>
          <w:rFonts w:eastAsia="Times New Roman"/>
          <w:sz w:val="19"/>
          <w:szCs w:val="19"/>
        </w:rPr>
        <w:t>2.4.</w:t>
      </w:r>
    </w:p>
    <w:p w:rsidR="00CC2C66" w:rsidRDefault="00CC2C66">
      <w:pPr>
        <w:spacing w:line="279" w:lineRule="exact"/>
        <w:rPr>
          <w:rFonts w:eastAsia="Times New Roman"/>
          <w:sz w:val="19"/>
          <w:szCs w:val="19"/>
        </w:rPr>
      </w:pPr>
    </w:p>
    <w:p w:rsidR="00CC2C66" w:rsidRDefault="00F80B74">
      <w:pPr>
        <w:numPr>
          <w:ilvl w:val="0"/>
          <w:numId w:val="154"/>
        </w:numPr>
        <w:tabs>
          <w:tab w:val="left" w:pos="1440"/>
        </w:tabs>
        <w:spacing w:line="269" w:lineRule="auto"/>
        <w:ind w:left="1440" w:hanging="518"/>
        <w:rPr>
          <w:rFonts w:eastAsia="Times New Roman"/>
          <w:sz w:val="19"/>
          <w:szCs w:val="19"/>
        </w:rPr>
      </w:pPr>
      <w:r>
        <w:rPr>
          <w:rFonts w:eastAsia="Times New Roman"/>
          <w:b/>
          <w:bCs/>
          <w:sz w:val="19"/>
          <w:szCs w:val="19"/>
        </w:rPr>
        <w:t>Fair Market Value</w:t>
      </w:r>
      <w:r>
        <w:rPr>
          <w:rFonts w:eastAsia="Times New Roman"/>
          <w:sz w:val="19"/>
          <w:szCs w:val="19"/>
        </w:rPr>
        <w:t>. The “Fair Market Value” of a share of Stock means, as of any date, the value determined in accordance</w:t>
      </w:r>
      <w:r>
        <w:rPr>
          <w:rFonts w:eastAsia="Times New Roman"/>
          <w:b/>
          <w:bCs/>
          <w:sz w:val="19"/>
          <w:szCs w:val="19"/>
        </w:rPr>
        <w:t xml:space="preserve"> </w:t>
      </w:r>
      <w:r>
        <w:rPr>
          <w:rFonts w:eastAsia="Times New Roman"/>
          <w:sz w:val="19"/>
          <w:szCs w:val="19"/>
        </w:rPr>
        <w:t>with the following rules:</w:t>
      </w:r>
    </w:p>
    <w:p w:rsidR="00CC2C66" w:rsidRDefault="00CC2C66">
      <w:pPr>
        <w:spacing w:line="229" w:lineRule="exact"/>
        <w:rPr>
          <w:rFonts w:eastAsia="Times New Roman"/>
          <w:sz w:val="19"/>
          <w:szCs w:val="19"/>
        </w:rPr>
      </w:pPr>
    </w:p>
    <w:p w:rsidR="00CC2C66" w:rsidRDefault="00F80B74">
      <w:pPr>
        <w:numPr>
          <w:ilvl w:val="1"/>
          <w:numId w:val="154"/>
        </w:numPr>
        <w:tabs>
          <w:tab w:val="left" w:pos="1960"/>
        </w:tabs>
        <w:spacing w:line="252" w:lineRule="auto"/>
        <w:ind w:left="1960" w:hanging="514"/>
        <w:jc w:val="both"/>
        <w:rPr>
          <w:rFonts w:eastAsia="Times New Roman"/>
          <w:sz w:val="19"/>
          <w:szCs w:val="19"/>
        </w:rPr>
      </w:pPr>
      <w:r>
        <w:rPr>
          <w:rFonts w:eastAsia="Times New Roman"/>
          <w:sz w:val="19"/>
          <w:szCs w:val="19"/>
        </w:rPr>
        <w:t xml:space="preserve">If the Stock is at the time listed or admitted to trading on the New York Stock Exchange, then the </w:t>
      </w:r>
      <w:r>
        <w:rPr>
          <w:rFonts w:eastAsia="Times New Roman"/>
          <w:sz w:val="19"/>
          <w:szCs w:val="19"/>
        </w:rPr>
        <w:t>Fair Market Value shall be the closing price per share of Stock on such date on the New York Stock Exchange or, if no such sale is reported on that date, on the last preceding date on which a sale was so reported.</w:t>
      </w:r>
    </w:p>
    <w:p w:rsidR="00CC2C66" w:rsidRDefault="00CC2C66">
      <w:pPr>
        <w:spacing w:line="244" w:lineRule="exact"/>
        <w:rPr>
          <w:rFonts w:eastAsia="Times New Roman"/>
          <w:sz w:val="19"/>
          <w:szCs w:val="19"/>
        </w:rPr>
      </w:pPr>
    </w:p>
    <w:p w:rsidR="00CC2C66" w:rsidRDefault="00F80B74">
      <w:pPr>
        <w:numPr>
          <w:ilvl w:val="1"/>
          <w:numId w:val="154"/>
        </w:numPr>
        <w:tabs>
          <w:tab w:val="left" w:pos="1960"/>
        </w:tabs>
        <w:spacing w:line="247" w:lineRule="auto"/>
        <w:ind w:left="1960" w:hanging="514"/>
        <w:jc w:val="both"/>
        <w:rPr>
          <w:rFonts w:eastAsia="Times New Roman"/>
          <w:sz w:val="19"/>
          <w:szCs w:val="19"/>
        </w:rPr>
      </w:pPr>
      <w:r>
        <w:rPr>
          <w:rFonts w:eastAsia="Times New Roman"/>
          <w:sz w:val="19"/>
          <w:szCs w:val="19"/>
        </w:rPr>
        <w:t>If the Stock is not listed or admitted on</w:t>
      </w:r>
      <w:r>
        <w:rPr>
          <w:rFonts w:eastAsia="Times New Roman"/>
          <w:sz w:val="19"/>
          <w:szCs w:val="19"/>
        </w:rPr>
        <w:t xml:space="preserve"> the New York Stock Exchange and at the time listed or admitted to trading on another exchange, then the Fair Market Value shall be the closing price per share of Stock on such date on the exchange on which the Stock is then listed or admitted to trading o</w:t>
      </w:r>
      <w:r>
        <w:rPr>
          <w:rFonts w:eastAsia="Times New Roman"/>
          <w:sz w:val="19"/>
          <w:szCs w:val="19"/>
        </w:rPr>
        <w:t>r, if no such sale is reported on that date, on the last preceding date on which a sale was so reported.</w:t>
      </w:r>
    </w:p>
    <w:p w:rsidR="00CC2C66" w:rsidRDefault="00CC2C66">
      <w:pPr>
        <w:spacing w:line="250" w:lineRule="exact"/>
        <w:rPr>
          <w:rFonts w:eastAsia="Times New Roman"/>
          <w:sz w:val="19"/>
          <w:szCs w:val="19"/>
        </w:rPr>
      </w:pPr>
    </w:p>
    <w:p w:rsidR="00CC2C66" w:rsidRDefault="00F80B74">
      <w:pPr>
        <w:numPr>
          <w:ilvl w:val="1"/>
          <w:numId w:val="154"/>
        </w:numPr>
        <w:tabs>
          <w:tab w:val="left" w:pos="1960"/>
        </w:tabs>
        <w:spacing w:line="247" w:lineRule="auto"/>
        <w:ind w:left="1960" w:hanging="514"/>
        <w:jc w:val="both"/>
        <w:rPr>
          <w:rFonts w:eastAsia="Times New Roman"/>
          <w:sz w:val="19"/>
          <w:szCs w:val="19"/>
        </w:rPr>
      </w:pPr>
      <w:r>
        <w:rPr>
          <w:rFonts w:eastAsia="Times New Roman"/>
          <w:sz w:val="19"/>
          <w:szCs w:val="19"/>
        </w:rPr>
        <w:t>If the Stock is not at the time listed or admitted to trading on a stock exchange, the Fair Market Value shall be the closing average of the closing b</w:t>
      </w:r>
      <w:r>
        <w:rPr>
          <w:rFonts w:eastAsia="Times New Roman"/>
          <w:sz w:val="19"/>
          <w:szCs w:val="19"/>
        </w:rPr>
        <w:t>id and asked price of a share of Stock on the date in question in the over-the-counter market, as such price is reported in a publication of general circulation selected by the Committee and regularly reporting the market price of Stock in such market.</w:t>
      </w:r>
    </w:p>
    <w:p w:rsidR="00CC2C66" w:rsidRDefault="00CC2C66">
      <w:pPr>
        <w:spacing w:line="250" w:lineRule="exact"/>
        <w:rPr>
          <w:rFonts w:eastAsia="Times New Roman"/>
          <w:sz w:val="19"/>
          <w:szCs w:val="19"/>
        </w:rPr>
      </w:pPr>
    </w:p>
    <w:p w:rsidR="00CC2C66" w:rsidRDefault="00F80B74">
      <w:pPr>
        <w:numPr>
          <w:ilvl w:val="1"/>
          <w:numId w:val="154"/>
        </w:numPr>
        <w:tabs>
          <w:tab w:val="left" w:pos="1960"/>
        </w:tabs>
        <w:spacing w:line="265" w:lineRule="auto"/>
        <w:ind w:left="1960" w:hanging="514"/>
        <w:rPr>
          <w:rFonts w:eastAsia="Times New Roman"/>
          <w:sz w:val="19"/>
          <w:szCs w:val="19"/>
        </w:rPr>
      </w:pPr>
      <w:r>
        <w:rPr>
          <w:rFonts w:eastAsia="Times New Roman"/>
          <w:sz w:val="19"/>
          <w:szCs w:val="19"/>
        </w:rPr>
        <w:t>If</w:t>
      </w:r>
      <w:r>
        <w:rPr>
          <w:rFonts w:eastAsia="Times New Roman"/>
          <w:sz w:val="19"/>
          <w:szCs w:val="19"/>
        </w:rPr>
        <w:t xml:space="preserve"> the Stock is not listed or admitted to trading on any stock exchange or traded in the over-the-counter market, the Fair Market Value shall be as determined by the Committee in good faith.</w:t>
      </w:r>
    </w:p>
    <w:p w:rsidR="00CC2C66" w:rsidRDefault="00CC2C66">
      <w:pPr>
        <w:spacing w:line="229" w:lineRule="exact"/>
        <w:rPr>
          <w:rFonts w:eastAsia="Times New Roman"/>
          <w:sz w:val="19"/>
          <w:szCs w:val="19"/>
        </w:rPr>
      </w:pPr>
    </w:p>
    <w:p w:rsidR="00CC2C66" w:rsidRDefault="00F80B74">
      <w:pPr>
        <w:numPr>
          <w:ilvl w:val="0"/>
          <w:numId w:val="154"/>
        </w:numPr>
        <w:tabs>
          <w:tab w:val="left" w:pos="1440"/>
        </w:tabs>
        <w:ind w:left="1440" w:hanging="518"/>
        <w:rPr>
          <w:rFonts w:eastAsia="Times New Roman"/>
          <w:sz w:val="19"/>
          <w:szCs w:val="19"/>
        </w:rPr>
      </w:pPr>
      <w:r>
        <w:rPr>
          <w:rFonts w:eastAsia="Times New Roman"/>
          <w:b/>
          <w:bCs/>
          <w:sz w:val="19"/>
          <w:szCs w:val="19"/>
        </w:rPr>
        <w:t>Group</w:t>
      </w:r>
      <w:r>
        <w:rPr>
          <w:rFonts w:eastAsia="Times New Roman"/>
          <w:sz w:val="19"/>
          <w:szCs w:val="19"/>
        </w:rPr>
        <w:t>. The term “Group” shall mean the Company and its Subsidiarie</w:t>
      </w:r>
      <w:r>
        <w:rPr>
          <w:rFonts w:eastAsia="Times New Roman"/>
          <w:sz w:val="19"/>
          <w:szCs w:val="19"/>
        </w:rPr>
        <w:t>s.</w:t>
      </w:r>
    </w:p>
    <w:p w:rsidR="00CC2C66" w:rsidRDefault="00CC2C66">
      <w:pPr>
        <w:spacing w:line="279" w:lineRule="exact"/>
        <w:rPr>
          <w:rFonts w:eastAsia="Times New Roman"/>
          <w:sz w:val="19"/>
          <w:szCs w:val="19"/>
        </w:rPr>
      </w:pPr>
    </w:p>
    <w:p w:rsidR="00CC2C66" w:rsidRDefault="00F80B74">
      <w:pPr>
        <w:numPr>
          <w:ilvl w:val="0"/>
          <w:numId w:val="154"/>
        </w:numPr>
        <w:tabs>
          <w:tab w:val="left" w:pos="1440"/>
        </w:tabs>
        <w:ind w:left="1440" w:hanging="518"/>
        <w:rPr>
          <w:rFonts w:eastAsia="Times New Roman"/>
          <w:sz w:val="19"/>
          <w:szCs w:val="19"/>
        </w:rPr>
      </w:pPr>
      <w:r>
        <w:rPr>
          <w:rFonts w:eastAsia="Times New Roman"/>
          <w:b/>
          <w:bCs/>
          <w:sz w:val="19"/>
          <w:szCs w:val="19"/>
        </w:rPr>
        <w:t>HKEx</w:t>
      </w:r>
      <w:r>
        <w:rPr>
          <w:rFonts w:eastAsia="Times New Roman"/>
          <w:sz w:val="19"/>
          <w:szCs w:val="19"/>
        </w:rPr>
        <w:t>. The term “HKEx” shall mean The Stock Exchange of Hong Kong Limited.</w:t>
      </w:r>
    </w:p>
    <w:p w:rsidR="00CC2C66" w:rsidRDefault="00CC2C66">
      <w:pPr>
        <w:spacing w:line="279" w:lineRule="exact"/>
        <w:rPr>
          <w:rFonts w:eastAsia="Times New Roman"/>
          <w:sz w:val="19"/>
          <w:szCs w:val="19"/>
        </w:rPr>
      </w:pPr>
    </w:p>
    <w:p w:rsidR="00CC2C66" w:rsidRDefault="00F80B74">
      <w:pPr>
        <w:numPr>
          <w:ilvl w:val="0"/>
          <w:numId w:val="154"/>
        </w:numPr>
        <w:tabs>
          <w:tab w:val="left" w:pos="1440"/>
        </w:tabs>
        <w:spacing w:line="269" w:lineRule="auto"/>
        <w:ind w:left="1440" w:hanging="518"/>
        <w:rPr>
          <w:rFonts w:eastAsia="Times New Roman"/>
          <w:sz w:val="19"/>
          <w:szCs w:val="19"/>
        </w:rPr>
      </w:pPr>
      <w:r>
        <w:rPr>
          <w:rFonts w:eastAsia="Times New Roman"/>
          <w:b/>
          <w:bCs/>
          <w:sz w:val="19"/>
          <w:szCs w:val="19"/>
        </w:rPr>
        <w:t>HKEx Listing Rules</w:t>
      </w:r>
      <w:r>
        <w:rPr>
          <w:rFonts w:eastAsia="Times New Roman"/>
          <w:sz w:val="19"/>
          <w:szCs w:val="19"/>
        </w:rPr>
        <w:t>. The term “HKEx Listing Rules” shall mean the Rules Governing the Listing of Securities on The</w:t>
      </w:r>
      <w:r>
        <w:rPr>
          <w:rFonts w:eastAsia="Times New Roman"/>
          <w:b/>
          <w:bCs/>
          <w:sz w:val="19"/>
          <w:szCs w:val="19"/>
        </w:rPr>
        <w:t xml:space="preserve"> </w:t>
      </w:r>
      <w:r>
        <w:rPr>
          <w:rFonts w:eastAsia="Times New Roman"/>
          <w:sz w:val="19"/>
          <w:szCs w:val="19"/>
        </w:rPr>
        <w:t>Stock Exchange of Hong Kong Limited.</w:t>
      </w:r>
    </w:p>
    <w:p w:rsidR="00CC2C66" w:rsidRDefault="00CC2C66">
      <w:pPr>
        <w:spacing w:line="225" w:lineRule="exact"/>
        <w:rPr>
          <w:rFonts w:eastAsia="Times New Roman"/>
          <w:sz w:val="19"/>
          <w:szCs w:val="19"/>
        </w:rPr>
      </w:pPr>
    </w:p>
    <w:p w:rsidR="00CC2C66" w:rsidRDefault="00F80B74">
      <w:pPr>
        <w:numPr>
          <w:ilvl w:val="0"/>
          <w:numId w:val="154"/>
        </w:numPr>
        <w:tabs>
          <w:tab w:val="left" w:pos="1440"/>
        </w:tabs>
        <w:spacing w:line="269" w:lineRule="auto"/>
        <w:ind w:left="1440" w:hanging="518"/>
        <w:rPr>
          <w:rFonts w:eastAsia="Times New Roman"/>
          <w:sz w:val="19"/>
          <w:szCs w:val="19"/>
        </w:rPr>
      </w:pPr>
      <w:r>
        <w:rPr>
          <w:rFonts w:eastAsia="Times New Roman"/>
          <w:b/>
          <w:bCs/>
          <w:sz w:val="19"/>
          <w:szCs w:val="19"/>
        </w:rPr>
        <w:t>Non-employee Director</w:t>
      </w:r>
      <w:r>
        <w:rPr>
          <w:rFonts w:eastAsia="Times New Roman"/>
          <w:sz w:val="19"/>
          <w:szCs w:val="19"/>
        </w:rPr>
        <w:t xml:space="preserve">. </w:t>
      </w:r>
      <w:r>
        <w:rPr>
          <w:rFonts w:eastAsia="Times New Roman"/>
          <w:sz w:val="19"/>
          <w:szCs w:val="19"/>
        </w:rPr>
        <w:t>For purposes of the Plan, the term “Non-employee Director” shall mean a member of the Board,</w:t>
      </w:r>
      <w:r>
        <w:rPr>
          <w:rFonts w:eastAsia="Times New Roman"/>
          <w:b/>
          <w:bCs/>
          <w:sz w:val="19"/>
          <w:szCs w:val="19"/>
        </w:rPr>
        <w:t xml:space="preserve"> </w:t>
      </w:r>
      <w:r>
        <w:rPr>
          <w:rFonts w:eastAsia="Times New Roman"/>
          <w:sz w:val="19"/>
          <w:szCs w:val="19"/>
        </w:rPr>
        <w:t>who is not an officer or employee of the Company or any Subsidiary.</w:t>
      </w:r>
    </w:p>
    <w:p w:rsidR="00CC2C66" w:rsidRDefault="00CC2C66">
      <w:pPr>
        <w:spacing w:line="225" w:lineRule="exact"/>
        <w:rPr>
          <w:rFonts w:eastAsia="Times New Roman"/>
          <w:sz w:val="19"/>
          <w:szCs w:val="19"/>
        </w:rPr>
      </w:pPr>
    </w:p>
    <w:p w:rsidR="00CC2C66" w:rsidRDefault="00F80B74">
      <w:pPr>
        <w:numPr>
          <w:ilvl w:val="0"/>
          <w:numId w:val="154"/>
        </w:numPr>
        <w:tabs>
          <w:tab w:val="left" w:pos="1440"/>
        </w:tabs>
        <w:ind w:left="1440" w:hanging="518"/>
        <w:rPr>
          <w:rFonts w:eastAsia="Times New Roman"/>
          <w:sz w:val="19"/>
          <w:szCs w:val="19"/>
        </w:rPr>
      </w:pPr>
      <w:r>
        <w:rPr>
          <w:rFonts w:eastAsia="Times New Roman"/>
          <w:b/>
          <w:bCs/>
          <w:sz w:val="19"/>
          <w:szCs w:val="19"/>
        </w:rPr>
        <w:t>NYSE</w:t>
      </w:r>
      <w:r>
        <w:rPr>
          <w:rFonts w:eastAsia="Times New Roman"/>
          <w:sz w:val="19"/>
          <w:szCs w:val="19"/>
        </w:rPr>
        <w:t>. The term “NYSE” shall mean the New York Stock Exchange.</w:t>
      </w:r>
    </w:p>
    <w:p w:rsidR="00CC2C66" w:rsidRDefault="00CC2C66">
      <w:pPr>
        <w:spacing w:line="279" w:lineRule="exact"/>
        <w:rPr>
          <w:rFonts w:eastAsia="Times New Roman"/>
          <w:sz w:val="19"/>
          <w:szCs w:val="19"/>
        </w:rPr>
      </w:pPr>
    </w:p>
    <w:p w:rsidR="00CC2C66" w:rsidRDefault="00F80B74">
      <w:pPr>
        <w:numPr>
          <w:ilvl w:val="0"/>
          <w:numId w:val="154"/>
        </w:numPr>
        <w:tabs>
          <w:tab w:val="left" w:pos="1440"/>
        </w:tabs>
        <w:ind w:left="1440" w:hanging="518"/>
        <w:rPr>
          <w:rFonts w:eastAsia="Times New Roman"/>
          <w:sz w:val="19"/>
          <w:szCs w:val="19"/>
        </w:rPr>
      </w:pPr>
      <w:r>
        <w:rPr>
          <w:rFonts w:eastAsia="Times New Roman"/>
          <w:b/>
          <w:bCs/>
          <w:sz w:val="19"/>
          <w:szCs w:val="19"/>
        </w:rPr>
        <w:t>Other Awards</w:t>
      </w:r>
      <w:r>
        <w:rPr>
          <w:rFonts w:eastAsia="Times New Roman"/>
          <w:sz w:val="19"/>
          <w:szCs w:val="19"/>
        </w:rPr>
        <w:t>. The term “Other A</w:t>
      </w:r>
      <w:r>
        <w:rPr>
          <w:rFonts w:eastAsia="Times New Roman"/>
          <w:sz w:val="19"/>
          <w:szCs w:val="19"/>
        </w:rPr>
        <w:t>wards” shall mean all categories of Awards excluding Options and SARs.</w:t>
      </w:r>
    </w:p>
    <w:p w:rsidR="00CC2C66" w:rsidRDefault="00CC2C66">
      <w:pPr>
        <w:spacing w:line="279" w:lineRule="exact"/>
        <w:rPr>
          <w:rFonts w:eastAsia="Times New Roman"/>
          <w:sz w:val="19"/>
          <w:szCs w:val="19"/>
        </w:rPr>
      </w:pPr>
    </w:p>
    <w:p w:rsidR="00CC2C66" w:rsidRDefault="00F80B74">
      <w:pPr>
        <w:numPr>
          <w:ilvl w:val="0"/>
          <w:numId w:val="154"/>
        </w:numPr>
        <w:tabs>
          <w:tab w:val="left" w:pos="1440"/>
        </w:tabs>
        <w:ind w:left="1440" w:hanging="518"/>
        <w:rPr>
          <w:rFonts w:eastAsia="Times New Roman"/>
          <w:sz w:val="19"/>
          <w:szCs w:val="19"/>
        </w:rPr>
      </w:pPr>
      <w:r>
        <w:rPr>
          <w:rFonts w:eastAsia="Times New Roman"/>
          <w:b/>
          <w:bCs/>
          <w:sz w:val="19"/>
          <w:szCs w:val="19"/>
        </w:rPr>
        <w:t>Participant</w:t>
      </w:r>
      <w:r>
        <w:rPr>
          <w:rFonts w:eastAsia="Times New Roman"/>
          <w:sz w:val="19"/>
          <w:szCs w:val="19"/>
        </w:rPr>
        <w:t>. The term “Participant” is defined in subsection 1.2.</w:t>
      </w:r>
    </w:p>
    <w:p w:rsidR="00CC2C66" w:rsidRDefault="00CC2C66">
      <w:pPr>
        <w:spacing w:line="279" w:lineRule="exact"/>
        <w:rPr>
          <w:rFonts w:eastAsia="Times New Roman"/>
          <w:sz w:val="19"/>
          <w:szCs w:val="19"/>
        </w:rPr>
      </w:pPr>
    </w:p>
    <w:p w:rsidR="00CC2C66" w:rsidRDefault="00F80B74">
      <w:pPr>
        <w:numPr>
          <w:ilvl w:val="0"/>
          <w:numId w:val="154"/>
        </w:numPr>
        <w:tabs>
          <w:tab w:val="left" w:pos="1440"/>
        </w:tabs>
        <w:spacing w:line="243" w:lineRule="auto"/>
        <w:ind w:left="1440" w:hanging="518"/>
        <w:jc w:val="both"/>
        <w:rPr>
          <w:rFonts w:eastAsia="Times New Roman"/>
          <w:sz w:val="19"/>
          <w:szCs w:val="19"/>
        </w:rPr>
      </w:pPr>
      <w:r>
        <w:rPr>
          <w:rFonts w:eastAsia="Times New Roman"/>
          <w:b/>
          <w:bCs/>
          <w:sz w:val="19"/>
          <w:szCs w:val="19"/>
        </w:rPr>
        <w:t>Performance Measures</w:t>
      </w:r>
      <w:r>
        <w:rPr>
          <w:rFonts w:eastAsia="Times New Roman"/>
          <w:sz w:val="19"/>
          <w:szCs w:val="19"/>
        </w:rPr>
        <w:t>. The term “Performance Measures” shall mean any one or more of the following corporate-wide or</w:t>
      </w:r>
      <w:r>
        <w:rPr>
          <w:rFonts w:eastAsia="Times New Roman"/>
          <w:b/>
          <w:bCs/>
          <w:sz w:val="19"/>
          <w:szCs w:val="19"/>
        </w:rPr>
        <w:t xml:space="preserve"> </w:t>
      </w:r>
      <w:r>
        <w:rPr>
          <w:rFonts w:eastAsia="Times New Roman"/>
          <w:sz w:val="19"/>
          <w:szCs w:val="19"/>
        </w:rPr>
        <w:t>s</w:t>
      </w:r>
      <w:r>
        <w:rPr>
          <w:rFonts w:eastAsia="Times New Roman"/>
          <w:sz w:val="19"/>
          <w:szCs w:val="19"/>
        </w:rPr>
        <w:t>ubsidiary, division, operating unit, line of business, project, geographic or individual measures: cash flow; earnings; earnings per share; market value added or economic value added; profits; return on assets; return on equity; return on investment; sales</w:t>
      </w:r>
      <w:r>
        <w:rPr>
          <w:rFonts w:eastAsia="Times New Roman"/>
          <w:sz w:val="19"/>
          <w:szCs w:val="19"/>
        </w:rPr>
        <w:t>; revenues; stock price; total shareholder return; customer satisfaction metrics; restaurant unit development; and such other goals as the Committee may determine whether or not listed herein, or any combination of the foregoing. Each goal may be expressed</w:t>
      </w:r>
      <w:r>
        <w:rPr>
          <w:rFonts w:eastAsia="Times New Roman"/>
          <w:sz w:val="19"/>
          <w:szCs w:val="19"/>
        </w:rPr>
        <w:t xml:space="preserve"> on an absolute and/or relative basis, may be based on or otherwise employ comparisons based on internal targets, the past performance of the Company and/or the past or current performance of other companies, and in the case of</w:t>
      </w:r>
    </w:p>
    <w:p w:rsidR="00CC2C66" w:rsidRDefault="00CC2C66">
      <w:pPr>
        <w:spacing w:line="124"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89</w:t>
      </w:r>
    </w:p>
    <w:p w:rsidR="00CC2C66" w:rsidRDefault="00F80B74">
      <w:pPr>
        <w:spacing w:line="20" w:lineRule="exact"/>
        <w:rPr>
          <w:sz w:val="20"/>
          <w:szCs w:val="20"/>
        </w:rPr>
      </w:pPr>
      <w:r>
        <w:rPr>
          <w:noProof/>
          <w:sz w:val="20"/>
          <w:szCs w:val="20"/>
        </w:rPr>
        <w:drawing>
          <wp:anchor distT="0" distB="0" distL="114300" distR="114300" simplePos="0" relativeHeight="251822080"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6" w:name="page96"/>
      <w:bookmarkEnd w:id="96"/>
      <w:r>
        <w:rPr>
          <w:rFonts w:eastAsia="Times New Roman"/>
          <w:b/>
          <w:bCs/>
          <w:noProof/>
          <w:color w:val="0000EE"/>
          <w:sz w:val="17"/>
          <w:szCs w:val="17"/>
          <w:u w:val="single"/>
        </w:rPr>
        <w:drawing>
          <wp:anchor distT="0" distB="0" distL="114300" distR="114300" simplePos="0" relativeHeight="251823104"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24128" behindDoc="1" locked="0" layoutInCell="0" allowOverlap="1">
            <wp:simplePos x="0" y="0"/>
            <wp:positionH relativeFrom="column">
              <wp:posOffset>260985</wp:posOffset>
            </wp:positionH>
            <wp:positionV relativeFrom="paragraph">
              <wp:posOffset>196850</wp:posOffset>
            </wp:positionV>
            <wp:extent cx="3853815" cy="19494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8">
                      <a:extLst/>
                    </a:blip>
                    <a:srcRect/>
                    <a:stretch>
                      <a:fillRect/>
                    </a:stretch>
                  </pic:blipFill>
                  <pic:spPr bwMode="auto">
                    <a:xfrm>
                      <a:off x="0" y="0"/>
                      <a:ext cx="385381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8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41" w:lineRule="auto"/>
        <w:ind w:left="1440"/>
        <w:jc w:val="both"/>
        <w:rPr>
          <w:sz w:val="20"/>
          <w:szCs w:val="20"/>
        </w:rPr>
      </w:pPr>
      <w:r>
        <w:rPr>
          <w:rFonts w:eastAsia="Times New Roman"/>
          <w:sz w:val="19"/>
          <w:szCs w:val="19"/>
        </w:rPr>
        <w:t xml:space="preserve">earnings-based measures, may use or employ comparisons relating to capital, shareholders’ equity and/or shares outstanding, investments or </w:t>
      </w:r>
      <w:r>
        <w:rPr>
          <w:rFonts w:eastAsia="Times New Roman"/>
          <w:sz w:val="19"/>
          <w:szCs w:val="19"/>
        </w:rPr>
        <w:t>to assets or net assets. Performance Measures may be applied on a pre- or post-tax basis and may be adjusted to include or exclude components of any Performance Measure, including, without limitation, foreign exchange gains and losses, asset writedowns, ac</w:t>
      </w:r>
      <w:r>
        <w:rPr>
          <w:rFonts w:eastAsia="Times New Roman"/>
          <w:sz w:val="19"/>
          <w:szCs w:val="19"/>
        </w:rPr>
        <w:t>quisitions and divestitures, change in fiscal year, unbudgeted capital expenditures, special charges such as restructuring or impairment charges, debt refinancing costs, extraordinary or noncash items, unusual, infrequently occurring, nonrecurring or one-t</w:t>
      </w:r>
      <w:r>
        <w:rPr>
          <w:rFonts w:eastAsia="Times New Roman"/>
          <w:sz w:val="19"/>
          <w:szCs w:val="19"/>
        </w:rPr>
        <w:t>ime events affecting the Company or its financial statements or changes in law or accounting principles (“Adjustment Events”). In the sole discretion of the Committee, the Committee may amend or adjust the Performance Measures or other terms and conditions</w:t>
      </w:r>
      <w:r>
        <w:rPr>
          <w:rFonts w:eastAsia="Times New Roman"/>
          <w:sz w:val="19"/>
          <w:szCs w:val="19"/>
        </w:rPr>
        <w:t xml:space="preserve"> of an outstanding award in recognition of any Adjustment Events. Performance Measures shall be subject to such other special rules and conditions as the Committee may establish at any time.</w:t>
      </w:r>
    </w:p>
    <w:p w:rsidR="00CC2C66" w:rsidRDefault="00CC2C66">
      <w:pPr>
        <w:spacing w:line="255" w:lineRule="exact"/>
        <w:rPr>
          <w:sz w:val="20"/>
          <w:szCs w:val="20"/>
        </w:rPr>
      </w:pPr>
    </w:p>
    <w:p w:rsidR="00CC2C66" w:rsidRDefault="00F80B74">
      <w:pPr>
        <w:numPr>
          <w:ilvl w:val="0"/>
          <w:numId w:val="155"/>
        </w:numPr>
        <w:tabs>
          <w:tab w:val="left" w:pos="1440"/>
        </w:tabs>
        <w:spacing w:line="254" w:lineRule="auto"/>
        <w:ind w:left="1440" w:hanging="518"/>
        <w:jc w:val="both"/>
        <w:rPr>
          <w:rFonts w:eastAsia="Times New Roman"/>
          <w:sz w:val="19"/>
          <w:szCs w:val="19"/>
        </w:rPr>
      </w:pPr>
      <w:r>
        <w:rPr>
          <w:rFonts w:eastAsia="Times New Roman"/>
          <w:b/>
          <w:bCs/>
          <w:sz w:val="19"/>
          <w:szCs w:val="19"/>
        </w:rPr>
        <w:t>Potential Change in Control</w:t>
      </w:r>
      <w:r>
        <w:rPr>
          <w:rFonts w:eastAsia="Times New Roman"/>
          <w:sz w:val="19"/>
          <w:szCs w:val="19"/>
        </w:rPr>
        <w:t>. A “Potential Change in Control” sha</w:t>
      </w:r>
      <w:r>
        <w:rPr>
          <w:rFonts w:eastAsia="Times New Roman"/>
          <w:sz w:val="19"/>
          <w:szCs w:val="19"/>
        </w:rPr>
        <w:t>ll exist during any period in which the circumstances</w:t>
      </w:r>
      <w:r>
        <w:rPr>
          <w:rFonts w:eastAsia="Times New Roman"/>
          <w:b/>
          <w:bCs/>
          <w:sz w:val="19"/>
          <w:szCs w:val="19"/>
        </w:rPr>
        <w:t xml:space="preserve"> </w:t>
      </w:r>
      <w:r>
        <w:rPr>
          <w:rFonts w:eastAsia="Times New Roman"/>
          <w:sz w:val="19"/>
          <w:szCs w:val="19"/>
        </w:rPr>
        <w:t>described in subparagraphs (i), (ii), (iii) or (iv), below, exist (provided, however, that a Potential Change in Control shall cease to exist not later than the occurrence of a Change in Control):</w:t>
      </w:r>
    </w:p>
    <w:p w:rsidR="00CC2C66" w:rsidRDefault="00CC2C66">
      <w:pPr>
        <w:spacing w:line="243" w:lineRule="exact"/>
        <w:rPr>
          <w:rFonts w:eastAsia="Times New Roman"/>
          <w:sz w:val="19"/>
          <w:szCs w:val="19"/>
        </w:rPr>
      </w:pPr>
    </w:p>
    <w:p w:rsidR="00CC2C66" w:rsidRDefault="00F80B74">
      <w:pPr>
        <w:numPr>
          <w:ilvl w:val="1"/>
          <w:numId w:val="155"/>
        </w:numPr>
        <w:tabs>
          <w:tab w:val="left" w:pos="1960"/>
        </w:tabs>
        <w:spacing w:line="249" w:lineRule="auto"/>
        <w:ind w:left="1960" w:hanging="514"/>
        <w:jc w:val="both"/>
        <w:rPr>
          <w:rFonts w:eastAsia="Times New Roman"/>
          <w:sz w:val="19"/>
          <w:szCs w:val="19"/>
        </w:rPr>
      </w:pPr>
      <w:r>
        <w:rPr>
          <w:rFonts w:eastAsia="Times New Roman"/>
          <w:sz w:val="19"/>
          <w:szCs w:val="19"/>
        </w:rPr>
        <w:t xml:space="preserve">the </w:t>
      </w:r>
      <w:r>
        <w:rPr>
          <w:rFonts w:eastAsia="Times New Roman"/>
          <w:sz w:val="19"/>
          <w:szCs w:val="19"/>
        </w:rPr>
        <w:t>Company or any successor or assign thereof enters into an agreement, the consummation of which would result in the occurrence of a Change in Control; provided that a Potential Change in Control described in this subparagraph</w:t>
      </w:r>
    </w:p>
    <w:p w:rsidR="00CC2C66" w:rsidRDefault="00CC2C66">
      <w:pPr>
        <w:spacing w:line="1" w:lineRule="exact"/>
        <w:rPr>
          <w:rFonts w:eastAsia="Times New Roman"/>
          <w:sz w:val="19"/>
          <w:szCs w:val="19"/>
        </w:rPr>
      </w:pPr>
    </w:p>
    <w:p w:rsidR="00CC2C66" w:rsidRDefault="00F80B74">
      <w:pPr>
        <w:ind w:left="1960"/>
        <w:rPr>
          <w:rFonts w:eastAsia="Times New Roman"/>
          <w:sz w:val="19"/>
          <w:szCs w:val="19"/>
        </w:rPr>
      </w:pPr>
      <w:r>
        <w:rPr>
          <w:rFonts w:eastAsia="Times New Roman"/>
          <w:sz w:val="19"/>
          <w:szCs w:val="19"/>
        </w:rPr>
        <w:t xml:space="preserve">(i) shall cease to exist upon </w:t>
      </w:r>
      <w:r>
        <w:rPr>
          <w:rFonts w:eastAsia="Times New Roman"/>
          <w:sz w:val="19"/>
          <w:szCs w:val="19"/>
        </w:rPr>
        <w:t>the expiration or other termination of all such agreements.</w:t>
      </w:r>
    </w:p>
    <w:p w:rsidR="00CC2C66" w:rsidRDefault="00CC2C66">
      <w:pPr>
        <w:spacing w:line="259" w:lineRule="exact"/>
        <w:rPr>
          <w:rFonts w:eastAsia="Times New Roman"/>
          <w:sz w:val="19"/>
          <w:szCs w:val="19"/>
        </w:rPr>
      </w:pPr>
    </w:p>
    <w:p w:rsidR="00CC2C66" w:rsidRDefault="00F80B74">
      <w:pPr>
        <w:numPr>
          <w:ilvl w:val="1"/>
          <w:numId w:val="155"/>
        </w:numPr>
        <w:tabs>
          <w:tab w:val="left" w:pos="1960"/>
        </w:tabs>
        <w:spacing w:line="247" w:lineRule="auto"/>
        <w:ind w:left="1960" w:hanging="514"/>
        <w:jc w:val="both"/>
        <w:rPr>
          <w:rFonts w:eastAsia="Times New Roman"/>
          <w:sz w:val="19"/>
          <w:szCs w:val="19"/>
        </w:rPr>
      </w:pPr>
      <w:r>
        <w:rPr>
          <w:rFonts w:eastAsia="Times New Roman"/>
          <w:sz w:val="19"/>
          <w:szCs w:val="19"/>
        </w:rPr>
        <w:t>Any Person (including the Company) publicly announces an intention to take or to consider taking actions which if consummated would constitute a Change in Control; provided that a Potential Chang</w:t>
      </w:r>
      <w:r>
        <w:rPr>
          <w:rFonts w:eastAsia="Times New Roman"/>
          <w:sz w:val="19"/>
          <w:szCs w:val="19"/>
        </w:rPr>
        <w:t>e in Control described in this subparagraph (ii) shall cease to exist upon the withdrawal of such intention, or upon a reasonable determination by the Board that there is no reasonable chance that such actions would be consummated.</w:t>
      </w:r>
    </w:p>
    <w:p w:rsidR="00CC2C66" w:rsidRDefault="00CC2C66">
      <w:pPr>
        <w:spacing w:line="250" w:lineRule="exact"/>
        <w:rPr>
          <w:rFonts w:eastAsia="Times New Roman"/>
          <w:sz w:val="19"/>
          <w:szCs w:val="19"/>
        </w:rPr>
      </w:pPr>
    </w:p>
    <w:p w:rsidR="00CC2C66" w:rsidRDefault="00F80B74">
      <w:pPr>
        <w:numPr>
          <w:ilvl w:val="1"/>
          <w:numId w:val="155"/>
        </w:numPr>
        <w:tabs>
          <w:tab w:val="left" w:pos="1960"/>
        </w:tabs>
        <w:spacing w:line="241" w:lineRule="auto"/>
        <w:ind w:left="1960" w:hanging="514"/>
        <w:jc w:val="both"/>
        <w:rPr>
          <w:rFonts w:eastAsia="Times New Roman"/>
          <w:sz w:val="19"/>
          <w:szCs w:val="19"/>
        </w:rPr>
      </w:pPr>
      <w:r>
        <w:rPr>
          <w:rFonts w:eastAsia="Times New Roman"/>
          <w:sz w:val="19"/>
          <w:szCs w:val="19"/>
        </w:rPr>
        <w:t xml:space="preserve">Any Person becomes the </w:t>
      </w:r>
      <w:r>
        <w:rPr>
          <w:rFonts w:eastAsia="Times New Roman"/>
          <w:sz w:val="19"/>
          <w:szCs w:val="19"/>
        </w:rPr>
        <w:t>Beneficial Owner, directly or indirectly, of securities of the Company representing 15% or more of the combined voting power of the Company’s then outstanding securities (not including in the securities beneficially owned by such Person any securities acqu</w:t>
      </w:r>
      <w:r>
        <w:rPr>
          <w:rFonts w:eastAsia="Times New Roman"/>
          <w:sz w:val="19"/>
          <w:szCs w:val="19"/>
        </w:rPr>
        <w:t xml:space="preserve">ired directly from the Company or any of its Affiliates). However, a Potential Change in Control shall not be deemed to exist by reason of ownership of securities of the Company by any person, to the extent that such securities of the Company are acquired </w:t>
      </w:r>
      <w:r>
        <w:rPr>
          <w:rFonts w:eastAsia="Times New Roman"/>
          <w:sz w:val="19"/>
          <w:szCs w:val="19"/>
        </w:rPr>
        <w:t>pursuant to a reorganization, recapitalization, spin-off or other similar transactions (including a series of prearranged related transactions) to the extent that immediately after such transaction or transactions, such securities are directly or indirectl</w:t>
      </w:r>
      <w:r>
        <w:rPr>
          <w:rFonts w:eastAsia="Times New Roman"/>
          <w:sz w:val="19"/>
          <w:szCs w:val="19"/>
        </w:rPr>
        <w:t>y owned in substantially the same proportions as the proportions of ownership of the Company’s securities immediately prior to the transaction or transactions.</w:t>
      </w:r>
    </w:p>
    <w:p w:rsidR="00CC2C66" w:rsidRDefault="00CC2C66">
      <w:pPr>
        <w:spacing w:line="261" w:lineRule="exact"/>
        <w:rPr>
          <w:rFonts w:eastAsia="Times New Roman"/>
          <w:sz w:val="19"/>
          <w:szCs w:val="19"/>
        </w:rPr>
      </w:pPr>
    </w:p>
    <w:p w:rsidR="00CC2C66" w:rsidRDefault="00F80B74">
      <w:pPr>
        <w:numPr>
          <w:ilvl w:val="1"/>
          <w:numId w:val="155"/>
        </w:numPr>
        <w:tabs>
          <w:tab w:val="left" w:pos="1960"/>
        </w:tabs>
        <w:spacing w:line="247" w:lineRule="auto"/>
        <w:ind w:left="1960" w:hanging="514"/>
        <w:jc w:val="both"/>
        <w:rPr>
          <w:rFonts w:eastAsia="Times New Roman"/>
          <w:sz w:val="19"/>
          <w:szCs w:val="19"/>
        </w:rPr>
      </w:pPr>
      <w:r>
        <w:rPr>
          <w:rFonts w:eastAsia="Times New Roman"/>
          <w:sz w:val="19"/>
          <w:szCs w:val="19"/>
        </w:rPr>
        <w:t>The Board adopts a resolution to the effect that, for purposes of this Plan, a potential change</w:t>
      </w:r>
      <w:r>
        <w:rPr>
          <w:rFonts w:eastAsia="Times New Roman"/>
          <w:sz w:val="19"/>
          <w:szCs w:val="19"/>
        </w:rPr>
        <w:t xml:space="preserve"> in control exists; provided that a Potential Change in Control described in this subparagraph (iv) shall cease to exist upon a reasonable determination by the Board that the reasons that give rise to the resolution providing for the existence of a Potenti</w:t>
      </w:r>
      <w:r>
        <w:rPr>
          <w:rFonts w:eastAsia="Times New Roman"/>
          <w:sz w:val="19"/>
          <w:szCs w:val="19"/>
        </w:rPr>
        <w:t>al Change in Control have expired or no longer exist.</w:t>
      </w:r>
    </w:p>
    <w:p w:rsidR="00CC2C66" w:rsidRDefault="00CC2C66">
      <w:pPr>
        <w:spacing w:line="247" w:lineRule="exact"/>
        <w:rPr>
          <w:sz w:val="20"/>
          <w:szCs w:val="20"/>
        </w:rPr>
      </w:pPr>
    </w:p>
    <w:p w:rsidR="00CC2C66" w:rsidRDefault="00F80B74">
      <w:pPr>
        <w:numPr>
          <w:ilvl w:val="0"/>
          <w:numId w:val="156"/>
        </w:numPr>
        <w:tabs>
          <w:tab w:val="left" w:pos="1440"/>
        </w:tabs>
        <w:ind w:left="1440" w:hanging="518"/>
        <w:rPr>
          <w:rFonts w:eastAsia="Times New Roman"/>
          <w:sz w:val="19"/>
          <w:szCs w:val="19"/>
        </w:rPr>
      </w:pPr>
      <w:r>
        <w:rPr>
          <w:rFonts w:eastAsia="Times New Roman"/>
          <w:b/>
          <w:bCs/>
          <w:sz w:val="19"/>
          <w:szCs w:val="19"/>
        </w:rPr>
        <w:t>Scheme Mandate Sublimit</w:t>
      </w:r>
      <w:r>
        <w:rPr>
          <w:rFonts w:eastAsia="Times New Roman"/>
          <w:sz w:val="19"/>
          <w:szCs w:val="19"/>
        </w:rPr>
        <w:t>. The term “Scheme Mandate Sublimit” is defined in subsection 4.1(b).</w:t>
      </w:r>
    </w:p>
    <w:p w:rsidR="00CC2C66" w:rsidRDefault="00CC2C66">
      <w:pPr>
        <w:spacing w:line="279" w:lineRule="exact"/>
        <w:rPr>
          <w:rFonts w:eastAsia="Times New Roman"/>
          <w:sz w:val="19"/>
          <w:szCs w:val="19"/>
        </w:rPr>
      </w:pPr>
    </w:p>
    <w:p w:rsidR="00CC2C66" w:rsidRDefault="00F80B74">
      <w:pPr>
        <w:numPr>
          <w:ilvl w:val="0"/>
          <w:numId w:val="156"/>
        </w:numPr>
        <w:tabs>
          <w:tab w:val="left" w:pos="1440"/>
        </w:tabs>
        <w:spacing w:line="269" w:lineRule="auto"/>
        <w:ind w:left="1440" w:right="20" w:hanging="518"/>
        <w:rPr>
          <w:rFonts w:eastAsia="Times New Roman"/>
          <w:sz w:val="19"/>
          <w:szCs w:val="19"/>
        </w:rPr>
      </w:pPr>
      <w:r>
        <w:rPr>
          <w:rFonts w:eastAsia="Times New Roman"/>
          <w:b/>
          <w:bCs/>
          <w:sz w:val="19"/>
          <w:szCs w:val="19"/>
        </w:rPr>
        <w:t>Subsidiaries</w:t>
      </w:r>
      <w:r>
        <w:rPr>
          <w:rFonts w:eastAsia="Times New Roman"/>
          <w:sz w:val="19"/>
          <w:szCs w:val="19"/>
        </w:rPr>
        <w:t>. The term “Subsidiary” shall mean (i) any entity which is accounted for and consolidated in th</w:t>
      </w:r>
      <w:r>
        <w:rPr>
          <w:rFonts w:eastAsia="Times New Roman"/>
          <w:sz w:val="19"/>
          <w:szCs w:val="19"/>
        </w:rPr>
        <w:t>e audited</w:t>
      </w:r>
      <w:r>
        <w:rPr>
          <w:rFonts w:eastAsia="Times New Roman"/>
          <w:b/>
          <w:bCs/>
          <w:sz w:val="19"/>
          <w:szCs w:val="19"/>
        </w:rPr>
        <w:t xml:space="preserve"> </w:t>
      </w:r>
      <w:r>
        <w:rPr>
          <w:rFonts w:eastAsia="Times New Roman"/>
          <w:sz w:val="19"/>
          <w:szCs w:val="19"/>
        </w:rPr>
        <w:t>consolidated accounts of another entity as a subsidiary pursuant to the accounting standards adopted</w:t>
      </w:r>
    </w:p>
    <w:p w:rsidR="00CC2C66" w:rsidRDefault="00CC2C66">
      <w:pPr>
        <w:spacing w:line="103" w:lineRule="exact"/>
        <w:rPr>
          <w:sz w:val="20"/>
          <w:szCs w:val="20"/>
        </w:rPr>
      </w:pPr>
    </w:p>
    <w:p w:rsidR="00CC2C66" w:rsidRDefault="00F80B74">
      <w:pPr>
        <w:numPr>
          <w:ilvl w:val="0"/>
          <w:numId w:val="157"/>
        </w:numPr>
        <w:tabs>
          <w:tab w:val="left" w:pos="940"/>
        </w:tabs>
        <w:ind w:left="940" w:hanging="385"/>
        <w:rPr>
          <w:rFonts w:ascii="Arial" w:eastAsia="Arial" w:hAnsi="Arial" w:cs="Arial"/>
          <w:color w:val="CF0A2C"/>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Proxy Statement</w:t>
      </w:r>
    </w:p>
    <w:p w:rsidR="00CC2C66" w:rsidRDefault="00F80B74">
      <w:pPr>
        <w:spacing w:line="20" w:lineRule="exact"/>
        <w:rPr>
          <w:sz w:val="20"/>
          <w:szCs w:val="20"/>
        </w:rPr>
      </w:pPr>
      <w:r>
        <w:rPr>
          <w:noProof/>
          <w:sz w:val="20"/>
          <w:szCs w:val="20"/>
        </w:rPr>
        <w:drawing>
          <wp:anchor distT="0" distB="0" distL="114300" distR="114300" simplePos="0" relativeHeight="251825152" behindDoc="1" locked="0" layoutInCell="0" allowOverlap="1">
            <wp:simplePos x="0" y="0"/>
            <wp:positionH relativeFrom="column">
              <wp:posOffset>496570</wp:posOffset>
            </wp:positionH>
            <wp:positionV relativeFrom="paragraph">
              <wp:posOffset>-96520</wp:posOffset>
            </wp:positionV>
            <wp:extent cx="8255" cy="9715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7" w:name="page97"/>
      <w:bookmarkEnd w:id="97"/>
      <w:r>
        <w:rPr>
          <w:rFonts w:eastAsia="Times New Roman"/>
          <w:b/>
          <w:bCs/>
          <w:noProof/>
          <w:color w:val="0000EE"/>
          <w:sz w:val="17"/>
          <w:szCs w:val="17"/>
          <w:u w:val="single"/>
        </w:rPr>
        <w:drawing>
          <wp:anchor distT="0" distB="0" distL="114300" distR="114300" simplePos="0" relativeHeight="25182617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7"/>
          <w:szCs w:val="17"/>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27200" behindDoc="1" locked="0" layoutInCell="0" allowOverlap="1">
            <wp:simplePos x="0" y="0"/>
            <wp:positionH relativeFrom="column">
              <wp:posOffset>2898140</wp:posOffset>
            </wp:positionH>
            <wp:positionV relativeFrom="paragraph">
              <wp:posOffset>196850</wp:posOffset>
            </wp:positionV>
            <wp:extent cx="3983355" cy="19494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7">
                      <a:extLst/>
                    </a:blip>
                    <a:srcRect/>
                    <a:stretch>
                      <a:fillRect/>
                    </a:stretch>
                  </pic:blipFill>
                  <pic:spPr bwMode="auto">
                    <a:xfrm>
                      <a:off x="0" y="0"/>
                      <a:ext cx="3983355" cy="194945"/>
                    </a:xfrm>
                    <a:prstGeom prst="rect">
                      <a:avLst/>
                    </a:prstGeom>
                    <a:noFill/>
                  </pic:spPr>
                </pic:pic>
              </a:graphicData>
            </a:graphic>
          </wp:anchor>
        </w:drawing>
      </w:r>
    </w:p>
    <w:p w:rsidR="00CC2C66" w:rsidRDefault="00CC2C66">
      <w:pPr>
        <w:spacing w:line="352" w:lineRule="exact"/>
        <w:rPr>
          <w:sz w:val="20"/>
          <w:szCs w:val="20"/>
        </w:rPr>
      </w:pPr>
    </w:p>
    <w:p w:rsidR="00CC2C66" w:rsidRDefault="00F80B74">
      <w:pPr>
        <w:ind w:left="4760"/>
        <w:rPr>
          <w:sz w:val="20"/>
          <w:szCs w:val="20"/>
        </w:rPr>
      </w:pPr>
      <w:r>
        <w:rPr>
          <w:rFonts w:ascii="Arial" w:eastAsia="Arial" w:hAnsi="Arial" w:cs="Arial"/>
          <w:b/>
          <w:bCs/>
          <w:color w:val="FFFFFF"/>
          <w:sz w:val="15"/>
          <w:szCs w:val="15"/>
        </w:rPr>
        <w:t>APPENDIX A – YUM CHINA HOLDINGS, INC. 2022 LONG TERM INCENTIVE PLAN</w:t>
      </w:r>
    </w:p>
    <w:p w:rsidR="00CC2C66" w:rsidRDefault="00CC2C66">
      <w:pPr>
        <w:spacing w:line="191" w:lineRule="exact"/>
        <w:rPr>
          <w:sz w:val="20"/>
          <w:szCs w:val="20"/>
        </w:rPr>
      </w:pPr>
    </w:p>
    <w:p w:rsidR="00CC2C66" w:rsidRDefault="00F80B74">
      <w:pPr>
        <w:spacing w:line="252" w:lineRule="auto"/>
        <w:ind w:left="1440"/>
        <w:jc w:val="both"/>
        <w:rPr>
          <w:sz w:val="20"/>
          <w:szCs w:val="20"/>
        </w:rPr>
      </w:pPr>
      <w:r>
        <w:rPr>
          <w:rFonts w:eastAsia="Times New Roman"/>
          <w:sz w:val="19"/>
          <w:szCs w:val="19"/>
        </w:rPr>
        <w:t xml:space="preserve">by </w:t>
      </w:r>
      <w:r>
        <w:rPr>
          <w:rFonts w:eastAsia="Times New Roman"/>
          <w:sz w:val="19"/>
          <w:szCs w:val="19"/>
        </w:rPr>
        <w:t>the Company; and (ii) any entity which will, as a result of acquisition of its equity interest by another entity, be accounted for and consolidated in the next audited consolidated accounts of such other entity as a subsidiary pursuant to the accounting st</w:t>
      </w:r>
      <w:r>
        <w:rPr>
          <w:rFonts w:eastAsia="Times New Roman"/>
          <w:sz w:val="19"/>
          <w:szCs w:val="19"/>
        </w:rPr>
        <w:t>andards adopted by the Company.</w:t>
      </w:r>
    </w:p>
    <w:p w:rsidR="00CC2C66" w:rsidRDefault="00CC2C66">
      <w:pPr>
        <w:spacing w:line="241" w:lineRule="exact"/>
        <w:rPr>
          <w:sz w:val="20"/>
          <w:szCs w:val="20"/>
        </w:rPr>
      </w:pPr>
    </w:p>
    <w:p w:rsidR="00CC2C66" w:rsidRDefault="00F80B74">
      <w:pPr>
        <w:numPr>
          <w:ilvl w:val="0"/>
          <w:numId w:val="158"/>
        </w:numPr>
        <w:tabs>
          <w:tab w:val="left" w:pos="1440"/>
        </w:tabs>
        <w:spacing w:line="246" w:lineRule="auto"/>
        <w:ind w:left="1440" w:hanging="518"/>
        <w:jc w:val="both"/>
        <w:rPr>
          <w:rFonts w:eastAsia="Times New Roman"/>
          <w:sz w:val="19"/>
          <w:szCs w:val="19"/>
        </w:rPr>
      </w:pPr>
      <w:r>
        <w:rPr>
          <w:rFonts w:eastAsia="Times New Roman"/>
          <w:b/>
          <w:bCs/>
          <w:sz w:val="19"/>
          <w:szCs w:val="19"/>
        </w:rPr>
        <w:t>Substitute Award</w:t>
      </w:r>
      <w:r>
        <w:rPr>
          <w:rFonts w:eastAsia="Times New Roman"/>
          <w:sz w:val="19"/>
          <w:szCs w:val="19"/>
        </w:rPr>
        <w:t>. The term “Substitute Award” means an Award granted or shares of Stock issued by the Company in</w:t>
      </w:r>
      <w:r>
        <w:rPr>
          <w:rFonts w:eastAsia="Times New Roman"/>
          <w:b/>
          <w:bCs/>
          <w:sz w:val="19"/>
          <w:szCs w:val="19"/>
        </w:rPr>
        <w:t xml:space="preserve"> </w:t>
      </w:r>
      <w:r>
        <w:rPr>
          <w:rFonts w:eastAsia="Times New Roman"/>
          <w:sz w:val="19"/>
          <w:szCs w:val="19"/>
        </w:rPr>
        <w:t xml:space="preserve">assumption of, or in substitution or exchange for, an award previously granted, or the right or obligation to </w:t>
      </w:r>
      <w:r>
        <w:rPr>
          <w:rFonts w:eastAsia="Times New Roman"/>
          <w:sz w:val="19"/>
          <w:szCs w:val="19"/>
        </w:rPr>
        <w:t xml:space="preserve">make a future award, in all cases by a company acquired by the Company or any Subsidiary or with which the Company or any Subsidiary combines. In no event shall the issuance of Substitute Awards change the terms of such previously granted awards such that </w:t>
      </w:r>
      <w:r>
        <w:rPr>
          <w:rFonts w:eastAsia="Times New Roman"/>
          <w:sz w:val="19"/>
          <w:szCs w:val="19"/>
        </w:rPr>
        <w:t>the change, if applied to a current Award, would be prohibited under the provisions of subsection 2.9.</w:t>
      </w:r>
    </w:p>
    <w:p w:rsidR="00CC2C66" w:rsidRDefault="00CC2C66">
      <w:pPr>
        <w:spacing w:line="247" w:lineRule="exact"/>
        <w:rPr>
          <w:rFonts w:eastAsia="Times New Roman"/>
          <w:sz w:val="19"/>
          <w:szCs w:val="19"/>
        </w:rPr>
      </w:pPr>
    </w:p>
    <w:p w:rsidR="00CC2C66" w:rsidRDefault="00F80B74">
      <w:pPr>
        <w:numPr>
          <w:ilvl w:val="0"/>
          <w:numId w:val="158"/>
        </w:numPr>
        <w:tabs>
          <w:tab w:val="left" w:pos="1440"/>
        </w:tabs>
        <w:spacing w:line="269" w:lineRule="auto"/>
        <w:ind w:left="1440" w:hanging="518"/>
        <w:rPr>
          <w:rFonts w:eastAsia="Times New Roman"/>
          <w:sz w:val="19"/>
          <w:szCs w:val="19"/>
        </w:rPr>
      </w:pPr>
      <w:r>
        <w:rPr>
          <w:rFonts w:eastAsia="Times New Roman"/>
          <w:b/>
          <w:bCs/>
          <w:sz w:val="19"/>
          <w:szCs w:val="19"/>
        </w:rPr>
        <w:t>Stock</w:t>
      </w:r>
      <w:r>
        <w:rPr>
          <w:rFonts w:eastAsia="Times New Roman"/>
          <w:sz w:val="19"/>
          <w:szCs w:val="19"/>
        </w:rPr>
        <w:t>. The term “Stock” shall mean shares of common stock of the Company which shall rank pari passu in all respects with</w:t>
      </w:r>
      <w:r>
        <w:rPr>
          <w:rFonts w:eastAsia="Times New Roman"/>
          <w:b/>
          <w:bCs/>
          <w:sz w:val="19"/>
          <w:szCs w:val="19"/>
        </w:rPr>
        <w:t xml:space="preserve"> </w:t>
      </w:r>
      <w:r>
        <w:rPr>
          <w:rFonts w:eastAsia="Times New Roman"/>
          <w:sz w:val="19"/>
          <w:szCs w:val="19"/>
        </w:rPr>
        <w:t xml:space="preserve">other fully-paid shares of </w:t>
      </w:r>
      <w:r>
        <w:rPr>
          <w:rFonts w:eastAsia="Times New Roman"/>
          <w:sz w:val="19"/>
          <w:szCs w:val="19"/>
        </w:rPr>
        <w:t>Stock in issue.</w:t>
      </w:r>
    </w:p>
    <w:p w:rsidR="00CC2C66" w:rsidRDefault="00CC2C66">
      <w:pPr>
        <w:spacing w:line="101" w:lineRule="exact"/>
        <w:rPr>
          <w:sz w:val="20"/>
          <w:szCs w:val="20"/>
        </w:rPr>
      </w:pPr>
    </w:p>
    <w:p w:rsidR="00CC2C66" w:rsidRDefault="00F80B74">
      <w:pPr>
        <w:tabs>
          <w:tab w:val="left" w:pos="1058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Proxy Statement</w:t>
      </w:r>
      <w:r>
        <w:rPr>
          <w:sz w:val="20"/>
          <w:szCs w:val="20"/>
        </w:rPr>
        <w:tab/>
      </w:r>
      <w:r>
        <w:rPr>
          <w:rFonts w:ascii="Arial" w:eastAsia="Arial" w:hAnsi="Arial" w:cs="Arial"/>
          <w:color w:val="CF0A2C"/>
          <w:sz w:val="14"/>
          <w:szCs w:val="14"/>
        </w:rPr>
        <w:t>91</w:t>
      </w:r>
    </w:p>
    <w:p w:rsidR="00CC2C66" w:rsidRDefault="00F80B74">
      <w:pPr>
        <w:spacing w:line="20" w:lineRule="exact"/>
        <w:rPr>
          <w:sz w:val="20"/>
          <w:szCs w:val="20"/>
        </w:rPr>
      </w:pPr>
      <w:r>
        <w:rPr>
          <w:noProof/>
          <w:sz w:val="20"/>
          <w:szCs w:val="20"/>
        </w:rPr>
        <w:drawing>
          <wp:anchor distT="0" distB="0" distL="114300" distR="114300" simplePos="0" relativeHeight="251828224" behindDoc="1" locked="0" layoutInCell="0" allowOverlap="1">
            <wp:simplePos x="0" y="0"/>
            <wp:positionH relativeFrom="column">
              <wp:posOffset>6621780</wp:posOffset>
            </wp:positionH>
            <wp:positionV relativeFrom="paragraph">
              <wp:posOffset>-95885</wp:posOffset>
            </wp:positionV>
            <wp:extent cx="8255" cy="9715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
                      <a:extLst/>
                    </a:blip>
                    <a:srcRect/>
                    <a:stretch>
                      <a:fillRect/>
                    </a:stretch>
                  </pic:blipFill>
                  <pic:spPr bwMode="auto">
                    <a:xfrm>
                      <a:off x="0" y="0"/>
                      <a:ext cx="8255" cy="97155"/>
                    </a:xfrm>
                    <a:prstGeom prst="rect">
                      <a:avLst/>
                    </a:prstGeom>
                    <a:noFill/>
                  </pic:spPr>
                </pic:pic>
              </a:graphicData>
            </a:graphic>
          </wp:anchor>
        </w:drawing>
      </w:r>
    </w:p>
    <w:p w:rsidR="00CC2C66" w:rsidRDefault="00CC2C66">
      <w:pPr>
        <w:sectPr w:rsidR="00CC2C66">
          <w:pgSz w:w="11900" w:h="16838"/>
          <w:pgMar w:top="439" w:right="739" w:bottom="1440" w:left="320" w:header="0" w:footer="0" w:gutter="0"/>
          <w:cols w:space="720" w:equalWidth="0">
            <w:col w:w="10840"/>
          </w:cols>
        </w:sectPr>
      </w:pPr>
    </w:p>
    <w:p w:rsidR="00CC2C66" w:rsidRDefault="00F80B74">
      <w:pPr>
        <w:rPr>
          <w:sz w:val="20"/>
          <w:szCs w:val="20"/>
        </w:rPr>
      </w:pPr>
      <w:bookmarkStart w:id="98" w:name="page98"/>
      <w:bookmarkEnd w:id="98"/>
      <w:r>
        <w:rPr>
          <w:rFonts w:eastAsia="Times New Roman"/>
          <w:b/>
          <w:bCs/>
          <w:noProof/>
          <w:color w:val="0000EE"/>
          <w:sz w:val="16"/>
          <w:szCs w:val="16"/>
          <w:u w:val="single"/>
        </w:rPr>
        <w:drawing>
          <wp:anchor distT="0" distB="0" distL="114300" distR="114300" simplePos="0" relativeHeight="251829248"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6"/>
          <w:szCs w:val="16"/>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30272" behindDoc="1" locked="0" layoutInCell="0" allowOverlap="1">
            <wp:simplePos x="0" y="0"/>
            <wp:positionH relativeFrom="column">
              <wp:posOffset>260985</wp:posOffset>
            </wp:positionH>
            <wp:positionV relativeFrom="paragraph">
              <wp:posOffset>203835</wp:posOffset>
            </wp:positionV>
            <wp:extent cx="6939915" cy="924115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0">
                      <a:extLst/>
                    </a:blip>
                    <a:srcRect/>
                    <a:stretch>
                      <a:fillRect/>
                    </a:stretch>
                  </pic:blipFill>
                  <pic:spPr bwMode="auto">
                    <a:xfrm>
                      <a:off x="0" y="0"/>
                      <a:ext cx="6939915" cy="9241155"/>
                    </a:xfrm>
                    <a:prstGeom prst="rect">
                      <a:avLst/>
                    </a:prstGeom>
                    <a:noFill/>
                  </pic:spPr>
                </pic:pic>
              </a:graphicData>
            </a:graphic>
          </wp:anchor>
        </w:drawing>
      </w:r>
    </w:p>
    <w:p w:rsidR="00CC2C66" w:rsidRDefault="00CC2C66">
      <w:pPr>
        <w:sectPr w:rsidR="00CC2C66">
          <w:pgSz w:w="11900" w:h="16838"/>
          <w:pgMar w:top="439" w:right="1440" w:bottom="1440" w:left="320" w:header="0" w:footer="0" w:gutter="0"/>
          <w:cols w:space="720" w:equalWidth="0">
            <w:col w:w="10139"/>
          </w:cols>
        </w:sectPr>
      </w:pPr>
    </w:p>
    <w:p w:rsidR="00CC2C66" w:rsidRDefault="00F80B74">
      <w:pPr>
        <w:rPr>
          <w:sz w:val="20"/>
          <w:szCs w:val="20"/>
        </w:rPr>
      </w:pPr>
      <w:bookmarkStart w:id="99" w:name="page99"/>
      <w:bookmarkEnd w:id="99"/>
      <w:r>
        <w:rPr>
          <w:rFonts w:eastAsia="Times New Roman"/>
          <w:b/>
          <w:bCs/>
          <w:noProof/>
          <w:color w:val="0000EE"/>
          <w:sz w:val="16"/>
          <w:szCs w:val="16"/>
          <w:u w:val="single"/>
        </w:rPr>
        <w:drawing>
          <wp:anchor distT="0" distB="0" distL="114300" distR="114300" simplePos="0" relativeHeight="251831296" behindDoc="1" locked="0" layoutInCell="0" allowOverlap="1">
            <wp:simplePos x="0" y="0"/>
            <wp:positionH relativeFrom="page">
              <wp:posOffset>191770</wp:posOffset>
            </wp:positionH>
            <wp:positionV relativeFrom="page">
              <wp:posOffset>88900</wp:posOffset>
            </wp:positionV>
            <wp:extent cx="7181215" cy="3683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blip>
                    <a:srcRect/>
                    <a:stretch>
                      <a:fillRect/>
                    </a:stretch>
                  </pic:blipFill>
                  <pic:spPr bwMode="auto">
                    <a:xfrm>
                      <a:off x="0" y="0"/>
                      <a:ext cx="7181215" cy="36830"/>
                    </a:xfrm>
                    <a:prstGeom prst="rect">
                      <a:avLst/>
                    </a:prstGeom>
                    <a:noFill/>
                  </pic:spPr>
                </pic:pic>
              </a:graphicData>
            </a:graphic>
          </wp:anchor>
        </w:drawing>
      </w:r>
      <w:r>
        <w:rPr>
          <w:rFonts w:eastAsia="Times New Roman"/>
          <w:b/>
          <w:bCs/>
          <w:color w:val="0000EE"/>
          <w:sz w:val="16"/>
          <w:szCs w:val="16"/>
          <w:u w:val="single"/>
        </w:rPr>
        <w:t>Table of Contents</w:t>
      </w:r>
    </w:p>
    <w:p w:rsidR="00CC2C66" w:rsidRDefault="00F80B74">
      <w:pPr>
        <w:spacing w:line="20" w:lineRule="exact"/>
        <w:rPr>
          <w:sz w:val="20"/>
          <w:szCs w:val="20"/>
        </w:rPr>
      </w:pPr>
      <w:r>
        <w:rPr>
          <w:noProof/>
          <w:sz w:val="20"/>
          <w:szCs w:val="20"/>
        </w:rPr>
        <w:drawing>
          <wp:anchor distT="0" distB="0" distL="114300" distR="114300" simplePos="0" relativeHeight="251832320" behindDoc="1" locked="0" layoutInCell="0" allowOverlap="1">
            <wp:simplePos x="0" y="0"/>
            <wp:positionH relativeFrom="column">
              <wp:posOffset>260985</wp:posOffset>
            </wp:positionH>
            <wp:positionV relativeFrom="paragraph">
              <wp:posOffset>203835</wp:posOffset>
            </wp:positionV>
            <wp:extent cx="6939915" cy="924115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1">
                      <a:extLst/>
                    </a:blip>
                    <a:srcRect/>
                    <a:stretch>
                      <a:fillRect/>
                    </a:stretch>
                  </pic:blipFill>
                  <pic:spPr bwMode="auto">
                    <a:xfrm>
                      <a:off x="0" y="0"/>
                      <a:ext cx="6939915" cy="9241155"/>
                    </a:xfrm>
                    <a:prstGeom prst="rect">
                      <a:avLst/>
                    </a:prstGeom>
                    <a:noFill/>
                  </pic:spPr>
                </pic:pic>
              </a:graphicData>
            </a:graphic>
          </wp:anchor>
        </w:drawing>
      </w:r>
    </w:p>
    <w:sectPr w:rsidR="00CC2C66">
      <w:pgSz w:w="11900" w:h="16838"/>
      <w:pgMar w:top="439" w:right="1440" w:bottom="1440" w:left="320" w:header="0" w:footer="0" w:gutter="0"/>
      <w:cols w:space="720" w:equalWidth="0">
        <w:col w:w="101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03AEA342"/>
    <w:lvl w:ilvl="0" w:tplc="A8F8E18A">
      <w:start w:val="1"/>
      <w:numFmt w:val="bullet"/>
      <w:lvlText w:val="•"/>
      <w:lvlJc w:val="left"/>
    </w:lvl>
    <w:lvl w:ilvl="1" w:tplc="F98066FC">
      <w:numFmt w:val="decimal"/>
      <w:lvlText w:val=""/>
      <w:lvlJc w:val="left"/>
    </w:lvl>
    <w:lvl w:ilvl="2" w:tplc="388E2FE2">
      <w:numFmt w:val="decimal"/>
      <w:lvlText w:val=""/>
      <w:lvlJc w:val="left"/>
    </w:lvl>
    <w:lvl w:ilvl="3" w:tplc="424CBB04">
      <w:numFmt w:val="decimal"/>
      <w:lvlText w:val=""/>
      <w:lvlJc w:val="left"/>
    </w:lvl>
    <w:lvl w:ilvl="4" w:tplc="1CAC6CB8">
      <w:numFmt w:val="decimal"/>
      <w:lvlText w:val=""/>
      <w:lvlJc w:val="left"/>
    </w:lvl>
    <w:lvl w:ilvl="5" w:tplc="52C6FF06">
      <w:numFmt w:val="decimal"/>
      <w:lvlText w:val=""/>
      <w:lvlJc w:val="left"/>
    </w:lvl>
    <w:lvl w:ilvl="6" w:tplc="1602BD52">
      <w:numFmt w:val="decimal"/>
      <w:lvlText w:val=""/>
      <w:lvlJc w:val="left"/>
    </w:lvl>
    <w:lvl w:ilvl="7" w:tplc="9A4CBFDE">
      <w:numFmt w:val="decimal"/>
      <w:lvlText w:val=""/>
      <w:lvlJc w:val="left"/>
    </w:lvl>
    <w:lvl w:ilvl="8" w:tplc="521698E2">
      <w:numFmt w:val="decimal"/>
      <w:lvlText w:val=""/>
      <w:lvlJc w:val="left"/>
    </w:lvl>
  </w:abstractNum>
  <w:abstractNum w:abstractNumId="1">
    <w:nsid w:val="00754342"/>
    <w:multiLevelType w:val="hybridMultilevel"/>
    <w:tmpl w:val="99A60D9A"/>
    <w:lvl w:ilvl="0" w:tplc="094E6022">
      <w:start w:val="1"/>
      <w:numFmt w:val="decimal"/>
      <w:lvlText w:val="(%1)"/>
      <w:lvlJc w:val="left"/>
    </w:lvl>
    <w:lvl w:ilvl="1" w:tplc="6A4E8946">
      <w:numFmt w:val="decimal"/>
      <w:lvlText w:val=""/>
      <w:lvlJc w:val="left"/>
    </w:lvl>
    <w:lvl w:ilvl="2" w:tplc="AA5285BE">
      <w:numFmt w:val="decimal"/>
      <w:lvlText w:val=""/>
      <w:lvlJc w:val="left"/>
    </w:lvl>
    <w:lvl w:ilvl="3" w:tplc="3550A5CC">
      <w:numFmt w:val="decimal"/>
      <w:lvlText w:val=""/>
      <w:lvlJc w:val="left"/>
    </w:lvl>
    <w:lvl w:ilvl="4" w:tplc="0964B5A2">
      <w:numFmt w:val="decimal"/>
      <w:lvlText w:val=""/>
      <w:lvlJc w:val="left"/>
    </w:lvl>
    <w:lvl w:ilvl="5" w:tplc="99E69C64">
      <w:numFmt w:val="decimal"/>
      <w:lvlText w:val=""/>
      <w:lvlJc w:val="left"/>
    </w:lvl>
    <w:lvl w:ilvl="6" w:tplc="29A2A624">
      <w:numFmt w:val="decimal"/>
      <w:lvlText w:val=""/>
      <w:lvlJc w:val="left"/>
    </w:lvl>
    <w:lvl w:ilvl="7" w:tplc="37A8A022">
      <w:numFmt w:val="decimal"/>
      <w:lvlText w:val=""/>
      <w:lvlJc w:val="left"/>
    </w:lvl>
    <w:lvl w:ilvl="8" w:tplc="9ECA59B2">
      <w:numFmt w:val="decimal"/>
      <w:lvlText w:val=""/>
      <w:lvlJc w:val="left"/>
    </w:lvl>
  </w:abstractNum>
  <w:abstractNum w:abstractNumId="2">
    <w:nsid w:val="00885E1B"/>
    <w:multiLevelType w:val="hybridMultilevel"/>
    <w:tmpl w:val="BC7444EE"/>
    <w:lvl w:ilvl="0" w:tplc="F112D4AA">
      <w:start w:val="1"/>
      <w:numFmt w:val="bullet"/>
      <w:lvlText w:val="•"/>
      <w:lvlJc w:val="left"/>
    </w:lvl>
    <w:lvl w:ilvl="1" w:tplc="3766B384">
      <w:numFmt w:val="decimal"/>
      <w:lvlText w:val=""/>
      <w:lvlJc w:val="left"/>
    </w:lvl>
    <w:lvl w:ilvl="2" w:tplc="6420BCA4">
      <w:numFmt w:val="decimal"/>
      <w:lvlText w:val=""/>
      <w:lvlJc w:val="left"/>
    </w:lvl>
    <w:lvl w:ilvl="3" w:tplc="5B8C5D1A">
      <w:numFmt w:val="decimal"/>
      <w:lvlText w:val=""/>
      <w:lvlJc w:val="left"/>
    </w:lvl>
    <w:lvl w:ilvl="4" w:tplc="01CA07DA">
      <w:numFmt w:val="decimal"/>
      <w:lvlText w:val=""/>
      <w:lvlJc w:val="left"/>
    </w:lvl>
    <w:lvl w:ilvl="5" w:tplc="B11853DE">
      <w:numFmt w:val="decimal"/>
      <w:lvlText w:val=""/>
      <w:lvlJc w:val="left"/>
    </w:lvl>
    <w:lvl w:ilvl="6" w:tplc="DDC0A340">
      <w:numFmt w:val="decimal"/>
      <w:lvlText w:val=""/>
      <w:lvlJc w:val="left"/>
    </w:lvl>
    <w:lvl w:ilvl="7" w:tplc="6B8C6D36">
      <w:numFmt w:val="decimal"/>
      <w:lvlText w:val=""/>
      <w:lvlJc w:val="left"/>
    </w:lvl>
    <w:lvl w:ilvl="8" w:tplc="276474AA">
      <w:numFmt w:val="decimal"/>
      <w:lvlText w:val=""/>
      <w:lvlJc w:val="left"/>
    </w:lvl>
  </w:abstractNum>
  <w:abstractNum w:abstractNumId="3">
    <w:nsid w:val="0488AC1A"/>
    <w:multiLevelType w:val="hybridMultilevel"/>
    <w:tmpl w:val="40CE68CA"/>
    <w:lvl w:ilvl="0" w:tplc="89086AF0">
      <w:start w:val="1"/>
      <w:numFmt w:val="lowerRoman"/>
      <w:lvlText w:val="(%1)"/>
      <w:lvlJc w:val="left"/>
    </w:lvl>
    <w:lvl w:ilvl="1" w:tplc="DA02F722">
      <w:numFmt w:val="decimal"/>
      <w:lvlText w:val=""/>
      <w:lvlJc w:val="left"/>
    </w:lvl>
    <w:lvl w:ilvl="2" w:tplc="69A435CC">
      <w:numFmt w:val="decimal"/>
      <w:lvlText w:val=""/>
      <w:lvlJc w:val="left"/>
    </w:lvl>
    <w:lvl w:ilvl="3" w:tplc="5A724E12">
      <w:numFmt w:val="decimal"/>
      <w:lvlText w:val=""/>
      <w:lvlJc w:val="left"/>
    </w:lvl>
    <w:lvl w:ilvl="4" w:tplc="6706BE42">
      <w:numFmt w:val="decimal"/>
      <w:lvlText w:val=""/>
      <w:lvlJc w:val="left"/>
    </w:lvl>
    <w:lvl w:ilvl="5" w:tplc="7306500E">
      <w:numFmt w:val="decimal"/>
      <w:lvlText w:val=""/>
      <w:lvlJc w:val="left"/>
    </w:lvl>
    <w:lvl w:ilvl="6" w:tplc="7DC455EC">
      <w:numFmt w:val="decimal"/>
      <w:lvlText w:val=""/>
      <w:lvlJc w:val="left"/>
    </w:lvl>
    <w:lvl w:ilvl="7" w:tplc="BF56C156">
      <w:numFmt w:val="decimal"/>
      <w:lvlText w:val=""/>
      <w:lvlJc w:val="left"/>
    </w:lvl>
    <w:lvl w:ilvl="8" w:tplc="B0A8BA70">
      <w:numFmt w:val="decimal"/>
      <w:lvlText w:val=""/>
      <w:lvlJc w:val="left"/>
    </w:lvl>
  </w:abstractNum>
  <w:abstractNum w:abstractNumId="4">
    <w:nsid w:val="053B0A9E"/>
    <w:multiLevelType w:val="hybridMultilevel"/>
    <w:tmpl w:val="3CBEAC88"/>
    <w:lvl w:ilvl="0" w:tplc="8FBC9870">
      <w:start w:val="48"/>
      <w:numFmt w:val="decimal"/>
      <w:lvlText w:val="%1"/>
      <w:lvlJc w:val="left"/>
    </w:lvl>
    <w:lvl w:ilvl="1" w:tplc="7DFE0EE8">
      <w:numFmt w:val="decimal"/>
      <w:lvlText w:val=""/>
      <w:lvlJc w:val="left"/>
    </w:lvl>
    <w:lvl w:ilvl="2" w:tplc="2C9473A4">
      <w:numFmt w:val="decimal"/>
      <w:lvlText w:val=""/>
      <w:lvlJc w:val="left"/>
    </w:lvl>
    <w:lvl w:ilvl="3" w:tplc="FE103AC0">
      <w:numFmt w:val="decimal"/>
      <w:lvlText w:val=""/>
      <w:lvlJc w:val="left"/>
    </w:lvl>
    <w:lvl w:ilvl="4" w:tplc="60A04690">
      <w:numFmt w:val="decimal"/>
      <w:lvlText w:val=""/>
      <w:lvlJc w:val="left"/>
    </w:lvl>
    <w:lvl w:ilvl="5" w:tplc="96027A6A">
      <w:numFmt w:val="decimal"/>
      <w:lvlText w:val=""/>
      <w:lvlJc w:val="left"/>
    </w:lvl>
    <w:lvl w:ilvl="6" w:tplc="B3C6567E">
      <w:numFmt w:val="decimal"/>
      <w:lvlText w:val=""/>
      <w:lvlJc w:val="left"/>
    </w:lvl>
    <w:lvl w:ilvl="7" w:tplc="78BAE9C4">
      <w:numFmt w:val="decimal"/>
      <w:lvlText w:val=""/>
      <w:lvlJc w:val="left"/>
    </w:lvl>
    <w:lvl w:ilvl="8" w:tplc="B4BAD032">
      <w:numFmt w:val="decimal"/>
      <w:lvlText w:val=""/>
      <w:lvlJc w:val="left"/>
    </w:lvl>
  </w:abstractNum>
  <w:abstractNum w:abstractNumId="5">
    <w:nsid w:val="06A5EE64"/>
    <w:multiLevelType w:val="hybridMultilevel"/>
    <w:tmpl w:val="20DAC1A0"/>
    <w:lvl w:ilvl="0" w:tplc="9670C926">
      <w:start w:val="1"/>
      <w:numFmt w:val="bullet"/>
      <w:lvlText w:val="☐"/>
      <w:lvlJc w:val="left"/>
    </w:lvl>
    <w:lvl w:ilvl="1" w:tplc="671C021E">
      <w:numFmt w:val="decimal"/>
      <w:lvlText w:val=""/>
      <w:lvlJc w:val="left"/>
    </w:lvl>
    <w:lvl w:ilvl="2" w:tplc="854424AA">
      <w:numFmt w:val="decimal"/>
      <w:lvlText w:val=""/>
      <w:lvlJc w:val="left"/>
    </w:lvl>
    <w:lvl w:ilvl="3" w:tplc="F02452CA">
      <w:numFmt w:val="decimal"/>
      <w:lvlText w:val=""/>
      <w:lvlJc w:val="left"/>
    </w:lvl>
    <w:lvl w:ilvl="4" w:tplc="7EB2E240">
      <w:numFmt w:val="decimal"/>
      <w:lvlText w:val=""/>
      <w:lvlJc w:val="left"/>
    </w:lvl>
    <w:lvl w:ilvl="5" w:tplc="628C31FC">
      <w:numFmt w:val="decimal"/>
      <w:lvlText w:val=""/>
      <w:lvlJc w:val="left"/>
    </w:lvl>
    <w:lvl w:ilvl="6" w:tplc="F2C8AC08">
      <w:numFmt w:val="decimal"/>
      <w:lvlText w:val=""/>
      <w:lvlJc w:val="left"/>
    </w:lvl>
    <w:lvl w:ilvl="7" w:tplc="20A47F76">
      <w:numFmt w:val="decimal"/>
      <w:lvlText w:val=""/>
      <w:lvlJc w:val="left"/>
    </w:lvl>
    <w:lvl w:ilvl="8" w:tplc="493867F2">
      <w:numFmt w:val="decimal"/>
      <w:lvlText w:val=""/>
      <w:lvlJc w:val="left"/>
    </w:lvl>
  </w:abstractNum>
  <w:abstractNum w:abstractNumId="6">
    <w:nsid w:val="06EB5BD4"/>
    <w:multiLevelType w:val="hybridMultilevel"/>
    <w:tmpl w:val="48F0B468"/>
    <w:lvl w:ilvl="0" w:tplc="73B45406">
      <w:start w:val="1"/>
      <w:numFmt w:val="bullet"/>
      <w:lvlText w:val="4"/>
      <w:lvlJc w:val="left"/>
    </w:lvl>
    <w:lvl w:ilvl="1" w:tplc="BE76467C">
      <w:numFmt w:val="decimal"/>
      <w:lvlText w:val=""/>
      <w:lvlJc w:val="left"/>
    </w:lvl>
    <w:lvl w:ilvl="2" w:tplc="887C8AE8">
      <w:numFmt w:val="decimal"/>
      <w:lvlText w:val=""/>
      <w:lvlJc w:val="left"/>
    </w:lvl>
    <w:lvl w:ilvl="3" w:tplc="61E64FD0">
      <w:numFmt w:val="decimal"/>
      <w:lvlText w:val=""/>
      <w:lvlJc w:val="left"/>
    </w:lvl>
    <w:lvl w:ilvl="4" w:tplc="5C14E9C6">
      <w:numFmt w:val="decimal"/>
      <w:lvlText w:val=""/>
      <w:lvlJc w:val="left"/>
    </w:lvl>
    <w:lvl w:ilvl="5" w:tplc="199E2B92">
      <w:numFmt w:val="decimal"/>
      <w:lvlText w:val=""/>
      <w:lvlJc w:val="left"/>
    </w:lvl>
    <w:lvl w:ilvl="6" w:tplc="E5405C12">
      <w:numFmt w:val="decimal"/>
      <w:lvlText w:val=""/>
      <w:lvlJc w:val="left"/>
    </w:lvl>
    <w:lvl w:ilvl="7" w:tplc="97FAEC4C">
      <w:numFmt w:val="decimal"/>
      <w:lvlText w:val=""/>
      <w:lvlJc w:val="left"/>
    </w:lvl>
    <w:lvl w:ilvl="8" w:tplc="DC0C582C">
      <w:numFmt w:val="decimal"/>
      <w:lvlText w:val=""/>
      <w:lvlJc w:val="left"/>
    </w:lvl>
  </w:abstractNum>
  <w:abstractNum w:abstractNumId="7">
    <w:nsid w:val="094211F2"/>
    <w:multiLevelType w:val="hybridMultilevel"/>
    <w:tmpl w:val="79DAFBBA"/>
    <w:lvl w:ilvl="0" w:tplc="B8C61A80">
      <w:start w:val="1"/>
      <w:numFmt w:val="bullet"/>
      <w:lvlText w:val="•"/>
      <w:lvlJc w:val="left"/>
    </w:lvl>
    <w:lvl w:ilvl="1" w:tplc="00F27F64">
      <w:numFmt w:val="decimal"/>
      <w:lvlText w:val=""/>
      <w:lvlJc w:val="left"/>
    </w:lvl>
    <w:lvl w:ilvl="2" w:tplc="B332F63C">
      <w:numFmt w:val="decimal"/>
      <w:lvlText w:val=""/>
      <w:lvlJc w:val="left"/>
    </w:lvl>
    <w:lvl w:ilvl="3" w:tplc="F668BCBA">
      <w:numFmt w:val="decimal"/>
      <w:lvlText w:val=""/>
      <w:lvlJc w:val="left"/>
    </w:lvl>
    <w:lvl w:ilvl="4" w:tplc="A52E6E82">
      <w:numFmt w:val="decimal"/>
      <w:lvlText w:val=""/>
      <w:lvlJc w:val="left"/>
    </w:lvl>
    <w:lvl w:ilvl="5" w:tplc="D2D4A5CE">
      <w:numFmt w:val="decimal"/>
      <w:lvlText w:val=""/>
      <w:lvlJc w:val="left"/>
    </w:lvl>
    <w:lvl w:ilvl="6" w:tplc="6D2E1380">
      <w:numFmt w:val="decimal"/>
      <w:lvlText w:val=""/>
      <w:lvlJc w:val="left"/>
    </w:lvl>
    <w:lvl w:ilvl="7" w:tplc="6CC2AB08">
      <w:numFmt w:val="decimal"/>
      <w:lvlText w:val=""/>
      <w:lvlJc w:val="left"/>
    </w:lvl>
    <w:lvl w:ilvl="8" w:tplc="F162D400">
      <w:numFmt w:val="decimal"/>
      <w:lvlText w:val=""/>
      <w:lvlJc w:val="left"/>
    </w:lvl>
  </w:abstractNum>
  <w:abstractNum w:abstractNumId="8">
    <w:nsid w:val="097E1B4E"/>
    <w:multiLevelType w:val="hybridMultilevel"/>
    <w:tmpl w:val="3570751C"/>
    <w:lvl w:ilvl="0" w:tplc="25B4F3C0">
      <w:start w:val="1"/>
      <w:numFmt w:val="bullet"/>
      <w:lvlText w:val="•"/>
      <w:lvlJc w:val="left"/>
    </w:lvl>
    <w:lvl w:ilvl="1" w:tplc="B9129258">
      <w:numFmt w:val="decimal"/>
      <w:lvlText w:val=""/>
      <w:lvlJc w:val="left"/>
    </w:lvl>
    <w:lvl w:ilvl="2" w:tplc="D7C8B238">
      <w:numFmt w:val="decimal"/>
      <w:lvlText w:val=""/>
      <w:lvlJc w:val="left"/>
    </w:lvl>
    <w:lvl w:ilvl="3" w:tplc="A82E62F4">
      <w:numFmt w:val="decimal"/>
      <w:lvlText w:val=""/>
      <w:lvlJc w:val="left"/>
    </w:lvl>
    <w:lvl w:ilvl="4" w:tplc="C95A3B36">
      <w:numFmt w:val="decimal"/>
      <w:lvlText w:val=""/>
      <w:lvlJc w:val="left"/>
    </w:lvl>
    <w:lvl w:ilvl="5" w:tplc="E9283B22">
      <w:numFmt w:val="decimal"/>
      <w:lvlText w:val=""/>
      <w:lvlJc w:val="left"/>
    </w:lvl>
    <w:lvl w:ilvl="6" w:tplc="F3C69028">
      <w:numFmt w:val="decimal"/>
      <w:lvlText w:val=""/>
      <w:lvlJc w:val="left"/>
    </w:lvl>
    <w:lvl w:ilvl="7" w:tplc="CD5242EE">
      <w:numFmt w:val="decimal"/>
      <w:lvlText w:val=""/>
      <w:lvlJc w:val="left"/>
    </w:lvl>
    <w:lvl w:ilvl="8" w:tplc="F0906C5A">
      <w:numFmt w:val="decimal"/>
      <w:lvlText w:val=""/>
      <w:lvlJc w:val="left"/>
    </w:lvl>
  </w:abstractNum>
  <w:abstractNum w:abstractNumId="9">
    <w:nsid w:val="09DAF632"/>
    <w:multiLevelType w:val="hybridMultilevel"/>
    <w:tmpl w:val="D79E6970"/>
    <w:lvl w:ilvl="0" w:tplc="74E04106">
      <w:start w:val="1"/>
      <w:numFmt w:val="bullet"/>
      <w:lvlText w:val="•"/>
      <w:lvlJc w:val="left"/>
    </w:lvl>
    <w:lvl w:ilvl="1" w:tplc="F92EFB56">
      <w:numFmt w:val="decimal"/>
      <w:lvlText w:val=""/>
      <w:lvlJc w:val="left"/>
    </w:lvl>
    <w:lvl w:ilvl="2" w:tplc="AA68E6C8">
      <w:numFmt w:val="decimal"/>
      <w:lvlText w:val=""/>
      <w:lvlJc w:val="left"/>
    </w:lvl>
    <w:lvl w:ilvl="3" w:tplc="29B21934">
      <w:numFmt w:val="decimal"/>
      <w:lvlText w:val=""/>
      <w:lvlJc w:val="left"/>
    </w:lvl>
    <w:lvl w:ilvl="4" w:tplc="1FCA1432">
      <w:numFmt w:val="decimal"/>
      <w:lvlText w:val=""/>
      <w:lvlJc w:val="left"/>
    </w:lvl>
    <w:lvl w:ilvl="5" w:tplc="17D8035A">
      <w:numFmt w:val="decimal"/>
      <w:lvlText w:val=""/>
      <w:lvlJc w:val="left"/>
    </w:lvl>
    <w:lvl w:ilvl="6" w:tplc="F580D1BA">
      <w:numFmt w:val="decimal"/>
      <w:lvlText w:val=""/>
      <w:lvlJc w:val="left"/>
    </w:lvl>
    <w:lvl w:ilvl="7" w:tplc="7C7885A0">
      <w:numFmt w:val="decimal"/>
      <w:lvlText w:val=""/>
      <w:lvlJc w:val="left"/>
    </w:lvl>
    <w:lvl w:ilvl="8" w:tplc="B90EBD30">
      <w:numFmt w:val="decimal"/>
      <w:lvlText w:val=""/>
      <w:lvlJc w:val="left"/>
    </w:lvl>
  </w:abstractNum>
  <w:abstractNum w:abstractNumId="10">
    <w:nsid w:val="0B37E80A"/>
    <w:multiLevelType w:val="hybridMultilevel"/>
    <w:tmpl w:val="5296D8E2"/>
    <w:lvl w:ilvl="0" w:tplc="EC726A1E">
      <w:start w:val="60"/>
      <w:numFmt w:val="decimal"/>
      <w:lvlText w:val="%1"/>
      <w:lvlJc w:val="left"/>
    </w:lvl>
    <w:lvl w:ilvl="1" w:tplc="78E0A03E">
      <w:numFmt w:val="decimal"/>
      <w:lvlText w:val=""/>
      <w:lvlJc w:val="left"/>
    </w:lvl>
    <w:lvl w:ilvl="2" w:tplc="188E8560">
      <w:numFmt w:val="decimal"/>
      <w:lvlText w:val=""/>
      <w:lvlJc w:val="left"/>
    </w:lvl>
    <w:lvl w:ilvl="3" w:tplc="2896595C">
      <w:numFmt w:val="decimal"/>
      <w:lvlText w:val=""/>
      <w:lvlJc w:val="left"/>
    </w:lvl>
    <w:lvl w:ilvl="4" w:tplc="B45C9DA4">
      <w:numFmt w:val="decimal"/>
      <w:lvlText w:val=""/>
      <w:lvlJc w:val="left"/>
    </w:lvl>
    <w:lvl w:ilvl="5" w:tplc="0DD28C14">
      <w:numFmt w:val="decimal"/>
      <w:lvlText w:val=""/>
      <w:lvlJc w:val="left"/>
    </w:lvl>
    <w:lvl w:ilvl="6" w:tplc="5E4E6B08">
      <w:numFmt w:val="decimal"/>
      <w:lvlText w:val=""/>
      <w:lvlJc w:val="left"/>
    </w:lvl>
    <w:lvl w:ilvl="7" w:tplc="7892D8E0">
      <w:numFmt w:val="decimal"/>
      <w:lvlText w:val=""/>
      <w:lvlJc w:val="left"/>
    </w:lvl>
    <w:lvl w:ilvl="8" w:tplc="A9E2CBD6">
      <w:numFmt w:val="decimal"/>
      <w:lvlText w:val=""/>
      <w:lvlJc w:val="left"/>
    </w:lvl>
  </w:abstractNum>
  <w:abstractNum w:abstractNumId="11">
    <w:nsid w:val="0BFFAE18"/>
    <w:multiLevelType w:val="hybridMultilevel"/>
    <w:tmpl w:val="7A8A857A"/>
    <w:lvl w:ilvl="0" w:tplc="2CC260C8">
      <w:start w:val="1"/>
      <w:numFmt w:val="decimal"/>
      <w:lvlText w:val="(%1)"/>
      <w:lvlJc w:val="left"/>
    </w:lvl>
    <w:lvl w:ilvl="1" w:tplc="6F989A74">
      <w:numFmt w:val="decimal"/>
      <w:lvlText w:val=""/>
      <w:lvlJc w:val="left"/>
    </w:lvl>
    <w:lvl w:ilvl="2" w:tplc="C27CB874">
      <w:numFmt w:val="decimal"/>
      <w:lvlText w:val=""/>
      <w:lvlJc w:val="left"/>
    </w:lvl>
    <w:lvl w:ilvl="3" w:tplc="AFD04882">
      <w:numFmt w:val="decimal"/>
      <w:lvlText w:val=""/>
      <w:lvlJc w:val="left"/>
    </w:lvl>
    <w:lvl w:ilvl="4" w:tplc="F08E13FE">
      <w:numFmt w:val="decimal"/>
      <w:lvlText w:val=""/>
      <w:lvlJc w:val="left"/>
    </w:lvl>
    <w:lvl w:ilvl="5" w:tplc="61569C2C">
      <w:numFmt w:val="decimal"/>
      <w:lvlText w:val=""/>
      <w:lvlJc w:val="left"/>
    </w:lvl>
    <w:lvl w:ilvl="6" w:tplc="C2BE81E6">
      <w:numFmt w:val="decimal"/>
      <w:lvlText w:val=""/>
      <w:lvlJc w:val="left"/>
    </w:lvl>
    <w:lvl w:ilvl="7" w:tplc="DFC29F16">
      <w:numFmt w:val="decimal"/>
      <w:lvlText w:val=""/>
      <w:lvlJc w:val="left"/>
    </w:lvl>
    <w:lvl w:ilvl="8" w:tplc="B5A64DBC">
      <w:numFmt w:val="decimal"/>
      <w:lvlText w:val=""/>
      <w:lvlJc w:val="left"/>
    </w:lvl>
  </w:abstractNum>
  <w:abstractNum w:abstractNumId="12">
    <w:nsid w:val="0CC1016F"/>
    <w:multiLevelType w:val="hybridMultilevel"/>
    <w:tmpl w:val="820EF546"/>
    <w:lvl w:ilvl="0" w:tplc="27D2EC80">
      <w:start w:val="1"/>
      <w:numFmt w:val="bullet"/>
      <w:lvlText w:val="•"/>
      <w:lvlJc w:val="left"/>
    </w:lvl>
    <w:lvl w:ilvl="1" w:tplc="7A6275BC">
      <w:numFmt w:val="decimal"/>
      <w:lvlText w:val=""/>
      <w:lvlJc w:val="left"/>
    </w:lvl>
    <w:lvl w:ilvl="2" w:tplc="19786C90">
      <w:numFmt w:val="decimal"/>
      <w:lvlText w:val=""/>
      <w:lvlJc w:val="left"/>
    </w:lvl>
    <w:lvl w:ilvl="3" w:tplc="68061F2E">
      <w:numFmt w:val="decimal"/>
      <w:lvlText w:val=""/>
      <w:lvlJc w:val="left"/>
    </w:lvl>
    <w:lvl w:ilvl="4" w:tplc="8A1AA42C">
      <w:numFmt w:val="decimal"/>
      <w:lvlText w:val=""/>
      <w:lvlJc w:val="left"/>
    </w:lvl>
    <w:lvl w:ilvl="5" w:tplc="C2E0B564">
      <w:numFmt w:val="decimal"/>
      <w:lvlText w:val=""/>
      <w:lvlJc w:val="left"/>
    </w:lvl>
    <w:lvl w:ilvl="6" w:tplc="4202B690">
      <w:numFmt w:val="decimal"/>
      <w:lvlText w:val=""/>
      <w:lvlJc w:val="left"/>
    </w:lvl>
    <w:lvl w:ilvl="7" w:tplc="52248242">
      <w:numFmt w:val="decimal"/>
      <w:lvlText w:val=""/>
      <w:lvlJc w:val="left"/>
    </w:lvl>
    <w:lvl w:ilvl="8" w:tplc="9C1EA142">
      <w:numFmt w:val="decimal"/>
      <w:lvlText w:val=""/>
      <w:lvlJc w:val="left"/>
    </w:lvl>
  </w:abstractNum>
  <w:abstractNum w:abstractNumId="13">
    <w:nsid w:val="0E3E47A8"/>
    <w:multiLevelType w:val="hybridMultilevel"/>
    <w:tmpl w:val="AAE80AF4"/>
    <w:lvl w:ilvl="0" w:tplc="99EA2C6A">
      <w:start w:val="1"/>
      <w:numFmt w:val="bullet"/>
      <w:lvlText w:val="•"/>
      <w:lvlJc w:val="left"/>
    </w:lvl>
    <w:lvl w:ilvl="1" w:tplc="32AA2ADC">
      <w:numFmt w:val="decimal"/>
      <w:lvlText w:val=""/>
      <w:lvlJc w:val="left"/>
    </w:lvl>
    <w:lvl w:ilvl="2" w:tplc="A0DED5CA">
      <w:numFmt w:val="decimal"/>
      <w:lvlText w:val=""/>
      <w:lvlJc w:val="left"/>
    </w:lvl>
    <w:lvl w:ilvl="3" w:tplc="1E9CC218">
      <w:numFmt w:val="decimal"/>
      <w:lvlText w:val=""/>
      <w:lvlJc w:val="left"/>
    </w:lvl>
    <w:lvl w:ilvl="4" w:tplc="BA4EC940">
      <w:numFmt w:val="decimal"/>
      <w:lvlText w:val=""/>
      <w:lvlJc w:val="left"/>
    </w:lvl>
    <w:lvl w:ilvl="5" w:tplc="3AD45EF8">
      <w:numFmt w:val="decimal"/>
      <w:lvlText w:val=""/>
      <w:lvlJc w:val="left"/>
    </w:lvl>
    <w:lvl w:ilvl="6" w:tplc="DF44E504">
      <w:numFmt w:val="decimal"/>
      <w:lvlText w:val=""/>
      <w:lvlJc w:val="left"/>
    </w:lvl>
    <w:lvl w:ilvl="7" w:tplc="7EA297B4">
      <w:numFmt w:val="decimal"/>
      <w:lvlText w:val=""/>
      <w:lvlJc w:val="left"/>
    </w:lvl>
    <w:lvl w:ilvl="8" w:tplc="5E6E2E8E">
      <w:numFmt w:val="decimal"/>
      <w:lvlText w:val=""/>
      <w:lvlJc w:val="left"/>
    </w:lvl>
  </w:abstractNum>
  <w:abstractNum w:abstractNumId="14">
    <w:nsid w:val="0E7FFA2B"/>
    <w:multiLevelType w:val="hybridMultilevel"/>
    <w:tmpl w:val="8750913E"/>
    <w:lvl w:ilvl="0" w:tplc="A1885944">
      <w:start w:val="36"/>
      <w:numFmt w:val="decimal"/>
      <w:lvlText w:val="%1"/>
      <w:lvlJc w:val="left"/>
    </w:lvl>
    <w:lvl w:ilvl="1" w:tplc="DE4A5122">
      <w:numFmt w:val="decimal"/>
      <w:lvlText w:val=""/>
      <w:lvlJc w:val="left"/>
    </w:lvl>
    <w:lvl w:ilvl="2" w:tplc="04743C52">
      <w:numFmt w:val="decimal"/>
      <w:lvlText w:val=""/>
      <w:lvlJc w:val="left"/>
    </w:lvl>
    <w:lvl w:ilvl="3" w:tplc="65481C00">
      <w:numFmt w:val="decimal"/>
      <w:lvlText w:val=""/>
      <w:lvlJc w:val="left"/>
    </w:lvl>
    <w:lvl w:ilvl="4" w:tplc="B3EE3420">
      <w:numFmt w:val="decimal"/>
      <w:lvlText w:val=""/>
      <w:lvlJc w:val="left"/>
    </w:lvl>
    <w:lvl w:ilvl="5" w:tplc="2DE29272">
      <w:numFmt w:val="decimal"/>
      <w:lvlText w:val=""/>
      <w:lvlJc w:val="left"/>
    </w:lvl>
    <w:lvl w:ilvl="6" w:tplc="BDA29542">
      <w:numFmt w:val="decimal"/>
      <w:lvlText w:val=""/>
      <w:lvlJc w:val="left"/>
    </w:lvl>
    <w:lvl w:ilvl="7" w:tplc="A60C8640">
      <w:numFmt w:val="decimal"/>
      <w:lvlText w:val=""/>
      <w:lvlJc w:val="left"/>
    </w:lvl>
    <w:lvl w:ilvl="8" w:tplc="EA94BCC8">
      <w:numFmt w:val="decimal"/>
      <w:lvlText w:val=""/>
      <w:lvlJc w:val="left"/>
    </w:lvl>
  </w:abstractNum>
  <w:abstractNum w:abstractNumId="15">
    <w:nsid w:val="0F819E7F"/>
    <w:multiLevelType w:val="hybridMultilevel"/>
    <w:tmpl w:val="EB54A0F2"/>
    <w:lvl w:ilvl="0" w:tplc="F62E024C">
      <w:start w:val="76"/>
      <w:numFmt w:val="decimal"/>
      <w:lvlText w:val="%1"/>
      <w:lvlJc w:val="left"/>
    </w:lvl>
    <w:lvl w:ilvl="1" w:tplc="89AAAB36">
      <w:numFmt w:val="decimal"/>
      <w:lvlText w:val=""/>
      <w:lvlJc w:val="left"/>
    </w:lvl>
    <w:lvl w:ilvl="2" w:tplc="C6343D42">
      <w:numFmt w:val="decimal"/>
      <w:lvlText w:val=""/>
      <w:lvlJc w:val="left"/>
    </w:lvl>
    <w:lvl w:ilvl="3" w:tplc="63D2FA2A">
      <w:numFmt w:val="decimal"/>
      <w:lvlText w:val=""/>
      <w:lvlJc w:val="left"/>
    </w:lvl>
    <w:lvl w:ilvl="4" w:tplc="E7C059E2">
      <w:numFmt w:val="decimal"/>
      <w:lvlText w:val=""/>
      <w:lvlJc w:val="left"/>
    </w:lvl>
    <w:lvl w:ilvl="5" w:tplc="BD40F642">
      <w:numFmt w:val="decimal"/>
      <w:lvlText w:val=""/>
      <w:lvlJc w:val="left"/>
    </w:lvl>
    <w:lvl w:ilvl="6" w:tplc="E9727256">
      <w:numFmt w:val="decimal"/>
      <w:lvlText w:val=""/>
      <w:lvlJc w:val="left"/>
    </w:lvl>
    <w:lvl w:ilvl="7" w:tplc="AB987034">
      <w:numFmt w:val="decimal"/>
      <w:lvlText w:val=""/>
      <w:lvlJc w:val="left"/>
    </w:lvl>
    <w:lvl w:ilvl="8" w:tplc="090EE086">
      <w:numFmt w:val="decimal"/>
      <w:lvlText w:val=""/>
      <w:lvlJc w:val="left"/>
    </w:lvl>
  </w:abstractNum>
  <w:abstractNum w:abstractNumId="16">
    <w:nsid w:val="100F59DC"/>
    <w:multiLevelType w:val="hybridMultilevel"/>
    <w:tmpl w:val="5352F920"/>
    <w:lvl w:ilvl="0" w:tplc="C5FA9E12">
      <w:start w:val="1"/>
      <w:numFmt w:val="bullet"/>
      <w:lvlText w:val="•"/>
      <w:lvlJc w:val="left"/>
    </w:lvl>
    <w:lvl w:ilvl="1" w:tplc="8E3065CA">
      <w:numFmt w:val="decimal"/>
      <w:lvlText w:val=""/>
      <w:lvlJc w:val="left"/>
    </w:lvl>
    <w:lvl w:ilvl="2" w:tplc="5E1A6CE6">
      <w:numFmt w:val="decimal"/>
      <w:lvlText w:val=""/>
      <w:lvlJc w:val="left"/>
    </w:lvl>
    <w:lvl w:ilvl="3" w:tplc="46F8F1EA">
      <w:numFmt w:val="decimal"/>
      <w:lvlText w:val=""/>
      <w:lvlJc w:val="left"/>
    </w:lvl>
    <w:lvl w:ilvl="4" w:tplc="52668452">
      <w:numFmt w:val="decimal"/>
      <w:lvlText w:val=""/>
      <w:lvlJc w:val="left"/>
    </w:lvl>
    <w:lvl w:ilvl="5" w:tplc="E28EF0BC">
      <w:numFmt w:val="decimal"/>
      <w:lvlText w:val=""/>
      <w:lvlJc w:val="left"/>
    </w:lvl>
    <w:lvl w:ilvl="6" w:tplc="0650A336">
      <w:numFmt w:val="decimal"/>
      <w:lvlText w:val=""/>
      <w:lvlJc w:val="left"/>
    </w:lvl>
    <w:lvl w:ilvl="7" w:tplc="C0ECC29E">
      <w:numFmt w:val="decimal"/>
      <w:lvlText w:val=""/>
      <w:lvlJc w:val="left"/>
    </w:lvl>
    <w:lvl w:ilvl="8" w:tplc="AF40C2F2">
      <w:numFmt w:val="decimal"/>
      <w:lvlText w:val=""/>
      <w:lvlJc w:val="left"/>
    </w:lvl>
  </w:abstractNum>
  <w:abstractNum w:abstractNumId="17">
    <w:nsid w:val="14330624"/>
    <w:multiLevelType w:val="hybridMultilevel"/>
    <w:tmpl w:val="090089D0"/>
    <w:lvl w:ilvl="0" w:tplc="7ADA8372">
      <w:start w:val="1"/>
      <w:numFmt w:val="decimal"/>
      <w:lvlText w:val="%1."/>
      <w:lvlJc w:val="left"/>
    </w:lvl>
    <w:lvl w:ilvl="1" w:tplc="2E062316">
      <w:numFmt w:val="decimal"/>
      <w:lvlText w:val=""/>
      <w:lvlJc w:val="left"/>
    </w:lvl>
    <w:lvl w:ilvl="2" w:tplc="5022AB2A">
      <w:numFmt w:val="decimal"/>
      <w:lvlText w:val=""/>
      <w:lvlJc w:val="left"/>
    </w:lvl>
    <w:lvl w:ilvl="3" w:tplc="E7787054">
      <w:numFmt w:val="decimal"/>
      <w:lvlText w:val=""/>
      <w:lvlJc w:val="left"/>
    </w:lvl>
    <w:lvl w:ilvl="4" w:tplc="A0D48602">
      <w:numFmt w:val="decimal"/>
      <w:lvlText w:val=""/>
      <w:lvlJc w:val="left"/>
    </w:lvl>
    <w:lvl w:ilvl="5" w:tplc="681084B2">
      <w:numFmt w:val="decimal"/>
      <w:lvlText w:val=""/>
      <w:lvlJc w:val="left"/>
    </w:lvl>
    <w:lvl w:ilvl="6" w:tplc="3D72B9AE">
      <w:numFmt w:val="decimal"/>
      <w:lvlText w:val=""/>
      <w:lvlJc w:val="left"/>
    </w:lvl>
    <w:lvl w:ilvl="7" w:tplc="E2128970">
      <w:numFmt w:val="decimal"/>
      <w:lvlText w:val=""/>
      <w:lvlJc w:val="left"/>
    </w:lvl>
    <w:lvl w:ilvl="8" w:tplc="17E4F734">
      <w:numFmt w:val="decimal"/>
      <w:lvlText w:val=""/>
      <w:lvlJc w:val="left"/>
    </w:lvl>
  </w:abstractNum>
  <w:abstractNum w:abstractNumId="18">
    <w:nsid w:val="14D53685"/>
    <w:multiLevelType w:val="hybridMultilevel"/>
    <w:tmpl w:val="750270BE"/>
    <w:lvl w:ilvl="0" w:tplc="9A8A4D2E">
      <w:start w:val="9"/>
      <w:numFmt w:val="upperLetter"/>
      <w:lvlText w:val="(%1)"/>
      <w:lvlJc w:val="left"/>
    </w:lvl>
    <w:lvl w:ilvl="1" w:tplc="7324C708">
      <w:numFmt w:val="decimal"/>
      <w:lvlText w:val=""/>
      <w:lvlJc w:val="left"/>
    </w:lvl>
    <w:lvl w:ilvl="2" w:tplc="00AAF41E">
      <w:numFmt w:val="decimal"/>
      <w:lvlText w:val=""/>
      <w:lvlJc w:val="left"/>
    </w:lvl>
    <w:lvl w:ilvl="3" w:tplc="D49ABC3A">
      <w:numFmt w:val="decimal"/>
      <w:lvlText w:val=""/>
      <w:lvlJc w:val="left"/>
    </w:lvl>
    <w:lvl w:ilvl="4" w:tplc="7D7EF254">
      <w:numFmt w:val="decimal"/>
      <w:lvlText w:val=""/>
      <w:lvlJc w:val="left"/>
    </w:lvl>
    <w:lvl w:ilvl="5" w:tplc="2CECE030">
      <w:numFmt w:val="decimal"/>
      <w:lvlText w:val=""/>
      <w:lvlJc w:val="left"/>
    </w:lvl>
    <w:lvl w:ilvl="6" w:tplc="48B6BEB2">
      <w:numFmt w:val="decimal"/>
      <w:lvlText w:val=""/>
      <w:lvlJc w:val="left"/>
    </w:lvl>
    <w:lvl w:ilvl="7" w:tplc="5E9E34BC">
      <w:numFmt w:val="decimal"/>
      <w:lvlText w:val=""/>
      <w:lvlJc w:val="left"/>
    </w:lvl>
    <w:lvl w:ilvl="8" w:tplc="766A2686">
      <w:numFmt w:val="decimal"/>
      <w:lvlText w:val=""/>
      <w:lvlJc w:val="left"/>
    </w:lvl>
  </w:abstractNum>
  <w:abstractNum w:abstractNumId="19">
    <w:nsid w:val="14E17E33"/>
    <w:multiLevelType w:val="hybridMultilevel"/>
    <w:tmpl w:val="7F44F7CC"/>
    <w:lvl w:ilvl="0" w:tplc="00CCDB5C">
      <w:start w:val="1"/>
      <w:numFmt w:val="bullet"/>
      <w:lvlText w:val="6"/>
      <w:lvlJc w:val="left"/>
    </w:lvl>
    <w:lvl w:ilvl="1" w:tplc="E938BEA4">
      <w:numFmt w:val="decimal"/>
      <w:lvlText w:val=""/>
      <w:lvlJc w:val="left"/>
    </w:lvl>
    <w:lvl w:ilvl="2" w:tplc="1120521A">
      <w:numFmt w:val="decimal"/>
      <w:lvlText w:val=""/>
      <w:lvlJc w:val="left"/>
    </w:lvl>
    <w:lvl w:ilvl="3" w:tplc="2AEADF12">
      <w:numFmt w:val="decimal"/>
      <w:lvlText w:val=""/>
      <w:lvlJc w:val="left"/>
    </w:lvl>
    <w:lvl w:ilvl="4" w:tplc="3D7895CE">
      <w:numFmt w:val="decimal"/>
      <w:lvlText w:val=""/>
      <w:lvlJc w:val="left"/>
    </w:lvl>
    <w:lvl w:ilvl="5" w:tplc="A5D2E972">
      <w:numFmt w:val="decimal"/>
      <w:lvlText w:val=""/>
      <w:lvlJc w:val="left"/>
    </w:lvl>
    <w:lvl w:ilvl="6" w:tplc="578AD284">
      <w:numFmt w:val="decimal"/>
      <w:lvlText w:val=""/>
      <w:lvlJc w:val="left"/>
    </w:lvl>
    <w:lvl w:ilvl="7" w:tplc="A1666EAE">
      <w:numFmt w:val="decimal"/>
      <w:lvlText w:val=""/>
      <w:lvlJc w:val="left"/>
    </w:lvl>
    <w:lvl w:ilvl="8" w:tplc="99C47428">
      <w:numFmt w:val="decimal"/>
      <w:lvlText w:val=""/>
      <w:lvlJc w:val="left"/>
    </w:lvl>
  </w:abstractNum>
  <w:abstractNum w:abstractNumId="20">
    <w:nsid w:val="14FCE74E"/>
    <w:multiLevelType w:val="hybridMultilevel"/>
    <w:tmpl w:val="96246B64"/>
    <w:lvl w:ilvl="0" w:tplc="3AD2D618">
      <w:start w:val="1"/>
      <w:numFmt w:val="bullet"/>
      <w:lvlText w:val="•"/>
      <w:lvlJc w:val="left"/>
    </w:lvl>
    <w:lvl w:ilvl="1" w:tplc="0D6C63C0">
      <w:numFmt w:val="decimal"/>
      <w:lvlText w:val=""/>
      <w:lvlJc w:val="left"/>
    </w:lvl>
    <w:lvl w:ilvl="2" w:tplc="44C8203C">
      <w:numFmt w:val="decimal"/>
      <w:lvlText w:val=""/>
      <w:lvlJc w:val="left"/>
    </w:lvl>
    <w:lvl w:ilvl="3" w:tplc="147E8644">
      <w:numFmt w:val="decimal"/>
      <w:lvlText w:val=""/>
      <w:lvlJc w:val="left"/>
    </w:lvl>
    <w:lvl w:ilvl="4" w:tplc="61E61AD4">
      <w:numFmt w:val="decimal"/>
      <w:lvlText w:val=""/>
      <w:lvlJc w:val="left"/>
    </w:lvl>
    <w:lvl w:ilvl="5" w:tplc="BC50D318">
      <w:numFmt w:val="decimal"/>
      <w:lvlText w:val=""/>
      <w:lvlJc w:val="left"/>
    </w:lvl>
    <w:lvl w:ilvl="6" w:tplc="F71816C0">
      <w:numFmt w:val="decimal"/>
      <w:lvlText w:val=""/>
      <w:lvlJc w:val="left"/>
    </w:lvl>
    <w:lvl w:ilvl="7" w:tplc="21FAE1FE">
      <w:numFmt w:val="decimal"/>
      <w:lvlText w:val=""/>
      <w:lvlJc w:val="left"/>
    </w:lvl>
    <w:lvl w:ilvl="8" w:tplc="6DF84F3C">
      <w:numFmt w:val="decimal"/>
      <w:lvlText w:val=""/>
      <w:lvlJc w:val="left"/>
    </w:lvl>
  </w:abstractNum>
  <w:abstractNum w:abstractNumId="21">
    <w:nsid w:val="1716703B"/>
    <w:multiLevelType w:val="hybridMultilevel"/>
    <w:tmpl w:val="C69A7802"/>
    <w:lvl w:ilvl="0" w:tplc="77569256">
      <w:start w:val="1"/>
      <w:numFmt w:val="bullet"/>
      <w:lvlText w:val="•"/>
      <w:lvlJc w:val="left"/>
    </w:lvl>
    <w:lvl w:ilvl="1" w:tplc="89948BD6">
      <w:numFmt w:val="decimal"/>
      <w:lvlText w:val=""/>
      <w:lvlJc w:val="left"/>
    </w:lvl>
    <w:lvl w:ilvl="2" w:tplc="313AF262">
      <w:numFmt w:val="decimal"/>
      <w:lvlText w:val=""/>
      <w:lvlJc w:val="left"/>
    </w:lvl>
    <w:lvl w:ilvl="3" w:tplc="3FB6BE88">
      <w:numFmt w:val="decimal"/>
      <w:lvlText w:val=""/>
      <w:lvlJc w:val="left"/>
    </w:lvl>
    <w:lvl w:ilvl="4" w:tplc="D6F4DF16">
      <w:numFmt w:val="decimal"/>
      <w:lvlText w:val=""/>
      <w:lvlJc w:val="left"/>
    </w:lvl>
    <w:lvl w:ilvl="5" w:tplc="CEE24D6C">
      <w:numFmt w:val="decimal"/>
      <w:lvlText w:val=""/>
      <w:lvlJc w:val="left"/>
    </w:lvl>
    <w:lvl w:ilvl="6" w:tplc="8CC61860">
      <w:numFmt w:val="decimal"/>
      <w:lvlText w:val=""/>
      <w:lvlJc w:val="left"/>
    </w:lvl>
    <w:lvl w:ilvl="7" w:tplc="82068448">
      <w:numFmt w:val="decimal"/>
      <w:lvlText w:val=""/>
      <w:lvlJc w:val="left"/>
    </w:lvl>
    <w:lvl w:ilvl="8" w:tplc="39A4AFE6">
      <w:numFmt w:val="decimal"/>
      <w:lvlText w:val=""/>
      <w:lvlJc w:val="left"/>
    </w:lvl>
  </w:abstractNum>
  <w:abstractNum w:abstractNumId="22">
    <w:nsid w:val="17180B0B"/>
    <w:multiLevelType w:val="hybridMultilevel"/>
    <w:tmpl w:val="CD584BA2"/>
    <w:lvl w:ilvl="0" w:tplc="FD52CF68">
      <w:start w:val="90"/>
      <w:numFmt w:val="decimal"/>
      <w:lvlText w:val="%1"/>
      <w:lvlJc w:val="left"/>
    </w:lvl>
    <w:lvl w:ilvl="1" w:tplc="7DC2E160">
      <w:numFmt w:val="decimal"/>
      <w:lvlText w:val=""/>
      <w:lvlJc w:val="left"/>
    </w:lvl>
    <w:lvl w:ilvl="2" w:tplc="E5B4EF94">
      <w:numFmt w:val="decimal"/>
      <w:lvlText w:val=""/>
      <w:lvlJc w:val="left"/>
    </w:lvl>
    <w:lvl w:ilvl="3" w:tplc="AA96CB40">
      <w:numFmt w:val="decimal"/>
      <w:lvlText w:val=""/>
      <w:lvlJc w:val="left"/>
    </w:lvl>
    <w:lvl w:ilvl="4" w:tplc="F9C0D51C">
      <w:numFmt w:val="decimal"/>
      <w:lvlText w:val=""/>
      <w:lvlJc w:val="left"/>
    </w:lvl>
    <w:lvl w:ilvl="5" w:tplc="458EBE34">
      <w:numFmt w:val="decimal"/>
      <w:lvlText w:val=""/>
      <w:lvlJc w:val="left"/>
    </w:lvl>
    <w:lvl w:ilvl="6" w:tplc="7330924C">
      <w:numFmt w:val="decimal"/>
      <w:lvlText w:val=""/>
      <w:lvlJc w:val="left"/>
    </w:lvl>
    <w:lvl w:ilvl="7" w:tplc="E1D086BC">
      <w:numFmt w:val="decimal"/>
      <w:lvlText w:val=""/>
      <w:lvlJc w:val="left"/>
    </w:lvl>
    <w:lvl w:ilvl="8" w:tplc="5072C050">
      <w:numFmt w:val="decimal"/>
      <w:lvlText w:val=""/>
      <w:lvlJc w:val="left"/>
    </w:lvl>
  </w:abstractNum>
  <w:abstractNum w:abstractNumId="23">
    <w:nsid w:val="175DFCF0"/>
    <w:multiLevelType w:val="hybridMultilevel"/>
    <w:tmpl w:val="5E1016AE"/>
    <w:lvl w:ilvl="0" w:tplc="7CAEBDE0">
      <w:start w:val="1"/>
      <w:numFmt w:val="bullet"/>
      <w:lvlText w:val="•"/>
      <w:lvlJc w:val="left"/>
    </w:lvl>
    <w:lvl w:ilvl="1" w:tplc="EC1A6646">
      <w:numFmt w:val="decimal"/>
      <w:lvlText w:val=""/>
      <w:lvlJc w:val="left"/>
    </w:lvl>
    <w:lvl w:ilvl="2" w:tplc="F1A4E27A">
      <w:numFmt w:val="decimal"/>
      <w:lvlText w:val=""/>
      <w:lvlJc w:val="left"/>
    </w:lvl>
    <w:lvl w:ilvl="3" w:tplc="21A86ECA">
      <w:numFmt w:val="decimal"/>
      <w:lvlText w:val=""/>
      <w:lvlJc w:val="left"/>
    </w:lvl>
    <w:lvl w:ilvl="4" w:tplc="BA56F892">
      <w:numFmt w:val="decimal"/>
      <w:lvlText w:val=""/>
      <w:lvlJc w:val="left"/>
    </w:lvl>
    <w:lvl w:ilvl="5" w:tplc="A970BBDA">
      <w:numFmt w:val="decimal"/>
      <w:lvlText w:val=""/>
      <w:lvlJc w:val="left"/>
    </w:lvl>
    <w:lvl w:ilvl="6" w:tplc="323203F6">
      <w:numFmt w:val="decimal"/>
      <w:lvlText w:val=""/>
      <w:lvlJc w:val="left"/>
    </w:lvl>
    <w:lvl w:ilvl="7" w:tplc="4C6A0E80">
      <w:numFmt w:val="decimal"/>
      <w:lvlText w:val=""/>
      <w:lvlJc w:val="left"/>
    </w:lvl>
    <w:lvl w:ilvl="8" w:tplc="C88A0A9C">
      <w:numFmt w:val="decimal"/>
      <w:lvlText w:val=""/>
      <w:lvlJc w:val="left"/>
    </w:lvl>
  </w:abstractNum>
  <w:abstractNum w:abstractNumId="24">
    <w:nsid w:val="17A1B582"/>
    <w:multiLevelType w:val="hybridMultilevel"/>
    <w:tmpl w:val="C5E200D4"/>
    <w:lvl w:ilvl="0" w:tplc="31DC1A58">
      <w:start w:val="7"/>
      <w:numFmt w:val="lowerRoman"/>
      <w:lvlText w:val="(%1)"/>
      <w:lvlJc w:val="left"/>
    </w:lvl>
    <w:lvl w:ilvl="1" w:tplc="2390B6AC">
      <w:numFmt w:val="decimal"/>
      <w:lvlText w:val=""/>
      <w:lvlJc w:val="left"/>
    </w:lvl>
    <w:lvl w:ilvl="2" w:tplc="7F0A3CE2">
      <w:numFmt w:val="decimal"/>
      <w:lvlText w:val=""/>
      <w:lvlJc w:val="left"/>
    </w:lvl>
    <w:lvl w:ilvl="3" w:tplc="290CFFA2">
      <w:numFmt w:val="decimal"/>
      <w:lvlText w:val=""/>
      <w:lvlJc w:val="left"/>
    </w:lvl>
    <w:lvl w:ilvl="4" w:tplc="B0D8BE06">
      <w:numFmt w:val="decimal"/>
      <w:lvlText w:val=""/>
      <w:lvlJc w:val="left"/>
    </w:lvl>
    <w:lvl w:ilvl="5" w:tplc="5CB4C7E8">
      <w:numFmt w:val="decimal"/>
      <w:lvlText w:val=""/>
      <w:lvlJc w:val="left"/>
    </w:lvl>
    <w:lvl w:ilvl="6" w:tplc="B8201322">
      <w:numFmt w:val="decimal"/>
      <w:lvlText w:val=""/>
      <w:lvlJc w:val="left"/>
    </w:lvl>
    <w:lvl w:ilvl="7" w:tplc="48E25426">
      <w:numFmt w:val="decimal"/>
      <w:lvlText w:val=""/>
      <w:lvlJc w:val="left"/>
    </w:lvl>
    <w:lvl w:ilvl="8" w:tplc="B0DA3BA4">
      <w:numFmt w:val="decimal"/>
      <w:lvlText w:val=""/>
      <w:lvlJc w:val="left"/>
    </w:lvl>
  </w:abstractNum>
  <w:abstractNum w:abstractNumId="25">
    <w:nsid w:val="1816F8C4"/>
    <w:multiLevelType w:val="hybridMultilevel"/>
    <w:tmpl w:val="4EA6AFB6"/>
    <w:lvl w:ilvl="0" w:tplc="56B0FEA4">
      <w:start w:val="1"/>
      <w:numFmt w:val="lowerLetter"/>
      <w:lvlText w:val="(%1)"/>
      <w:lvlJc w:val="left"/>
    </w:lvl>
    <w:lvl w:ilvl="1" w:tplc="9F7609DA">
      <w:numFmt w:val="decimal"/>
      <w:lvlText w:val=""/>
      <w:lvlJc w:val="left"/>
    </w:lvl>
    <w:lvl w:ilvl="2" w:tplc="51E08BB6">
      <w:numFmt w:val="decimal"/>
      <w:lvlText w:val=""/>
      <w:lvlJc w:val="left"/>
    </w:lvl>
    <w:lvl w:ilvl="3" w:tplc="5540CB06">
      <w:numFmt w:val="decimal"/>
      <w:lvlText w:val=""/>
      <w:lvlJc w:val="left"/>
    </w:lvl>
    <w:lvl w:ilvl="4" w:tplc="4C443614">
      <w:numFmt w:val="decimal"/>
      <w:lvlText w:val=""/>
      <w:lvlJc w:val="left"/>
    </w:lvl>
    <w:lvl w:ilvl="5" w:tplc="0C2660EC">
      <w:numFmt w:val="decimal"/>
      <w:lvlText w:val=""/>
      <w:lvlJc w:val="left"/>
    </w:lvl>
    <w:lvl w:ilvl="6" w:tplc="B14A0424">
      <w:numFmt w:val="decimal"/>
      <w:lvlText w:val=""/>
      <w:lvlJc w:val="left"/>
    </w:lvl>
    <w:lvl w:ilvl="7" w:tplc="42A06DD2">
      <w:numFmt w:val="decimal"/>
      <w:lvlText w:val=""/>
      <w:lvlJc w:val="left"/>
    </w:lvl>
    <w:lvl w:ilvl="8" w:tplc="AA341CA0">
      <w:numFmt w:val="decimal"/>
      <w:lvlText w:val=""/>
      <w:lvlJc w:val="left"/>
    </w:lvl>
  </w:abstractNum>
  <w:abstractNum w:abstractNumId="26">
    <w:nsid w:val="1849C29B"/>
    <w:multiLevelType w:val="hybridMultilevel"/>
    <w:tmpl w:val="79AEA368"/>
    <w:lvl w:ilvl="0" w:tplc="67548BEA">
      <w:start w:val="68"/>
      <w:numFmt w:val="decimal"/>
      <w:lvlText w:val="%1"/>
      <w:lvlJc w:val="left"/>
    </w:lvl>
    <w:lvl w:ilvl="1" w:tplc="06EA9E92">
      <w:numFmt w:val="decimal"/>
      <w:lvlText w:val=""/>
      <w:lvlJc w:val="left"/>
    </w:lvl>
    <w:lvl w:ilvl="2" w:tplc="F3F6DD78">
      <w:numFmt w:val="decimal"/>
      <w:lvlText w:val=""/>
      <w:lvlJc w:val="left"/>
    </w:lvl>
    <w:lvl w:ilvl="3" w:tplc="0130E8D0">
      <w:numFmt w:val="decimal"/>
      <w:lvlText w:val=""/>
      <w:lvlJc w:val="left"/>
    </w:lvl>
    <w:lvl w:ilvl="4" w:tplc="0C7421D4">
      <w:numFmt w:val="decimal"/>
      <w:lvlText w:val=""/>
      <w:lvlJc w:val="left"/>
    </w:lvl>
    <w:lvl w:ilvl="5" w:tplc="48684A1C">
      <w:numFmt w:val="decimal"/>
      <w:lvlText w:val=""/>
      <w:lvlJc w:val="left"/>
    </w:lvl>
    <w:lvl w:ilvl="6" w:tplc="835E1E2E">
      <w:numFmt w:val="decimal"/>
      <w:lvlText w:val=""/>
      <w:lvlJc w:val="left"/>
    </w:lvl>
    <w:lvl w:ilvl="7" w:tplc="2DF43F8E">
      <w:numFmt w:val="decimal"/>
      <w:lvlText w:val=""/>
      <w:lvlJc w:val="left"/>
    </w:lvl>
    <w:lvl w:ilvl="8" w:tplc="980449EE">
      <w:numFmt w:val="decimal"/>
      <w:lvlText w:val=""/>
      <w:lvlJc w:val="left"/>
    </w:lvl>
  </w:abstractNum>
  <w:abstractNum w:abstractNumId="27">
    <w:nsid w:val="19E21BB2"/>
    <w:multiLevelType w:val="hybridMultilevel"/>
    <w:tmpl w:val="360E3342"/>
    <w:lvl w:ilvl="0" w:tplc="DCAC4DDE">
      <w:start w:val="1"/>
      <w:numFmt w:val="decimal"/>
      <w:lvlText w:val="(%1)"/>
      <w:lvlJc w:val="left"/>
    </w:lvl>
    <w:lvl w:ilvl="1" w:tplc="9F423004">
      <w:numFmt w:val="decimal"/>
      <w:lvlText w:val=""/>
      <w:lvlJc w:val="left"/>
    </w:lvl>
    <w:lvl w:ilvl="2" w:tplc="607AB158">
      <w:numFmt w:val="decimal"/>
      <w:lvlText w:val=""/>
      <w:lvlJc w:val="left"/>
    </w:lvl>
    <w:lvl w:ilvl="3" w:tplc="F85A3B2E">
      <w:numFmt w:val="decimal"/>
      <w:lvlText w:val=""/>
      <w:lvlJc w:val="left"/>
    </w:lvl>
    <w:lvl w:ilvl="4" w:tplc="E6803C42">
      <w:numFmt w:val="decimal"/>
      <w:lvlText w:val=""/>
      <w:lvlJc w:val="left"/>
    </w:lvl>
    <w:lvl w:ilvl="5" w:tplc="1F6CBCA2">
      <w:numFmt w:val="decimal"/>
      <w:lvlText w:val=""/>
      <w:lvlJc w:val="left"/>
    </w:lvl>
    <w:lvl w:ilvl="6" w:tplc="0A36F9FE">
      <w:numFmt w:val="decimal"/>
      <w:lvlText w:val=""/>
      <w:lvlJc w:val="left"/>
    </w:lvl>
    <w:lvl w:ilvl="7" w:tplc="263AD3E0">
      <w:numFmt w:val="decimal"/>
      <w:lvlText w:val=""/>
      <w:lvlJc w:val="left"/>
    </w:lvl>
    <w:lvl w:ilvl="8" w:tplc="E05A7D64">
      <w:numFmt w:val="decimal"/>
      <w:lvlText w:val=""/>
      <w:lvlJc w:val="left"/>
    </w:lvl>
  </w:abstractNum>
  <w:abstractNum w:abstractNumId="28">
    <w:nsid w:val="1A0DDE32"/>
    <w:multiLevelType w:val="hybridMultilevel"/>
    <w:tmpl w:val="4FA24BEC"/>
    <w:lvl w:ilvl="0" w:tplc="0D52546E">
      <w:start w:val="1"/>
      <w:numFmt w:val="lowerLetter"/>
      <w:lvlText w:val="(%1)"/>
      <w:lvlJc w:val="left"/>
    </w:lvl>
    <w:lvl w:ilvl="1" w:tplc="58005B6E">
      <w:numFmt w:val="decimal"/>
      <w:lvlText w:val=""/>
      <w:lvlJc w:val="left"/>
    </w:lvl>
    <w:lvl w:ilvl="2" w:tplc="03C4D39E">
      <w:numFmt w:val="decimal"/>
      <w:lvlText w:val=""/>
      <w:lvlJc w:val="left"/>
    </w:lvl>
    <w:lvl w:ilvl="3" w:tplc="D1E00E86">
      <w:numFmt w:val="decimal"/>
      <w:lvlText w:val=""/>
      <w:lvlJc w:val="left"/>
    </w:lvl>
    <w:lvl w:ilvl="4" w:tplc="85E634CE">
      <w:numFmt w:val="decimal"/>
      <w:lvlText w:val=""/>
      <w:lvlJc w:val="left"/>
    </w:lvl>
    <w:lvl w:ilvl="5" w:tplc="245C27AA">
      <w:numFmt w:val="decimal"/>
      <w:lvlText w:val=""/>
      <w:lvlJc w:val="left"/>
    </w:lvl>
    <w:lvl w:ilvl="6" w:tplc="EA685F6C">
      <w:numFmt w:val="decimal"/>
      <w:lvlText w:val=""/>
      <w:lvlJc w:val="left"/>
    </w:lvl>
    <w:lvl w:ilvl="7" w:tplc="0D68952E">
      <w:numFmt w:val="decimal"/>
      <w:lvlText w:val=""/>
      <w:lvlJc w:val="left"/>
    </w:lvl>
    <w:lvl w:ilvl="8" w:tplc="80BC1CCA">
      <w:numFmt w:val="decimal"/>
      <w:lvlText w:val=""/>
      <w:lvlJc w:val="left"/>
    </w:lvl>
  </w:abstractNum>
  <w:abstractNum w:abstractNumId="29">
    <w:nsid w:val="1A27709E"/>
    <w:multiLevelType w:val="hybridMultilevel"/>
    <w:tmpl w:val="ED0813AC"/>
    <w:lvl w:ilvl="0" w:tplc="2E585582">
      <w:start w:val="1"/>
      <w:numFmt w:val="bullet"/>
      <w:lvlText w:val="•"/>
      <w:lvlJc w:val="left"/>
    </w:lvl>
    <w:lvl w:ilvl="1" w:tplc="CD84BB3C">
      <w:numFmt w:val="decimal"/>
      <w:lvlText w:val=""/>
      <w:lvlJc w:val="left"/>
    </w:lvl>
    <w:lvl w:ilvl="2" w:tplc="7E142F32">
      <w:numFmt w:val="decimal"/>
      <w:lvlText w:val=""/>
      <w:lvlJc w:val="left"/>
    </w:lvl>
    <w:lvl w:ilvl="3" w:tplc="E28A6770">
      <w:numFmt w:val="decimal"/>
      <w:lvlText w:val=""/>
      <w:lvlJc w:val="left"/>
    </w:lvl>
    <w:lvl w:ilvl="4" w:tplc="93B86CAC">
      <w:numFmt w:val="decimal"/>
      <w:lvlText w:val=""/>
      <w:lvlJc w:val="left"/>
    </w:lvl>
    <w:lvl w:ilvl="5" w:tplc="9E9A1258">
      <w:numFmt w:val="decimal"/>
      <w:lvlText w:val=""/>
      <w:lvlJc w:val="left"/>
    </w:lvl>
    <w:lvl w:ilvl="6" w:tplc="1E761578">
      <w:numFmt w:val="decimal"/>
      <w:lvlText w:val=""/>
      <w:lvlJc w:val="left"/>
    </w:lvl>
    <w:lvl w:ilvl="7" w:tplc="1DA0DC94">
      <w:numFmt w:val="decimal"/>
      <w:lvlText w:val=""/>
      <w:lvlJc w:val="left"/>
    </w:lvl>
    <w:lvl w:ilvl="8" w:tplc="C680ADEA">
      <w:numFmt w:val="decimal"/>
      <w:lvlText w:val=""/>
      <w:lvlJc w:val="left"/>
    </w:lvl>
  </w:abstractNum>
  <w:abstractNum w:abstractNumId="30">
    <w:nsid w:val="1CA0C5FA"/>
    <w:multiLevelType w:val="hybridMultilevel"/>
    <w:tmpl w:val="6A580DFC"/>
    <w:lvl w:ilvl="0" w:tplc="EEC23210">
      <w:start w:val="32"/>
      <w:numFmt w:val="decimal"/>
      <w:lvlText w:val="%1"/>
      <w:lvlJc w:val="left"/>
    </w:lvl>
    <w:lvl w:ilvl="1" w:tplc="DF6018D6">
      <w:numFmt w:val="decimal"/>
      <w:lvlText w:val=""/>
      <w:lvlJc w:val="left"/>
    </w:lvl>
    <w:lvl w:ilvl="2" w:tplc="28EADEF8">
      <w:numFmt w:val="decimal"/>
      <w:lvlText w:val=""/>
      <w:lvlJc w:val="left"/>
    </w:lvl>
    <w:lvl w:ilvl="3" w:tplc="6226C6DA">
      <w:numFmt w:val="decimal"/>
      <w:lvlText w:val=""/>
      <w:lvlJc w:val="left"/>
    </w:lvl>
    <w:lvl w:ilvl="4" w:tplc="36A60B08">
      <w:numFmt w:val="decimal"/>
      <w:lvlText w:val=""/>
      <w:lvlJc w:val="left"/>
    </w:lvl>
    <w:lvl w:ilvl="5" w:tplc="A8FE8CE2">
      <w:numFmt w:val="decimal"/>
      <w:lvlText w:val=""/>
      <w:lvlJc w:val="left"/>
    </w:lvl>
    <w:lvl w:ilvl="6" w:tplc="637AA200">
      <w:numFmt w:val="decimal"/>
      <w:lvlText w:val=""/>
      <w:lvlJc w:val="left"/>
    </w:lvl>
    <w:lvl w:ilvl="7" w:tplc="7D5A4BD0">
      <w:numFmt w:val="decimal"/>
      <w:lvlText w:val=""/>
      <w:lvlJc w:val="left"/>
    </w:lvl>
    <w:lvl w:ilvl="8" w:tplc="E10ABB6A">
      <w:numFmt w:val="decimal"/>
      <w:lvlText w:val=""/>
      <w:lvlJc w:val="left"/>
    </w:lvl>
  </w:abstractNum>
  <w:abstractNum w:abstractNumId="31">
    <w:nsid w:val="1D545C4D"/>
    <w:multiLevelType w:val="hybridMultilevel"/>
    <w:tmpl w:val="7038A9D0"/>
    <w:lvl w:ilvl="0" w:tplc="445008A6">
      <w:start w:val="1"/>
      <w:numFmt w:val="bullet"/>
      <w:lvlText w:val="•"/>
      <w:lvlJc w:val="left"/>
    </w:lvl>
    <w:lvl w:ilvl="1" w:tplc="32566626">
      <w:numFmt w:val="decimal"/>
      <w:lvlText w:val=""/>
      <w:lvlJc w:val="left"/>
    </w:lvl>
    <w:lvl w:ilvl="2" w:tplc="3A1A855A">
      <w:numFmt w:val="decimal"/>
      <w:lvlText w:val=""/>
      <w:lvlJc w:val="left"/>
    </w:lvl>
    <w:lvl w:ilvl="3" w:tplc="4AB8DF30">
      <w:numFmt w:val="decimal"/>
      <w:lvlText w:val=""/>
      <w:lvlJc w:val="left"/>
    </w:lvl>
    <w:lvl w:ilvl="4" w:tplc="BF1626B4">
      <w:numFmt w:val="decimal"/>
      <w:lvlText w:val=""/>
      <w:lvlJc w:val="left"/>
    </w:lvl>
    <w:lvl w:ilvl="5" w:tplc="1D662D78">
      <w:numFmt w:val="decimal"/>
      <w:lvlText w:val=""/>
      <w:lvlJc w:val="left"/>
    </w:lvl>
    <w:lvl w:ilvl="6" w:tplc="D250C20E">
      <w:numFmt w:val="decimal"/>
      <w:lvlText w:val=""/>
      <w:lvlJc w:val="left"/>
    </w:lvl>
    <w:lvl w:ilvl="7" w:tplc="4E988F8C">
      <w:numFmt w:val="decimal"/>
      <w:lvlText w:val=""/>
      <w:lvlJc w:val="left"/>
    </w:lvl>
    <w:lvl w:ilvl="8" w:tplc="605410E0">
      <w:numFmt w:val="decimal"/>
      <w:lvlText w:val=""/>
      <w:lvlJc w:val="left"/>
    </w:lvl>
  </w:abstractNum>
  <w:abstractNum w:abstractNumId="32">
    <w:nsid w:val="1D9F6E5F"/>
    <w:multiLevelType w:val="hybridMultilevel"/>
    <w:tmpl w:val="8C200A40"/>
    <w:lvl w:ilvl="0" w:tplc="898EA86A">
      <w:start w:val="1"/>
      <w:numFmt w:val="bullet"/>
      <w:lvlText w:val="•"/>
      <w:lvlJc w:val="left"/>
    </w:lvl>
    <w:lvl w:ilvl="1" w:tplc="572A521A">
      <w:numFmt w:val="decimal"/>
      <w:lvlText w:val=""/>
      <w:lvlJc w:val="left"/>
    </w:lvl>
    <w:lvl w:ilvl="2" w:tplc="2ADECAAE">
      <w:numFmt w:val="decimal"/>
      <w:lvlText w:val=""/>
      <w:lvlJc w:val="left"/>
    </w:lvl>
    <w:lvl w:ilvl="3" w:tplc="1818BDC0">
      <w:numFmt w:val="decimal"/>
      <w:lvlText w:val=""/>
      <w:lvlJc w:val="left"/>
    </w:lvl>
    <w:lvl w:ilvl="4" w:tplc="043CE0FA">
      <w:numFmt w:val="decimal"/>
      <w:lvlText w:val=""/>
      <w:lvlJc w:val="left"/>
    </w:lvl>
    <w:lvl w:ilvl="5" w:tplc="5BB49BFE">
      <w:numFmt w:val="decimal"/>
      <w:lvlText w:val=""/>
      <w:lvlJc w:val="left"/>
    </w:lvl>
    <w:lvl w:ilvl="6" w:tplc="D1D0B1B8">
      <w:numFmt w:val="decimal"/>
      <w:lvlText w:val=""/>
      <w:lvlJc w:val="left"/>
    </w:lvl>
    <w:lvl w:ilvl="7" w:tplc="85EE6730">
      <w:numFmt w:val="decimal"/>
      <w:lvlText w:val=""/>
      <w:lvlJc w:val="left"/>
    </w:lvl>
    <w:lvl w:ilvl="8" w:tplc="280CC0BA">
      <w:numFmt w:val="decimal"/>
      <w:lvlText w:val=""/>
      <w:lvlJc w:val="left"/>
    </w:lvl>
  </w:abstractNum>
  <w:abstractNum w:abstractNumId="33">
    <w:nsid w:val="1DF029D3"/>
    <w:multiLevelType w:val="hybridMultilevel"/>
    <w:tmpl w:val="6B9803EA"/>
    <w:lvl w:ilvl="0" w:tplc="8FBC9A9C">
      <w:start w:val="44"/>
      <w:numFmt w:val="decimal"/>
      <w:lvlText w:val="%1"/>
      <w:lvlJc w:val="left"/>
    </w:lvl>
    <w:lvl w:ilvl="1" w:tplc="CE7AA45E">
      <w:numFmt w:val="decimal"/>
      <w:lvlText w:val=""/>
      <w:lvlJc w:val="left"/>
    </w:lvl>
    <w:lvl w:ilvl="2" w:tplc="3EEE9FEE">
      <w:numFmt w:val="decimal"/>
      <w:lvlText w:val=""/>
      <w:lvlJc w:val="left"/>
    </w:lvl>
    <w:lvl w:ilvl="3" w:tplc="157EC78C">
      <w:numFmt w:val="decimal"/>
      <w:lvlText w:val=""/>
      <w:lvlJc w:val="left"/>
    </w:lvl>
    <w:lvl w:ilvl="4" w:tplc="E2FC99FA">
      <w:numFmt w:val="decimal"/>
      <w:lvlText w:val=""/>
      <w:lvlJc w:val="left"/>
    </w:lvl>
    <w:lvl w:ilvl="5" w:tplc="86421004">
      <w:numFmt w:val="decimal"/>
      <w:lvlText w:val=""/>
      <w:lvlJc w:val="left"/>
    </w:lvl>
    <w:lvl w:ilvl="6" w:tplc="AFEEDF4E">
      <w:numFmt w:val="decimal"/>
      <w:lvlText w:val=""/>
      <w:lvlJc w:val="left"/>
    </w:lvl>
    <w:lvl w:ilvl="7" w:tplc="6FE8AE26">
      <w:numFmt w:val="decimal"/>
      <w:lvlText w:val=""/>
      <w:lvlJc w:val="left"/>
    </w:lvl>
    <w:lvl w:ilvl="8" w:tplc="99060AAC">
      <w:numFmt w:val="decimal"/>
      <w:lvlText w:val=""/>
      <w:lvlJc w:val="left"/>
    </w:lvl>
  </w:abstractNum>
  <w:abstractNum w:abstractNumId="34">
    <w:nsid w:val="1FBFE8E0"/>
    <w:multiLevelType w:val="hybridMultilevel"/>
    <w:tmpl w:val="625E1D78"/>
    <w:lvl w:ilvl="0" w:tplc="0BCAC3A4">
      <w:start w:val="1"/>
      <w:numFmt w:val="bullet"/>
      <w:lvlText w:val="•"/>
      <w:lvlJc w:val="left"/>
    </w:lvl>
    <w:lvl w:ilvl="1" w:tplc="0166FFF8">
      <w:numFmt w:val="decimal"/>
      <w:lvlText w:val=""/>
      <w:lvlJc w:val="left"/>
    </w:lvl>
    <w:lvl w:ilvl="2" w:tplc="91E47C6C">
      <w:numFmt w:val="decimal"/>
      <w:lvlText w:val=""/>
      <w:lvlJc w:val="left"/>
    </w:lvl>
    <w:lvl w:ilvl="3" w:tplc="9724EA10">
      <w:numFmt w:val="decimal"/>
      <w:lvlText w:val=""/>
      <w:lvlJc w:val="left"/>
    </w:lvl>
    <w:lvl w:ilvl="4" w:tplc="EDAA32BE">
      <w:numFmt w:val="decimal"/>
      <w:lvlText w:val=""/>
      <w:lvlJc w:val="left"/>
    </w:lvl>
    <w:lvl w:ilvl="5" w:tplc="3106FA40">
      <w:numFmt w:val="decimal"/>
      <w:lvlText w:val=""/>
      <w:lvlJc w:val="left"/>
    </w:lvl>
    <w:lvl w:ilvl="6" w:tplc="16DC3A6A">
      <w:numFmt w:val="decimal"/>
      <w:lvlText w:val=""/>
      <w:lvlJc w:val="left"/>
    </w:lvl>
    <w:lvl w:ilvl="7" w:tplc="767AC5BA">
      <w:numFmt w:val="decimal"/>
      <w:lvlText w:val=""/>
      <w:lvlJc w:val="left"/>
    </w:lvl>
    <w:lvl w:ilvl="8" w:tplc="18167CE2">
      <w:numFmt w:val="decimal"/>
      <w:lvlText w:val=""/>
      <w:lvlJc w:val="left"/>
    </w:lvl>
  </w:abstractNum>
  <w:abstractNum w:abstractNumId="35">
    <w:nsid w:val="20EE1348"/>
    <w:multiLevelType w:val="hybridMultilevel"/>
    <w:tmpl w:val="01EC2CCC"/>
    <w:lvl w:ilvl="0" w:tplc="0D9218E8">
      <w:start w:val="58"/>
      <w:numFmt w:val="decimal"/>
      <w:lvlText w:val="%1"/>
      <w:lvlJc w:val="left"/>
    </w:lvl>
    <w:lvl w:ilvl="1" w:tplc="DC8EF440">
      <w:numFmt w:val="decimal"/>
      <w:lvlText w:val=""/>
      <w:lvlJc w:val="left"/>
    </w:lvl>
    <w:lvl w:ilvl="2" w:tplc="BEE014BC">
      <w:numFmt w:val="decimal"/>
      <w:lvlText w:val=""/>
      <w:lvlJc w:val="left"/>
    </w:lvl>
    <w:lvl w:ilvl="3" w:tplc="EFEE328E">
      <w:numFmt w:val="decimal"/>
      <w:lvlText w:val=""/>
      <w:lvlJc w:val="left"/>
    </w:lvl>
    <w:lvl w:ilvl="4" w:tplc="E61095C8">
      <w:numFmt w:val="decimal"/>
      <w:lvlText w:val=""/>
      <w:lvlJc w:val="left"/>
    </w:lvl>
    <w:lvl w:ilvl="5" w:tplc="7CFEAAD0">
      <w:numFmt w:val="decimal"/>
      <w:lvlText w:val=""/>
      <w:lvlJc w:val="left"/>
    </w:lvl>
    <w:lvl w:ilvl="6" w:tplc="9F3645C6">
      <w:numFmt w:val="decimal"/>
      <w:lvlText w:val=""/>
      <w:lvlJc w:val="left"/>
    </w:lvl>
    <w:lvl w:ilvl="7" w:tplc="2ED2AA18">
      <w:numFmt w:val="decimal"/>
      <w:lvlText w:val=""/>
      <w:lvlJc w:val="left"/>
    </w:lvl>
    <w:lvl w:ilvl="8" w:tplc="DDBC05B8">
      <w:numFmt w:val="decimal"/>
      <w:lvlText w:val=""/>
      <w:lvlJc w:val="left"/>
    </w:lvl>
  </w:abstractNum>
  <w:abstractNum w:abstractNumId="36">
    <w:nsid w:val="2157F6BC"/>
    <w:multiLevelType w:val="hybridMultilevel"/>
    <w:tmpl w:val="4F920D38"/>
    <w:lvl w:ilvl="0" w:tplc="61E8556E">
      <w:start w:val="3"/>
      <w:numFmt w:val="decimal"/>
      <w:lvlText w:val="(%1)"/>
      <w:lvlJc w:val="left"/>
    </w:lvl>
    <w:lvl w:ilvl="1" w:tplc="F288F76E">
      <w:start w:val="1"/>
      <w:numFmt w:val="lowerRoman"/>
      <w:lvlText w:val="(%2)"/>
      <w:lvlJc w:val="left"/>
    </w:lvl>
    <w:lvl w:ilvl="2" w:tplc="C6FEA110">
      <w:numFmt w:val="decimal"/>
      <w:lvlText w:val=""/>
      <w:lvlJc w:val="left"/>
    </w:lvl>
    <w:lvl w:ilvl="3" w:tplc="51606962">
      <w:numFmt w:val="decimal"/>
      <w:lvlText w:val=""/>
      <w:lvlJc w:val="left"/>
    </w:lvl>
    <w:lvl w:ilvl="4" w:tplc="69542500">
      <w:numFmt w:val="decimal"/>
      <w:lvlText w:val=""/>
      <w:lvlJc w:val="left"/>
    </w:lvl>
    <w:lvl w:ilvl="5" w:tplc="D3561FF8">
      <w:numFmt w:val="decimal"/>
      <w:lvlText w:val=""/>
      <w:lvlJc w:val="left"/>
    </w:lvl>
    <w:lvl w:ilvl="6" w:tplc="F000AF28">
      <w:numFmt w:val="decimal"/>
      <w:lvlText w:val=""/>
      <w:lvlJc w:val="left"/>
    </w:lvl>
    <w:lvl w:ilvl="7" w:tplc="412E0BF2">
      <w:numFmt w:val="decimal"/>
      <w:lvlText w:val=""/>
      <w:lvlJc w:val="left"/>
    </w:lvl>
    <w:lvl w:ilvl="8" w:tplc="8736B2DA">
      <w:numFmt w:val="decimal"/>
      <w:lvlText w:val=""/>
      <w:lvlJc w:val="left"/>
    </w:lvl>
  </w:abstractNum>
  <w:abstractNum w:abstractNumId="37">
    <w:nsid w:val="230F856C"/>
    <w:multiLevelType w:val="hybridMultilevel"/>
    <w:tmpl w:val="611AA1EE"/>
    <w:lvl w:ilvl="0" w:tplc="D458B066">
      <w:start w:val="35"/>
      <w:numFmt w:val="upperLetter"/>
      <w:lvlText w:val="(%1)"/>
      <w:lvlJc w:val="left"/>
    </w:lvl>
    <w:lvl w:ilvl="1" w:tplc="B220E126">
      <w:numFmt w:val="decimal"/>
      <w:lvlText w:val=""/>
      <w:lvlJc w:val="left"/>
    </w:lvl>
    <w:lvl w:ilvl="2" w:tplc="2F508AB2">
      <w:numFmt w:val="decimal"/>
      <w:lvlText w:val=""/>
      <w:lvlJc w:val="left"/>
    </w:lvl>
    <w:lvl w:ilvl="3" w:tplc="3B7A1008">
      <w:numFmt w:val="decimal"/>
      <w:lvlText w:val=""/>
      <w:lvlJc w:val="left"/>
    </w:lvl>
    <w:lvl w:ilvl="4" w:tplc="777436E2">
      <w:numFmt w:val="decimal"/>
      <w:lvlText w:val=""/>
      <w:lvlJc w:val="left"/>
    </w:lvl>
    <w:lvl w:ilvl="5" w:tplc="CE426DB0">
      <w:numFmt w:val="decimal"/>
      <w:lvlText w:val=""/>
      <w:lvlJc w:val="left"/>
    </w:lvl>
    <w:lvl w:ilvl="6" w:tplc="9798482E">
      <w:numFmt w:val="decimal"/>
      <w:lvlText w:val=""/>
      <w:lvlJc w:val="left"/>
    </w:lvl>
    <w:lvl w:ilvl="7" w:tplc="6758F6AA">
      <w:numFmt w:val="decimal"/>
      <w:lvlText w:val=""/>
      <w:lvlJc w:val="left"/>
    </w:lvl>
    <w:lvl w:ilvl="8" w:tplc="652A51C4">
      <w:numFmt w:val="decimal"/>
      <w:lvlText w:val=""/>
      <w:lvlJc w:val="left"/>
    </w:lvl>
  </w:abstractNum>
  <w:abstractNum w:abstractNumId="38">
    <w:nsid w:val="23D86AAC"/>
    <w:multiLevelType w:val="hybridMultilevel"/>
    <w:tmpl w:val="F7820082"/>
    <w:lvl w:ilvl="0" w:tplc="F6E8DC54">
      <w:start w:val="1"/>
      <w:numFmt w:val="bullet"/>
      <w:lvlText w:val="✓"/>
      <w:lvlJc w:val="left"/>
    </w:lvl>
    <w:lvl w:ilvl="1" w:tplc="26588014">
      <w:numFmt w:val="decimal"/>
      <w:lvlText w:val=""/>
      <w:lvlJc w:val="left"/>
    </w:lvl>
    <w:lvl w:ilvl="2" w:tplc="DF7C2ABC">
      <w:numFmt w:val="decimal"/>
      <w:lvlText w:val=""/>
      <w:lvlJc w:val="left"/>
    </w:lvl>
    <w:lvl w:ilvl="3" w:tplc="F60A8744">
      <w:numFmt w:val="decimal"/>
      <w:lvlText w:val=""/>
      <w:lvlJc w:val="left"/>
    </w:lvl>
    <w:lvl w:ilvl="4" w:tplc="DA5A2760">
      <w:numFmt w:val="decimal"/>
      <w:lvlText w:val=""/>
      <w:lvlJc w:val="left"/>
    </w:lvl>
    <w:lvl w:ilvl="5" w:tplc="DE806766">
      <w:numFmt w:val="decimal"/>
      <w:lvlText w:val=""/>
      <w:lvlJc w:val="left"/>
    </w:lvl>
    <w:lvl w:ilvl="6" w:tplc="255219F2">
      <w:numFmt w:val="decimal"/>
      <w:lvlText w:val=""/>
      <w:lvlJc w:val="left"/>
    </w:lvl>
    <w:lvl w:ilvl="7" w:tplc="A0684B1A">
      <w:numFmt w:val="decimal"/>
      <w:lvlText w:val=""/>
      <w:lvlJc w:val="left"/>
    </w:lvl>
    <w:lvl w:ilvl="8" w:tplc="8CD084B6">
      <w:numFmt w:val="decimal"/>
      <w:lvlText w:val=""/>
      <w:lvlJc w:val="left"/>
    </w:lvl>
  </w:abstractNum>
  <w:abstractNum w:abstractNumId="39">
    <w:nsid w:val="24E99DD7"/>
    <w:multiLevelType w:val="hybridMultilevel"/>
    <w:tmpl w:val="EA44B9EC"/>
    <w:lvl w:ilvl="0" w:tplc="0ECACD54">
      <w:start w:val="1"/>
      <w:numFmt w:val="bullet"/>
      <w:lvlText w:val="•"/>
      <w:lvlJc w:val="left"/>
    </w:lvl>
    <w:lvl w:ilvl="1" w:tplc="8ED86188">
      <w:numFmt w:val="decimal"/>
      <w:lvlText w:val=""/>
      <w:lvlJc w:val="left"/>
    </w:lvl>
    <w:lvl w:ilvl="2" w:tplc="04407DB4">
      <w:numFmt w:val="decimal"/>
      <w:lvlText w:val=""/>
      <w:lvlJc w:val="left"/>
    </w:lvl>
    <w:lvl w:ilvl="3" w:tplc="079062E0">
      <w:numFmt w:val="decimal"/>
      <w:lvlText w:val=""/>
      <w:lvlJc w:val="left"/>
    </w:lvl>
    <w:lvl w:ilvl="4" w:tplc="820A2888">
      <w:numFmt w:val="decimal"/>
      <w:lvlText w:val=""/>
      <w:lvlJc w:val="left"/>
    </w:lvl>
    <w:lvl w:ilvl="5" w:tplc="59F0C09C">
      <w:numFmt w:val="decimal"/>
      <w:lvlText w:val=""/>
      <w:lvlJc w:val="left"/>
    </w:lvl>
    <w:lvl w:ilvl="6" w:tplc="D2CEE9A2">
      <w:numFmt w:val="decimal"/>
      <w:lvlText w:val=""/>
      <w:lvlJc w:val="left"/>
    </w:lvl>
    <w:lvl w:ilvl="7" w:tplc="926CE17A">
      <w:numFmt w:val="decimal"/>
      <w:lvlText w:val=""/>
      <w:lvlJc w:val="left"/>
    </w:lvl>
    <w:lvl w:ilvl="8" w:tplc="9AB6C88E">
      <w:numFmt w:val="decimal"/>
      <w:lvlText w:val=""/>
      <w:lvlJc w:val="left"/>
    </w:lvl>
  </w:abstractNum>
  <w:abstractNum w:abstractNumId="40">
    <w:nsid w:val="24F6AB8E"/>
    <w:multiLevelType w:val="hybridMultilevel"/>
    <w:tmpl w:val="1E9CB2BA"/>
    <w:lvl w:ilvl="0" w:tplc="FE326C02">
      <w:start w:val="1"/>
      <w:numFmt w:val="lowerRoman"/>
      <w:lvlText w:val="(%1)"/>
      <w:lvlJc w:val="left"/>
    </w:lvl>
    <w:lvl w:ilvl="1" w:tplc="E8246322">
      <w:numFmt w:val="decimal"/>
      <w:lvlText w:val=""/>
      <w:lvlJc w:val="left"/>
    </w:lvl>
    <w:lvl w:ilvl="2" w:tplc="8C1E07AC">
      <w:numFmt w:val="decimal"/>
      <w:lvlText w:val=""/>
      <w:lvlJc w:val="left"/>
    </w:lvl>
    <w:lvl w:ilvl="3" w:tplc="9FCCCA72">
      <w:numFmt w:val="decimal"/>
      <w:lvlText w:val=""/>
      <w:lvlJc w:val="left"/>
    </w:lvl>
    <w:lvl w:ilvl="4" w:tplc="006EF85E">
      <w:numFmt w:val="decimal"/>
      <w:lvlText w:val=""/>
      <w:lvlJc w:val="left"/>
    </w:lvl>
    <w:lvl w:ilvl="5" w:tplc="DA9C5630">
      <w:numFmt w:val="decimal"/>
      <w:lvlText w:val=""/>
      <w:lvlJc w:val="left"/>
    </w:lvl>
    <w:lvl w:ilvl="6" w:tplc="EB4689AE">
      <w:numFmt w:val="decimal"/>
      <w:lvlText w:val=""/>
      <w:lvlJc w:val="left"/>
    </w:lvl>
    <w:lvl w:ilvl="7" w:tplc="57106C5C">
      <w:numFmt w:val="decimal"/>
      <w:lvlText w:val=""/>
      <w:lvlJc w:val="left"/>
    </w:lvl>
    <w:lvl w:ilvl="8" w:tplc="83CCB1E8">
      <w:numFmt w:val="decimal"/>
      <w:lvlText w:val=""/>
      <w:lvlJc w:val="left"/>
    </w:lvl>
  </w:abstractNum>
  <w:abstractNum w:abstractNumId="41">
    <w:nsid w:val="25413BEC"/>
    <w:multiLevelType w:val="hybridMultilevel"/>
    <w:tmpl w:val="8C56614A"/>
    <w:lvl w:ilvl="0" w:tplc="B658D3AA">
      <w:start w:val="25"/>
      <w:numFmt w:val="lowerLetter"/>
      <w:lvlText w:val="(%1)"/>
      <w:lvlJc w:val="left"/>
    </w:lvl>
    <w:lvl w:ilvl="1" w:tplc="DCCAD3A0">
      <w:numFmt w:val="decimal"/>
      <w:lvlText w:val=""/>
      <w:lvlJc w:val="left"/>
    </w:lvl>
    <w:lvl w:ilvl="2" w:tplc="3C4A6E54">
      <w:numFmt w:val="decimal"/>
      <w:lvlText w:val=""/>
      <w:lvlJc w:val="left"/>
    </w:lvl>
    <w:lvl w:ilvl="3" w:tplc="F9A85C9A">
      <w:numFmt w:val="decimal"/>
      <w:lvlText w:val=""/>
      <w:lvlJc w:val="left"/>
    </w:lvl>
    <w:lvl w:ilvl="4" w:tplc="15A0ECEE">
      <w:numFmt w:val="decimal"/>
      <w:lvlText w:val=""/>
      <w:lvlJc w:val="left"/>
    </w:lvl>
    <w:lvl w:ilvl="5" w:tplc="F5C4245C">
      <w:numFmt w:val="decimal"/>
      <w:lvlText w:val=""/>
      <w:lvlJc w:val="left"/>
    </w:lvl>
    <w:lvl w:ilvl="6" w:tplc="4D4A82A6">
      <w:numFmt w:val="decimal"/>
      <w:lvlText w:val=""/>
      <w:lvlJc w:val="left"/>
    </w:lvl>
    <w:lvl w:ilvl="7" w:tplc="9C420D42">
      <w:numFmt w:val="decimal"/>
      <w:lvlText w:val=""/>
      <w:lvlJc w:val="left"/>
    </w:lvl>
    <w:lvl w:ilvl="8" w:tplc="12385FD4">
      <w:numFmt w:val="decimal"/>
      <w:lvlText w:val=""/>
      <w:lvlJc w:val="left"/>
    </w:lvl>
  </w:abstractNum>
  <w:abstractNum w:abstractNumId="42">
    <w:nsid w:val="260D8C4A"/>
    <w:multiLevelType w:val="hybridMultilevel"/>
    <w:tmpl w:val="4204204A"/>
    <w:lvl w:ilvl="0" w:tplc="0962324C">
      <w:start w:val="1"/>
      <w:numFmt w:val="lowerRoman"/>
      <w:lvlText w:val="(%1)"/>
      <w:lvlJc w:val="left"/>
    </w:lvl>
    <w:lvl w:ilvl="1" w:tplc="F954BD72">
      <w:numFmt w:val="decimal"/>
      <w:lvlText w:val=""/>
      <w:lvlJc w:val="left"/>
    </w:lvl>
    <w:lvl w:ilvl="2" w:tplc="59E2B0BA">
      <w:numFmt w:val="decimal"/>
      <w:lvlText w:val=""/>
      <w:lvlJc w:val="left"/>
    </w:lvl>
    <w:lvl w:ilvl="3" w:tplc="3C7E31EE">
      <w:numFmt w:val="decimal"/>
      <w:lvlText w:val=""/>
      <w:lvlJc w:val="left"/>
    </w:lvl>
    <w:lvl w:ilvl="4" w:tplc="EAC2CC60">
      <w:numFmt w:val="decimal"/>
      <w:lvlText w:val=""/>
      <w:lvlJc w:val="left"/>
    </w:lvl>
    <w:lvl w:ilvl="5" w:tplc="FF82E434">
      <w:numFmt w:val="decimal"/>
      <w:lvlText w:val=""/>
      <w:lvlJc w:val="left"/>
    </w:lvl>
    <w:lvl w:ilvl="6" w:tplc="654A2926">
      <w:numFmt w:val="decimal"/>
      <w:lvlText w:val=""/>
      <w:lvlJc w:val="left"/>
    </w:lvl>
    <w:lvl w:ilvl="7" w:tplc="F3EC3012">
      <w:numFmt w:val="decimal"/>
      <w:lvlText w:val=""/>
      <w:lvlJc w:val="left"/>
    </w:lvl>
    <w:lvl w:ilvl="8" w:tplc="67F810F6">
      <w:numFmt w:val="decimal"/>
      <w:lvlText w:val=""/>
      <w:lvlJc w:val="left"/>
    </w:lvl>
  </w:abstractNum>
  <w:abstractNum w:abstractNumId="43">
    <w:nsid w:val="26F324BA"/>
    <w:multiLevelType w:val="hybridMultilevel"/>
    <w:tmpl w:val="B34E4D1A"/>
    <w:lvl w:ilvl="0" w:tplc="4274C386">
      <w:start w:val="10"/>
      <w:numFmt w:val="lowerRoman"/>
      <w:lvlText w:val="(%1)"/>
      <w:lvlJc w:val="left"/>
    </w:lvl>
    <w:lvl w:ilvl="1" w:tplc="9920E17E">
      <w:numFmt w:val="decimal"/>
      <w:lvlText w:val=""/>
      <w:lvlJc w:val="left"/>
    </w:lvl>
    <w:lvl w:ilvl="2" w:tplc="3E78F7EC">
      <w:numFmt w:val="decimal"/>
      <w:lvlText w:val=""/>
      <w:lvlJc w:val="left"/>
    </w:lvl>
    <w:lvl w:ilvl="3" w:tplc="A46A0ED2">
      <w:numFmt w:val="decimal"/>
      <w:lvlText w:val=""/>
      <w:lvlJc w:val="left"/>
    </w:lvl>
    <w:lvl w:ilvl="4" w:tplc="E8EEB2EE">
      <w:numFmt w:val="decimal"/>
      <w:lvlText w:val=""/>
      <w:lvlJc w:val="left"/>
    </w:lvl>
    <w:lvl w:ilvl="5" w:tplc="E2662206">
      <w:numFmt w:val="decimal"/>
      <w:lvlText w:val=""/>
      <w:lvlJc w:val="left"/>
    </w:lvl>
    <w:lvl w:ilvl="6" w:tplc="BCBE7CD4">
      <w:numFmt w:val="decimal"/>
      <w:lvlText w:val=""/>
      <w:lvlJc w:val="left"/>
    </w:lvl>
    <w:lvl w:ilvl="7" w:tplc="75D62A7E">
      <w:numFmt w:val="decimal"/>
      <w:lvlText w:val=""/>
      <w:lvlJc w:val="left"/>
    </w:lvl>
    <w:lvl w:ilvl="8" w:tplc="9BE4EC52">
      <w:numFmt w:val="decimal"/>
      <w:lvlText w:val=""/>
      <w:lvlJc w:val="left"/>
    </w:lvl>
  </w:abstractNum>
  <w:abstractNum w:abstractNumId="44">
    <w:nsid w:val="2708C9AF"/>
    <w:multiLevelType w:val="hybridMultilevel"/>
    <w:tmpl w:val="008A047E"/>
    <w:lvl w:ilvl="0" w:tplc="BADE49D2">
      <w:start w:val="1"/>
      <w:numFmt w:val="bullet"/>
      <w:lvlText w:val="•"/>
      <w:lvlJc w:val="left"/>
    </w:lvl>
    <w:lvl w:ilvl="1" w:tplc="54A248B4">
      <w:numFmt w:val="decimal"/>
      <w:lvlText w:val=""/>
      <w:lvlJc w:val="left"/>
    </w:lvl>
    <w:lvl w:ilvl="2" w:tplc="7EE6BB68">
      <w:numFmt w:val="decimal"/>
      <w:lvlText w:val=""/>
      <w:lvlJc w:val="left"/>
    </w:lvl>
    <w:lvl w:ilvl="3" w:tplc="2A602C96">
      <w:numFmt w:val="decimal"/>
      <w:lvlText w:val=""/>
      <w:lvlJc w:val="left"/>
    </w:lvl>
    <w:lvl w:ilvl="4" w:tplc="BDAE7722">
      <w:numFmt w:val="decimal"/>
      <w:lvlText w:val=""/>
      <w:lvlJc w:val="left"/>
    </w:lvl>
    <w:lvl w:ilvl="5" w:tplc="C2D88F18">
      <w:numFmt w:val="decimal"/>
      <w:lvlText w:val=""/>
      <w:lvlJc w:val="left"/>
    </w:lvl>
    <w:lvl w:ilvl="6" w:tplc="1CBA8C00">
      <w:numFmt w:val="decimal"/>
      <w:lvlText w:val=""/>
      <w:lvlJc w:val="left"/>
    </w:lvl>
    <w:lvl w:ilvl="7" w:tplc="42C28788">
      <w:numFmt w:val="decimal"/>
      <w:lvlText w:val=""/>
      <w:lvlJc w:val="left"/>
    </w:lvl>
    <w:lvl w:ilvl="8" w:tplc="D7461E68">
      <w:numFmt w:val="decimal"/>
      <w:lvlText w:val=""/>
      <w:lvlJc w:val="left"/>
    </w:lvl>
  </w:abstractNum>
  <w:abstractNum w:abstractNumId="45">
    <w:nsid w:val="288F1A34"/>
    <w:multiLevelType w:val="hybridMultilevel"/>
    <w:tmpl w:val="77BAB658"/>
    <w:lvl w:ilvl="0" w:tplc="C0A02B7E">
      <w:start w:val="1"/>
      <w:numFmt w:val="bullet"/>
      <w:lvlText w:val="•"/>
      <w:lvlJc w:val="left"/>
    </w:lvl>
    <w:lvl w:ilvl="1" w:tplc="F74EF8BA">
      <w:numFmt w:val="decimal"/>
      <w:lvlText w:val=""/>
      <w:lvlJc w:val="left"/>
    </w:lvl>
    <w:lvl w:ilvl="2" w:tplc="BCCEAB92">
      <w:numFmt w:val="decimal"/>
      <w:lvlText w:val=""/>
      <w:lvlJc w:val="left"/>
    </w:lvl>
    <w:lvl w:ilvl="3" w:tplc="80DCFAA2">
      <w:numFmt w:val="decimal"/>
      <w:lvlText w:val=""/>
      <w:lvlJc w:val="left"/>
    </w:lvl>
    <w:lvl w:ilvl="4" w:tplc="C9541E52">
      <w:numFmt w:val="decimal"/>
      <w:lvlText w:val=""/>
      <w:lvlJc w:val="left"/>
    </w:lvl>
    <w:lvl w:ilvl="5" w:tplc="A1166F08">
      <w:numFmt w:val="decimal"/>
      <w:lvlText w:val=""/>
      <w:lvlJc w:val="left"/>
    </w:lvl>
    <w:lvl w:ilvl="6" w:tplc="FD740D9C">
      <w:numFmt w:val="decimal"/>
      <w:lvlText w:val=""/>
      <w:lvlJc w:val="left"/>
    </w:lvl>
    <w:lvl w:ilvl="7" w:tplc="5C9E91F6">
      <w:numFmt w:val="decimal"/>
      <w:lvlText w:val=""/>
      <w:lvlJc w:val="left"/>
    </w:lvl>
    <w:lvl w:ilvl="8" w:tplc="ED125D1C">
      <w:numFmt w:val="decimal"/>
      <w:lvlText w:val=""/>
      <w:lvlJc w:val="left"/>
    </w:lvl>
  </w:abstractNum>
  <w:abstractNum w:abstractNumId="46">
    <w:nsid w:val="2A082C70"/>
    <w:multiLevelType w:val="hybridMultilevel"/>
    <w:tmpl w:val="4F62CB18"/>
    <w:lvl w:ilvl="0" w:tplc="0C989042">
      <w:start w:val="54"/>
      <w:numFmt w:val="decimal"/>
      <w:lvlText w:val="%1"/>
      <w:lvlJc w:val="left"/>
    </w:lvl>
    <w:lvl w:ilvl="1" w:tplc="D58CFB24">
      <w:numFmt w:val="decimal"/>
      <w:lvlText w:val=""/>
      <w:lvlJc w:val="left"/>
    </w:lvl>
    <w:lvl w:ilvl="2" w:tplc="602AC446">
      <w:numFmt w:val="decimal"/>
      <w:lvlText w:val=""/>
      <w:lvlJc w:val="left"/>
    </w:lvl>
    <w:lvl w:ilvl="3" w:tplc="6C3CD3B0">
      <w:numFmt w:val="decimal"/>
      <w:lvlText w:val=""/>
      <w:lvlJc w:val="left"/>
    </w:lvl>
    <w:lvl w:ilvl="4" w:tplc="C240CBE8">
      <w:numFmt w:val="decimal"/>
      <w:lvlText w:val=""/>
      <w:lvlJc w:val="left"/>
    </w:lvl>
    <w:lvl w:ilvl="5" w:tplc="310ACC44">
      <w:numFmt w:val="decimal"/>
      <w:lvlText w:val=""/>
      <w:lvlJc w:val="left"/>
    </w:lvl>
    <w:lvl w:ilvl="6" w:tplc="E1E229E4">
      <w:numFmt w:val="decimal"/>
      <w:lvlText w:val=""/>
      <w:lvlJc w:val="left"/>
    </w:lvl>
    <w:lvl w:ilvl="7" w:tplc="763E8716">
      <w:numFmt w:val="decimal"/>
      <w:lvlText w:val=""/>
      <w:lvlJc w:val="left"/>
    </w:lvl>
    <w:lvl w:ilvl="8" w:tplc="E5209894">
      <w:numFmt w:val="decimal"/>
      <w:lvlText w:val=""/>
      <w:lvlJc w:val="left"/>
    </w:lvl>
  </w:abstractNum>
  <w:abstractNum w:abstractNumId="47">
    <w:nsid w:val="2A155DBC"/>
    <w:multiLevelType w:val="hybridMultilevel"/>
    <w:tmpl w:val="5F246B1C"/>
    <w:lvl w:ilvl="0" w:tplc="98E04E34">
      <w:start w:val="30"/>
      <w:numFmt w:val="decimal"/>
      <w:lvlText w:val="%1"/>
      <w:lvlJc w:val="left"/>
    </w:lvl>
    <w:lvl w:ilvl="1" w:tplc="A922EFB0">
      <w:numFmt w:val="decimal"/>
      <w:lvlText w:val=""/>
      <w:lvlJc w:val="left"/>
    </w:lvl>
    <w:lvl w:ilvl="2" w:tplc="C0BA1638">
      <w:numFmt w:val="decimal"/>
      <w:lvlText w:val=""/>
      <w:lvlJc w:val="left"/>
    </w:lvl>
    <w:lvl w:ilvl="3" w:tplc="B2806340">
      <w:numFmt w:val="decimal"/>
      <w:lvlText w:val=""/>
      <w:lvlJc w:val="left"/>
    </w:lvl>
    <w:lvl w:ilvl="4" w:tplc="E234A3B2">
      <w:numFmt w:val="decimal"/>
      <w:lvlText w:val=""/>
      <w:lvlJc w:val="left"/>
    </w:lvl>
    <w:lvl w:ilvl="5" w:tplc="70CCC042">
      <w:numFmt w:val="decimal"/>
      <w:lvlText w:val=""/>
      <w:lvlJc w:val="left"/>
    </w:lvl>
    <w:lvl w:ilvl="6" w:tplc="58FC1854">
      <w:numFmt w:val="decimal"/>
      <w:lvlText w:val=""/>
      <w:lvlJc w:val="left"/>
    </w:lvl>
    <w:lvl w:ilvl="7" w:tplc="B860F122">
      <w:numFmt w:val="decimal"/>
      <w:lvlText w:val=""/>
      <w:lvlJc w:val="left"/>
    </w:lvl>
    <w:lvl w:ilvl="8" w:tplc="628AB59A">
      <w:numFmt w:val="decimal"/>
      <w:lvlText w:val=""/>
      <w:lvlJc w:val="left"/>
    </w:lvl>
  </w:abstractNum>
  <w:abstractNum w:abstractNumId="48">
    <w:nsid w:val="2A31B62D"/>
    <w:multiLevelType w:val="hybridMultilevel"/>
    <w:tmpl w:val="AB461968"/>
    <w:lvl w:ilvl="0" w:tplc="220EDC5E">
      <w:start w:val="1"/>
      <w:numFmt w:val="decimal"/>
      <w:lvlText w:val="(%1)"/>
      <w:lvlJc w:val="left"/>
    </w:lvl>
    <w:lvl w:ilvl="1" w:tplc="B1BACCE8">
      <w:numFmt w:val="decimal"/>
      <w:lvlText w:val=""/>
      <w:lvlJc w:val="left"/>
    </w:lvl>
    <w:lvl w:ilvl="2" w:tplc="57641F38">
      <w:numFmt w:val="decimal"/>
      <w:lvlText w:val=""/>
      <w:lvlJc w:val="left"/>
    </w:lvl>
    <w:lvl w:ilvl="3" w:tplc="FB6E4072">
      <w:numFmt w:val="decimal"/>
      <w:lvlText w:val=""/>
      <w:lvlJc w:val="left"/>
    </w:lvl>
    <w:lvl w:ilvl="4" w:tplc="AFBA2514">
      <w:numFmt w:val="decimal"/>
      <w:lvlText w:val=""/>
      <w:lvlJc w:val="left"/>
    </w:lvl>
    <w:lvl w:ilvl="5" w:tplc="E5BA983A">
      <w:numFmt w:val="decimal"/>
      <w:lvlText w:val=""/>
      <w:lvlJc w:val="left"/>
    </w:lvl>
    <w:lvl w:ilvl="6" w:tplc="55589BC4">
      <w:numFmt w:val="decimal"/>
      <w:lvlText w:val=""/>
      <w:lvlJc w:val="left"/>
    </w:lvl>
    <w:lvl w:ilvl="7" w:tplc="3CFC23D4">
      <w:numFmt w:val="decimal"/>
      <w:lvlText w:val=""/>
      <w:lvlJc w:val="left"/>
    </w:lvl>
    <w:lvl w:ilvl="8" w:tplc="FCA050EA">
      <w:numFmt w:val="decimal"/>
      <w:lvlText w:val=""/>
      <w:lvlJc w:val="left"/>
    </w:lvl>
  </w:abstractNum>
  <w:abstractNum w:abstractNumId="49">
    <w:nsid w:val="2A6DE806"/>
    <w:multiLevelType w:val="hybridMultilevel"/>
    <w:tmpl w:val="B058AAD6"/>
    <w:lvl w:ilvl="0" w:tplc="4006A086">
      <w:start w:val="72"/>
      <w:numFmt w:val="decimal"/>
      <w:lvlText w:val="%1"/>
      <w:lvlJc w:val="left"/>
    </w:lvl>
    <w:lvl w:ilvl="1" w:tplc="CE844162">
      <w:numFmt w:val="decimal"/>
      <w:lvlText w:val=""/>
      <w:lvlJc w:val="left"/>
    </w:lvl>
    <w:lvl w:ilvl="2" w:tplc="C3B20270">
      <w:numFmt w:val="decimal"/>
      <w:lvlText w:val=""/>
      <w:lvlJc w:val="left"/>
    </w:lvl>
    <w:lvl w:ilvl="3" w:tplc="FF96E82A">
      <w:numFmt w:val="decimal"/>
      <w:lvlText w:val=""/>
      <w:lvlJc w:val="left"/>
    </w:lvl>
    <w:lvl w:ilvl="4" w:tplc="405A2112">
      <w:numFmt w:val="decimal"/>
      <w:lvlText w:val=""/>
      <w:lvlJc w:val="left"/>
    </w:lvl>
    <w:lvl w:ilvl="5" w:tplc="1A628632">
      <w:numFmt w:val="decimal"/>
      <w:lvlText w:val=""/>
      <w:lvlJc w:val="left"/>
    </w:lvl>
    <w:lvl w:ilvl="6" w:tplc="C1F8CEA6">
      <w:numFmt w:val="decimal"/>
      <w:lvlText w:val=""/>
      <w:lvlJc w:val="left"/>
    </w:lvl>
    <w:lvl w:ilvl="7" w:tplc="364675E4">
      <w:numFmt w:val="decimal"/>
      <w:lvlText w:val=""/>
      <w:lvlJc w:val="left"/>
    </w:lvl>
    <w:lvl w:ilvl="8" w:tplc="25C2F750">
      <w:numFmt w:val="decimal"/>
      <w:lvlText w:val=""/>
      <w:lvlJc w:val="left"/>
    </w:lvl>
  </w:abstractNum>
  <w:abstractNum w:abstractNumId="50">
    <w:nsid w:val="2B0D8DBE"/>
    <w:multiLevelType w:val="hybridMultilevel"/>
    <w:tmpl w:val="B5F06C7A"/>
    <w:lvl w:ilvl="0" w:tplc="ED86ABA6">
      <w:start w:val="1"/>
      <w:numFmt w:val="bullet"/>
      <w:lvlText w:val="•"/>
      <w:lvlJc w:val="left"/>
    </w:lvl>
    <w:lvl w:ilvl="1" w:tplc="B2E44CDA">
      <w:numFmt w:val="decimal"/>
      <w:lvlText w:val=""/>
      <w:lvlJc w:val="left"/>
    </w:lvl>
    <w:lvl w:ilvl="2" w:tplc="D8D284C8">
      <w:numFmt w:val="decimal"/>
      <w:lvlText w:val=""/>
      <w:lvlJc w:val="left"/>
    </w:lvl>
    <w:lvl w:ilvl="3" w:tplc="7F242C34">
      <w:numFmt w:val="decimal"/>
      <w:lvlText w:val=""/>
      <w:lvlJc w:val="left"/>
    </w:lvl>
    <w:lvl w:ilvl="4" w:tplc="36023504">
      <w:numFmt w:val="decimal"/>
      <w:lvlText w:val=""/>
      <w:lvlJc w:val="left"/>
    </w:lvl>
    <w:lvl w:ilvl="5" w:tplc="648CB504">
      <w:numFmt w:val="decimal"/>
      <w:lvlText w:val=""/>
      <w:lvlJc w:val="left"/>
    </w:lvl>
    <w:lvl w:ilvl="6" w:tplc="F8962C5A">
      <w:numFmt w:val="decimal"/>
      <w:lvlText w:val=""/>
      <w:lvlJc w:val="left"/>
    </w:lvl>
    <w:lvl w:ilvl="7" w:tplc="E97CDE1C">
      <w:numFmt w:val="decimal"/>
      <w:lvlText w:val=""/>
      <w:lvlJc w:val="left"/>
    </w:lvl>
    <w:lvl w:ilvl="8" w:tplc="581A48C0">
      <w:numFmt w:val="decimal"/>
      <w:lvlText w:val=""/>
      <w:lvlJc w:val="left"/>
    </w:lvl>
  </w:abstractNum>
  <w:abstractNum w:abstractNumId="51">
    <w:nsid w:val="2C27173B"/>
    <w:multiLevelType w:val="hybridMultilevel"/>
    <w:tmpl w:val="BC86D278"/>
    <w:lvl w:ilvl="0" w:tplc="02C0C6C4">
      <w:start w:val="1"/>
      <w:numFmt w:val="bullet"/>
      <w:lvlText w:val="•"/>
      <w:lvlJc w:val="left"/>
    </w:lvl>
    <w:lvl w:ilvl="1" w:tplc="C2B07BFC">
      <w:numFmt w:val="decimal"/>
      <w:lvlText w:val=""/>
      <w:lvlJc w:val="left"/>
    </w:lvl>
    <w:lvl w:ilvl="2" w:tplc="EA2E9E2E">
      <w:numFmt w:val="decimal"/>
      <w:lvlText w:val=""/>
      <w:lvlJc w:val="left"/>
    </w:lvl>
    <w:lvl w:ilvl="3" w:tplc="BE7C11E6">
      <w:numFmt w:val="decimal"/>
      <w:lvlText w:val=""/>
      <w:lvlJc w:val="left"/>
    </w:lvl>
    <w:lvl w:ilvl="4" w:tplc="0C766C90">
      <w:numFmt w:val="decimal"/>
      <w:lvlText w:val=""/>
      <w:lvlJc w:val="left"/>
    </w:lvl>
    <w:lvl w:ilvl="5" w:tplc="3934CC58">
      <w:numFmt w:val="decimal"/>
      <w:lvlText w:val=""/>
      <w:lvlJc w:val="left"/>
    </w:lvl>
    <w:lvl w:ilvl="6" w:tplc="EE92116E">
      <w:numFmt w:val="decimal"/>
      <w:lvlText w:val=""/>
      <w:lvlJc w:val="left"/>
    </w:lvl>
    <w:lvl w:ilvl="7" w:tplc="19AC2F8E">
      <w:numFmt w:val="decimal"/>
      <w:lvlText w:val=""/>
      <w:lvlJc w:val="left"/>
    </w:lvl>
    <w:lvl w:ilvl="8" w:tplc="DF123CB0">
      <w:numFmt w:val="decimal"/>
      <w:lvlText w:val=""/>
      <w:lvlJc w:val="left"/>
    </w:lvl>
  </w:abstractNum>
  <w:abstractNum w:abstractNumId="52">
    <w:nsid w:val="2C6E4AFD"/>
    <w:multiLevelType w:val="hybridMultilevel"/>
    <w:tmpl w:val="EE0CC840"/>
    <w:lvl w:ilvl="0" w:tplc="D6D658B2">
      <w:start w:val="3"/>
      <w:numFmt w:val="lowerRoman"/>
      <w:lvlText w:val="(%1)"/>
      <w:lvlJc w:val="left"/>
    </w:lvl>
    <w:lvl w:ilvl="1" w:tplc="03624144">
      <w:numFmt w:val="decimal"/>
      <w:lvlText w:val=""/>
      <w:lvlJc w:val="left"/>
    </w:lvl>
    <w:lvl w:ilvl="2" w:tplc="59CAF46E">
      <w:numFmt w:val="decimal"/>
      <w:lvlText w:val=""/>
      <w:lvlJc w:val="left"/>
    </w:lvl>
    <w:lvl w:ilvl="3" w:tplc="E32E0F28">
      <w:numFmt w:val="decimal"/>
      <w:lvlText w:val=""/>
      <w:lvlJc w:val="left"/>
    </w:lvl>
    <w:lvl w:ilvl="4" w:tplc="BBFC4B56">
      <w:numFmt w:val="decimal"/>
      <w:lvlText w:val=""/>
      <w:lvlJc w:val="left"/>
    </w:lvl>
    <w:lvl w:ilvl="5" w:tplc="8C201B1C">
      <w:numFmt w:val="decimal"/>
      <w:lvlText w:val=""/>
      <w:lvlJc w:val="left"/>
    </w:lvl>
    <w:lvl w:ilvl="6" w:tplc="6426A22C">
      <w:numFmt w:val="decimal"/>
      <w:lvlText w:val=""/>
      <w:lvlJc w:val="left"/>
    </w:lvl>
    <w:lvl w:ilvl="7" w:tplc="03C63DD0">
      <w:numFmt w:val="decimal"/>
      <w:lvlText w:val=""/>
      <w:lvlJc w:val="left"/>
    </w:lvl>
    <w:lvl w:ilvl="8" w:tplc="B3AA2278">
      <w:numFmt w:val="decimal"/>
      <w:lvlText w:val=""/>
      <w:lvlJc w:val="left"/>
    </w:lvl>
  </w:abstractNum>
  <w:abstractNum w:abstractNumId="53">
    <w:nsid w:val="2DF6D648"/>
    <w:multiLevelType w:val="hybridMultilevel"/>
    <w:tmpl w:val="0DB08B0C"/>
    <w:lvl w:ilvl="0" w:tplc="D56E5490">
      <w:start w:val="1"/>
      <w:numFmt w:val="decimal"/>
      <w:lvlText w:val="(%1)"/>
      <w:lvlJc w:val="left"/>
    </w:lvl>
    <w:lvl w:ilvl="1" w:tplc="AF968B1A">
      <w:numFmt w:val="decimal"/>
      <w:lvlText w:val=""/>
      <w:lvlJc w:val="left"/>
    </w:lvl>
    <w:lvl w:ilvl="2" w:tplc="E362A4C0">
      <w:numFmt w:val="decimal"/>
      <w:lvlText w:val=""/>
      <w:lvlJc w:val="left"/>
    </w:lvl>
    <w:lvl w:ilvl="3" w:tplc="E90C05A8">
      <w:numFmt w:val="decimal"/>
      <w:lvlText w:val=""/>
      <w:lvlJc w:val="left"/>
    </w:lvl>
    <w:lvl w:ilvl="4" w:tplc="386042D2">
      <w:numFmt w:val="decimal"/>
      <w:lvlText w:val=""/>
      <w:lvlJc w:val="left"/>
    </w:lvl>
    <w:lvl w:ilvl="5" w:tplc="D310836A">
      <w:numFmt w:val="decimal"/>
      <w:lvlText w:val=""/>
      <w:lvlJc w:val="left"/>
    </w:lvl>
    <w:lvl w:ilvl="6" w:tplc="07DE1D8A">
      <w:numFmt w:val="decimal"/>
      <w:lvlText w:val=""/>
      <w:lvlJc w:val="left"/>
    </w:lvl>
    <w:lvl w:ilvl="7" w:tplc="9DD6A648">
      <w:numFmt w:val="decimal"/>
      <w:lvlText w:val=""/>
      <w:lvlJc w:val="left"/>
    </w:lvl>
    <w:lvl w:ilvl="8" w:tplc="A6662504">
      <w:numFmt w:val="decimal"/>
      <w:lvlText w:val=""/>
      <w:lvlJc w:val="left"/>
    </w:lvl>
  </w:abstractNum>
  <w:abstractNum w:abstractNumId="54">
    <w:nsid w:val="2E48F044"/>
    <w:multiLevelType w:val="hybridMultilevel"/>
    <w:tmpl w:val="42EA6978"/>
    <w:lvl w:ilvl="0" w:tplc="AC3CE558">
      <w:start w:val="1"/>
      <w:numFmt w:val="bullet"/>
      <w:lvlText w:val="•"/>
      <w:lvlJc w:val="left"/>
    </w:lvl>
    <w:lvl w:ilvl="1" w:tplc="12CC7C10">
      <w:numFmt w:val="decimal"/>
      <w:lvlText w:val=""/>
      <w:lvlJc w:val="left"/>
    </w:lvl>
    <w:lvl w:ilvl="2" w:tplc="F1701606">
      <w:numFmt w:val="decimal"/>
      <w:lvlText w:val=""/>
      <w:lvlJc w:val="left"/>
    </w:lvl>
    <w:lvl w:ilvl="3" w:tplc="56989AD8">
      <w:numFmt w:val="decimal"/>
      <w:lvlText w:val=""/>
      <w:lvlJc w:val="left"/>
    </w:lvl>
    <w:lvl w:ilvl="4" w:tplc="D598A860">
      <w:numFmt w:val="decimal"/>
      <w:lvlText w:val=""/>
      <w:lvlJc w:val="left"/>
    </w:lvl>
    <w:lvl w:ilvl="5" w:tplc="1460248A">
      <w:numFmt w:val="decimal"/>
      <w:lvlText w:val=""/>
      <w:lvlJc w:val="left"/>
    </w:lvl>
    <w:lvl w:ilvl="6" w:tplc="379CED72">
      <w:numFmt w:val="decimal"/>
      <w:lvlText w:val=""/>
      <w:lvlJc w:val="left"/>
    </w:lvl>
    <w:lvl w:ilvl="7" w:tplc="D9A053CE">
      <w:numFmt w:val="decimal"/>
      <w:lvlText w:val=""/>
      <w:lvlJc w:val="left"/>
    </w:lvl>
    <w:lvl w:ilvl="8" w:tplc="9620CE3C">
      <w:numFmt w:val="decimal"/>
      <w:lvlText w:val=""/>
      <w:lvlJc w:val="left"/>
    </w:lvl>
  </w:abstractNum>
  <w:abstractNum w:abstractNumId="55">
    <w:nsid w:val="312167AD"/>
    <w:multiLevelType w:val="hybridMultilevel"/>
    <w:tmpl w:val="36F6E8F0"/>
    <w:lvl w:ilvl="0" w:tplc="BE9CD7F8">
      <w:start w:val="5"/>
      <w:numFmt w:val="lowerLetter"/>
      <w:lvlText w:val="(%1)"/>
      <w:lvlJc w:val="left"/>
    </w:lvl>
    <w:lvl w:ilvl="1" w:tplc="E01AECCC">
      <w:start w:val="1"/>
      <w:numFmt w:val="lowerRoman"/>
      <w:lvlText w:val="(%2)"/>
      <w:lvlJc w:val="left"/>
    </w:lvl>
    <w:lvl w:ilvl="2" w:tplc="09566546">
      <w:numFmt w:val="decimal"/>
      <w:lvlText w:val=""/>
      <w:lvlJc w:val="left"/>
    </w:lvl>
    <w:lvl w:ilvl="3" w:tplc="8AA8E8A6">
      <w:numFmt w:val="decimal"/>
      <w:lvlText w:val=""/>
      <w:lvlJc w:val="left"/>
    </w:lvl>
    <w:lvl w:ilvl="4" w:tplc="DC5E9C0C">
      <w:numFmt w:val="decimal"/>
      <w:lvlText w:val=""/>
      <w:lvlJc w:val="left"/>
    </w:lvl>
    <w:lvl w:ilvl="5" w:tplc="FCBC3A34">
      <w:numFmt w:val="decimal"/>
      <w:lvlText w:val=""/>
      <w:lvlJc w:val="left"/>
    </w:lvl>
    <w:lvl w:ilvl="6" w:tplc="45A8D542">
      <w:numFmt w:val="decimal"/>
      <w:lvlText w:val=""/>
      <w:lvlJc w:val="left"/>
    </w:lvl>
    <w:lvl w:ilvl="7" w:tplc="E28231EC">
      <w:numFmt w:val="decimal"/>
      <w:lvlText w:val=""/>
      <w:lvlJc w:val="left"/>
    </w:lvl>
    <w:lvl w:ilvl="8" w:tplc="8F16CF60">
      <w:numFmt w:val="decimal"/>
      <w:lvlText w:val=""/>
      <w:lvlJc w:val="left"/>
    </w:lvl>
  </w:abstractNum>
  <w:abstractNum w:abstractNumId="56">
    <w:nsid w:val="3222E7CD"/>
    <w:multiLevelType w:val="hybridMultilevel"/>
    <w:tmpl w:val="9260EE2A"/>
    <w:lvl w:ilvl="0" w:tplc="5492D784">
      <w:start w:val="1"/>
      <w:numFmt w:val="bullet"/>
      <w:lvlText w:val="8"/>
      <w:lvlJc w:val="left"/>
    </w:lvl>
    <w:lvl w:ilvl="1" w:tplc="7B3642C0">
      <w:numFmt w:val="decimal"/>
      <w:lvlText w:val=""/>
      <w:lvlJc w:val="left"/>
    </w:lvl>
    <w:lvl w:ilvl="2" w:tplc="5658FA00">
      <w:numFmt w:val="decimal"/>
      <w:lvlText w:val=""/>
      <w:lvlJc w:val="left"/>
    </w:lvl>
    <w:lvl w:ilvl="3" w:tplc="57A00C8C">
      <w:numFmt w:val="decimal"/>
      <w:lvlText w:val=""/>
      <w:lvlJc w:val="left"/>
    </w:lvl>
    <w:lvl w:ilvl="4" w:tplc="958E07FE">
      <w:numFmt w:val="decimal"/>
      <w:lvlText w:val=""/>
      <w:lvlJc w:val="left"/>
    </w:lvl>
    <w:lvl w:ilvl="5" w:tplc="E6666922">
      <w:numFmt w:val="decimal"/>
      <w:lvlText w:val=""/>
      <w:lvlJc w:val="left"/>
    </w:lvl>
    <w:lvl w:ilvl="6" w:tplc="D4848B20">
      <w:numFmt w:val="decimal"/>
      <w:lvlText w:val=""/>
      <w:lvlJc w:val="left"/>
    </w:lvl>
    <w:lvl w:ilvl="7" w:tplc="BB4CEEEC">
      <w:numFmt w:val="decimal"/>
      <w:lvlText w:val=""/>
      <w:lvlJc w:val="left"/>
    </w:lvl>
    <w:lvl w:ilvl="8" w:tplc="6BC6EE22">
      <w:numFmt w:val="decimal"/>
      <w:lvlText w:val=""/>
      <w:lvlJc w:val="left"/>
    </w:lvl>
  </w:abstractNum>
  <w:abstractNum w:abstractNumId="57">
    <w:nsid w:val="34FD6B4F"/>
    <w:multiLevelType w:val="hybridMultilevel"/>
    <w:tmpl w:val="965CACEC"/>
    <w:lvl w:ilvl="0" w:tplc="8F647C1A">
      <w:start w:val="1"/>
      <w:numFmt w:val="bullet"/>
      <w:lvlText w:val="•"/>
      <w:lvlJc w:val="left"/>
    </w:lvl>
    <w:lvl w:ilvl="1" w:tplc="71646686">
      <w:numFmt w:val="decimal"/>
      <w:lvlText w:val=""/>
      <w:lvlJc w:val="left"/>
    </w:lvl>
    <w:lvl w:ilvl="2" w:tplc="A58A48BA">
      <w:numFmt w:val="decimal"/>
      <w:lvlText w:val=""/>
      <w:lvlJc w:val="left"/>
    </w:lvl>
    <w:lvl w:ilvl="3" w:tplc="9C78449C">
      <w:numFmt w:val="decimal"/>
      <w:lvlText w:val=""/>
      <w:lvlJc w:val="left"/>
    </w:lvl>
    <w:lvl w:ilvl="4" w:tplc="934EBC46">
      <w:numFmt w:val="decimal"/>
      <w:lvlText w:val=""/>
      <w:lvlJc w:val="left"/>
    </w:lvl>
    <w:lvl w:ilvl="5" w:tplc="7A94FADA">
      <w:numFmt w:val="decimal"/>
      <w:lvlText w:val=""/>
      <w:lvlJc w:val="left"/>
    </w:lvl>
    <w:lvl w:ilvl="6" w:tplc="00C28860">
      <w:numFmt w:val="decimal"/>
      <w:lvlText w:val=""/>
      <w:lvlJc w:val="left"/>
    </w:lvl>
    <w:lvl w:ilvl="7" w:tplc="52449506">
      <w:numFmt w:val="decimal"/>
      <w:lvlText w:val=""/>
      <w:lvlJc w:val="left"/>
    </w:lvl>
    <w:lvl w:ilvl="8" w:tplc="8E76EBA2">
      <w:numFmt w:val="decimal"/>
      <w:lvlText w:val=""/>
      <w:lvlJc w:val="left"/>
    </w:lvl>
  </w:abstractNum>
  <w:abstractNum w:abstractNumId="58">
    <w:nsid w:val="379E21B5"/>
    <w:multiLevelType w:val="hybridMultilevel"/>
    <w:tmpl w:val="29947F7E"/>
    <w:lvl w:ilvl="0" w:tplc="864CBB4E">
      <w:start w:val="1"/>
      <w:numFmt w:val="bullet"/>
      <w:lvlText w:val="*"/>
      <w:lvlJc w:val="left"/>
    </w:lvl>
    <w:lvl w:ilvl="1" w:tplc="5262D42C">
      <w:numFmt w:val="decimal"/>
      <w:lvlText w:val=""/>
      <w:lvlJc w:val="left"/>
    </w:lvl>
    <w:lvl w:ilvl="2" w:tplc="2480CA20">
      <w:numFmt w:val="decimal"/>
      <w:lvlText w:val=""/>
      <w:lvlJc w:val="left"/>
    </w:lvl>
    <w:lvl w:ilvl="3" w:tplc="BA5CD6C8">
      <w:numFmt w:val="decimal"/>
      <w:lvlText w:val=""/>
      <w:lvlJc w:val="left"/>
    </w:lvl>
    <w:lvl w:ilvl="4" w:tplc="4282D08E">
      <w:numFmt w:val="decimal"/>
      <w:lvlText w:val=""/>
      <w:lvlJc w:val="left"/>
    </w:lvl>
    <w:lvl w:ilvl="5" w:tplc="8A6835F6">
      <w:numFmt w:val="decimal"/>
      <w:lvlText w:val=""/>
      <w:lvlJc w:val="left"/>
    </w:lvl>
    <w:lvl w:ilvl="6" w:tplc="6D90C47E">
      <w:numFmt w:val="decimal"/>
      <w:lvlText w:val=""/>
      <w:lvlJc w:val="left"/>
    </w:lvl>
    <w:lvl w:ilvl="7" w:tplc="B7D026D8">
      <w:numFmt w:val="decimal"/>
      <w:lvlText w:val=""/>
      <w:lvlJc w:val="left"/>
    </w:lvl>
    <w:lvl w:ilvl="8" w:tplc="7348F9FC">
      <w:numFmt w:val="decimal"/>
      <w:lvlText w:val=""/>
      <w:lvlJc w:val="left"/>
    </w:lvl>
  </w:abstractNum>
  <w:abstractNum w:abstractNumId="59">
    <w:nsid w:val="37DF2233"/>
    <w:multiLevelType w:val="hybridMultilevel"/>
    <w:tmpl w:val="7F56A432"/>
    <w:lvl w:ilvl="0" w:tplc="7A688D6E">
      <w:start w:val="74"/>
      <w:numFmt w:val="decimal"/>
      <w:lvlText w:val="%1"/>
      <w:lvlJc w:val="left"/>
    </w:lvl>
    <w:lvl w:ilvl="1" w:tplc="57A83A44">
      <w:numFmt w:val="decimal"/>
      <w:lvlText w:val=""/>
      <w:lvlJc w:val="left"/>
    </w:lvl>
    <w:lvl w:ilvl="2" w:tplc="996C4870">
      <w:numFmt w:val="decimal"/>
      <w:lvlText w:val=""/>
      <w:lvlJc w:val="left"/>
    </w:lvl>
    <w:lvl w:ilvl="3" w:tplc="794A83B6">
      <w:numFmt w:val="decimal"/>
      <w:lvlText w:val=""/>
      <w:lvlJc w:val="left"/>
    </w:lvl>
    <w:lvl w:ilvl="4" w:tplc="43125B78">
      <w:numFmt w:val="decimal"/>
      <w:lvlText w:val=""/>
      <w:lvlJc w:val="left"/>
    </w:lvl>
    <w:lvl w:ilvl="5" w:tplc="8E98F274">
      <w:numFmt w:val="decimal"/>
      <w:lvlText w:val=""/>
      <w:lvlJc w:val="left"/>
    </w:lvl>
    <w:lvl w:ilvl="6" w:tplc="D496231A">
      <w:numFmt w:val="decimal"/>
      <w:lvlText w:val=""/>
      <w:lvlJc w:val="left"/>
    </w:lvl>
    <w:lvl w:ilvl="7" w:tplc="F03256BA">
      <w:numFmt w:val="decimal"/>
      <w:lvlText w:val=""/>
      <w:lvlJc w:val="left"/>
    </w:lvl>
    <w:lvl w:ilvl="8" w:tplc="B462B394">
      <w:numFmt w:val="decimal"/>
      <w:lvlText w:val=""/>
      <w:lvlJc w:val="left"/>
    </w:lvl>
  </w:abstractNum>
  <w:abstractNum w:abstractNumId="60">
    <w:nsid w:val="39B7AAA2"/>
    <w:multiLevelType w:val="hybridMultilevel"/>
    <w:tmpl w:val="C646FC96"/>
    <w:lvl w:ilvl="0" w:tplc="ADE4B3CE">
      <w:start w:val="38"/>
      <w:numFmt w:val="decimal"/>
      <w:lvlText w:val="%1"/>
      <w:lvlJc w:val="left"/>
    </w:lvl>
    <w:lvl w:ilvl="1" w:tplc="714CD9C6">
      <w:numFmt w:val="decimal"/>
      <w:lvlText w:val=""/>
      <w:lvlJc w:val="left"/>
    </w:lvl>
    <w:lvl w:ilvl="2" w:tplc="1FB244AE">
      <w:numFmt w:val="decimal"/>
      <w:lvlText w:val=""/>
      <w:lvlJc w:val="left"/>
    </w:lvl>
    <w:lvl w:ilvl="3" w:tplc="2DE2A740">
      <w:numFmt w:val="decimal"/>
      <w:lvlText w:val=""/>
      <w:lvlJc w:val="left"/>
    </w:lvl>
    <w:lvl w:ilvl="4" w:tplc="E5360668">
      <w:numFmt w:val="decimal"/>
      <w:lvlText w:val=""/>
      <w:lvlJc w:val="left"/>
    </w:lvl>
    <w:lvl w:ilvl="5" w:tplc="4036AFCE">
      <w:numFmt w:val="decimal"/>
      <w:lvlText w:val=""/>
      <w:lvlJc w:val="left"/>
    </w:lvl>
    <w:lvl w:ilvl="6" w:tplc="161ECC6E">
      <w:numFmt w:val="decimal"/>
      <w:lvlText w:val=""/>
      <w:lvlJc w:val="left"/>
    </w:lvl>
    <w:lvl w:ilvl="7" w:tplc="50C4F674">
      <w:numFmt w:val="decimal"/>
      <w:lvlText w:val=""/>
      <w:lvlJc w:val="left"/>
    </w:lvl>
    <w:lvl w:ilvl="8" w:tplc="43C69580">
      <w:numFmt w:val="decimal"/>
      <w:lvlText w:val=""/>
      <w:lvlJc w:val="left"/>
    </w:lvl>
  </w:abstractNum>
  <w:abstractNum w:abstractNumId="61">
    <w:nsid w:val="39EE015C"/>
    <w:multiLevelType w:val="hybridMultilevel"/>
    <w:tmpl w:val="C6B82BCC"/>
    <w:lvl w:ilvl="0" w:tplc="8A5A3D28">
      <w:start w:val="1"/>
      <w:numFmt w:val="bullet"/>
      <w:lvlText w:val="•"/>
      <w:lvlJc w:val="left"/>
    </w:lvl>
    <w:lvl w:ilvl="1" w:tplc="8CAE5BB4">
      <w:numFmt w:val="decimal"/>
      <w:lvlText w:val=""/>
      <w:lvlJc w:val="left"/>
    </w:lvl>
    <w:lvl w:ilvl="2" w:tplc="909C3DEE">
      <w:numFmt w:val="decimal"/>
      <w:lvlText w:val=""/>
      <w:lvlJc w:val="left"/>
    </w:lvl>
    <w:lvl w:ilvl="3" w:tplc="5D366588">
      <w:numFmt w:val="decimal"/>
      <w:lvlText w:val=""/>
      <w:lvlJc w:val="left"/>
    </w:lvl>
    <w:lvl w:ilvl="4" w:tplc="80BE6934">
      <w:numFmt w:val="decimal"/>
      <w:lvlText w:val=""/>
      <w:lvlJc w:val="left"/>
    </w:lvl>
    <w:lvl w:ilvl="5" w:tplc="49D26D84">
      <w:numFmt w:val="decimal"/>
      <w:lvlText w:val=""/>
      <w:lvlJc w:val="left"/>
    </w:lvl>
    <w:lvl w:ilvl="6" w:tplc="BE9E3B68">
      <w:numFmt w:val="decimal"/>
      <w:lvlText w:val=""/>
      <w:lvlJc w:val="left"/>
    </w:lvl>
    <w:lvl w:ilvl="7" w:tplc="70F83B40">
      <w:numFmt w:val="decimal"/>
      <w:lvlText w:val=""/>
      <w:lvlJc w:val="left"/>
    </w:lvl>
    <w:lvl w:ilvl="8" w:tplc="7256B822">
      <w:numFmt w:val="decimal"/>
      <w:lvlText w:val=""/>
      <w:lvlJc w:val="left"/>
    </w:lvl>
  </w:abstractNum>
  <w:abstractNum w:abstractNumId="62">
    <w:nsid w:val="3B0FD379"/>
    <w:multiLevelType w:val="hybridMultilevel"/>
    <w:tmpl w:val="43100B30"/>
    <w:lvl w:ilvl="0" w:tplc="B420D4F6">
      <w:start w:val="1"/>
      <w:numFmt w:val="bullet"/>
      <w:lvlText w:val="☐"/>
      <w:lvlJc w:val="left"/>
    </w:lvl>
    <w:lvl w:ilvl="1" w:tplc="6DDAC30A">
      <w:numFmt w:val="decimal"/>
      <w:lvlText w:val=""/>
      <w:lvlJc w:val="left"/>
    </w:lvl>
    <w:lvl w:ilvl="2" w:tplc="EE40B0CC">
      <w:numFmt w:val="decimal"/>
      <w:lvlText w:val=""/>
      <w:lvlJc w:val="left"/>
    </w:lvl>
    <w:lvl w:ilvl="3" w:tplc="36F6EE54">
      <w:numFmt w:val="decimal"/>
      <w:lvlText w:val=""/>
      <w:lvlJc w:val="left"/>
    </w:lvl>
    <w:lvl w:ilvl="4" w:tplc="C4B4A178">
      <w:numFmt w:val="decimal"/>
      <w:lvlText w:val=""/>
      <w:lvlJc w:val="left"/>
    </w:lvl>
    <w:lvl w:ilvl="5" w:tplc="1BB20562">
      <w:numFmt w:val="decimal"/>
      <w:lvlText w:val=""/>
      <w:lvlJc w:val="left"/>
    </w:lvl>
    <w:lvl w:ilvl="6" w:tplc="DE9A5A7A">
      <w:numFmt w:val="decimal"/>
      <w:lvlText w:val=""/>
      <w:lvlJc w:val="left"/>
    </w:lvl>
    <w:lvl w:ilvl="7" w:tplc="8B5E2536">
      <w:numFmt w:val="decimal"/>
      <w:lvlText w:val=""/>
      <w:lvlJc w:val="left"/>
    </w:lvl>
    <w:lvl w:ilvl="8" w:tplc="D4041A56">
      <w:numFmt w:val="decimal"/>
      <w:lvlText w:val=""/>
      <w:lvlJc w:val="left"/>
    </w:lvl>
  </w:abstractNum>
  <w:abstractNum w:abstractNumId="63">
    <w:nsid w:val="3B594807"/>
    <w:multiLevelType w:val="hybridMultilevel"/>
    <w:tmpl w:val="009817DA"/>
    <w:lvl w:ilvl="0" w:tplc="46323822">
      <w:start w:val="88"/>
      <w:numFmt w:val="decimal"/>
      <w:lvlText w:val="%1"/>
      <w:lvlJc w:val="left"/>
    </w:lvl>
    <w:lvl w:ilvl="1" w:tplc="E6F630A6">
      <w:numFmt w:val="decimal"/>
      <w:lvlText w:val=""/>
      <w:lvlJc w:val="left"/>
    </w:lvl>
    <w:lvl w:ilvl="2" w:tplc="D5E2EDC6">
      <w:numFmt w:val="decimal"/>
      <w:lvlText w:val=""/>
      <w:lvlJc w:val="left"/>
    </w:lvl>
    <w:lvl w:ilvl="3" w:tplc="4F6EA2B4">
      <w:numFmt w:val="decimal"/>
      <w:lvlText w:val=""/>
      <w:lvlJc w:val="left"/>
    </w:lvl>
    <w:lvl w:ilvl="4" w:tplc="46CA403C">
      <w:numFmt w:val="decimal"/>
      <w:lvlText w:val=""/>
      <w:lvlJc w:val="left"/>
    </w:lvl>
    <w:lvl w:ilvl="5" w:tplc="CA5CAB9E">
      <w:numFmt w:val="decimal"/>
      <w:lvlText w:val=""/>
      <w:lvlJc w:val="left"/>
    </w:lvl>
    <w:lvl w:ilvl="6" w:tplc="3A92506A">
      <w:numFmt w:val="decimal"/>
      <w:lvlText w:val=""/>
      <w:lvlJc w:val="left"/>
    </w:lvl>
    <w:lvl w:ilvl="7" w:tplc="463837E0">
      <w:numFmt w:val="decimal"/>
      <w:lvlText w:val=""/>
      <w:lvlJc w:val="left"/>
    </w:lvl>
    <w:lvl w:ilvl="8" w:tplc="076ACD60">
      <w:numFmt w:val="decimal"/>
      <w:lvlText w:val=""/>
      <w:lvlJc w:val="left"/>
    </w:lvl>
  </w:abstractNum>
  <w:abstractNum w:abstractNumId="64">
    <w:nsid w:val="3C5991AA"/>
    <w:multiLevelType w:val="hybridMultilevel"/>
    <w:tmpl w:val="B728ED80"/>
    <w:lvl w:ilvl="0" w:tplc="E16C9BF4">
      <w:start w:val="1"/>
      <w:numFmt w:val="bullet"/>
      <w:lvlText w:val="*"/>
      <w:lvlJc w:val="left"/>
    </w:lvl>
    <w:lvl w:ilvl="1" w:tplc="7C2AC620">
      <w:numFmt w:val="decimal"/>
      <w:lvlText w:val=""/>
      <w:lvlJc w:val="left"/>
    </w:lvl>
    <w:lvl w:ilvl="2" w:tplc="3F4CBF22">
      <w:numFmt w:val="decimal"/>
      <w:lvlText w:val=""/>
      <w:lvlJc w:val="left"/>
    </w:lvl>
    <w:lvl w:ilvl="3" w:tplc="06540762">
      <w:numFmt w:val="decimal"/>
      <w:lvlText w:val=""/>
      <w:lvlJc w:val="left"/>
    </w:lvl>
    <w:lvl w:ilvl="4" w:tplc="79564934">
      <w:numFmt w:val="decimal"/>
      <w:lvlText w:val=""/>
      <w:lvlJc w:val="left"/>
    </w:lvl>
    <w:lvl w:ilvl="5" w:tplc="CB528F0E">
      <w:numFmt w:val="decimal"/>
      <w:lvlText w:val=""/>
      <w:lvlJc w:val="left"/>
    </w:lvl>
    <w:lvl w:ilvl="6" w:tplc="B194F75E">
      <w:numFmt w:val="decimal"/>
      <w:lvlText w:val=""/>
      <w:lvlJc w:val="left"/>
    </w:lvl>
    <w:lvl w:ilvl="7" w:tplc="86A4E06A">
      <w:numFmt w:val="decimal"/>
      <w:lvlText w:val=""/>
      <w:lvlJc w:val="left"/>
    </w:lvl>
    <w:lvl w:ilvl="8" w:tplc="02E8CC0C">
      <w:numFmt w:val="decimal"/>
      <w:lvlText w:val=""/>
      <w:lvlJc w:val="left"/>
    </w:lvl>
  </w:abstractNum>
  <w:abstractNum w:abstractNumId="65">
    <w:nsid w:val="3DB012B3"/>
    <w:multiLevelType w:val="hybridMultilevel"/>
    <w:tmpl w:val="A056B458"/>
    <w:lvl w:ilvl="0" w:tplc="0D92DB94">
      <w:start w:val="46"/>
      <w:numFmt w:val="decimal"/>
      <w:lvlText w:val="%1"/>
      <w:lvlJc w:val="left"/>
    </w:lvl>
    <w:lvl w:ilvl="1" w:tplc="400A3A5E">
      <w:numFmt w:val="decimal"/>
      <w:lvlText w:val=""/>
      <w:lvlJc w:val="left"/>
    </w:lvl>
    <w:lvl w:ilvl="2" w:tplc="92FC54CA">
      <w:numFmt w:val="decimal"/>
      <w:lvlText w:val=""/>
      <w:lvlJc w:val="left"/>
    </w:lvl>
    <w:lvl w:ilvl="3" w:tplc="218EC06C">
      <w:numFmt w:val="decimal"/>
      <w:lvlText w:val=""/>
      <w:lvlJc w:val="left"/>
    </w:lvl>
    <w:lvl w:ilvl="4" w:tplc="66D0B524">
      <w:numFmt w:val="decimal"/>
      <w:lvlText w:val=""/>
      <w:lvlJc w:val="left"/>
    </w:lvl>
    <w:lvl w:ilvl="5" w:tplc="B1300E9E">
      <w:numFmt w:val="decimal"/>
      <w:lvlText w:val=""/>
      <w:lvlJc w:val="left"/>
    </w:lvl>
    <w:lvl w:ilvl="6" w:tplc="18AE35E4">
      <w:numFmt w:val="decimal"/>
      <w:lvlText w:val=""/>
      <w:lvlJc w:val="left"/>
    </w:lvl>
    <w:lvl w:ilvl="7" w:tplc="F6E8A54E">
      <w:numFmt w:val="decimal"/>
      <w:lvlText w:val=""/>
      <w:lvlJc w:val="left"/>
    </w:lvl>
    <w:lvl w:ilvl="8" w:tplc="2C5059A8">
      <w:numFmt w:val="decimal"/>
      <w:lvlText w:val=""/>
      <w:lvlJc w:val="left"/>
    </w:lvl>
  </w:abstractNum>
  <w:abstractNum w:abstractNumId="66">
    <w:nsid w:val="3DD15094"/>
    <w:multiLevelType w:val="hybridMultilevel"/>
    <w:tmpl w:val="D7743764"/>
    <w:lvl w:ilvl="0" w:tplc="8168F69C">
      <w:start w:val="1"/>
      <w:numFmt w:val="bullet"/>
      <w:lvlText w:val="•"/>
      <w:lvlJc w:val="left"/>
    </w:lvl>
    <w:lvl w:ilvl="1" w:tplc="4C48B67C">
      <w:numFmt w:val="decimal"/>
      <w:lvlText w:val=""/>
      <w:lvlJc w:val="left"/>
    </w:lvl>
    <w:lvl w:ilvl="2" w:tplc="2E284268">
      <w:numFmt w:val="decimal"/>
      <w:lvlText w:val=""/>
      <w:lvlJc w:val="left"/>
    </w:lvl>
    <w:lvl w:ilvl="3" w:tplc="03008150">
      <w:numFmt w:val="decimal"/>
      <w:lvlText w:val=""/>
      <w:lvlJc w:val="left"/>
    </w:lvl>
    <w:lvl w:ilvl="4" w:tplc="3E581238">
      <w:numFmt w:val="decimal"/>
      <w:lvlText w:val=""/>
      <w:lvlJc w:val="left"/>
    </w:lvl>
    <w:lvl w:ilvl="5" w:tplc="630E6FF0">
      <w:numFmt w:val="decimal"/>
      <w:lvlText w:val=""/>
      <w:lvlJc w:val="left"/>
    </w:lvl>
    <w:lvl w:ilvl="6" w:tplc="D09ED076">
      <w:numFmt w:val="decimal"/>
      <w:lvlText w:val=""/>
      <w:lvlJc w:val="left"/>
    </w:lvl>
    <w:lvl w:ilvl="7" w:tplc="C86A0CBE">
      <w:numFmt w:val="decimal"/>
      <w:lvlText w:val=""/>
      <w:lvlJc w:val="left"/>
    </w:lvl>
    <w:lvl w:ilvl="8" w:tplc="34E0CFDC">
      <w:numFmt w:val="decimal"/>
      <w:lvlText w:val=""/>
      <w:lvlJc w:val="left"/>
    </w:lvl>
  </w:abstractNum>
  <w:abstractNum w:abstractNumId="67">
    <w:nsid w:val="3F06ECB2"/>
    <w:multiLevelType w:val="hybridMultilevel"/>
    <w:tmpl w:val="73B2E40A"/>
    <w:lvl w:ilvl="0" w:tplc="009CC5EC">
      <w:start w:val="7"/>
      <w:numFmt w:val="lowerLetter"/>
      <w:lvlText w:val="(%1)"/>
      <w:lvlJc w:val="left"/>
    </w:lvl>
    <w:lvl w:ilvl="1" w:tplc="62CCC8CA">
      <w:start w:val="1"/>
      <w:numFmt w:val="upperLetter"/>
      <w:lvlText w:val="%2"/>
      <w:lvlJc w:val="left"/>
    </w:lvl>
    <w:lvl w:ilvl="2" w:tplc="9F94609E">
      <w:numFmt w:val="decimal"/>
      <w:lvlText w:val=""/>
      <w:lvlJc w:val="left"/>
    </w:lvl>
    <w:lvl w:ilvl="3" w:tplc="E840739C">
      <w:numFmt w:val="decimal"/>
      <w:lvlText w:val=""/>
      <w:lvlJc w:val="left"/>
    </w:lvl>
    <w:lvl w:ilvl="4" w:tplc="AD3448AC">
      <w:numFmt w:val="decimal"/>
      <w:lvlText w:val=""/>
      <w:lvlJc w:val="left"/>
    </w:lvl>
    <w:lvl w:ilvl="5" w:tplc="7F00BB28">
      <w:numFmt w:val="decimal"/>
      <w:lvlText w:val=""/>
      <w:lvlJc w:val="left"/>
    </w:lvl>
    <w:lvl w:ilvl="6" w:tplc="93E2B464">
      <w:numFmt w:val="decimal"/>
      <w:lvlText w:val=""/>
      <w:lvlJc w:val="left"/>
    </w:lvl>
    <w:lvl w:ilvl="7" w:tplc="E146BEA8">
      <w:numFmt w:val="decimal"/>
      <w:lvlText w:val=""/>
      <w:lvlJc w:val="left"/>
    </w:lvl>
    <w:lvl w:ilvl="8" w:tplc="CE68157E">
      <w:numFmt w:val="decimal"/>
      <w:lvlText w:val=""/>
      <w:lvlJc w:val="left"/>
    </w:lvl>
  </w:abstractNum>
  <w:abstractNum w:abstractNumId="68">
    <w:nsid w:val="3F7C2FF4"/>
    <w:multiLevelType w:val="hybridMultilevel"/>
    <w:tmpl w:val="08668A40"/>
    <w:lvl w:ilvl="0" w:tplc="29609BA2">
      <w:start w:val="10"/>
      <w:numFmt w:val="lowerRoman"/>
      <w:lvlText w:val="(%1)"/>
      <w:lvlJc w:val="left"/>
    </w:lvl>
    <w:lvl w:ilvl="1" w:tplc="0D6E7F22">
      <w:start w:val="1"/>
      <w:numFmt w:val="lowerRoman"/>
      <w:lvlText w:val="(%2)"/>
      <w:lvlJc w:val="left"/>
    </w:lvl>
    <w:lvl w:ilvl="2" w:tplc="CF021012">
      <w:numFmt w:val="decimal"/>
      <w:lvlText w:val=""/>
      <w:lvlJc w:val="left"/>
    </w:lvl>
    <w:lvl w:ilvl="3" w:tplc="C536208E">
      <w:numFmt w:val="decimal"/>
      <w:lvlText w:val=""/>
      <w:lvlJc w:val="left"/>
    </w:lvl>
    <w:lvl w:ilvl="4" w:tplc="27B0F4D8">
      <w:numFmt w:val="decimal"/>
      <w:lvlText w:val=""/>
      <w:lvlJc w:val="left"/>
    </w:lvl>
    <w:lvl w:ilvl="5" w:tplc="890032FE">
      <w:numFmt w:val="decimal"/>
      <w:lvlText w:val=""/>
      <w:lvlJc w:val="left"/>
    </w:lvl>
    <w:lvl w:ilvl="6" w:tplc="B24C85A2">
      <w:numFmt w:val="decimal"/>
      <w:lvlText w:val=""/>
      <w:lvlJc w:val="left"/>
    </w:lvl>
    <w:lvl w:ilvl="7" w:tplc="322C2AB6">
      <w:numFmt w:val="decimal"/>
      <w:lvlText w:val=""/>
      <w:lvlJc w:val="left"/>
    </w:lvl>
    <w:lvl w:ilvl="8" w:tplc="D3C609C8">
      <w:numFmt w:val="decimal"/>
      <w:lvlText w:val=""/>
      <w:lvlJc w:val="left"/>
    </w:lvl>
  </w:abstractNum>
  <w:abstractNum w:abstractNumId="69">
    <w:nsid w:val="3FA62ACA"/>
    <w:multiLevelType w:val="hybridMultilevel"/>
    <w:tmpl w:val="F0B4D1B2"/>
    <w:lvl w:ilvl="0" w:tplc="3400710E">
      <w:start w:val="1"/>
      <w:numFmt w:val="bullet"/>
      <w:lvlText w:val="*"/>
      <w:lvlJc w:val="left"/>
    </w:lvl>
    <w:lvl w:ilvl="1" w:tplc="8D0A534E">
      <w:numFmt w:val="decimal"/>
      <w:lvlText w:val=""/>
      <w:lvlJc w:val="left"/>
    </w:lvl>
    <w:lvl w:ilvl="2" w:tplc="5672DE7E">
      <w:numFmt w:val="decimal"/>
      <w:lvlText w:val=""/>
      <w:lvlJc w:val="left"/>
    </w:lvl>
    <w:lvl w:ilvl="3" w:tplc="1FB0F6AE">
      <w:numFmt w:val="decimal"/>
      <w:lvlText w:val=""/>
      <w:lvlJc w:val="left"/>
    </w:lvl>
    <w:lvl w:ilvl="4" w:tplc="060E949C">
      <w:numFmt w:val="decimal"/>
      <w:lvlText w:val=""/>
      <w:lvlJc w:val="left"/>
    </w:lvl>
    <w:lvl w:ilvl="5" w:tplc="995A7B48">
      <w:numFmt w:val="decimal"/>
      <w:lvlText w:val=""/>
      <w:lvlJc w:val="left"/>
    </w:lvl>
    <w:lvl w:ilvl="6" w:tplc="F7E80582">
      <w:numFmt w:val="decimal"/>
      <w:lvlText w:val=""/>
      <w:lvlJc w:val="left"/>
    </w:lvl>
    <w:lvl w:ilvl="7" w:tplc="97CC1242">
      <w:numFmt w:val="decimal"/>
      <w:lvlText w:val=""/>
      <w:lvlJc w:val="left"/>
    </w:lvl>
    <w:lvl w:ilvl="8" w:tplc="AA306E08">
      <w:numFmt w:val="decimal"/>
      <w:lvlText w:val=""/>
      <w:lvlJc w:val="left"/>
    </w:lvl>
  </w:abstractNum>
  <w:abstractNum w:abstractNumId="70">
    <w:nsid w:val="3FC32E20"/>
    <w:multiLevelType w:val="hybridMultilevel"/>
    <w:tmpl w:val="256CEEF0"/>
    <w:lvl w:ilvl="0" w:tplc="33FA731E">
      <w:start w:val="86"/>
      <w:numFmt w:val="decimal"/>
      <w:lvlText w:val="%1"/>
      <w:lvlJc w:val="left"/>
    </w:lvl>
    <w:lvl w:ilvl="1" w:tplc="A2FC3FCC">
      <w:numFmt w:val="decimal"/>
      <w:lvlText w:val=""/>
      <w:lvlJc w:val="left"/>
    </w:lvl>
    <w:lvl w:ilvl="2" w:tplc="C52A64E4">
      <w:numFmt w:val="decimal"/>
      <w:lvlText w:val=""/>
      <w:lvlJc w:val="left"/>
    </w:lvl>
    <w:lvl w:ilvl="3" w:tplc="E4DA44C6">
      <w:numFmt w:val="decimal"/>
      <w:lvlText w:val=""/>
      <w:lvlJc w:val="left"/>
    </w:lvl>
    <w:lvl w:ilvl="4" w:tplc="BCC447EE">
      <w:numFmt w:val="decimal"/>
      <w:lvlText w:val=""/>
      <w:lvlJc w:val="left"/>
    </w:lvl>
    <w:lvl w:ilvl="5" w:tplc="EA6CBF80">
      <w:numFmt w:val="decimal"/>
      <w:lvlText w:val=""/>
      <w:lvlJc w:val="left"/>
    </w:lvl>
    <w:lvl w:ilvl="6" w:tplc="15F23744">
      <w:numFmt w:val="decimal"/>
      <w:lvlText w:val=""/>
      <w:lvlJc w:val="left"/>
    </w:lvl>
    <w:lvl w:ilvl="7" w:tplc="BD923140">
      <w:numFmt w:val="decimal"/>
      <w:lvlText w:val=""/>
      <w:lvlJc w:val="left"/>
    </w:lvl>
    <w:lvl w:ilvl="8" w:tplc="D5FCB5A4">
      <w:numFmt w:val="decimal"/>
      <w:lvlText w:val=""/>
      <w:lvlJc w:val="left"/>
    </w:lvl>
  </w:abstractNum>
  <w:abstractNum w:abstractNumId="71">
    <w:nsid w:val="415E286C"/>
    <w:multiLevelType w:val="hybridMultilevel"/>
    <w:tmpl w:val="297A96B2"/>
    <w:lvl w:ilvl="0" w:tplc="A5264B62">
      <w:start w:val="1"/>
      <w:numFmt w:val="bullet"/>
      <w:lvlText w:val="•"/>
      <w:lvlJc w:val="left"/>
    </w:lvl>
    <w:lvl w:ilvl="1" w:tplc="569E3CC8">
      <w:numFmt w:val="decimal"/>
      <w:lvlText w:val=""/>
      <w:lvlJc w:val="left"/>
    </w:lvl>
    <w:lvl w:ilvl="2" w:tplc="29F05F10">
      <w:numFmt w:val="decimal"/>
      <w:lvlText w:val=""/>
      <w:lvlJc w:val="left"/>
    </w:lvl>
    <w:lvl w:ilvl="3" w:tplc="867A9050">
      <w:numFmt w:val="decimal"/>
      <w:lvlText w:val=""/>
      <w:lvlJc w:val="left"/>
    </w:lvl>
    <w:lvl w:ilvl="4" w:tplc="D562AB5C">
      <w:numFmt w:val="decimal"/>
      <w:lvlText w:val=""/>
      <w:lvlJc w:val="left"/>
    </w:lvl>
    <w:lvl w:ilvl="5" w:tplc="7C6809EC">
      <w:numFmt w:val="decimal"/>
      <w:lvlText w:val=""/>
      <w:lvlJc w:val="left"/>
    </w:lvl>
    <w:lvl w:ilvl="6" w:tplc="E848D944">
      <w:numFmt w:val="decimal"/>
      <w:lvlText w:val=""/>
      <w:lvlJc w:val="left"/>
    </w:lvl>
    <w:lvl w:ilvl="7" w:tplc="C680D29C">
      <w:numFmt w:val="decimal"/>
      <w:lvlText w:val=""/>
      <w:lvlJc w:val="left"/>
    </w:lvl>
    <w:lvl w:ilvl="8" w:tplc="5E7A0C20">
      <w:numFmt w:val="decimal"/>
      <w:lvlText w:val=""/>
      <w:lvlJc w:val="left"/>
    </w:lvl>
  </w:abstractNum>
  <w:abstractNum w:abstractNumId="72">
    <w:nsid w:val="43F18422"/>
    <w:multiLevelType w:val="hybridMultilevel"/>
    <w:tmpl w:val="01AC8BB6"/>
    <w:lvl w:ilvl="0" w:tplc="6518B8FC">
      <w:start w:val="1"/>
      <w:numFmt w:val="bullet"/>
      <w:lvlText w:val="•"/>
      <w:lvlJc w:val="left"/>
    </w:lvl>
    <w:lvl w:ilvl="1" w:tplc="0FA69B76">
      <w:numFmt w:val="decimal"/>
      <w:lvlText w:val=""/>
      <w:lvlJc w:val="left"/>
    </w:lvl>
    <w:lvl w:ilvl="2" w:tplc="7D7205D0">
      <w:numFmt w:val="decimal"/>
      <w:lvlText w:val=""/>
      <w:lvlJc w:val="left"/>
    </w:lvl>
    <w:lvl w:ilvl="3" w:tplc="6FE2BFAE">
      <w:numFmt w:val="decimal"/>
      <w:lvlText w:val=""/>
      <w:lvlJc w:val="left"/>
    </w:lvl>
    <w:lvl w:ilvl="4" w:tplc="1D548696">
      <w:numFmt w:val="decimal"/>
      <w:lvlText w:val=""/>
      <w:lvlJc w:val="left"/>
    </w:lvl>
    <w:lvl w:ilvl="5" w:tplc="C91234E8">
      <w:numFmt w:val="decimal"/>
      <w:lvlText w:val=""/>
      <w:lvlJc w:val="left"/>
    </w:lvl>
    <w:lvl w:ilvl="6" w:tplc="F4F87D0E">
      <w:numFmt w:val="decimal"/>
      <w:lvlText w:val=""/>
      <w:lvlJc w:val="left"/>
    </w:lvl>
    <w:lvl w:ilvl="7" w:tplc="EB52309E">
      <w:numFmt w:val="decimal"/>
      <w:lvlText w:val=""/>
      <w:lvlJc w:val="left"/>
    </w:lvl>
    <w:lvl w:ilvl="8" w:tplc="7108D106">
      <w:numFmt w:val="decimal"/>
      <w:lvlText w:val=""/>
      <w:lvlJc w:val="left"/>
    </w:lvl>
  </w:abstractNum>
  <w:abstractNum w:abstractNumId="73">
    <w:nsid w:val="4427069A"/>
    <w:multiLevelType w:val="hybridMultilevel"/>
    <w:tmpl w:val="DF88F5D6"/>
    <w:lvl w:ilvl="0" w:tplc="C4F8EC72">
      <w:start w:val="1"/>
      <w:numFmt w:val="decimal"/>
      <w:lvlText w:val="(%1)"/>
      <w:lvlJc w:val="left"/>
    </w:lvl>
    <w:lvl w:ilvl="1" w:tplc="8EDC0ED4">
      <w:start w:val="1"/>
      <w:numFmt w:val="lowerRoman"/>
      <w:lvlText w:val="(%2)"/>
      <w:lvlJc w:val="left"/>
    </w:lvl>
    <w:lvl w:ilvl="2" w:tplc="43EAEFCE">
      <w:numFmt w:val="decimal"/>
      <w:lvlText w:val=""/>
      <w:lvlJc w:val="left"/>
    </w:lvl>
    <w:lvl w:ilvl="3" w:tplc="3300054E">
      <w:numFmt w:val="decimal"/>
      <w:lvlText w:val=""/>
      <w:lvlJc w:val="left"/>
    </w:lvl>
    <w:lvl w:ilvl="4" w:tplc="043260D6">
      <w:numFmt w:val="decimal"/>
      <w:lvlText w:val=""/>
      <w:lvlJc w:val="left"/>
    </w:lvl>
    <w:lvl w:ilvl="5" w:tplc="52E6C85C">
      <w:numFmt w:val="decimal"/>
      <w:lvlText w:val=""/>
      <w:lvlJc w:val="left"/>
    </w:lvl>
    <w:lvl w:ilvl="6" w:tplc="00507CB8">
      <w:numFmt w:val="decimal"/>
      <w:lvlText w:val=""/>
      <w:lvlJc w:val="left"/>
    </w:lvl>
    <w:lvl w:ilvl="7" w:tplc="234EAF04">
      <w:numFmt w:val="decimal"/>
      <w:lvlText w:val=""/>
      <w:lvlJc w:val="left"/>
    </w:lvl>
    <w:lvl w:ilvl="8" w:tplc="C58E7036">
      <w:numFmt w:val="decimal"/>
      <w:lvlText w:val=""/>
      <w:lvlJc w:val="left"/>
    </w:lvl>
  </w:abstractNum>
  <w:abstractNum w:abstractNumId="74">
    <w:nsid w:val="45E6D486"/>
    <w:multiLevelType w:val="hybridMultilevel"/>
    <w:tmpl w:val="B9EAE5DC"/>
    <w:lvl w:ilvl="0" w:tplc="DF24ED6E">
      <w:start w:val="1"/>
      <w:numFmt w:val="bullet"/>
      <w:lvlText w:val="X"/>
      <w:lvlJc w:val="left"/>
    </w:lvl>
    <w:lvl w:ilvl="1" w:tplc="500435EA">
      <w:numFmt w:val="decimal"/>
      <w:lvlText w:val=""/>
      <w:lvlJc w:val="left"/>
    </w:lvl>
    <w:lvl w:ilvl="2" w:tplc="E2CA027A">
      <w:numFmt w:val="decimal"/>
      <w:lvlText w:val=""/>
      <w:lvlJc w:val="left"/>
    </w:lvl>
    <w:lvl w:ilvl="3" w:tplc="44920314">
      <w:numFmt w:val="decimal"/>
      <w:lvlText w:val=""/>
      <w:lvlJc w:val="left"/>
    </w:lvl>
    <w:lvl w:ilvl="4" w:tplc="80AA8E34">
      <w:numFmt w:val="decimal"/>
      <w:lvlText w:val=""/>
      <w:lvlJc w:val="left"/>
    </w:lvl>
    <w:lvl w:ilvl="5" w:tplc="E2F6A1D4">
      <w:numFmt w:val="decimal"/>
      <w:lvlText w:val=""/>
      <w:lvlJc w:val="left"/>
    </w:lvl>
    <w:lvl w:ilvl="6" w:tplc="DB3648DC">
      <w:numFmt w:val="decimal"/>
      <w:lvlText w:val=""/>
      <w:lvlJc w:val="left"/>
    </w:lvl>
    <w:lvl w:ilvl="7" w:tplc="AEAA5A40">
      <w:numFmt w:val="decimal"/>
      <w:lvlText w:val=""/>
      <w:lvlJc w:val="left"/>
    </w:lvl>
    <w:lvl w:ilvl="8" w:tplc="C0B09A4C">
      <w:numFmt w:val="decimal"/>
      <w:lvlText w:val=""/>
      <w:lvlJc w:val="left"/>
    </w:lvl>
  </w:abstractNum>
  <w:abstractNum w:abstractNumId="75">
    <w:nsid w:val="46263DEC"/>
    <w:multiLevelType w:val="hybridMultilevel"/>
    <w:tmpl w:val="9BA4682E"/>
    <w:lvl w:ilvl="0" w:tplc="40DEFF4E">
      <w:start w:val="1"/>
      <w:numFmt w:val="lowerLetter"/>
      <w:lvlText w:val="(%1)"/>
      <w:lvlJc w:val="left"/>
    </w:lvl>
    <w:lvl w:ilvl="1" w:tplc="DAFC7BC6">
      <w:numFmt w:val="decimal"/>
      <w:lvlText w:val=""/>
      <w:lvlJc w:val="left"/>
    </w:lvl>
    <w:lvl w:ilvl="2" w:tplc="D3E24562">
      <w:numFmt w:val="decimal"/>
      <w:lvlText w:val=""/>
      <w:lvlJc w:val="left"/>
    </w:lvl>
    <w:lvl w:ilvl="3" w:tplc="4FE2F196">
      <w:numFmt w:val="decimal"/>
      <w:lvlText w:val=""/>
      <w:lvlJc w:val="left"/>
    </w:lvl>
    <w:lvl w:ilvl="4" w:tplc="979013D4">
      <w:numFmt w:val="decimal"/>
      <w:lvlText w:val=""/>
      <w:lvlJc w:val="left"/>
    </w:lvl>
    <w:lvl w:ilvl="5" w:tplc="33FEE2CA">
      <w:numFmt w:val="decimal"/>
      <w:lvlText w:val=""/>
      <w:lvlJc w:val="left"/>
    </w:lvl>
    <w:lvl w:ilvl="6" w:tplc="FB242052">
      <w:numFmt w:val="decimal"/>
      <w:lvlText w:val=""/>
      <w:lvlJc w:val="left"/>
    </w:lvl>
    <w:lvl w:ilvl="7" w:tplc="3E8018A6">
      <w:numFmt w:val="decimal"/>
      <w:lvlText w:val=""/>
      <w:lvlJc w:val="left"/>
    </w:lvl>
    <w:lvl w:ilvl="8" w:tplc="D82C92EE">
      <w:numFmt w:val="decimal"/>
      <w:lvlText w:val=""/>
      <w:lvlJc w:val="left"/>
    </w:lvl>
  </w:abstractNum>
  <w:abstractNum w:abstractNumId="76">
    <w:nsid w:val="46B7D447"/>
    <w:multiLevelType w:val="hybridMultilevel"/>
    <w:tmpl w:val="6D3871F2"/>
    <w:lvl w:ilvl="0" w:tplc="D8D62450">
      <w:start w:val="1"/>
      <w:numFmt w:val="bullet"/>
      <w:lvlText w:val="•"/>
      <w:lvlJc w:val="left"/>
    </w:lvl>
    <w:lvl w:ilvl="1" w:tplc="9DC080C8">
      <w:numFmt w:val="decimal"/>
      <w:lvlText w:val=""/>
      <w:lvlJc w:val="left"/>
    </w:lvl>
    <w:lvl w:ilvl="2" w:tplc="17C64970">
      <w:numFmt w:val="decimal"/>
      <w:lvlText w:val=""/>
      <w:lvlJc w:val="left"/>
    </w:lvl>
    <w:lvl w:ilvl="3" w:tplc="D0DC1436">
      <w:numFmt w:val="decimal"/>
      <w:lvlText w:val=""/>
      <w:lvlJc w:val="left"/>
    </w:lvl>
    <w:lvl w:ilvl="4" w:tplc="DCE8625C">
      <w:numFmt w:val="decimal"/>
      <w:lvlText w:val=""/>
      <w:lvlJc w:val="left"/>
    </w:lvl>
    <w:lvl w:ilvl="5" w:tplc="DA58E1C0">
      <w:numFmt w:val="decimal"/>
      <w:lvlText w:val=""/>
      <w:lvlJc w:val="left"/>
    </w:lvl>
    <w:lvl w:ilvl="6" w:tplc="487AD7F2">
      <w:numFmt w:val="decimal"/>
      <w:lvlText w:val=""/>
      <w:lvlJc w:val="left"/>
    </w:lvl>
    <w:lvl w:ilvl="7" w:tplc="1F30F122">
      <w:numFmt w:val="decimal"/>
      <w:lvlText w:val=""/>
      <w:lvlJc w:val="left"/>
    </w:lvl>
    <w:lvl w:ilvl="8" w:tplc="374CB776">
      <w:numFmt w:val="decimal"/>
      <w:lvlText w:val=""/>
      <w:lvlJc w:val="left"/>
    </w:lvl>
  </w:abstractNum>
  <w:abstractNum w:abstractNumId="77">
    <w:nsid w:val="4962813B"/>
    <w:multiLevelType w:val="hybridMultilevel"/>
    <w:tmpl w:val="936E87A2"/>
    <w:lvl w:ilvl="0" w:tplc="E47640C2">
      <w:start w:val="1"/>
      <w:numFmt w:val="bullet"/>
      <w:lvlText w:val="☐"/>
      <w:lvlJc w:val="left"/>
    </w:lvl>
    <w:lvl w:ilvl="1" w:tplc="CF5A5898">
      <w:numFmt w:val="decimal"/>
      <w:lvlText w:val=""/>
      <w:lvlJc w:val="left"/>
    </w:lvl>
    <w:lvl w:ilvl="2" w:tplc="2E0020DA">
      <w:numFmt w:val="decimal"/>
      <w:lvlText w:val=""/>
      <w:lvlJc w:val="left"/>
    </w:lvl>
    <w:lvl w:ilvl="3" w:tplc="ADCC1960">
      <w:numFmt w:val="decimal"/>
      <w:lvlText w:val=""/>
      <w:lvlJc w:val="left"/>
    </w:lvl>
    <w:lvl w:ilvl="4" w:tplc="DF184C7A">
      <w:numFmt w:val="decimal"/>
      <w:lvlText w:val=""/>
      <w:lvlJc w:val="left"/>
    </w:lvl>
    <w:lvl w:ilvl="5" w:tplc="7BEEC2CC">
      <w:numFmt w:val="decimal"/>
      <w:lvlText w:val=""/>
      <w:lvlJc w:val="left"/>
    </w:lvl>
    <w:lvl w:ilvl="6" w:tplc="808E5E32">
      <w:numFmt w:val="decimal"/>
      <w:lvlText w:val=""/>
      <w:lvlJc w:val="left"/>
    </w:lvl>
    <w:lvl w:ilvl="7" w:tplc="3A183620">
      <w:numFmt w:val="decimal"/>
      <w:lvlText w:val=""/>
      <w:lvlJc w:val="left"/>
    </w:lvl>
    <w:lvl w:ilvl="8" w:tplc="D076C194">
      <w:numFmt w:val="decimal"/>
      <w:lvlText w:val=""/>
      <w:lvlJc w:val="left"/>
    </w:lvl>
  </w:abstractNum>
  <w:abstractNum w:abstractNumId="78">
    <w:nsid w:val="49C0E823"/>
    <w:multiLevelType w:val="hybridMultilevel"/>
    <w:tmpl w:val="DABC1C30"/>
    <w:lvl w:ilvl="0" w:tplc="CFB257C8">
      <w:start w:val="1"/>
      <w:numFmt w:val="lowerLetter"/>
      <w:lvlText w:val="(%1)"/>
      <w:lvlJc w:val="left"/>
    </w:lvl>
    <w:lvl w:ilvl="1" w:tplc="13B20FE4">
      <w:start w:val="1"/>
      <w:numFmt w:val="lowerRoman"/>
      <w:lvlText w:val="(%2)"/>
      <w:lvlJc w:val="left"/>
    </w:lvl>
    <w:lvl w:ilvl="2" w:tplc="1E02A53C">
      <w:numFmt w:val="decimal"/>
      <w:lvlText w:val=""/>
      <w:lvlJc w:val="left"/>
    </w:lvl>
    <w:lvl w:ilvl="3" w:tplc="675CAB7E">
      <w:numFmt w:val="decimal"/>
      <w:lvlText w:val=""/>
      <w:lvlJc w:val="left"/>
    </w:lvl>
    <w:lvl w:ilvl="4" w:tplc="9F2498E2">
      <w:numFmt w:val="decimal"/>
      <w:lvlText w:val=""/>
      <w:lvlJc w:val="left"/>
    </w:lvl>
    <w:lvl w:ilvl="5" w:tplc="A51814EC">
      <w:numFmt w:val="decimal"/>
      <w:lvlText w:val=""/>
      <w:lvlJc w:val="left"/>
    </w:lvl>
    <w:lvl w:ilvl="6" w:tplc="2A348592">
      <w:numFmt w:val="decimal"/>
      <w:lvlText w:val=""/>
      <w:lvlJc w:val="left"/>
    </w:lvl>
    <w:lvl w:ilvl="7" w:tplc="D71A9B02">
      <w:numFmt w:val="decimal"/>
      <w:lvlText w:val=""/>
      <w:lvlJc w:val="left"/>
    </w:lvl>
    <w:lvl w:ilvl="8" w:tplc="34E6C63C">
      <w:numFmt w:val="decimal"/>
      <w:lvlText w:val=""/>
      <w:lvlJc w:val="left"/>
    </w:lvl>
  </w:abstractNum>
  <w:abstractNum w:abstractNumId="79">
    <w:nsid w:val="49D0FEAC"/>
    <w:multiLevelType w:val="hybridMultilevel"/>
    <w:tmpl w:val="534C1202"/>
    <w:lvl w:ilvl="0" w:tplc="4AD087A6">
      <w:start w:val="64"/>
      <w:numFmt w:val="decimal"/>
      <w:lvlText w:val="%1"/>
      <w:lvlJc w:val="left"/>
    </w:lvl>
    <w:lvl w:ilvl="1" w:tplc="4A92553E">
      <w:numFmt w:val="decimal"/>
      <w:lvlText w:val=""/>
      <w:lvlJc w:val="left"/>
    </w:lvl>
    <w:lvl w:ilvl="2" w:tplc="89A4CE42">
      <w:numFmt w:val="decimal"/>
      <w:lvlText w:val=""/>
      <w:lvlJc w:val="left"/>
    </w:lvl>
    <w:lvl w:ilvl="3" w:tplc="6D782BE8">
      <w:numFmt w:val="decimal"/>
      <w:lvlText w:val=""/>
      <w:lvlJc w:val="left"/>
    </w:lvl>
    <w:lvl w:ilvl="4" w:tplc="E2580924">
      <w:numFmt w:val="decimal"/>
      <w:lvlText w:val=""/>
      <w:lvlJc w:val="left"/>
    </w:lvl>
    <w:lvl w:ilvl="5" w:tplc="29C25396">
      <w:numFmt w:val="decimal"/>
      <w:lvlText w:val=""/>
      <w:lvlJc w:val="left"/>
    </w:lvl>
    <w:lvl w:ilvl="6" w:tplc="F1340FFC">
      <w:numFmt w:val="decimal"/>
      <w:lvlText w:val=""/>
      <w:lvlJc w:val="left"/>
    </w:lvl>
    <w:lvl w:ilvl="7" w:tplc="9CAAAE10">
      <w:numFmt w:val="decimal"/>
      <w:lvlText w:val=""/>
      <w:lvlJc w:val="left"/>
    </w:lvl>
    <w:lvl w:ilvl="8" w:tplc="355EB994">
      <w:numFmt w:val="decimal"/>
      <w:lvlText w:val=""/>
      <w:lvlJc w:val="left"/>
    </w:lvl>
  </w:abstractNum>
  <w:abstractNum w:abstractNumId="80">
    <w:nsid w:val="49DA307D"/>
    <w:multiLevelType w:val="hybridMultilevel"/>
    <w:tmpl w:val="2EBA01F8"/>
    <w:lvl w:ilvl="0" w:tplc="FC7E355C">
      <w:start w:val="4"/>
      <w:numFmt w:val="lowerRoman"/>
      <w:lvlText w:val="(%1)"/>
      <w:lvlJc w:val="left"/>
    </w:lvl>
    <w:lvl w:ilvl="1" w:tplc="7FE4C6DE">
      <w:numFmt w:val="decimal"/>
      <w:lvlText w:val=""/>
      <w:lvlJc w:val="left"/>
    </w:lvl>
    <w:lvl w:ilvl="2" w:tplc="E05823A2">
      <w:numFmt w:val="decimal"/>
      <w:lvlText w:val=""/>
      <w:lvlJc w:val="left"/>
    </w:lvl>
    <w:lvl w:ilvl="3" w:tplc="6B52BCAA">
      <w:numFmt w:val="decimal"/>
      <w:lvlText w:val=""/>
      <w:lvlJc w:val="left"/>
    </w:lvl>
    <w:lvl w:ilvl="4" w:tplc="3EF254EE">
      <w:numFmt w:val="decimal"/>
      <w:lvlText w:val=""/>
      <w:lvlJc w:val="left"/>
    </w:lvl>
    <w:lvl w:ilvl="5" w:tplc="A44C8A9C">
      <w:numFmt w:val="decimal"/>
      <w:lvlText w:val=""/>
      <w:lvlJc w:val="left"/>
    </w:lvl>
    <w:lvl w:ilvl="6" w:tplc="FA380272">
      <w:numFmt w:val="decimal"/>
      <w:lvlText w:val=""/>
      <w:lvlJc w:val="left"/>
    </w:lvl>
    <w:lvl w:ilvl="7" w:tplc="1E82AF88">
      <w:numFmt w:val="decimal"/>
      <w:lvlText w:val=""/>
      <w:lvlJc w:val="left"/>
    </w:lvl>
    <w:lvl w:ilvl="8" w:tplc="7F9CF224">
      <w:numFmt w:val="decimal"/>
      <w:lvlText w:val=""/>
      <w:lvlJc w:val="left"/>
    </w:lvl>
  </w:abstractNum>
  <w:abstractNum w:abstractNumId="81">
    <w:nsid w:val="4A2AC315"/>
    <w:multiLevelType w:val="hybridMultilevel"/>
    <w:tmpl w:val="DEFCEE88"/>
    <w:lvl w:ilvl="0" w:tplc="925449BA">
      <w:start w:val="1"/>
      <w:numFmt w:val="bullet"/>
      <w:lvlText w:val="•"/>
      <w:lvlJc w:val="left"/>
    </w:lvl>
    <w:lvl w:ilvl="1" w:tplc="F126C97A">
      <w:numFmt w:val="decimal"/>
      <w:lvlText w:val=""/>
      <w:lvlJc w:val="left"/>
    </w:lvl>
    <w:lvl w:ilvl="2" w:tplc="F9CEDA8A">
      <w:numFmt w:val="decimal"/>
      <w:lvlText w:val=""/>
      <w:lvlJc w:val="left"/>
    </w:lvl>
    <w:lvl w:ilvl="3" w:tplc="796493EA">
      <w:numFmt w:val="decimal"/>
      <w:lvlText w:val=""/>
      <w:lvlJc w:val="left"/>
    </w:lvl>
    <w:lvl w:ilvl="4" w:tplc="EE8E6628">
      <w:numFmt w:val="decimal"/>
      <w:lvlText w:val=""/>
      <w:lvlJc w:val="left"/>
    </w:lvl>
    <w:lvl w:ilvl="5" w:tplc="636C9CF0">
      <w:numFmt w:val="decimal"/>
      <w:lvlText w:val=""/>
      <w:lvlJc w:val="left"/>
    </w:lvl>
    <w:lvl w:ilvl="6" w:tplc="1EE453BA">
      <w:numFmt w:val="decimal"/>
      <w:lvlText w:val=""/>
      <w:lvlJc w:val="left"/>
    </w:lvl>
    <w:lvl w:ilvl="7" w:tplc="8438D72A">
      <w:numFmt w:val="decimal"/>
      <w:lvlText w:val=""/>
      <w:lvlJc w:val="left"/>
    </w:lvl>
    <w:lvl w:ilvl="8" w:tplc="142E704E">
      <w:numFmt w:val="decimal"/>
      <w:lvlText w:val=""/>
      <w:lvlJc w:val="left"/>
    </w:lvl>
  </w:abstractNum>
  <w:abstractNum w:abstractNumId="82">
    <w:nsid w:val="4BD8591A"/>
    <w:multiLevelType w:val="hybridMultilevel"/>
    <w:tmpl w:val="9C0A9B1E"/>
    <w:lvl w:ilvl="0" w:tplc="6B086D2C">
      <w:start w:val="1"/>
      <w:numFmt w:val="bullet"/>
      <w:lvlText w:val="**"/>
      <w:lvlJc w:val="left"/>
    </w:lvl>
    <w:lvl w:ilvl="1" w:tplc="BB8215A0">
      <w:numFmt w:val="decimal"/>
      <w:lvlText w:val=""/>
      <w:lvlJc w:val="left"/>
    </w:lvl>
    <w:lvl w:ilvl="2" w:tplc="ED84645C">
      <w:numFmt w:val="decimal"/>
      <w:lvlText w:val=""/>
      <w:lvlJc w:val="left"/>
    </w:lvl>
    <w:lvl w:ilvl="3" w:tplc="B6D827F0">
      <w:numFmt w:val="decimal"/>
      <w:lvlText w:val=""/>
      <w:lvlJc w:val="left"/>
    </w:lvl>
    <w:lvl w:ilvl="4" w:tplc="76867020">
      <w:numFmt w:val="decimal"/>
      <w:lvlText w:val=""/>
      <w:lvlJc w:val="left"/>
    </w:lvl>
    <w:lvl w:ilvl="5" w:tplc="0A6ACA38">
      <w:numFmt w:val="decimal"/>
      <w:lvlText w:val=""/>
      <w:lvlJc w:val="left"/>
    </w:lvl>
    <w:lvl w:ilvl="6" w:tplc="5D529722">
      <w:numFmt w:val="decimal"/>
      <w:lvlText w:val=""/>
      <w:lvlJc w:val="left"/>
    </w:lvl>
    <w:lvl w:ilvl="7" w:tplc="63D0BED6">
      <w:numFmt w:val="decimal"/>
      <w:lvlText w:val=""/>
      <w:lvlJc w:val="left"/>
    </w:lvl>
    <w:lvl w:ilvl="8" w:tplc="A47C968A">
      <w:numFmt w:val="decimal"/>
      <w:lvlText w:val=""/>
      <w:lvlJc w:val="left"/>
    </w:lvl>
  </w:abstractNum>
  <w:abstractNum w:abstractNumId="83">
    <w:nsid w:val="4BEE5A5B"/>
    <w:multiLevelType w:val="hybridMultilevel"/>
    <w:tmpl w:val="E160CD98"/>
    <w:lvl w:ilvl="0" w:tplc="BFEC3974">
      <w:start w:val="1"/>
      <w:numFmt w:val="bullet"/>
      <w:lvlText w:val="•"/>
      <w:lvlJc w:val="left"/>
    </w:lvl>
    <w:lvl w:ilvl="1" w:tplc="9AE60D44">
      <w:numFmt w:val="decimal"/>
      <w:lvlText w:val=""/>
      <w:lvlJc w:val="left"/>
    </w:lvl>
    <w:lvl w:ilvl="2" w:tplc="6CCC541C">
      <w:numFmt w:val="decimal"/>
      <w:lvlText w:val=""/>
      <w:lvlJc w:val="left"/>
    </w:lvl>
    <w:lvl w:ilvl="3" w:tplc="431601D2">
      <w:numFmt w:val="decimal"/>
      <w:lvlText w:val=""/>
      <w:lvlJc w:val="left"/>
    </w:lvl>
    <w:lvl w:ilvl="4" w:tplc="19B6E1EC">
      <w:numFmt w:val="decimal"/>
      <w:lvlText w:val=""/>
      <w:lvlJc w:val="left"/>
    </w:lvl>
    <w:lvl w:ilvl="5" w:tplc="C7942812">
      <w:numFmt w:val="decimal"/>
      <w:lvlText w:val=""/>
      <w:lvlJc w:val="left"/>
    </w:lvl>
    <w:lvl w:ilvl="6" w:tplc="C0EA5130">
      <w:numFmt w:val="decimal"/>
      <w:lvlText w:val=""/>
      <w:lvlJc w:val="left"/>
    </w:lvl>
    <w:lvl w:ilvl="7" w:tplc="32182870">
      <w:numFmt w:val="decimal"/>
      <w:lvlText w:val=""/>
      <w:lvlJc w:val="left"/>
    </w:lvl>
    <w:lvl w:ilvl="8" w:tplc="A3625866">
      <w:numFmt w:val="decimal"/>
      <w:lvlText w:val=""/>
      <w:lvlJc w:val="left"/>
    </w:lvl>
  </w:abstractNum>
  <w:abstractNum w:abstractNumId="84">
    <w:nsid w:val="4C04A8AF"/>
    <w:multiLevelType w:val="hybridMultilevel"/>
    <w:tmpl w:val="8AAE9E54"/>
    <w:lvl w:ilvl="0" w:tplc="6240ADB0">
      <w:start w:val="1"/>
      <w:numFmt w:val="bullet"/>
      <w:lvlText w:val="•"/>
      <w:lvlJc w:val="left"/>
    </w:lvl>
    <w:lvl w:ilvl="1" w:tplc="B31814CE">
      <w:numFmt w:val="decimal"/>
      <w:lvlText w:val=""/>
      <w:lvlJc w:val="left"/>
    </w:lvl>
    <w:lvl w:ilvl="2" w:tplc="A98AB880">
      <w:numFmt w:val="decimal"/>
      <w:lvlText w:val=""/>
      <w:lvlJc w:val="left"/>
    </w:lvl>
    <w:lvl w:ilvl="3" w:tplc="776023CA">
      <w:numFmt w:val="decimal"/>
      <w:lvlText w:val=""/>
      <w:lvlJc w:val="left"/>
    </w:lvl>
    <w:lvl w:ilvl="4" w:tplc="64B4C3EC">
      <w:numFmt w:val="decimal"/>
      <w:lvlText w:val=""/>
      <w:lvlJc w:val="left"/>
    </w:lvl>
    <w:lvl w:ilvl="5" w:tplc="EE70D438">
      <w:numFmt w:val="decimal"/>
      <w:lvlText w:val=""/>
      <w:lvlJc w:val="left"/>
    </w:lvl>
    <w:lvl w:ilvl="6" w:tplc="F0E891FE">
      <w:numFmt w:val="decimal"/>
      <w:lvlText w:val=""/>
      <w:lvlJc w:val="left"/>
    </w:lvl>
    <w:lvl w:ilvl="7" w:tplc="38883EBE">
      <w:numFmt w:val="decimal"/>
      <w:lvlText w:val=""/>
      <w:lvlJc w:val="left"/>
    </w:lvl>
    <w:lvl w:ilvl="8" w:tplc="4DAADA0E">
      <w:numFmt w:val="decimal"/>
      <w:lvlText w:val=""/>
      <w:lvlJc w:val="left"/>
    </w:lvl>
  </w:abstractNum>
  <w:abstractNum w:abstractNumId="85">
    <w:nsid w:val="4C9B0904"/>
    <w:multiLevelType w:val="hybridMultilevel"/>
    <w:tmpl w:val="B89E0D30"/>
    <w:lvl w:ilvl="0" w:tplc="372E4D28">
      <w:start w:val="1"/>
      <w:numFmt w:val="bullet"/>
      <w:lvlText w:val="•"/>
      <w:lvlJc w:val="left"/>
    </w:lvl>
    <w:lvl w:ilvl="1" w:tplc="886ACCEC">
      <w:numFmt w:val="decimal"/>
      <w:lvlText w:val=""/>
      <w:lvlJc w:val="left"/>
    </w:lvl>
    <w:lvl w:ilvl="2" w:tplc="15E8E1EA">
      <w:numFmt w:val="decimal"/>
      <w:lvlText w:val=""/>
      <w:lvlJc w:val="left"/>
    </w:lvl>
    <w:lvl w:ilvl="3" w:tplc="5C20CB7A">
      <w:numFmt w:val="decimal"/>
      <w:lvlText w:val=""/>
      <w:lvlJc w:val="left"/>
    </w:lvl>
    <w:lvl w:ilvl="4" w:tplc="ABF666D2">
      <w:numFmt w:val="decimal"/>
      <w:lvlText w:val=""/>
      <w:lvlJc w:val="left"/>
    </w:lvl>
    <w:lvl w:ilvl="5" w:tplc="DF182CEC">
      <w:numFmt w:val="decimal"/>
      <w:lvlText w:val=""/>
      <w:lvlJc w:val="left"/>
    </w:lvl>
    <w:lvl w:ilvl="6" w:tplc="BB5ADF62">
      <w:numFmt w:val="decimal"/>
      <w:lvlText w:val=""/>
      <w:lvlJc w:val="left"/>
    </w:lvl>
    <w:lvl w:ilvl="7" w:tplc="3050F7FE">
      <w:numFmt w:val="decimal"/>
      <w:lvlText w:val=""/>
      <w:lvlJc w:val="left"/>
    </w:lvl>
    <w:lvl w:ilvl="8" w:tplc="730C123C">
      <w:numFmt w:val="decimal"/>
      <w:lvlText w:val=""/>
      <w:lvlJc w:val="left"/>
    </w:lvl>
  </w:abstractNum>
  <w:abstractNum w:abstractNumId="86">
    <w:nsid w:val="4DF72E4E"/>
    <w:multiLevelType w:val="hybridMultilevel"/>
    <w:tmpl w:val="5A32A848"/>
    <w:lvl w:ilvl="0" w:tplc="7A023FBC">
      <w:start w:val="4"/>
      <w:numFmt w:val="decimal"/>
      <w:lvlText w:val="(%1)"/>
      <w:lvlJc w:val="left"/>
    </w:lvl>
    <w:lvl w:ilvl="1" w:tplc="5F90ADA2">
      <w:numFmt w:val="decimal"/>
      <w:lvlText w:val=""/>
      <w:lvlJc w:val="left"/>
    </w:lvl>
    <w:lvl w:ilvl="2" w:tplc="C656656C">
      <w:numFmt w:val="decimal"/>
      <w:lvlText w:val=""/>
      <w:lvlJc w:val="left"/>
    </w:lvl>
    <w:lvl w:ilvl="3" w:tplc="70C4B02A">
      <w:numFmt w:val="decimal"/>
      <w:lvlText w:val=""/>
      <w:lvlJc w:val="left"/>
    </w:lvl>
    <w:lvl w:ilvl="4" w:tplc="A62696AA">
      <w:numFmt w:val="decimal"/>
      <w:lvlText w:val=""/>
      <w:lvlJc w:val="left"/>
    </w:lvl>
    <w:lvl w:ilvl="5" w:tplc="A1C22996">
      <w:numFmt w:val="decimal"/>
      <w:lvlText w:val=""/>
      <w:lvlJc w:val="left"/>
    </w:lvl>
    <w:lvl w:ilvl="6" w:tplc="C36E0502">
      <w:numFmt w:val="decimal"/>
      <w:lvlText w:val=""/>
      <w:lvlJc w:val="left"/>
    </w:lvl>
    <w:lvl w:ilvl="7" w:tplc="7CE02204">
      <w:numFmt w:val="decimal"/>
      <w:lvlText w:val=""/>
      <w:lvlJc w:val="left"/>
    </w:lvl>
    <w:lvl w:ilvl="8" w:tplc="43C420A2">
      <w:numFmt w:val="decimal"/>
      <w:lvlText w:val=""/>
      <w:lvlJc w:val="left"/>
    </w:lvl>
  </w:abstractNum>
  <w:abstractNum w:abstractNumId="87">
    <w:nsid w:val="4F97E3E4"/>
    <w:multiLevelType w:val="hybridMultilevel"/>
    <w:tmpl w:val="5E6A86C8"/>
    <w:lvl w:ilvl="0" w:tplc="3482BD26">
      <w:start w:val="1"/>
      <w:numFmt w:val="bullet"/>
      <w:lvlText w:val="•"/>
      <w:lvlJc w:val="left"/>
    </w:lvl>
    <w:lvl w:ilvl="1" w:tplc="E45670BE">
      <w:numFmt w:val="decimal"/>
      <w:lvlText w:val=""/>
      <w:lvlJc w:val="left"/>
    </w:lvl>
    <w:lvl w:ilvl="2" w:tplc="BF3E3504">
      <w:numFmt w:val="decimal"/>
      <w:lvlText w:val=""/>
      <w:lvlJc w:val="left"/>
    </w:lvl>
    <w:lvl w:ilvl="3" w:tplc="52A6F9DA">
      <w:numFmt w:val="decimal"/>
      <w:lvlText w:val=""/>
      <w:lvlJc w:val="left"/>
    </w:lvl>
    <w:lvl w:ilvl="4" w:tplc="E5C08872">
      <w:numFmt w:val="decimal"/>
      <w:lvlText w:val=""/>
      <w:lvlJc w:val="left"/>
    </w:lvl>
    <w:lvl w:ilvl="5" w:tplc="194A9BDE">
      <w:numFmt w:val="decimal"/>
      <w:lvlText w:val=""/>
      <w:lvlJc w:val="left"/>
    </w:lvl>
    <w:lvl w:ilvl="6" w:tplc="2B28054C">
      <w:numFmt w:val="decimal"/>
      <w:lvlText w:val=""/>
      <w:lvlJc w:val="left"/>
    </w:lvl>
    <w:lvl w:ilvl="7" w:tplc="6D782C64">
      <w:numFmt w:val="decimal"/>
      <w:lvlText w:val=""/>
      <w:lvlJc w:val="left"/>
    </w:lvl>
    <w:lvl w:ilvl="8" w:tplc="85CA092C">
      <w:numFmt w:val="decimal"/>
      <w:lvlText w:val=""/>
      <w:lvlJc w:val="left"/>
    </w:lvl>
  </w:abstractNum>
  <w:abstractNum w:abstractNumId="88">
    <w:nsid w:val="5046B5A9"/>
    <w:multiLevelType w:val="hybridMultilevel"/>
    <w:tmpl w:val="6778F0B0"/>
    <w:lvl w:ilvl="0" w:tplc="2090B91A">
      <w:start w:val="52"/>
      <w:numFmt w:val="decimal"/>
      <w:lvlText w:val="%1"/>
      <w:lvlJc w:val="left"/>
    </w:lvl>
    <w:lvl w:ilvl="1" w:tplc="C27C979C">
      <w:numFmt w:val="decimal"/>
      <w:lvlText w:val=""/>
      <w:lvlJc w:val="left"/>
    </w:lvl>
    <w:lvl w:ilvl="2" w:tplc="A8C8A96E">
      <w:numFmt w:val="decimal"/>
      <w:lvlText w:val=""/>
      <w:lvlJc w:val="left"/>
    </w:lvl>
    <w:lvl w:ilvl="3" w:tplc="5E0A0A4C">
      <w:numFmt w:val="decimal"/>
      <w:lvlText w:val=""/>
      <w:lvlJc w:val="left"/>
    </w:lvl>
    <w:lvl w:ilvl="4" w:tplc="50A65CDA">
      <w:numFmt w:val="decimal"/>
      <w:lvlText w:val=""/>
      <w:lvlJc w:val="left"/>
    </w:lvl>
    <w:lvl w:ilvl="5" w:tplc="8E2A5FA4">
      <w:numFmt w:val="decimal"/>
      <w:lvlText w:val=""/>
      <w:lvlJc w:val="left"/>
    </w:lvl>
    <w:lvl w:ilvl="6" w:tplc="9376A144">
      <w:numFmt w:val="decimal"/>
      <w:lvlText w:val=""/>
      <w:lvlJc w:val="left"/>
    </w:lvl>
    <w:lvl w:ilvl="7" w:tplc="214A7528">
      <w:numFmt w:val="decimal"/>
      <w:lvlText w:val=""/>
      <w:lvlJc w:val="left"/>
    </w:lvl>
    <w:lvl w:ilvl="8" w:tplc="239A3D92">
      <w:numFmt w:val="decimal"/>
      <w:lvlText w:val=""/>
      <w:lvlJc w:val="left"/>
    </w:lvl>
  </w:abstractNum>
  <w:abstractNum w:abstractNumId="89">
    <w:nsid w:val="50801EE1"/>
    <w:multiLevelType w:val="hybridMultilevel"/>
    <w:tmpl w:val="929C14E6"/>
    <w:lvl w:ilvl="0" w:tplc="284A1D0E">
      <w:start w:val="18"/>
      <w:numFmt w:val="decimal"/>
      <w:lvlText w:val="%1"/>
      <w:lvlJc w:val="left"/>
    </w:lvl>
    <w:lvl w:ilvl="1" w:tplc="FD1A9C1A">
      <w:numFmt w:val="decimal"/>
      <w:lvlText w:val=""/>
      <w:lvlJc w:val="left"/>
    </w:lvl>
    <w:lvl w:ilvl="2" w:tplc="1450A198">
      <w:numFmt w:val="decimal"/>
      <w:lvlText w:val=""/>
      <w:lvlJc w:val="left"/>
    </w:lvl>
    <w:lvl w:ilvl="3" w:tplc="B608C19E">
      <w:numFmt w:val="decimal"/>
      <w:lvlText w:val=""/>
      <w:lvlJc w:val="left"/>
    </w:lvl>
    <w:lvl w:ilvl="4" w:tplc="4E2669F4">
      <w:numFmt w:val="decimal"/>
      <w:lvlText w:val=""/>
      <w:lvlJc w:val="left"/>
    </w:lvl>
    <w:lvl w:ilvl="5" w:tplc="482422E4">
      <w:numFmt w:val="decimal"/>
      <w:lvlText w:val=""/>
      <w:lvlJc w:val="left"/>
    </w:lvl>
    <w:lvl w:ilvl="6" w:tplc="1054A7FA">
      <w:numFmt w:val="decimal"/>
      <w:lvlText w:val=""/>
      <w:lvlJc w:val="left"/>
    </w:lvl>
    <w:lvl w:ilvl="7" w:tplc="B8006C68">
      <w:numFmt w:val="decimal"/>
      <w:lvlText w:val=""/>
      <w:lvlJc w:val="left"/>
    </w:lvl>
    <w:lvl w:ilvl="8" w:tplc="3DA8DBD0">
      <w:numFmt w:val="decimal"/>
      <w:lvlText w:val=""/>
      <w:lvlJc w:val="left"/>
    </w:lvl>
  </w:abstractNum>
  <w:abstractNum w:abstractNumId="90">
    <w:nsid w:val="5092CA79"/>
    <w:multiLevelType w:val="hybridMultilevel"/>
    <w:tmpl w:val="69F41F20"/>
    <w:lvl w:ilvl="0" w:tplc="8C8A16A0">
      <w:start w:val="1"/>
      <w:numFmt w:val="bullet"/>
      <w:lvlText w:val="•"/>
      <w:lvlJc w:val="left"/>
    </w:lvl>
    <w:lvl w:ilvl="1" w:tplc="76C25A5C">
      <w:numFmt w:val="decimal"/>
      <w:lvlText w:val=""/>
      <w:lvlJc w:val="left"/>
    </w:lvl>
    <w:lvl w:ilvl="2" w:tplc="E5E0481E">
      <w:numFmt w:val="decimal"/>
      <w:lvlText w:val=""/>
      <w:lvlJc w:val="left"/>
    </w:lvl>
    <w:lvl w:ilvl="3" w:tplc="2DAEB5A2">
      <w:numFmt w:val="decimal"/>
      <w:lvlText w:val=""/>
      <w:lvlJc w:val="left"/>
    </w:lvl>
    <w:lvl w:ilvl="4" w:tplc="B6BE10F4">
      <w:numFmt w:val="decimal"/>
      <w:lvlText w:val=""/>
      <w:lvlJc w:val="left"/>
    </w:lvl>
    <w:lvl w:ilvl="5" w:tplc="E16A1FC6">
      <w:numFmt w:val="decimal"/>
      <w:lvlText w:val=""/>
      <w:lvlJc w:val="left"/>
    </w:lvl>
    <w:lvl w:ilvl="6" w:tplc="2F1A4C4A">
      <w:numFmt w:val="decimal"/>
      <w:lvlText w:val=""/>
      <w:lvlJc w:val="left"/>
    </w:lvl>
    <w:lvl w:ilvl="7" w:tplc="401E14BA">
      <w:numFmt w:val="decimal"/>
      <w:lvlText w:val=""/>
      <w:lvlJc w:val="left"/>
    </w:lvl>
    <w:lvl w:ilvl="8" w:tplc="897E0E5E">
      <w:numFmt w:val="decimal"/>
      <w:lvlText w:val=""/>
      <w:lvlJc w:val="left"/>
    </w:lvl>
  </w:abstractNum>
  <w:abstractNum w:abstractNumId="91">
    <w:nsid w:val="51088277"/>
    <w:multiLevelType w:val="hybridMultilevel"/>
    <w:tmpl w:val="59F69B34"/>
    <w:lvl w:ilvl="0" w:tplc="C2945482">
      <w:start w:val="1"/>
      <w:numFmt w:val="bullet"/>
      <w:lvlText w:val="•"/>
      <w:lvlJc w:val="left"/>
    </w:lvl>
    <w:lvl w:ilvl="1" w:tplc="83A001A8">
      <w:numFmt w:val="decimal"/>
      <w:lvlText w:val=""/>
      <w:lvlJc w:val="left"/>
    </w:lvl>
    <w:lvl w:ilvl="2" w:tplc="DCC61120">
      <w:numFmt w:val="decimal"/>
      <w:lvlText w:val=""/>
      <w:lvlJc w:val="left"/>
    </w:lvl>
    <w:lvl w:ilvl="3" w:tplc="49F0DE3E">
      <w:numFmt w:val="decimal"/>
      <w:lvlText w:val=""/>
      <w:lvlJc w:val="left"/>
    </w:lvl>
    <w:lvl w:ilvl="4" w:tplc="852A1848">
      <w:numFmt w:val="decimal"/>
      <w:lvlText w:val=""/>
      <w:lvlJc w:val="left"/>
    </w:lvl>
    <w:lvl w:ilvl="5" w:tplc="F364CFB0">
      <w:numFmt w:val="decimal"/>
      <w:lvlText w:val=""/>
      <w:lvlJc w:val="left"/>
    </w:lvl>
    <w:lvl w:ilvl="6" w:tplc="4E6E6024">
      <w:numFmt w:val="decimal"/>
      <w:lvlText w:val=""/>
      <w:lvlJc w:val="left"/>
    </w:lvl>
    <w:lvl w:ilvl="7" w:tplc="B3C0439A">
      <w:numFmt w:val="decimal"/>
      <w:lvlText w:val=""/>
      <w:lvlJc w:val="left"/>
    </w:lvl>
    <w:lvl w:ilvl="8" w:tplc="D898E3B6">
      <w:numFmt w:val="decimal"/>
      <w:lvlText w:val=""/>
      <w:lvlJc w:val="left"/>
    </w:lvl>
  </w:abstractNum>
  <w:abstractNum w:abstractNumId="92">
    <w:nsid w:val="519E3149"/>
    <w:multiLevelType w:val="hybridMultilevel"/>
    <w:tmpl w:val="01FC5D68"/>
    <w:lvl w:ilvl="0" w:tplc="EB3AB438">
      <w:start w:val="50"/>
      <w:numFmt w:val="decimal"/>
      <w:lvlText w:val="%1"/>
      <w:lvlJc w:val="left"/>
    </w:lvl>
    <w:lvl w:ilvl="1" w:tplc="4030D3CA">
      <w:numFmt w:val="decimal"/>
      <w:lvlText w:val=""/>
      <w:lvlJc w:val="left"/>
    </w:lvl>
    <w:lvl w:ilvl="2" w:tplc="64FA5D54">
      <w:numFmt w:val="decimal"/>
      <w:lvlText w:val=""/>
      <w:lvlJc w:val="left"/>
    </w:lvl>
    <w:lvl w:ilvl="3" w:tplc="D5E65902">
      <w:numFmt w:val="decimal"/>
      <w:lvlText w:val=""/>
      <w:lvlJc w:val="left"/>
    </w:lvl>
    <w:lvl w:ilvl="4" w:tplc="FA68F71A">
      <w:numFmt w:val="decimal"/>
      <w:lvlText w:val=""/>
      <w:lvlJc w:val="left"/>
    </w:lvl>
    <w:lvl w:ilvl="5" w:tplc="64823960">
      <w:numFmt w:val="decimal"/>
      <w:lvlText w:val=""/>
      <w:lvlJc w:val="left"/>
    </w:lvl>
    <w:lvl w:ilvl="6" w:tplc="6B3C55F0">
      <w:numFmt w:val="decimal"/>
      <w:lvlText w:val=""/>
      <w:lvlJc w:val="left"/>
    </w:lvl>
    <w:lvl w:ilvl="7" w:tplc="2B3CF518">
      <w:numFmt w:val="decimal"/>
      <w:lvlText w:val=""/>
      <w:lvlJc w:val="left"/>
    </w:lvl>
    <w:lvl w:ilvl="8" w:tplc="62083446">
      <w:numFmt w:val="decimal"/>
      <w:lvlText w:val=""/>
      <w:lvlJc w:val="left"/>
    </w:lvl>
  </w:abstractNum>
  <w:abstractNum w:abstractNumId="93">
    <w:nsid w:val="53299938"/>
    <w:multiLevelType w:val="hybridMultilevel"/>
    <w:tmpl w:val="664E503C"/>
    <w:lvl w:ilvl="0" w:tplc="9612D570">
      <w:start w:val="28"/>
      <w:numFmt w:val="decimal"/>
      <w:lvlText w:val="%1"/>
      <w:lvlJc w:val="left"/>
    </w:lvl>
    <w:lvl w:ilvl="1" w:tplc="C77A1D06">
      <w:numFmt w:val="decimal"/>
      <w:lvlText w:val=""/>
      <w:lvlJc w:val="left"/>
    </w:lvl>
    <w:lvl w:ilvl="2" w:tplc="BE02C6A2">
      <w:numFmt w:val="decimal"/>
      <w:lvlText w:val=""/>
      <w:lvlJc w:val="left"/>
    </w:lvl>
    <w:lvl w:ilvl="3" w:tplc="C6CC2EDE">
      <w:numFmt w:val="decimal"/>
      <w:lvlText w:val=""/>
      <w:lvlJc w:val="left"/>
    </w:lvl>
    <w:lvl w:ilvl="4" w:tplc="5E9A9164">
      <w:numFmt w:val="decimal"/>
      <w:lvlText w:val=""/>
      <w:lvlJc w:val="left"/>
    </w:lvl>
    <w:lvl w:ilvl="5" w:tplc="3F08888C">
      <w:numFmt w:val="decimal"/>
      <w:lvlText w:val=""/>
      <w:lvlJc w:val="left"/>
    </w:lvl>
    <w:lvl w:ilvl="6" w:tplc="F89049F0">
      <w:numFmt w:val="decimal"/>
      <w:lvlText w:val=""/>
      <w:lvlJc w:val="left"/>
    </w:lvl>
    <w:lvl w:ilvl="7" w:tplc="01427AB8">
      <w:numFmt w:val="decimal"/>
      <w:lvlText w:val=""/>
      <w:lvlJc w:val="left"/>
    </w:lvl>
    <w:lvl w:ilvl="8" w:tplc="4E5CB6C0">
      <w:numFmt w:val="decimal"/>
      <w:lvlText w:val=""/>
      <w:lvlJc w:val="left"/>
    </w:lvl>
  </w:abstractNum>
  <w:abstractNum w:abstractNumId="94">
    <w:nsid w:val="53584BCB"/>
    <w:multiLevelType w:val="hybridMultilevel"/>
    <w:tmpl w:val="5FF00BB6"/>
    <w:lvl w:ilvl="0" w:tplc="9DFC4482">
      <w:start w:val="1"/>
      <w:numFmt w:val="bullet"/>
      <w:lvlText w:val="•"/>
      <w:lvlJc w:val="left"/>
    </w:lvl>
    <w:lvl w:ilvl="1" w:tplc="C18C893E">
      <w:numFmt w:val="decimal"/>
      <w:lvlText w:val=""/>
      <w:lvlJc w:val="left"/>
    </w:lvl>
    <w:lvl w:ilvl="2" w:tplc="9C5AA67A">
      <w:numFmt w:val="decimal"/>
      <w:lvlText w:val=""/>
      <w:lvlJc w:val="left"/>
    </w:lvl>
    <w:lvl w:ilvl="3" w:tplc="175217F4">
      <w:numFmt w:val="decimal"/>
      <w:lvlText w:val=""/>
      <w:lvlJc w:val="left"/>
    </w:lvl>
    <w:lvl w:ilvl="4" w:tplc="2B1C38F6">
      <w:numFmt w:val="decimal"/>
      <w:lvlText w:val=""/>
      <w:lvlJc w:val="left"/>
    </w:lvl>
    <w:lvl w:ilvl="5" w:tplc="A70C1286">
      <w:numFmt w:val="decimal"/>
      <w:lvlText w:val=""/>
      <w:lvlJc w:val="left"/>
    </w:lvl>
    <w:lvl w:ilvl="6" w:tplc="F364F228">
      <w:numFmt w:val="decimal"/>
      <w:lvlText w:val=""/>
      <w:lvlJc w:val="left"/>
    </w:lvl>
    <w:lvl w:ilvl="7" w:tplc="A0D8EE56">
      <w:numFmt w:val="decimal"/>
      <w:lvlText w:val=""/>
      <w:lvlJc w:val="left"/>
    </w:lvl>
    <w:lvl w:ilvl="8" w:tplc="E78A251C">
      <w:numFmt w:val="decimal"/>
      <w:lvlText w:val=""/>
      <w:lvlJc w:val="left"/>
    </w:lvl>
  </w:abstractNum>
  <w:abstractNum w:abstractNumId="95">
    <w:nsid w:val="5399C654"/>
    <w:multiLevelType w:val="hybridMultilevel"/>
    <w:tmpl w:val="DCFAFE6C"/>
    <w:lvl w:ilvl="0" w:tplc="1982D036">
      <w:start w:val="3"/>
      <w:numFmt w:val="decimal"/>
      <w:lvlText w:val="(%1)"/>
      <w:lvlJc w:val="left"/>
    </w:lvl>
    <w:lvl w:ilvl="1" w:tplc="497EB438">
      <w:numFmt w:val="decimal"/>
      <w:lvlText w:val=""/>
      <w:lvlJc w:val="left"/>
    </w:lvl>
    <w:lvl w:ilvl="2" w:tplc="53648D70">
      <w:numFmt w:val="decimal"/>
      <w:lvlText w:val=""/>
      <w:lvlJc w:val="left"/>
    </w:lvl>
    <w:lvl w:ilvl="3" w:tplc="63948ECC">
      <w:numFmt w:val="decimal"/>
      <w:lvlText w:val=""/>
      <w:lvlJc w:val="left"/>
    </w:lvl>
    <w:lvl w:ilvl="4" w:tplc="A0A2F74C">
      <w:numFmt w:val="decimal"/>
      <w:lvlText w:val=""/>
      <w:lvlJc w:val="left"/>
    </w:lvl>
    <w:lvl w:ilvl="5" w:tplc="CB1A2A50">
      <w:numFmt w:val="decimal"/>
      <w:lvlText w:val=""/>
      <w:lvlJc w:val="left"/>
    </w:lvl>
    <w:lvl w:ilvl="6" w:tplc="855A43F8">
      <w:numFmt w:val="decimal"/>
      <w:lvlText w:val=""/>
      <w:lvlJc w:val="left"/>
    </w:lvl>
    <w:lvl w:ilvl="7" w:tplc="E000EBF8">
      <w:numFmt w:val="decimal"/>
      <w:lvlText w:val=""/>
      <w:lvlJc w:val="left"/>
    </w:lvl>
    <w:lvl w:ilvl="8" w:tplc="19ECDB48">
      <w:numFmt w:val="decimal"/>
      <w:lvlText w:val=""/>
      <w:lvlJc w:val="left"/>
    </w:lvl>
  </w:abstractNum>
  <w:abstractNum w:abstractNumId="96">
    <w:nsid w:val="5551B9F3"/>
    <w:multiLevelType w:val="hybridMultilevel"/>
    <w:tmpl w:val="9DAC4BDE"/>
    <w:lvl w:ilvl="0" w:tplc="0676195C">
      <w:start w:val="1"/>
      <w:numFmt w:val="bullet"/>
      <w:lvlText w:val="•"/>
      <w:lvlJc w:val="left"/>
    </w:lvl>
    <w:lvl w:ilvl="1" w:tplc="51988714">
      <w:numFmt w:val="decimal"/>
      <w:lvlText w:val=""/>
      <w:lvlJc w:val="left"/>
    </w:lvl>
    <w:lvl w:ilvl="2" w:tplc="6C800042">
      <w:numFmt w:val="decimal"/>
      <w:lvlText w:val=""/>
      <w:lvlJc w:val="left"/>
    </w:lvl>
    <w:lvl w:ilvl="3" w:tplc="53AC7866">
      <w:numFmt w:val="decimal"/>
      <w:lvlText w:val=""/>
      <w:lvlJc w:val="left"/>
    </w:lvl>
    <w:lvl w:ilvl="4" w:tplc="4A5C1A10">
      <w:numFmt w:val="decimal"/>
      <w:lvlText w:val=""/>
      <w:lvlJc w:val="left"/>
    </w:lvl>
    <w:lvl w:ilvl="5" w:tplc="5450D402">
      <w:numFmt w:val="decimal"/>
      <w:lvlText w:val=""/>
      <w:lvlJc w:val="left"/>
    </w:lvl>
    <w:lvl w:ilvl="6" w:tplc="FB70B342">
      <w:numFmt w:val="decimal"/>
      <w:lvlText w:val=""/>
      <w:lvlJc w:val="left"/>
    </w:lvl>
    <w:lvl w:ilvl="7" w:tplc="9FFCF492">
      <w:numFmt w:val="decimal"/>
      <w:lvlText w:val=""/>
      <w:lvlJc w:val="left"/>
    </w:lvl>
    <w:lvl w:ilvl="8" w:tplc="1DDE1E06">
      <w:numFmt w:val="decimal"/>
      <w:lvlText w:val=""/>
      <w:lvlJc w:val="left"/>
    </w:lvl>
  </w:abstractNum>
  <w:abstractNum w:abstractNumId="97">
    <w:nsid w:val="555C55B5"/>
    <w:multiLevelType w:val="hybridMultilevel"/>
    <w:tmpl w:val="ECD41604"/>
    <w:lvl w:ilvl="0" w:tplc="DE923536">
      <w:start w:val="24"/>
      <w:numFmt w:val="decimal"/>
      <w:lvlText w:val="%1"/>
      <w:lvlJc w:val="left"/>
    </w:lvl>
    <w:lvl w:ilvl="1" w:tplc="EA4E76D4">
      <w:numFmt w:val="decimal"/>
      <w:lvlText w:val=""/>
      <w:lvlJc w:val="left"/>
    </w:lvl>
    <w:lvl w:ilvl="2" w:tplc="0496394C">
      <w:numFmt w:val="decimal"/>
      <w:lvlText w:val=""/>
      <w:lvlJc w:val="left"/>
    </w:lvl>
    <w:lvl w:ilvl="3" w:tplc="AB788B46">
      <w:numFmt w:val="decimal"/>
      <w:lvlText w:val=""/>
      <w:lvlJc w:val="left"/>
    </w:lvl>
    <w:lvl w:ilvl="4" w:tplc="7700C264">
      <w:numFmt w:val="decimal"/>
      <w:lvlText w:val=""/>
      <w:lvlJc w:val="left"/>
    </w:lvl>
    <w:lvl w:ilvl="5" w:tplc="0F1AC152">
      <w:numFmt w:val="decimal"/>
      <w:lvlText w:val=""/>
      <w:lvlJc w:val="left"/>
    </w:lvl>
    <w:lvl w:ilvl="6" w:tplc="EB803E6A">
      <w:numFmt w:val="decimal"/>
      <w:lvlText w:val=""/>
      <w:lvlJc w:val="left"/>
    </w:lvl>
    <w:lvl w:ilvl="7" w:tplc="C5C0CD00">
      <w:numFmt w:val="decimal"/>
      <w:lvlText w:val=""/>
      <w:lvlJc w:val="left"/>
    </w:lvl>
    <w:lvl w:ilvl="8" w:tplc="09E0235C">
      <w:numFmt w:val="decimal"/>
      <w:lvlText w:val=""/>
      <w:lvlJc w:val="left"/>
    </w:lvl>
  </w:abstractNum>
  <w:abstractNum w:abstractNumId="98">
    <w:nsid w:val="56438D15"/>
    <w:multiLevelType w:val="hybridMultilevel"/>
    <w:tmpl w:val="508C8FCE"/>
    <w:lvl w:ilvl="0" w:tplc="3A926AA8">
      <w:start w:val="1"/>
      <w:numFmt w:val="bullet"/>
      <w:lvlText w:val="•"/>
      <w:lvlJc w:val="left"/>
    </w:lvl>
    <w:lvl w:ilvl="1" w:tplc="4236A390">
      <w:numFmt w:val="decimal"/>
      <w:lvlText w:val=""/>
      <w:lvlJc w:val="left"/>
    </w:lvl>
    <w:lvl w:ilvl="2" w:tplc="5116208C">
      <w:numFmt w:val="decimal"/>
      <w:lvlText w:val=""/>
      <w:lvlJc w:val="left"/>
    </w:lvl>
    <w:lvl w:ilvl="3" w:tplc="FB28D5CC">
      <w:numFmt w:val="decimal"/>
      <w:lvlText w:val=""/>
      <w:lvlJc w:val="left"/>
    </w:lvl>
    <w:lvl w:ilvl="4" w:tplc="97FAE9E4">
      <w:numFmt w:val="decimal"/>
      <w:lvlText w:val=""/>
      <w:lvlJc w:val="left"/>
    </w:lvl>
    <w:lvl w:ilvl="5" w:tplc="65A4C5BE">
      <w:numFmt w:val="decimal"/>
      <w:lvlText w:val=""/>
      <w:lvlJc w:val="left"/>
    </w:lvl>
    <w:lvl w:ilvl="6" w:tplc="83BAE49A">
      <w:numFmt w:val="decimal"/>
      <w:lvlText w:val=""/>
      <w:lvlJc w:val="left"/>
    </w:lvl>
    <w:lvl w:ilvl="7" w:tplc="6652F46A">
      <w:numFmt w:val="decimal"/>
      <w:lvlText w:val=""/>
      <w:lvlJc w:val="left"/>
    </w:lvl>
    <w:lvl w:ilvl="8" w:tplc="2F98268A">
      <w:numFmt w:val="decimal"/>
      <w:lvlText w:val=""/>
      <w:lvlJc w:val="left"/>
    </w:lvl>
  </w:abstractNum>
  <w:abstractNum w:abstractNumId="99">
    <w:nsid w:val="5675FF36"/>
    <w:multiLevelType w:val="hybridMultilevel"/>
    <w:tmpl w:val="D966D6AC"/>
    <w:lvl w:ilvl="0" w:tplc="1B2CE6EE">
      <w:start w:val="1"/>
      <w:numFmt w:val="decimal"/>
      <w:lvlText w:val="(%1)"/>
      <w:lvlJc w:val="left"/>
    </w:lvl>
    <w:lvl w:ilvl="1" w:tplc="B91E2984">
      <w:numFmt w:val="decimal"/>
      <w:lvlText w:val=""/>
      <w:lvlJc w:val="left"/>
    </w:lvl>
    <w:lvl w:ilvl="2" w:tplc="13DE955C">
      <w:numFmt w:val="decimal"/>
      <w:lvlText w:val=""/>
      <w:lvlJc w:val="left"/>
    </w:lvl>
    <w:lvl w:ilvl="3" w:tplc="980C9A46">
      <w:numFmt w:val="decimal"/>
      <w:lvlText w:val=""/>
      <w:lvlJc w:val="left"/>
    </w:lvl>
    <w:lvl w:ilvl="4" w:tplc="0B924CAC">
      <w:numFmt w:val="decimal"/>
      <w:lvlText w:val=""/>
      <w:lvlJc w:val="left"/>
    </w:lvl>
    <w:lvl w:ilvl="5" w:tplc="D4E6293C">
      <w:numFmt w:val="decimal"/>
      <w:lvlText w:val=""/>
      <w:lvlJc w:val="left"/>
    </w:lvl>
    <w:lvl w:ilvl="6" w:tplc="4800A86E">
      <w:numFmt w:val="decimal"/>
      <w:lvlText w:val=""/>
      <w:lvlJc w:val="left"/>
    </w:lvl>
    <w:lvl w:ilvl="7" w:tplc="09D82258">
      <w:numFmt w:val="decimal"/>
      <w:lvlText w:val=""/>
      <w:lvlJc w:val="left"/>
    </w:lvl>
    <w:lvl w:ilvl="8" w:tplc="0BC25BD0">
      <w:numFmt w:val="decimal"/>
      <w:lvlText w:val=""/>
      <w:lvlJc w:val="left"/>
    </w:lvl>
  </w:abstractNum>
  <w:abstractNum w:abstractNumId="100">
    <w:nsid w:val="579328B9"/>
    <w:multiLevelType w:val="hybridMultilevel"/>
    <w:tmpl w:val="70A6F63A"/>
    <w:lvl w:ilvl="0" w:tplc="ACC2050A">
      <w:start w:val="27"/>
      <w:numFmt w:val="lowerLetter"/>
      <w:lvlText w:val="(%1)"/>
      <w:lvlJc w:val="left"/>
    </w:lvl>
    <w:lvl w:ilvl="1" w:tplc="BBC0496E">
      <w:numFmt w:val="decimal"/>
      <w:lvlText w:val=""/>
      <w:lvlJc w:val="left"/>
    </w:lvl>
    <w:lvl w:ilvl="2" w:tplc="5DE21160">
      <w:numFmt w:val="decimal"/>
      <w:lvlText w:val=""/>
      <w:lvlJc w:val="left"/>
    </w:lvl>
    <w:lvl w:ilvl="3" w:tplc="10469FE4">
      <w:numFmt w:val="decimal"/>
      <w:lvlText w:val=""/>
      <w:lvlJc w:val="left"/>
    </w:lvl>
    <w:lvl w:ilvl="4" w:tplc="97B8F232">
      <w:numFmt w:val="decimal"/>
      <w:lvlText w:val=""/>
      <w:lvlJc w:val="left"/>
    </w:lvl>
    <w:lvl w:ilvl="5" w:tplc="07D27652">
      <w:numFmt w:val="decimal"/>
      <w:lvlText w:val=""/>
      <w:lvlJc w:val="left"/>
    </w:lvl>
    <w:lvl w:ilvl="6" w:tplc="8998294A">
      <w:numFmt w:val="decimal"/>
      <w:lvlText w:val=""/>
      <w:lvlJc w:val="left"/>
    </w:lvl>
    <w:lvl w:ilvl="7" w:tplc="54CA3612">
      <w:numFmt w:val="decimal"/>
      <w:lvlText w:val=""/>
      <w:lvlJc w:val="left"/>
    </w:lvl>
    <w:lvl w:ilvl="8" w:tplc="E2C076A0">
      <w:numFmt w:val="decimal"/>
      <w:lvlText w:val=""/>
      <w:lvlJc w:val="left"/>
    </w:lvl>
  </w:abstractNum>
  <w:abstractNum w:abstractNumId="101">
    <w:nsid w:val="57A61A29"/>
    <w:multiLevelType w:val="hybridMultilevel"/>
    <w:tmpl w:val="94CE2CD2"/>
    <w:lvl w:ilvl="0" w:tplc="E2CEBB7A">
      <w:start w:val="1"/>
      <w:numFmt w:val="decimal"/>
      <w:lvlText w:val="(%1)"/>
      <w:lvlJc w:val="left"/>
    </w:lvl>
    <w:lvl w:ilvl="1" w:tplc="C6BA4A96">
      <w:numFmt w:val="decimal"/>
      <w:lvlText w:val=""/>
      <w:lvlJc w:val="left"/>
    </w:lvl>
    <w:lvl w:ilvl="2" w:tplc="D8CA6A54">
      <w:numFmt w:val="decimal"/>
      <w:lvlText w:val=""/>
      <w:lvlJc w:val="left"/>
    </w:lvl>
    <w:lvl w:ilvl="3" w:tplc="B7D29ED8">
      <w:numFmt w:val="decimal"/>
      <w:lvlText w:val=""/>
      <w:lvlJc w:val="left"/>
    </w:lvl>
    <w:lvl w:ilvl="4" w:tplc="31A26788">
      <w:numFmt w:val="decimal"/>
      <w:lvlText w:val=""/>
      <w:lvlJc w:val="left"/>
    </w:lvl>
    <w:lvl w:ilvl="5" w:tplc="4634AFF2">
      <w:numFmt w:val="decimal"/>
      <w:lvlText w:val=""/>
      <w:lvlJc w:val="left"/>
    </w:lvl>
    <w:lvl w:ilvl="6" w:tplc="523A1184">
      <w:numFmt w:val="decimal"/>
      <w:lvlText w:val=""/>
      <w:lvlJc w:val="left"/>
    </w:lvl>
    <w:lvl w:ilvl="7" w:tplc="32F65738">
      <w:numFmt w:val="decimal"/>
      <w:lvlText w:val=""/>
      <w:lvlJc w:val="left"/>
    </w:lvl>
    <w:lvl w:ilvl="8" w:tplc="9B300882">
      <w:numFmt w:val="decimal"/>
      <w:lvlText w:val=""/>
      <w:lvlJc w:val="left"/>
    </w:lvl>
  </w:abstractNum>
  <w:abstractNum w:abstractNumId="102">
    <w:nsid w:val="57C7D42D"/>
    <w:multiLevelType w:val="hybridMultilevel"/>
    <w:tmpl w:val="F5AEB214"/>
    <w:lvl w:ilvl="0" w:tplc="4BAA4F4C">
      <w:start w:val="1"/>
      <w:numFmt w:val="lowerLetter"/>
      <w:lvlText w:val="(%1)"/>
      <w:lvlJc w:val="left"/>
    </w:lvl>
    <w:lvl w:ilvl="1" w:tplc="954E6116">
      <w:numFmt w:val="decimal"/>
      <w:lvlText w:val=""/>
      <w:lvlJc w:val="left"/>
    </w:lvl>
    <w:lvl w:ilvl="2" w:tplc="F0C6779A">
      <w:numFmt w:val="decimal"/>
      <w:lvlText w:val=""/>
      <w:lvlJc w:val="left"/>
    </w:lvl>
    <w:lvl w:ilvl="3" w:tplc="A962BE2E">
      <w:numFmt w:val="decimal"/>
      <w:lvlText w:val=""/>
      <w:lvlJc w:val="left"/>
    </w:lvl>
    <w:lvl w:ilvl="4" w:tplc="66B00256">
      <w:numFmt w:val="decimal"/>
      <w:lvlText w:val=""/>
      <w:lvlJc w:val="left"/>
    </w:lvl>
    <w:lvl w:ilvl="5" w:tplc="F50E9A4A">
      <w:numFmt w:val="decimal"/>
      <w:lvlText w:val=""/>
      <w:lvlJc w:val="left"/>
    </w:lvl>
    <w:lvl w:ilvl="6" w:tplc="A0E0355C">
      <w:numFmt w:val="decimal"/>
      <w:lvlText w:val=""/>
      <w:lvlJc w:val="left"/>
    </w:lvl>
    <w:lvl w:ilvl="7" w:tplc="7194CBEC">
      <w:numFmt w:val="decimal"/>
      <w:lvlText w:val=""/>
      <w:lvlJc w:val="left"/>
    </w:lvl>
    <w:lvl w:ilvl="8" w:tplc="B5CA78D0">
      <w:numFmt w:val="decimal"/>
      <w:lvlText w:val=""/>
      <w:lvlJc w:val="left"/>
    </w:lvl>
  </w:abstractNum>
  <w:abstractNum w:abstractNumId="103">
    <w:nsid w:val="57D2F10E"/>
    <w:multiLevelType w:val="hybridMultilevel"/>
    <w:tmpl w:val="6E74B75E"/>
    <w:lvl w:ilvl="0" w:tplc="49B40DC8">
      <w:start w:val="62"/>
      <w:numFmt w:val="decimal"/>
      <w:lvlText w:val="%1"/>
      <w:lvlJc w:val="left"/>
    </w:lvl>
    <w:lvl w:ilvl="1" w:tplc="F5E63662">
      <w:numFmt w:val="decimal"/>
      <w:lvlText w:val=""/>
      <w:lvlJc w:val="left"/>
    </w:lvl>
    <w:lvl w:ilvl="2" w:tplc="AAAC3CCA">
      <w:numFmt w:val="decimal"/>
      <w:lvlText w:val=""/>
      <w:lvlJc w:val="left"/>
    </w:lvl>
    <w:lvl w:ilvl="3" w:tplc="94E6D2EC">
      <w:numFmt w:val="decimal"/>
      <w:lvlText w:val=""/>
      <w:lvlJc w:val="left"/>
    </w:lvl>
    <w:lvl w:ilvl="4" w:tplc="66F075BE">
      <w:numFmt w:val="decimal"/>
      <w:lvlText w:val=""/>
      <w:lvlJc w:val="left"/>
    </w:lvl>
    <w:lvl w:ilvl="5" w:tplc="6DF6F554">
      <w:numFmt w:val="decimal"/>
      <w:lvlText w:val=""/>
      <w:lvlJc w:val="left"/>
    </w:lvl>
    <w:lvl w:ilvl="6" w:tplc="3E745CEE">
      <w:numFmt w:val="decimal"/>
      <w:lvlText w:val=""/>
      <w:lvlJc w:val="left"/>
    </w:lvl>
    <w:lvl w:ilvl="7" w:tplc="A4FA9FDA">
      <w:numFmt w:val="decimal"/>
      <w:lvlText w:val=""/>
      <w:lvlJc w:val="left"/>
    </w:lvl>
    <w:lvl w:ilvl="8" w:tplc="F208A32C">
      <w:numFmt w:val="decimal"/>
      <w:lvlText w:val=""/>
      <w:lvlJc w:val="left"/>
    </w:lvl>
  </w:abstractNum>
  <w:abstractNum w:abstractNumId="104">
    <w:nsid w:val="57FC4FBB"/>
    <w:multiLevelType w:val="hybridMultilevel"/>
    <w:tmpl w:val="A6C43D86"/>
    <w:lvl w:ilvl="0" w:tplc="972A97A8">
      <w:start w:val="14"/>
      <w:numFmt w:val="decimal"/>
      <w:lvlText w:val="%1"/>
      <w:lvlJc w:val="left"/>
    </w:lvl>
    <w:lvl w:ilvl="1" w:tplc="6DC80042">
      <w:numFmt w:val="decimal"/>
      <w:lvlText w:val=""/>
      <w:lvlJc w:val="left"/>
    </w:lvl>
    <w:lvl w:ilvl="2" w:tplc="49C09EF2">
      <w:numFmt w:val="decimal"/>
      <w:lvlText w:val=""/>
      <w:lvlJc w:val="left"/>
    </w:lvl>
    <w:lvl w:ilvl="3" w:tplc="1C6CCCE0">
      <w:numFmt w:val="decimal"/>
      <w:lvlText w:val=""/>
      <w:lvlJc w:val="left"/>
    </w:lvl>
    <w:lvl w:ilvl="4" w:tplc="56C08372">
      <w:numFmt w:val="decimal"/>
      <w:lvlText w:val=""/>
      <w:lvlJc w:val="left"/>
    </w:lvl>
    <w:lvl w:ilvl="5" w:tplc="440C0678">
      <w:numFmt w:val="decimal"/>
      <w:lvlText w:val=""/>
      <w:lvlJc w:val="left"/>
    </w:lvl>
    <w:lvl w:ilvl="6" w:tplc="8EAE236C">
      <w:numFmt w:val="decimal"/>
      <w:lvlText w:val=""/>
      <w:lvlJc w:val="left"/>
    </w:lvl>
    <w:lvl w:ilvl="7" w:tplc="5B3A478C">
      <w:numFmt w:val="decimal"/>
      <w:lvlText w:val=""/>
      <w:lvlJc w:val="left"/>
    </w:lvl>
    <w:lvl w:ilvl="8" w:tplc="370672B8">
      <w:numFmt w:val="decimal"/>
      <w:lvlText w:val=""/>
      <w:lvlJc w:val="left"/>
    </w:lvl>
  </w:abstractNum>
  <w:abstractNum w:abstractNumId="105">
    <w:nsid w:val="5915FF32"/>
    <w:multiLevelType w:val="hybridMultilevel"/>
    <w:tmpl w:val="59767082"/>
    <w:lvl w:ilvl="0" w:tplc="CC7AE95E">
      <w:start w:val="1"/>
      <w:numFmt w:val="bullet"/>
      <w:lvlText w:val="•"/>
      <w:lvlJc w:val="left"/>
    </w:lvl>
    <w:lvl w:ilvl="1" w:tplc="5F6C1E2C">
      <w:numFmt w:val="decimal"/>
      <w:lvlText w:val=""/>
      <w:lvlJc w:val="left"/>
    </w:lvl>
    <w:lvl w:ilvl="2" w:tplc="F0BE7200">
      <w:numFmt w:val="decimal"/>
      <w:lvlText w:val=""/>
      <w:lvlJc w:val="left"/>
    </w:lvl>
    <w:lvl w:ilvl="3" w:tplc="DDF0FD50">
      <w:numFmt w:val="decimal"/>
      <w:lvlText w:val=""/>
      <w:lvlJc w:val="left"/>
    </w:lvl>
    <w:lvl w:ilvl="4" w:tplc="6E702F18">
      <w:numFmt w:val="decimal"/>
      <w:lvlText w:val=""/>
      <w:lvlJc w:val="left"/>
    </w:lvl>
    <w:lvl w:ilvl="5" w:tplc="FC4485B2">
      <w:numFmt w:val="decimal"/>
      <w:lvlText w:val=""/>
      <w:lvlJc w:val="left"/>
    </w:lvl>
    <w:lvl w:ilvl="6" w:tplc="A22E2BB0">
      <w:numFmt w:val="decimal"/>
      <w:lvlText w:val=""/>
      <w:lvlJc w:val="left"/>
    </w:lvl>
    <w:lvl w:ilvl="7" w:tplc="8C3A1A46">
      <w:numFmt w:val="decimal"/>
      <w:lvlText w:val=""/>
      <w:lvlJc w:val="left"/>
    </w:lvl>
    <w:lvl w:ilvl="8" w:tplc="4F643F86">
      <w:numFmt w:val="decimal"/>
      <w:lvlText w:val=""/>
      <w:lvlJc w:val="left"/>
    </w:lvl>
  </w:abstractNum>
  <w:abstractNum w:abstractNumId="106">
    <w:nsid w:val="597B4D84"/>
    <w:multiLevelType w:val="hybridMultilevel"/>
    <w:tmpl w:val="954E7F82"/>
    <w:lvl w:ilvl="0" w:tplc="0C88257C">
      <w:start w:val="1"/>
      <w:numFmt w:val="lowerLetter"/>
      <w:lvlText w:val="(%1)"/>
      <w:lvlJc w:val="left"/>
    </w:lvl>
    <w:lvl w:ilvl="1" w:tplc="835CCBC0">
      <w:numFmt w:val="decimal"/>
      <w:lvlText w:val=""/>
      <w:lvlJc w:val="left"/>
    </w:lvl>
    <w:lvl w:ilvl="2" w:tplc="0520EE68">
      <w:numFmt w:val="decimal"/>
      <w:lvlText w:val=""/>
      <w:lvlJc w:val="left"/>
    </w:lvl>
    <w:lvl w:ilvl="3" w:tplc="C480D9A8">
      <w:numFmt w:val="decimal"/>
      <w:lvlText w:val=""/>
      <w:lvlJc w:val="left"/>
    </w:lvl>
    <w:lvl w:ilvl="4" w:tplc="C40691B6">
      <w:numFmt w:val="decimal"/>
      <w:lvlText w:val=""/>
      <w:lvlJc w:val="left"/>
    </w:lvl>
    <w:lvl w:ilvl="5" w:tplc="69F40DF2">
      <w:numFmt w:val="decimal"/>
      <w:lvlText w:val=""/>
      <w:lvlJc w:val="left"/>
    </w:lvl>
    <w:lvl w:ilvl="6" w:tplc="4F7E0960">
      <w:numFmt w:val="decimal"/>
      <w:lvlText w:val=""/>
      <w:lvlJc w:val="left"/>
    </w:lvl>
    <w:lvl w:ilvl="7" w:tplc="1D92B0FE">
      <w:numFmt w:val="decimal"/>
      <w:lvlText w:val=""/>
      <w:lvlJc w:val="left"/>
    </w:lvl>
    <w:lvl w:ilvl="8" w:tplc="96CA573C">
      <w:numFmt w:val="decimal"/>
      <w:lvlText w:val=""/>
      <w:lvlJc w:val="left"/>
    </w:lvl>
  </w:abstractNum>
  <w:abstractNum w:abstractNumId="107">
    <w:nsid w:val="59ADEA3D"/>
    <w:multiLevelType w:val="hybridMultilevel"/>
    <w:tmpl w:val="E1A0733C"/>
    <w:lvl w:ilvl="0" w:tplc="5EC29E12">
      <w:start w:val="1"/>
      <w:numFmt w:val="bullet"/>
      <w:lvlText w:val="•"/>
      <w:lvlJc w:val="left"/>
    </w:lvl>
    <w:lvl w:ilvl="1" w:tplc="7E62D8D4">
      <w:numFmt w:val="decimal"/>
      <w:lvlText w:val=""/>
      <w:lvlJc w:val="left"/>
    </w:lvl>
    <w:lvl w:ilvl="2" w:tplc="E946DD50">
      <w:numFmt w:val="decimal"/>
      <w:lvlText w:val=""/>
      <w:lvlJc w:val="left"/>
    </w:lvl>
    <w:lvl w:ilvl="3" w:tplc="C2F61408">
      <w:numFmt w:val="decimal"/>
      <w:lvlText w:val=""/>
      <w:lvlJc w:val="left"/>
    </w:lvl>
    <w:lvl w:ilvl="4" w:tplc="EF7AB702">
      <w:numFmt w:val="decimal"/>
      <w:lvlText w:val=""/>
      <w:lvlJc w:val="left"/>
    </w:lvl>
    <w:lvl w:ilvl="5" w:tplc="45842C78">
      <w:numFmt w:val="decimal"/>
      <w:lvlText w:val=""/>
      <w:lvlJc w:val="left"/>
    </w:lvl>
    <w:lvl w:ilvl="6" w:tplc="3E6E5D94">
      <w:numFmt w:val="decimal"/>
      <w:lvlText w:val=""/>
      <w:lvlJc w:val="left"/>
    </w:lvl>
    <w:lvl w:ilvl="7" w:tplc="4E6288C0">
      <w:numFmt w:val="decimal"/>
      <w:lvlText w:val=""/>
      <w:lvlJc w:val="left"/>
    </w:lvl>
    <w:lvl w:ilvl="8" w:tplc="A5CC2B66">
      <w:numFmt w:val="decimal"/>
      <w:lvlText w:val=""/>
      <w:lvlJc w:val="left"/>
    </w:lvl>
  </w:abstractNum>
  <w:abstractNum w:abstractNumId="108">
    <w:nsid w:val="5B25ACE2"/>
    <w:multiLevelType w:val="hybridMultilevel"/>
    <w:tmpl w:val="CA5253FC"/>
    <w:lvl w:ilvl="0" w:tplc="51327E18">
      <w:start w:val="1"/>
      <w:numFmt w:val="bullet"/>
      <w:lvlText w:val="•"/>
      <w:lvlJc w:val="left"/>
    </w:lvl>
    <w:lvl w:ilvl="1" w:tplc="0344B592">
      <w:numFmt w:val="decimal"/>
      <w:lvlText w:val=""/>
      <w:lvlJc w:val="left"/>
    </w:lvl>
    <w:lvl w:ilvl="2" w:tplc="21FC1708">
      <w:numFmt w:val="decimal"/>
      <w:lvlText w:val=""/>
      <w:lvlJc w:val="left"/>
    </w:lvl>
    <w:lvl w:ilvl="3" w:tplc="EFD6979A">
      <w:numFmt w:val="decimal"/>
      <w:lvlText w:val=""/>
      <w:lvlJc w:val="left"/>
    </w:lvl>
    <w:lvl w:ilvl="4" w:tplc="66122EBC">
      <w:numFmt w:val="decimal"/>
      <w:lvlText w:val=""/>
      <w:lvlJc w:val="left"/>
    </w:lvl>
    <w:lvl w:ilvl="5" w:tplc="3678EF86">
      <w:numFmt w:val="decimal"/>
      <w:lvlText w:val=""/>
      <w:lvlJc w:val="left"/>
    </w:lvl>
    <w:lvl w:ilvl="6" w:tplc="A72A617A">
      <w:numFmt w:val="decimal"/>
      <w:lvlText w:val=""/>
      <w:lvlJc w:val="left"/>
    </w:lvl>
    <w:lvl w:ilvl="7" w:tplc="F81036D4">
      <w:numFmt w:val="decimal"/>
      <w:lvlText w:val=""/>
      <w:lvlJc w:val="left"/>
    </w:lvl>
    <w:lvl w:ilvl="8" w:tplc="C876F046">
      <w:numFmt w:val="decimal"/>
      <w:lvlText w:val=""/>
      <w:lvlJc w:val="left"/>
    </w:lvl>
  </w:abstractNum>
  <w:abstractNum w:abstractNumId="109">
    <w:nsid w:val="5C10FE21"/>
    <w:multiLevelType w:val="hybridMultilevel"/>
    <w:tmpl w:val="F19EF0F0"/>
    <w:lvl w:ilvl="0" w:tplc="C422D3E8">
      <w:start w:val="3"/>
      <w:numFmt w:val="lowerRoman"/>
      <w:lvlText w:val="(%1)"/>
      <w:lvlJc w:val="left"/>
    </w:lvl>
    <w:lvl w:ilvl="1" w:tplc="29D0854E">
      <w:numFmt w:val="decimal"/>
      <w:lvlText w:val=""/>
      <w:lvlJc w:val="left"/>
    </w:lvl>
    <w:lvl w:ilvl="2" w:tplc="990E1502">
      <w:numFmt w:val="decimal"/>
      <w:lvlText w:val=""/>
      <w:lvlJc w:val="left"/>
    </w:lvl>
    <w:lvl w:ilvl="3" w:tplc="7688C2CE">
      <w:numFmt w:val="decimal"/>
      <w:lvlText w:val=""/>
      <w:lvlJc w:val="left"/>
    </w:lvl>
    <w:lvl w:ilvl="4" w:tplc="E4484322">
      <w:numFmt w:val="decimal"/>
      <w:lvlText w:val=""/>
      <w:lvlJc w:val="left"/>
    </w:lvl>
    <w:lvl w:ilvl="5" w:tplc="DCBE1190">
      <w:numFmt w:val="decimal"/>
      <w:lvlText w:val=""/>
      <w:lvlJc w:val="left"/>
    </w:lvl>
    <w:lvl w:ilvl="6" w:tplc="FD86816A">
      <w:numFmt w:val="decimal"/>
      <w:lvlText w:val=""/>
      <w:lvlJc w:val="left"/>
    </w:lvl>
    <w:lvl w:ilvl="7" w:tplc="2690B8C4">
      <w:numFmt w:val="decimal"/>
      <w:lvlText w:val=""/>
      <w:lvlJc w:val="left"/>
    </w:lvl>
    <w:lvl w:ilvl="8" w:tplc="AA8C6712">
      <w:numFmt w:val="decimal"/>
      <w:lvlText w:val=""/>
      <w:lvlJc w:val="left"/>
    </w:lvl>
  </w:abstractNum>
  <w:abstractNum w:abstractNumId="110">
    <w:nsid w:val="5D888A08"/>
    <w:multiLevelType w:val="hybridMultilevel"/>
    <w:tmpl w:val="5490A428"/>
    <w:lvl w:ilvl="0" w:tplc="069018B8">
      <w:start w:val="1"/>
      <w:numFmt w:val="decimal"/>
      <w:lvlText w:val="(%1)"/>
      <w:lvlJc w:val="left"/>
    </w:lvl>
    <w:lvl w:ilvl="1" w:tplc="AAD8C43E">
      <w:numFmt w:val="decimal"/>
      <w:lvlText w:val=""/>
      <w:lvlJc w:val="left"/>
    </w:lvl>
    <w:lvl w:ilvl="2" w:tplc="08D42CE8">
      <w:numFmt w:val="decimal"/>
      <w:lvlText w:val=""/>
      <w:lvlJc w:val="left"/>
    </w:lvl>
    <w:lvl w:ilvl="3" w:tplc="3D60DDFA">
      <w:numFmt w:val="decimal"/>
      <w:lvlText w:val=""/>
      <w:lvlJc w:val="left"/>
    </w:lvl>
    <w:lvl w:ilvl="4" w:tplc="5E8690D0">
      <w:numFmt w:val="decimal"/>
      <w:lvlText w:val=""/>
      <w:lvlJc w:val="left"/>
    </w:lvl>
    <w:lvl w:ilvl="5" w:tplc="EE5CE232">
      <w:numFmt w:val="decimal"/>
      <w:lvlText w:val=""/>
      <w:lvlJc w:val="left"/>
    </w:lvl>
    <w:lvl w:ilvl="6" w:tplc="30E4E7EA">
      <w:numFmt w:val="decimal"/>
      <w:lvlText w:val=""/>
      <w:lvlJc w:val="left"/>
    </w:lvl>
    <w:lvl w:ilvl="7" w:tplc="88E2DE98">
      <w:numFmt w:val="decimal"/>
      <w:lvlText w:val=""/>
      <w:lvlJc w:val="left"/>
    </w:lvl>
    <w:lvl w:ilvl="8" w:tplc="E7FA2866">
      <w:numFmt w:val="decimal"/>
      <w:lvlText w:val=""/>
      <w:lvlJc w:val="left"/>
    </w:lvl>
  </w:abstractNum>
  <w:abstractNum w:abstractNumId="111">
    <w:nsid w:val="5EC6AFD4"/>
    <w:multiLevelType w:val="hybridMultilevel"/>
    <w:tmpl w:val="1344743C"/>
    <w:lvl w:ilvl="0" w:tplc="9A04145E">
      <w:start w:val="3"/>
      <w:numFmt w:val="decimal"/>
      <w:lvlText w:val="(%1)"/>
      <w:lvlJc w:val="left"/>
    </w:lvl>
    <w:lvl w:ilvl="1" w:tplc="D56896E2">
      <w:numFmt w:val="decimal"/>
      <w:lvlText w:val=""/>
      <w:lvlJc w:val="left"/>
    </w:lvl>
    <w:lvl w:ilvl="2" w:tplc="C942A118">
      <w:numFmt w:val="decimal"/>
      <w:lvlText w:val=""/>
      <w:lvlJc w:val="left"/>
    </w:lvl>
    <w:lvl w:ilvl="3" w:tplc="B34E6BB2">
      <w:numFmt w:val="decimal"/>
      <w:lvlText w:val=""/>
      <w:lvlJc w:val="left"/>
    </w:lvl>
    <w:lvl w:ilvl="4" w:tplc="FA6CB624">
      <w:numFmt w:val="decimal"/>
      <w:lvlText w:val=""/>
      <w:lvlJc w:val="left"/>
    </w:lvl>
    <w:lvl w:ilvl="5" w:tplc="0CF806D6">
      <w:numFmt w:val="decimal"/>
      <w:lvlText w:val=""/>
      <w:lvlJc w:val="left"/>
    </w:lvl>
    <w:lvl w:ilvl="6" w:tplc="A67A17F4">
      <w:numFmt w:val="decimal"/>
      <w:lvlText w:val=""/>
      <w:lvlJc w:val="left"/>
    </w:lvl>
    <w:lvl w:ilvl="7" w:tplc="3C0CF2C4">
      <w:numFmt w:val="decimal"/>
      <w:lvlText w:val=""/>
      <w:lvlJc w:val="left"/>
    </w:lvl>
    <w:lvl w:ilvl="8" w:tplc="0EC0500C">
      <w:numFmt w:val="decimal"/>
      <w:lvlText w:val=""/>
      <w:lvlJc w:val="left"/>
    </w:lvl>
  </w:abstractNum>
  <w:abstractNum w:abstractNumId="112">
    <w:nsid w:val="5F3534A4"/>
    <w:multiLevelType w:val="hybridMultilevel"/>
    <w:tmpl w:val="4EB6ECC0"/>
    <w:lvl w:ilvl="0" w:tplc="3618BCD2">
      <w:start w:val="1"/>
      <w:numFmt w:val="bullet"/>
      <w:lvlText w:val="*"/>
      <w:lvlJc w:val="left"/>
    </w:lvl>
    <w:lvl w:ilvl="1" w:tplc="3A0E86AC">
      <w:numFmt w:val="decimal"/>
      <w:lvlText w:val=""/>
      <w:lvlJc w:val="left"/>
    </w:lvl>
    <w:lvl w:ilvl="2" w:tplc="E4CAADB0">
      <w:numFmt w:val="decimal"/>
      <w:lvlText w:val=""/>
      <w:lvlJc w:val="left"/>
    </w:lvl>
    <w:lvl w:ilvl="3" w:tplc="A502DB32">
      <w:numFmt w:val="decimal"/>
      <w:lvlText w:val=""/>
      <w:lvlJc w:val="left"/>
    </w:lvl>
    <w:lvl w:ilvl="4" w:tplc="BEEAB1C6">
      <w:numFmt w:val="decimal"/>
      <w:lvlText w:val=""/>
      <w:lvlJc w:val="left"/>
    </w:lvl>
    <w:lvl w:ilvl="5" w:tplc="9084854E">
      <w:numFmt w:val="decimal"/>
      <w:lvlText w:val=""/>
      <w:lvlJc w:val="left"/>
    </w:lvl>
    <w:lvl w:ilvl="6" w:tplc="72EC26F0">
      <w:numFmt w:val="decimal"/>
      <w:lvlText w:val=""/>
      <w:lvlJc w:val="left"/>
    </w:lvl>
    <w:lvl w:ilvl="7" w:tplc="4E847CA8">
      <w:numFmt w:val="decimal"/>
      <w:lvlText w:val=""/>
      <w:lvlJc w:val="left"/>
    </w:lvl>
    <w:lvl w:ilvl="8" w:tplc="990CCB08">
      <w:numFmt w:val="decimal"/>
      <w:lvlText w:val=""/>
      <w:lvlJc w:val="left"/>
    </w:lvl>
  </w:abstractNum>
  <w:abstractNum w:abstractNumId="113">
    <w:nsid w:val="5FB8011C"/>
    <w:multiLevelType w:val="hybridMultilevel"/>
    <w:tmpl w:val="026C569C"/>
    <w:lvl w:ilvl="0" w:tplc="193EDB1A">
      <w:start w:val="3"/>
      <w:numFmt w:val="lowerRoman"/>
      <w:lvlText w:val="(%1)"/>
      <w:lvlJc w:val="left"/>
    </w:lvl>
    <w:lvl w:ilvl="1" w:tplc="11E00D60">
      <w:numFmt w:val="decimal"/>
      <w:lvlText w:val=""/>
      <w:lvlJc w:val="left"/>
    </w:lvl>
    <w:lvl w:ilvl="2" w:tplc="89B2D6BC">
      <w:numFmt w:val="decimal"/>
      <w:lvlText w:val=""/>
      <w:lvlJc w:val="left"/>
    </w:lvl>
    <w:lvl w:ilvl="3" w:tplc="8A766A2A">
      <w:numFmt w:val="decimal"/>
      <w:lvlText w:val=""/>
      <w:lvlJc w:val="left"/>
    </w:lvl>
    <w:lvl w:ilvl="4" w:tplc="34C27C48">
      <w:numFmt w:val="decimal"/>
      <w:lvlText w:val=""/>
      <w:lvlJc w:val="left"/>
    </w:lvl>
    <w:lvl w:ilvl="5" w:tplc="7D86EA4A">
      <w:numFmt w:val="decimal"/>
      <w:lvlText w:val=""/>
      <w:lvlJc w:val="left"/>
    </w:lvl>
    <w:lvl w:ilvl="6" w:tplc="D7A692C4">
      <w:numFmt w:val="decimal"/>
      <w:lvlText w:val=""/>
      <w:lvlJc w:val="left"/>
    </w:lvl>
    <w:lvl w:ilvl="7" w:tplc="FC4A58EC">
      <w:numFmt w:val="decimal"/>
      <w:lvlText w:val=""/>
      <w:lvlJc w:val="left"/>
    </w:lvl>
    <w:lvl w:ilvl="8" w:tplc="D3D42608">
      <w:numFmt w:val="decimal"/>
      <w:lvlText w:val=""/>
      <w:lvlJc w:val="left"/>
    </w:lvl>
  </w:abstractNum>
  <w:abstractNum w:abstractNumId="114">
    <w:nsid w:val="5FB8370B"/>
    <w:multiLevelType w:val="hybridMultilevel"/>
    <w:tmpl w:val="11DC8190"/>
    <w:lvl w:ilvl="0" w:tplc="050A93EA">
      <w:start w:val="1"/>
      <w:numFmt w:val="lowerLetter"/>
      <w:lvlText w:val="(%1)"/>
      <w:lvlJc w:val="left"/>
    </w:lvl>
    <w:lvl w:ilvl="1" w:tplc="DD2A4148">
      <w:numFmt w:val="decimal"/>
      <w:lvlText w:val=""/>
      <w:lvlJc w:val="left"/>
    </w:lvl>
    <w:lvl w:ilvl="2" w:tplc="D576AF52">
      <w:numFmt w:val="decimal"/>
      <w:lvlText w:val=""/>
      <w:lvlJc w:val="left"/>
    </w:lvl>
    <w:lvl w:ilvl="3" w:tplc="80CA32A0">
      <w:numFmt w:val="decimal"/>
      <w:lvlText w:val=""/>
      <w:lvlJc w:val="left"/>
    </w:lvl>
    <w:lvl w:ilvl="4" w:tplc="84228CE0">
      <w:numFmt w:val="decimal"/>
      <w:lvlText w:val=""/>
      <w:lvlJc w:val="left"/>
    </w:lvl>
    <w:lvl w:ilvl="5" w:tplc="FF82E12E">
      <w:numFmt w:val="decimal"/>
      <w:lvlText w:val=""/>
      <w:lvlJc w:val="left"/>
    </w:lvl>
    <w:lvl w:ilvl="6" w:tplc="488A579A">
      <w:numFmt w:val="decimal"/>
      <w:lvlText w:val=""/>
      <w:lvlJc w:val="left"/>
    </w:lvl>
    <w:lvl w:ilvl="7" w:tplc="0DCEF5C2">
      <w:numFmt w:val="decimal"/>
      <w:lvlText w:val=""/>
      <w:lvlJc w:val="left"/>
    </w:lvl>
    <w:lvl w:ilvl="8" w:tplc="AF2E0844">
      <w:numFmt w:val="decimal"/>
      <w:lvlText w:val=""/>
      <w:lvlJc w:val="left"/>
    </w:lvl>
  </w:abstractNum>
  <w:abstractNum w:abstractNumId="115">
    <w:nsid w:val="60B6DF70"/>
    <w:multiLevelType w:val="hybridMultilevel"/>
    <w:tmpl w:val="C46C0186"/>
    <w:lvl w:ilvl="0" w:tplc="AE80D14E">
      <w:start w:val="1"/>
      <w:numFmt w:val="bullet"/>
      <w:lvlText w:val="☒"/>
      <w:lvlJc w:val="left"/>
    </w:lvl>
    <w:lvl w:ilvl="1" w:tplc="3558ECF2">
      <w:numFmt w:val="decimal"/>
      <w:lvlText w:val=""/>
      <w:lvlJc w:val="left"/>
    </w:lvl>
    <w:lvl w:ilvl="2" w:tplc="BBB235C4">
      <w:numFmt w:val="decimal"/>
      <w:lvlText w:val=""/>
      <w:lvlJc w:val="left"/>
    </w:lvl>
    <w:lvl w:ilvl="3" w:tplc="FB5A57E4">
      <w:numFmt w:val="decimal"/>
      <w:lvlText w:val=""/>
      <w:lvlJc w:val="left"/>
    </w:lvl>
    <w:lvl w:ilvl="4" w:tplc="1B7E3432">
      <w:numFmt w:val="decimal"/>
      <w:lvlText w:val=""/>
      <w:lvlJc w:val="left"/>
    </w:lvl>
    <w:lvl w:ilvl="5" w:tplc="C678A7B0">
      <w:numFmt w:val="decimal"/>
      <w:lvlText w:val=""/>
      <w:lvlJc w:val="left"/>
    </w:lvl>
    <w:lvl w:ilvl="6" w:tplc="B570F6F0">
      <w:numFmt w:val="decimal"/>
      <w:lvlText w:val=""/>
      <w:lvlJc w:val="left"/>
    </w:lvl>
    <w:lvl w:ilvl="7" w:tplc="D962020E">
      <w:numFmt w:val="decimal"/>
      <w:lvlText w:val=""/>
      <w:lvlJc w:val="left"/>
    </w:lvl>
    <w:lvl w:ilvl="8" w:tplc="52BEC17A">
      <w:numFmt w:val="decimal"/>
      <w:lvlText w:val=""/>
      <w:lvlJc w:val="left"/>
    </w:lvl>
  </w:abstractNum>
  <w:abstractNum w:abstractNumId="116">
    <w:nsid w:val="60EF0119"/>
    <w:multiLevelType w:val="hybridMultilevel"/>
    <w:tmpl w:val="6D3E715C"/>
    <w:lvl w:ilvl="0" w:tplc="6EA64DD8">
      <w:start w:val="4"/>
      <w:numFmt w:val="lowerLetter"/>
      <w:lvlText w:val="(%1)"/>
      <w:lvlJc w:val="left"/>
    </w:lvl>
    <w:lvl w:ilvl="1" w:tplc="E4FC5A64">
      <w:numFmt w:val="decimal"/>
      <w:lvlText w:val=""/>
      <w:lvlJc w:val="left"/>
    </w:lvl>
    <w:lvl w:ilvl="2" w:tplc="0D7CBE58">
      <w:numFmt w:val="decimal"/>
      <w:lvlText w:val=""/>
      <w:lvlJc w:val="left"/>
    </w:lvl>
    <w:lvl w:ilvl="3" w:tplc="C7FEEFCC">
      <w:numFmt w:val="decimal"/>
      <w:lvlText w:val=""/>
      <w:lvlJc w:val="left"/>
    </w:lvl>
    <w:lvl w:ilvl="4" w:tplc="F590444E">
      <w:numFmt w:val="decimal"/>
      <w:lvlText w:val=""/>
      <w:lvlJc w:val="left"/>
    </w:lvl>
    <w:lvl w:ilvl="5" w:tplc="FAECD08C">
      <w:numFmt w:val="decimal"/>
      <w:lvlText w:val=""/>
      <w:lvlJc w:val="left"/>
    </w:lvl>
    <w:lvl w:ilvl="6" w:tplc="41164464">
      <w:numFmt w:val="decimal"/>
      <w:lvlText w:val=""/>
      <w:lvlJc w:val="left"/>
    </w:lvl>
    <w:lvl w:ilvl="7" w:tplc="0900A5F2">
      <w:numFmt w:val="decimal"/>
      <w:lvlText w:val=""/>
      <w:lvlJc w:val="left"/>
    </w:lvl>
    <w:lvl w:ilvl="8" w:tplc="ADBC91FA">
      <w:numFmt w:val="decimal"/>
      <w:lvlText w:val=""/>
      <w:lvlJc w:val="left"/>
    </w:lvl>
  </w:abstractNum>
  <w:abstractNum w:abstractNumId="117">
    <w:nsid w:val="61E74EA3"/>
    <w:multiLevelType w:val="hybridMultilevel"/>
    <w:tmpl w:val="B91E6CDE"/>
    <w:lvl w:ilvl="0" w:tplc="FAE60A4C">
      <w:start w:val="3"/>
      <w:numFmt w:val="lowerLetter"/>
      <w:lvlText w:val="(%1)"/>
      <w:lvlJc w:val="left"/>
    </w:lvl>
    <w:lvl w:ilvl="1" w:tplc="6C928332">
      <w:numFmt w:val="decimal"/>
      <w:lvlText w:val=""/>
      <w:lvlJc w:val="left"/>
    </w:lvl>
    <w:lvl w:ilvl="2" w:tplc="7DACB2D0">
      <w:numFmt w:val="decimal"/>
      <w:lvlText w:val=""/>
      <w:lvlJc w:val="left"/>
    </w:lvl>
    <w:lvl w:ilvl="3" w:tplc="58AA0AF8">
      <w:numFmt w:val="decimal"/>
      <w:lvlText w:val=""/>
      <w:lvlJc w:val="left"/>
    </w:lvl>
    <w:lvl w:ilvl="4" w:tplc="4CE09012">
      <w:numFmt w:val="decimal"/>
      <w:lvlText w:val=""/>
      <w:lvlJc w:val="left"/>
    </w:lvl>
    <w:lvl w:ilvl="5" w:tplc="64662192">
      <w:numFmt w:val="decimal"/>
      <w:lvlText w:val=""/>
      <w:lvlJc w:val="left"/>
    </w:lvl>
    <w:lvl w:ilvl="6" w:tplc="649E8CD6">
      <w:numFmt w:val="decimal"/>
      <w:lvlText w:val=""/>
      <w:lvlJc w:val="left"/>
    </w:lvl>
    <w:lvl w:ilvl="7" w:tplc="9442240E">
      <w:numFmt w:val="decimal"/>
      <w:lvlText w:val=""/>
      <w:lvlJc w:val="left"/>
    </w:lvl>
    <w:lvl w:ilvl="8" w:tplc="98464F88">
      <w:numFmt w:val="decimal"/>
      <w:lvlText w:val=""/>
      <w:lvlJc w:val="left"/>
    </w:lvl>
  </w:abstractNum>
  <w:abstractNum w:abstractNumId="118">
    <w:nsid w:val="631B64D4"/>
    <w:multiLevelType w:val="hybridMultilevel"/>
    <w:tmpl w:val="273CB1FA"/>
    <w:lvl w:ilvl="0" w:tplc="77EE886C">
      <w:start w:val="78"/>
      <w:numFmt w:val="decimal"/>
      <w:lvlText w:val="%1"/>
      <w:lvlJc w:val="left"/>
    </w:lvl>
    <w:lvl w:ilvl="1" w:tplc="FA40FC12">
      <w:numFmt w:val="decimal"/>
      <w:lvlText w:val=""/>
      <w:lvlJc w:val="left"/>
    </w:lvl>
    <w:lvl w:ilvl="2" w:tplc="EA02E394">
      <w:numFmt w:val="decimal"/>
      <w:lvlText w:val=""/>
      <w:lvlJc w:val="left"/>
    </w:lvl>
    <w:lvl w:ilvl="3" w:tplc="42BEC834">
      <w:numFmt w:val="decimal"/>
      <w:lvlText w:val=""/>
      <w:lvlJc w:val="left"/>
    </w:lvl>
    <w:lvl w:ilvl="4" w:tplc="223837AE">
      <w:numFmt w:val="decimal"/>
      <w:lvlText w:val=""/>
      <w:lvlJc w:val="left"/>
    </w:lvl>
    <w:lvl w:ilvl="5" w:tplc="674C375A">
      <w:numFmt w:val="decimal"/>
      <w:lvlText w:val=""/>
      <w:lvlJc w:val="left"/>
    </w:lvl>
    <w:lvl w:ilvl="6" w:tplc="EE5AAFBC">
      <w:numFmt w:val="decimal"/>
      <w:lvlText w:val=""/>
      <w:lvlJc w:val="left"/>
    </w:lvl>
    <w:lvl w:ilvl="7" w:tplc="3300106E">
      <w:numFmt w:val="decimal"/>
      <w:lvlText w:val=""/>
      <w:lvlJc w:val="left"/>
    </w:lvl>
    <w:lvl w:ilvl="8" w:tplc="CFF0E810">
      <w:numFmt w:val="decimal"/>
      <w:lvlText w:val=""/>
      <w:lvlJc w:val="left"/>
    </w:lvl>
  </w:abstractNum>
  <w:abstractNum w:abstractNumId="119">
    <w:nsid w:val="634C574C"/>
    <w:multiLevelType w:val="hybridMultilevel"/>
    <w:tmpl w:val="ACA2497C"/>
    <w:lvl w:ilvl="0" w:tplc="6EFC14D0">
      <w:start w:val="66"/>
      <w:numFmt w:val="decimal"/>
      <w:lvlText w:val="%1"/>
      <w:lvlJc w:val="left"/>
    </w:lvl>
    <w:lvl w:ilvl="1" w:tplc="CDCEDC92">
      <w:numFmt w:val="decimal"/>
      <w:lvlText w:val=""/>
      <w:lvlJc w:val="left"/>
    </w:lvl>
    <w:lvl w:ilvl="2" w:tplc="84041F4C">
      <w:numFmt w:val="decimal"/>
      <w:lvlText w:val=""/>
      <w:lvlJc w:val="left"/>
    </w:lvl>
    <w:lvl w:ilvl="3" w:tplc="F23C6BD0">
      <w:numFmt w:val="decimal"/>
      <w:lvlText w:val=""/>
      <w:lvlJc w:val="left"/>
    </w:lvl>
    <w:lvl w:ilvl="4" w:tplc="7012F456">
      <w:numFmt w:val="decimal"/>
      <w:lvlText w:val=""/>
      <w:lvlJc w:val="left"/>
    </w:lvl>
    <w:lvl w:ilvl="5" w:tplc="4090462C">
      <w:numFmt w:val="decimal"/>
      <w:lvlText w:val=""/>
      <w:lvlJc w:val="left"/>
    </w:lvl>
    <w:lvl w:ilvl="6" w:tplc="71E60874">
      <w:numFmt w:val="decimal"/>
      <w:lvlText w:val=""/>
      <w:lvlJc w:val="left"/>
    </w:lvl>
    <w:lvl w:ilvl="7" w:tplc="ACE20E92">
      <w:numFmt w:val="decimal"/>
      <w:lvlText w:val=""/>
      <w:lvlJc w:val="left"/>
    </w:lvl>
    <w:lvl w:ilvl="8" w:tplc="57F00F50">
      <w:numFmt w:val="decimal"/>
      <w:lvlText w:val=""/>
      <w:lvlJc w:val="left"/>
    </w:lvl>
  </w:abstractNum>
  <w:abstractNum w:abstractNumId="120">
    <w:nsid w:val="65968C1C"/>
    <w:multiLevelType w:val="hybridMultilevel"/>
    <w:tmpl w:val="E648D9E8"/>
    <w:lvl w:ilvl="0" w:tplc="37C4E2F8">
      <w:start w:val="82"/>
      <w:numFmt w:val="decimal"/>
      <w:lvlText w:val="%1"/>
      <w:lvlJc w:val="left"/>
    </w:lvl>
    <w:lvl w:ilvl="1" w:tplc="D88E7AB0">
      <w:numFmt w:val="decimal"/>
      <w:lvlText w:val=""/>
      <w:lvlJc w:val="left"/>
    </w:lvl>
    <w:lvl w:ilvl="2" w:tplc="1BD4F86E">
      <w:numFmt w:val="decimal"/>
      <w:lvlText w:val=""/>
      <w:lvlJc w:val="left"/>
    </w:lvl>
    <w:lvl w:ilvl="3" w:tplc="5F8041D0">
      <w:numFmt w:val="decimal"/>
      <w:lvlText w:val=""/>
      <w:lvlJc w:val="left"/>
    </w:lvl>
    <w:lvl w:ilvl="4" w:tplc="24AA0BFA">
      <w:numFmt w:val="decimal"/>
      <w:lvlText w:val=""/>
      <w:lvlJc w:val="left"/>
    </w:lvl>
    <w:lvl w:ilvl="5" w:tplc="DBD0339E">
      <w:numFmt w:val="decimal"/>
      <w:lvlText w:val=""/>
      <w:lvlJc w:val="left"/>
    </w:lvl>
    <w:lvl w:ilvl="6" w:tplc="87AE9B6A">
      <w:numFmt w:val="decimal"/>
      <w:lvlText w:val=""/>
      <w:lvlJc w:val="left"/>
    </w:lvl>
    <w:lvl w:ilvl="7" w:tplc="9B1287F2">
      <w:numFmt w:val="decimal"/>
      <w:lvlText w:val=""/>
      <w:lvlJc w:val="left"/>
    </w:lvl>
    <w:lvl w:ilvl="8" w:tplc="B8CE6524">
      <w:numFmt w:val="decimal"/>
      <w:lvlText w:val=""/>
      <w:lvlJc w:val="left"/>
    </w:lvl>
  </w:abstractNum>
  <w:abstractNum w:abstractNumId="121">
    <w:nsid w:val="68EB2F63"/>
    <w:multiLevelType w:val="hybridMultilevel"/>
    <w:tmpl w:val="C19AC6EA"/>
    <w:lvl w:ilvl="0" w:tplc="7B96CFE4">
      <w:start w:val="1"/>
      <w:numFmt w:val="bullet"/>
      <w:lvlText w:val="☒"/>
      <w:lvlJc w:val="left"/>
    </w:lvl>
    <w:lvl w:ilvl="1" w:tplc="EAD69C66">
      <w:numFmt w:val="decimal"/>
      <w:lvlText w:val=""/>
      <w:lvlJc w:val="left"/>
    </w:lvl>
    <w:lvl w:ilvl="2" w:tplc="6748CE78">
      <w:numFmt w:val="decimal"/>
      <w:lvlText w:val=""/>
      <w:lvlJc w:val="left"/>
    </w:lvl>
    <w:lvl w:ilvl="3" w:tplc="840E6B86">
      <w:numFmt w:val="decimal"/>
      <w:lvlText w:val=""/>
      <w:lvlJc w:val="left"/>
    </w:lvl>
    <w:lvl w:ilvl="4" w:tplc="54E44150">
      <w:numFmt w:val="decimal"/>
      <w:lvlText w:val=""/>
      <w:lvlJc w:val="left"/>
    </w:lvl>
    <w:lvl w:ilvl="5" w:tplc="F5F0A0DA">
      <w:numFmt w:val="decimal"/>
      <w:lvlText w:val=""/>
      <w:lvlJc w:val="left"/>
    </w:lvl>
    <w:lvl w:ilvl="6" w:tplc="7BE80814">
      <w:numFmt w:val="decimal"/>
      <w:lvlText w:val=""/>
      <w:lvlJc w:val="left"/>
    </w:lvl>
    <w:lvl w:ilvl="7" w:tplc="2DA44F5E">
      <w:numFmt w:val="decimal"/>
      <w:lvlText w:val=""/>
      <w:lvlJc w:val="left"/>
    </w:lvl>
    <w:lvl w:ilvl="8" w:tplc="2DFED860">
      <w:numFmt w:val="decimal"/>
      <w:lvlText w:val=""/>
      <w:lvlJc w:val="left"/>
    </w:lvl>
  </w:abstractNum>
  <w:abstractNum w:abstractNumId="122">
    <w:nsid w:val="68EBC550"/>
    <w:multiLevelType w:val="hybridMultilevel"/>
    <w:tmpl w:val="B3347F06"/>
    <w:lvl w:ilvl="0" w:tplc="8B385DB6">
      <w:start w:val="12"/>
      <w:numFmt w:val="decimal"/>
      <w:lvlText w:val="%1"/>
      <w:lvlJc w:val="left"/>
    </w:lvl>
    <w:lvl w:ilvl="1" w:tplc="A73C1198">
      <w:numFmt w:val="decimal"/>
      <w:lvlText w:val=""/>
      <w:lvlJc w:val="left"/>
    </w:lvl>
    <w:lvl w:ilvl="2" w:tplc="64A222D8">
      <w:numFmt w:val="decimal"/>
      <w:lvlText w:val=""/>
      <w:lvlJc w:val="left"/>
    </w:lvl>
    <w:lvl w:ilvl="3" w:tplc="06DC9074">
      <w:numFmt w:val="decimal"/>
      <w:lvlText w:val=""/>
      <w:lvlJc w:val="left"/>
    </w:lvl>
    <w:lvl w:ilvl="4" w:tplc="56A0CC34">
      <w:numFmt w:val="decimal"/>
      <w:lvlText w:val=""/>
      <w:lvlJc w:val="left"/>
    </w:lvl>
    <w:lvl w:ilvl="5" w:tplc="A5FEACFE">
      <w:numFmt w:val="decimal"/>
      <w:lvlText w:val=""/>
      <w:lvlJc w:val="left"/>
    </w:lvl>
    <w:lvl w:ilvl="6" w:tplc="385EE560">
      <w:numFmt w:val="decimal"/>
      <w:lvlText w:val=""/>
      <w:lvlJc w:val="left"/>
    </w:lvl>
    <w:lvl w:ilvl="7" w:tplc="5540016C">
      <w:numFmt w:val="decimal"/>
      <w:lvlText w:val=""/>
      <w:lvlJc w:val="left"/>
    </w:lvl>
    <w:lvl w:ilvl="8" w:tplc="EC9EF7FC">
      <w:numFmt w:val="decimal"/>
      <w:lvlText w:val=""/>
      <w:lvlJc w:val="left"/>
    </w:lvl>
  </w:abstractNum>
  <w:abstractNum w:abstractNumId="123">
    <w:nsid w:val="69E7F3E5"/>
    <w:multiLevelType w:val="hybridMultilevel"/>
    <w:tmpl w:val="885CAD52"/>
    <w:lvl w:ilvl="0" w:tplc="BC9E8224">
      <w:start w:val="70"/>
      <w:numFmt w:val="decimal"/>
      <w:lvlText w:val="%1"/>
      <w:lvlJc w:val="left"/>
    </w:lvl>
    <w:lvl w:ilvl="1" w:tplc="1272E17E">
      <w:numFmt w:val="decimal"/>
      <w:lvlText w:val=""/>
      <w:lvlJc w:val="left"/>
    </w:lvl>
    <w:lvl w:ilvl="2" w:tplc="31F03914">
      <w:numFmt w:val="decimal"/>
      <w:lvlText w:val=""/>
      <w:lvlJc w:val="left"/>
    </w:lvl>
    <w:lvl w:ilvl="3" w:tplc="388CD7F4">
      <w:numFmt w:val="decimal"/>
      <w:lvlText w:val=""/>
      <w:lvlJc w:val="left"/>
    </w:lvl>
    <w:lvl w:ilvl="4" w:tplc="4F1E83E6">
      <w:numFmt w:val="decimal"/>
      <w:lvlText w:val=""/>
      <w:lvlJc w:val="left"/>
    </w:lvl>
    <w:lvl w:ilvl="5" w:tplc="B208692A">
      <w:numFmt w:val="decimal"/>
      <w:lvlText w:val=""/>
      <w:lvlJc w:val="left"/>
    </w:lvl>
    <w:lvl w:ilvl="6" w:tplc="E8BCFE44">
      <w:numFmt w:val="decimal"/>
      <w:lvlText w:val=""/>
      <w:lvlJc w:val="left"/>
    </w:lvl>
    <w:lvl w:ilvl="7" w:tplc="2354A150">
      <w:numFmt w:val="decimal"/>
      <w:lvlText w:val=""/>
      <w:lvlJc w:val="left"/>
    </w:lvl>
    <w:lvl w:ilvl="8" w:tplc="19460150">
      <w:numFmt w:val="decimal"/>
      <w:lvlText w:val=""/>
      <w:lvlJc w:val="left"/>
    </w:lvl>
  </w:abstractNum>
  <w:abstractNum w:abstractNumId="124">
    <w:nsid w:val="6A3DD3E8"/>
    <w:multiLevelType w:val="hybridMultilevel"/>
    <w:tmpl w:val="1C684656"/>
    <w:lvl w:ilvl="0" w:tplc="DE1C5862">
      <w:start w:val="26"/>
      <w:numFmt w:val="decimal"/>
      <w:lvlText w:val="%1"/>
      <w:lvlJc w:val="left"/>
    </w:lvl>
    <w:lvl w:ilvl="1" w:tplc="FDAA13CC">
      <w:numFmt w:val="decimal"/>
      <w:lvlText w:val=""/>
      <w:lvlJc w:val="left"/>
    </w:lvl>
    <w:lvl w:ilvl="2" w:tplc="EC9CCD1E">
      <w:numFmt w:val="decimal"/>
      <w:lvlText w:val=""/>
      <w:lvlJc w:val="left"/>
    </w:lvl>
    <w:lvl w:ilvl="3" w:tplc="B546EFF0">
      <w:numFmt w:val="decimal"/>
      <w:lvlText w:val=""/>
      <w:lvlJc w:val="left"/>
    </w:lvl>
    <w:lvl w:ilvl="4" w:tplc="5E7A07EC">
      <w:numFmt w:val="decimal"/>
      <w:lvlText w:val=""/>
      <w:lvlJc w:val="left"/>
    </w:lvl>
    <w:lvl w:ilvl="5" w:tplc="47224D9E">
      <w:numFmt w:val="decimal"/>
      <w:lvlText w:val=""/>
      <w:lvlJc w:val="left"/>
    </w:lvl>
    <w:lvl w:ilvl="6" w:tplc="0CE0279C">
      <w:numFmt w:val="decimal"/>
      <w:lvlText w:val=""/>
      <w:lvlJc w:val="left"/>
    </w:lvl>
    <w:lvl w:ilvl="7" w:tplc="FDBE2EA8">
      <w:numFmt w:val="decimal"/>
      <w:lvlText w:val=""/>
      <w:lvlJc w:val="left"/>
    </w:lvl>
    <w:lvl w:ilvl="8" w:tplc="5B380192">
      <w:numFmt w:val="decimal"/>
      <w:lvlText w:val=""/>
      <w:lvlJc w:val="left"/>
    </w:lvl>
  </w:abstractNum>
  <w:abstractNum w:abstractNumId="125">
    <w:nsid w:val="6A5F7029"/>
    <w:multiLevelType w:val="hybridMultilevel"/>
    <w:tmpl w:val="9C0E4EE2"/>
    <w:lvl w:ilvl="0" w:tplc="C764F49E">
      <w:start w:val="1"/>
      <w:numFmt w:val="decimal"/>
      <w:lvlText w:val="(%1)"/>
      <w:lvlJc w:val="left"/>
    </w:lvl>
    <w:lvl w:ilvl="1" w:tplc="D4F0A162">
      <w:numFmt w:val="decimal"/>
      <w:lvlText w:val=""/>
      <w:lvlJc w:val="left"/>
    </w:lvl>
    <w:lvl w:ilvl="2" w:tplc="D7C2CEE2">
      <w:numFmt w:val="decimal"/>
      <w:lvlText w:val=""/>
      <w:lvlJc w:val="left"/>
    </w:lvl>
    <w:lvl w:ilvl="3" w:tplc="49082280">
      <w:numFmt w:val="decimal"/>
      <w:lvlText w:val=""/>
      <w:lvlJc w:val="left"/>
    </w:lvl>
    <w:lvl w:ilvl="4" w:tplc="E8DAA21C">
      <w:numFmt w:val="decimal"/>
      <w:lvlText w:val=""/>
      <w:lvlJc w:val="left"/>
    </w:lvl>
    <w:lvl w:ilvl="5" w:tplc="78EC893C">
      <w:numFmt w:val="decimal"/>
      <w:lvlText w:val=""/>
      <w:lvlJc w:val="left"/>
    </w:lvl>
    <w:lvl w:ilvl="6" w:tplc="2CA62966">
      <w:numFmt w:val="decimal"/>
      <w:lvlText w:val=""/>
      <w:lvlJc w:val="left"/>
    </w:lvl>
    <w:lvl w:ilvl="7" w:tplc="7F3485D0">
      <w:numFmt w:val="decimal"/>
      <w:lvlText w:val=""/>
      <w:lvlJc w:val="left"/>
    </w:lvl>
    <w:lvl w:ilvl="8" w:tplc="00A62D20">
      <w:numFmt w:val="decimal"/>
      <w:lvlText w:val=""/>
      <w:lvlJc w:val="left"/>
    </w:lvl>
  </w:abstractNum>
  <w:abstractNum w:abstractNumId="126">
    <w:nsid w:val="6AA78F7F"/>
    <w:multiLevelType w:val="hybridMultilevel"/>
    <w:tmpl w:val="8B469ECC"/>
    <w:lvl w:ilvl="0" w:tplc="6ECACCEC">
      <w:start w:val="5"/>
      <w:numFmt w:val="upperLetter"/>
      <w:lvlText w:val="(%1)"/>
      <w:lvlJc w:val="left"/>
    </w:lvl>
    <w:lvl w:ilvl="1" w:tplc="214494AA">
      <w:numFmt w:val="decimal"/>
      <w:lvlText w:val=""/>
      <w:lvlJc w:val="left"/>
    </w:lvl>
    <w:lvl w:ilvl="2" w:tplc="E9D29D00">
      <w:numFmt w:val="decimal"/>
      <w:lvlText w:val=""/>
      <w:lvlJc w:val="left"/>
    </w:lvl>
    <w:lvl w:ilvl="3" w:tplc="713EF004">
      <w:numFmt w:val="decimal"/>
      <w:lvlText w:val=""/>
      <w:lvlJc w:val="left"/>
    </w:lvl>
    <w:lvl w:ilvl="4" w:tplc="49522312">
      <w:numFmt w:val="decimal"/>
      <w:lvlText w:val=""/>
      <w:lvlJc w:val="left"/>
    </w:lvl>
    <w:lvl w:ilvl="5" w:tplc="DFCE5CF0">
      <w:numFmt w:val="decimal"/>
      <w:lvlText w:val=""/>
      <w:lvlJc w:val="left"/>
    </w:lvl>
    <w:lvl w:ilvl="6" w:tplc="FFC836C8">
      <w:numFmt w:val="decimal"/>
      <w:lvlText w:val=""/>
      <w:lvlJc w:val="left"/>
    </w:lvl>
    <w:lvl w:ilvl="7" w:tplc="F3B4C480">
      <w:numFmt w:val="decimal"/>
      <w:lvlText w:val=""/>
      <w:lvlJc w:val="left"/>
    </w:lvl>
    <w:lvl w:ilvl="8" w:tplc="D3C6C9C8">
      <w:numFmt w:val="decimal"/>
      <w:lvlText w:val=""/>
      <w:lvlJc w:val="left"/>
    </w:lvl>
  </w:abstractNum>
  <w:abstractNum w:abstractNumId="127">
    <w:nsid w:val="6AA7B75C"/>
    <w:multiLevelType w:val="hybridMultilevel"/>
    <w:tmpl w:val="C7047B50"/>
    <w:lvl w:ilvl="0" w:tplc="47C8500E">
      <w:start w:val="42"/>
      <w:numFmt w:val="decimal"/>
      <w:lvlText w:val="%1"/>
      <w:lvlJc w:val="left"/>
    </w:lvl>
    <w:lvl w:ilvl="1" w:tplc="877E8B58">
      <w:numFmt w:val="decimal"/>
      <w:lvlText w:val=""/>
      <w:lvlJc w:val="left"/>
    </w:lvl>
    <w:lvl w:ilvl="2" w:tplc="5672C71E">
      <w:numFmt w:val="decimal"/>
      <w:lvlText w:val=""/>
      <w:lvlJc w:val="left"/>
    </w:lvl>
    <w:lvl w:ilvl="3" w:tplc="497EE88C">
      <w:numFmt w:val="decimal"/>
      <w:lvlText w:val=""/>
      <w:lvlJc w:val="left"/>
    </w:lvl>
    <w:lvl w:ilvl="4" w:tplc="F3849A9C">
      <w:numFmt w:val="decimal"/>
      <w:lvlText w:val=""/>
      <w:lvlJc w:val="left"/>
    </w:lvl>
    <w:lvl w:ilvl="5" w:tplc="CBDEBE64">
      <w:numFmt w:val="decimal"/>
      <w:lvlText w:val=""/>
      <w:lvlJc w:val="left"/>
    </w:lvl>
    <w:lvl w:ilvl="6" w:tplc="9AB6E74E">
      <w:numFmt w:val="decimal"/>
      <w:lvlText w:val=""/>
      <w:lvlJc w:val="left"/>
    </w:lvl>
    <w:lvl w:ilvl="7" w:tplc="2732FAAA">
      <w:numFmt w:val="decimal"/>
      <w:lvlText w:val=""/>
      <w:lvlJc w:val="left"/>
    </w:lvl>
    <w:lvl w:ilvl="8" w:tplc="07D23BFA">
      <w:numFmt w:val="decimal"/>
      <w:lvlText w:val=""/>
      <w:lvlJc w:val="left"/>
    </w:lvl>
  </w:abstractNum>
  <w:abstractNum w:abstractNumId="128">
    <w:nsid w:val="6C80EC70"/>
    <w:multiLevelType w:val="hybridMultilevel"/>
    <w:tmpl w:val="5E321582"/>
    <w:lvl w:ilvl="0" w:tplc="85E2D6C8">
      <w:start w:val="40"/>
      <w:numFmt w:val="decimal"/>
      <w:lvlText w:val="%1"/>
      <w:lvlJc w:val="left"/>
    </w:lvl>
    <w:lvl w:ilvl="1" w:tplc="405A4FCE">
      <w:numFmt w:val="decimal"/>
      <w:lvlText w:val=""/>
      <w:lvlJc w:val="left"/>
    </w:lvl>
    <w:lvl w:ilvl="2" w:tplc="145EB068">
      <w:numFmt w:val="decimal"/>
      <w:lvlText w:val=""/>
      <w:lvlJc w:val="left"/>
    </w:lvl>
    <w:lvl w:ilvl="3" w:tplc="36CCAB56">
      <w:numFmt w:val="decimal"/>
      <w:lvlText w:val=""/>
      <w:lvlJc w:val="left"/>
    </w:lvl>
    <w:lvl w:ilvl="4" w:tplc="79701D5E">
      <w:numFmt w:val="decimal"/>
      <w:lvlText w:val=""/>
      <w:lvlJc w:val="left"/>
    </w:lvl>
    <w:lvl w:ilvl="5" w:tplc="ECFE555A">
      <w:numFmt w:val="decimal"/>
      <w:lvlText w:val=""/>
      <w:lvlJc w:val="left"/>
    </w:lvl>
    <w:lvl w:ilvl="6" w:tplc="D2D0F0A6">
      <w:numFmt w:val="decimal"/>
      <w:lvlText w:val=""/>
      <w:lvlJc w:val="left"/>
    </w:lvl>
    <w:lvl w:ilvl="7" w:tplc="A1244AAA">
      <w:numFmt w:val="decimal"/>
      <w:lvlText w:val=""/>
      <w:lvlJc w:val="left"/>
    </w:lvl>
    <w:lvl w:ilvl="8" w:tplc="B99412A8">
      <w:numFmt w:val="decimal"/>
      <w:lvlText w:val=""/>
      <w:lvlJc w:val="left"/>
    </w:lvl>
  </w:abstractNum>
  <w:abstractNum w:abstractNumId="129">
    <w:nsid w:val="6CAA2304"/>
    <w:multiLevelType w:val="hybridMultilevel"/>
    <w:tmpl w:val="678E49DC"/>
    <w:lvl w:ilvl="0" w:tplc="12DABA1C">
      <w:start w:val="14"/>
      <w:numFmt w:val="lowerLetter"/>
      <w:lvlText w:val="(%1)"/>
      <w:lvlJc w:val="left"/>
    </w:lvl>
    <w:lvl w:ilvl="1" w:tplc="3FCE1B12">
      <w:start w:val="1"/>
      <w:numFmt w:val="lowerRoman"/>
      <w:lvlText w:val="(%2)"/>
      <w:lvlJc w:val="left"/>
    </w:lvl>
    <w:lvl w:ilvl="2" w:tplc="D1A8AE3A">
      <w:numFmt w:val="decimal"/>
      <w:lvlText w:val=""/>
      <w:lvlJc w:val="left"/>
    </w:lvl>
    <w:lvl w:ilvl="3" w:tplc="9498FDD4">
      <w:numFmt w:val="decimal"/>
      <w:lvlText w:val=""/>
      <w:lvlJc w:val="left"/>
    </w:lvl>
    <w:lvl w:ilvl="4" w:tplc="359CF9FA">
      <w:numFmt w:val="decimal"/>
      <w:lvlText w:val=""/>
      <w:lvlJc w:val="left"/>
    </w:lvl>
    <w:lvl w:ilvl="5" w:tplc="7736EB6C">
      <w:numFmt w:val="decimal"/>
      <w:lvlText w:val=""/>
      <w:lvlJc w:val="left"/>
    </w:lvl>
    <w:lvl w:ilvl="6" w:tplc="2A2657C2">
      <w:numFmt w:val="decimal"/>
      <w:lvlText w:val=""/>
      <w:lvlJc w:val="left"/>
    </w:lvl>
    <w:lvl w:ilvl="7" w:tplc="0CB27DC6">
      <w:numFmt w:val="decimal"/>
      <w:lvlText w:val=""/>
      <w:lvlJc w:val="left"/>
    </w:lvl>
    <w:lvl w:ilvl="8" w:tplc="909E6500">
      <w:numFmt w:val="decimal"/>
      <w:lvlText w:val=""/>
      <w:lvlJc w:val="left"/>
    </w:lvl>
  </w:abstractNum>
  <w:abstractNum w:abstractNumId="130">
    <w:nsid w:val="6E534CDE"/>
    <w:multiLevelType w:val="hybridMultilevel"/>
    <w:tmpl w:val="EEC80174"/>
    <w:lvl w:ilvl="0" w:tplc="0F080050">
      <w:start w:val="80"/>
      <w:numFmt w:val="decimal"/>
      <w:lvlText w:val="%1"/>
      <w:lvlJc w:val="left"/>
    </w:lvl>
    <w:lvl w:ilvl="1" w:tplc="6F6E3CD2">
      <w:numFmt w:val="decimal"/>
      <w:lvlText w:val=""/>
      <w:lvlJc w:val="left"/>
    </w:lvl>
    <w:lvl w:ilvl="2" w:tplc="A7E4647A">
      <w:numFmt w:val="decimal"/>
      <w:lvlText w:val=""/>
      <w:lvlJc w:val="left"/>
    </w:lvl>
    <w:lvl w:ilvl="3" w:tplc="0FBCEC9C">
      <w:numFmt w:val="decimal"/>
      <w:lvlText w:val=""/>
      <w:lvlJc w:val="left"/>
    </w:lvl>
    <w:lvl w:ilvl="4" w:tplc="CDDAB370">
      <w:numFmt w:val="decimal"/>
      <w:lvlText w:val=""/>
      <w:lvlJc w:val="left"/>
    </w:lvl>
    <w:lvl w:ilvl="5" w:tplc="5E30DB9A">
      <w:numFmt w:val="decimal"/>
      <w:lvlText w:val=""/>
      <w:lvlJc w:val="left"/>
    </w:lvl>
    <w:lvl w:ilvl="6" w:tplc="669027C0">
      <w:numFmt w:val="decimal"/>
      <w:lvlText w:val=""/>
      <w:lvlJc w:val="left"/>
    </w:lvl>
    <w:lvl w:ilvl="7" w:tplc="4F0CED2A">
      <w:numFmt w:val="decimal"/>
      <w:lvlText w:val=""/>
      <w:lvlJc w:val="left"/>
    </w:lvl>
    <w:lvl w:ilvl="8" w:tplc="F964112E">
      <w:numFmt w:val="decimal"/>
      <w:lvlText w:val=""/>
      <w:lvlJc w:val="left"/>
    </w:lvl>
  </w:abstractNum>
  <w:abstractNum w:abstractNumId="131">
    <w:nsid w:val="6EAA85FB"/>
    <w:multiLevelType w:val="hybridMultilevel"/>
    <w:tmpl w:val="3E6C2596"/>
    <w:lvl w:ilvl="0" w:tplc="3FC84498">
      <w:start w:val="1"/>
      <w:numFmt w:val="lowerLetter"/>
      <w:lvlText w:val="%1"/>
      <w:lvlJc w:val="left"/>
    </w:lvl>
    <w:lvl w:ilvl="1" w:tplc="DF38EC5C">
      <w:start w:val="61"/>
      <w:numFmt w:val="upperLetter"/>
      <w:lvlText w:val="(%2)"/>
      <w:lvlJc w:val="left"/>
    </w:lvl>
    <w:lvl w:ilvl="2" w:tplc="41049928">
      <w:numFmt w:val="decimal"/>
      <w:lvlText w:val=""/>
      <w:lvlJc w:val="left"/>
    </w:lvl>
    <w:lvl w:ilvl="3" w:tplc="2BA84B0C">
      <w:numFmt w:val="decimal"/>
      <w:lvlText w:val=""/>
      <w:lvlJc w:val="left"/>
    </w:lvl>
    <w:lvl w:ilvl="4" w:tplc="7DA20FC2">
      <w:numFmt w:val="decimal"/>
      <w:lvlText w:val=""/>
      <w:lvlJc w:val="left"/>
    </w:lvl>
    <w:lvl w:ilvl="5" w:tplc="EFDA1E9E">
      <w:numFmt w:val="decimal"/>
      <w:lvlText w:val=""/>
      <w:lvlJc w:val="left"/>
    </w:lvl>
    <w:lvl w:ilvl="6" w:tplc="13421E82">
      <w:numFmt w:val="decimal"/>
      <w:lvlText w:val=""/>
      <w:lvlJc w:val="left"/>
    </w:lvl>
    <w:lvl w:ilvl="7" w:tplc="D6EC9D3C">
      <w:numFmt w:val="decimal"/>
      <w:lvlText w:val=""/>
      <w:lvlJc w:val="left"/>
    </w:lvl>
    <w:lvl w:ilvl="8" w:tplc="8E967246">
      <w:numFmt w:val="decimal"/>
      <w:lvlText w:val=""/>
      <w:lvlJc w:val="left"/>
    </w:lvl>
  </w:abstractNum>
  <w:abstractNum w:abstractNumId="132">
    <w:nsid w:val="6F6DD9AC"/>
    <w:multiLevelType w:val="hybridMultilevel"/>
    <w:tmpl w:val="25A48900"/>
    <w:lvl w:ilvl="0" w:tplc="30FA3D5C">
      <w:start w:val="3"/>
      <w:numFmt w:val="decimal"/>
      <w:lvlText w:val="%1."/>
      <w:lvlJc w:val="left"/>
    </w:lvl>
    <w:lvl w:ilvl="1" w:tplc="5BE02332">
      <w:numFmt w:val="decimal"/>
      <w:lvlText w:val=""/>
      <w:lvlJc w:val="left"/>
    </w:lvl>
    <w:lvl w:ilvl="2" w:tplc="B1D26500">
      <w:numFmt w:val="decimal"/>
      <w:lvlText w:val=""/>
      <w:lvlJc w:val="left"/>
    </w:lvl>
    <w:lvl w:ilvl="3" w:tplc="0F429332">
      <w:numFmt w:val="decimal"/>
      <w:lvlText w:val=""/>
      <w:lvlJc w:val="left"/>
    </w:lvl>
    <w:lvl w:ilvl="4" w:tplc="838AC32C">
      <w:numFmt w:val="decimal"/>
      <w:lvlText w:val=""/>
      <w:lvlJc w:val="left"/>
    </w:lvl>
    <w:lvl w:ilvl="5" w:tplc="0F58E33E">
      <w:numFmt w:val="decimal"/>
      <w:lvlText w:val=""/>
      <w:lvlJc w:val="left"/>
    </w:lvl>
    <w:lvl w:ilvl="6" w:tplc="4DAC469E">
      <w:numFmt w:val="decimal"/>
      <w:lvlText w:val=""/>
      <w:lvlJc w:val="left"/>
    </w:lvl>
    <w:lvl w:ilvl="7" w:tplc="72523E5C">
      <w:numFmt w:val="decimal"/>
      <w:lvlText w:val=""/>
      <w:lvlJc w:val="left"/>
    </w:lvl>
    <w:lvl w:ilvl="8" w:tplc="B9CAFB54">
      <w:numFmt w:val="decimal"/>
      <w:lvlText w:val=""/>
      <w:lvlJc w:val="left"/>
    </w:lvl>
  </w:abstractNum>
  <w:abstractNum w:abstractNumId="133">
    <w:nsid w:val="6FC75AF8"/>
    <w:multiLevelType w:val="hybridMultilevel"/>
    <w:tmpl w:val="AC48C17A"/>
    <w:lvl w:ilvl="0" w:tplc="E8CA2784">
      <w:start w:val="20"/>
      <w:numFmt w:val="decimal"/>
      <w:lvlText w:val="%1"/>
      <w:lvlJc w:val="left"/>
    </w:lvl>
    <w:lvl w:ilvl="1" w:tplc="38DA8EBC">
      <w:numFmt w:val="decimal"/>
      <w:lvlText w:val=""/>
      <w:lvlJc w:val="left"/>
    </w:lvl>
    <w:lvl w:ilvl="2" w:tplc="30464996">
      <w:numFmt w:val="decimal"/>
      <w:lvlText w:val=""/>
      <w:lvlJc w:val="left"/>
    </w:lvl>
    <w:lvl w:ilvl="3" w:tplc="90C07AF4">
      <w:numFmt w:val="decimal"/>
      <w:lvlText w:val=""/>
      <w:lvlJc w:val="left"/>
    </w:lvl>
    <w:lvl w:ilvl="4" w:tplc="703050B0">
      <w:numFmt w:val="decimal"/>
      <w:lvlText w:val=""/>
      <w:lvlJc w:val="left"/>
    </w:lvl>
    <w:lvl w:ilvl="5" w:tplc="CD4A0ECC">
      <w:numFmt w:val="decimal"/>
      <w:lvlText w:val=""/>
      <w:lvlJc w:val="left"/>
    </w:lvl>
    <w:lvl w:ilvl="6" w:tplc="0A469FF6">
      <w:numFmt w:val="decimal"/>
      <w:lvlText w:val=""/>
      <w:lvlJc w:val="left"/>
    </w:lvl>
    <w:lvl w:ilvl="7" w:tplc="28EE94B4">
      <w:numFmt w:val="decimal"/>
      <w:lvlText w:val=""/>
      <w:lvlJc w:val="left"/>
    </w:lvl>
    <w:lvl w:ilvl="8" w:tplc="5290CC14">
      <w:numFmt w:val="decimal"/>
      <w:lvlText w:val=""/>
      <w:lvlJc w:val="left"/>
    </w:lvl>
  </w:abstractNum>
  <w:abstractNum w:abstractNumId="134">
    <w:nsid w:val="6FDE8AF6"/>
    <w:multiLevelType w:val="hybridMultilevel"/>
    <w:tmpl w:val="E5EE737C"/>
    <w:lvl w:ilvl="0" w:tplc="C6EA728A">
      <w:start w:val="1"/>
      <w:numFmt w:val="lowerLetter"/>
      <w:lvlText w:val="(%1)"/>
      <w:lvlJc w:val="left"/>
    </w:lvl>
    <w:lvl w:ilvl="1" w:tplc="B674FAAE">
      <w:numFmt w:val="decimal"/>
      <w:lvlText w:val=""/>
      <w:lvlJc w:val="left"/>
    </w:lvl>
    <w:lvl w:ilvl="2" w:tplc="91E4626C">
      <w:numFmt w:val="decimal"/>
      <w:lvlText w:val=""/>
      <w:lvlJc w:val="left"/>
    </w:lvl>
    <w:lvl w:ilvl="3" w:tplc="29F4D33A">
      <w:numFmt w:val="decimal"/>
      <w:lvlText w:val=""/>
      <w:lvlJc w:val="left"/>
    </w:lvl>
    <w:lvl w:ilvl="4" w:tplc="04B4F16E">
      <w:numFmt w:val="decimal"/>
      <w:lvlText w:val=""/>
      <w:lvlJc w:val="left"/>
    </w:lvl>
    <w:lvl w:ilvl="5" w:tplc="D3645F70">
      <w:numFmt w:val="decimal"/>
      <w:lvlText w:val=""/>
      <w:lvlJc w:val="left"/>
    </w:lvl>
    <w:lvl w:ilvl="6" w:tplc="AD3C5102">
      <w:numFmt w:val="decimal"/>
      <w:lvlText w:val=""/>
      <w:lvlJc w:val="left"/>
    </w:lvl>
    <w:lvl w:ilvl="7" w:tplc="2534802E">
      <w:numFmt w:val="decimal"/>
      <w:lvlText w:val=""/>
      <w:lvlJc w:val="left"/>
    </w:lvl>
    <w:lvl w:ilvl="8" w:tplc="E148265C">
      <w:numFmt w:val="decimal"/>
      <w:lvlText w:val=""/>
      <w:lvlJc w:val="left"/>
    </w:lvl>
  </w:abstractNum>
  <w:abstractNum w:abstractNumId="135">
    <w:nsid w:val="704E1DD5"/>
    <w:multiLevelType w:val="hybridMultilevel"/>
    <w:tmpl w:val="C1208F6A"/>
    <w:lvl w:ilvl="0" w:tplc="5608E4EE">
      <w:start w:val="1"/>
      <w:numFmt w:val="decimal"/>
      <w:lvlText w:val="(%1)"/>
      <w:lvlJc w:val="left"/>
    </w:lvl>
    <w:lvl w:ilvl="1" w:tplc="0BE6E8D0">
      <w:numFmt w:val="decimal"/>
      <w:lvlText w:val=""/>
      <w:lvlJc w:val="left"/>
    </w:lvl>
    <w:lvl w:ilvl="2" w:tplc="38380504">
      <w:numFmt w:val="decimal"/>
      <w:lvlText w:val=""/>
      <w:lvlJc w:val="left"/>
    </w:lvl>
    <w:lvl w:ilvl="3" w:tplc="CD5CE4FE">
      <w:numFmt w:val="decimal"/>
      <w:lvlText w:val=""/>
      <w:lvlJc w:val="left"/>
    </w:lvl>
    <w:lvl w:ilvl="4" w:tplc="9DE8652E">
      <w:numFmt w:val="decimal"/>
      <w:lvlText w:val=""/>
      <w:lvlJc w:val="left"/>
    </w:lvl>
    <w:lvl w:ilvl="5" w:tplc="1CD21650">
      <w:numFmt w:val="decimal"/>
      <w:lvlText w:val=""/>
      <w:lvlJc w:val="left"/>
    </w:lvl>
    <w:lvl w:ilvl="6" w:tplc="81483782">
      <w:numFmt w:val="decimal"/>
      <w:lvlText w:val=""/>
      <w:lvlJc w:val="left"/>
    </w:lvl>
    <w:lvl w:ilvl="7" w:tplc="EF7E7CF0">
      <w:numFmt w:val="decimal"/>
      <w:lvlText w:val=""/>
      <w:lvlJc w:val="left"/>
    </w:lvl>
    <w:lvl w:ilvl="8" w:tplc="8B663C1C">
      <w:numFmt w:val="decimal"/>
      <w:lvlText w:val=""/>
      <w:lvlJc w:val="left"/>
    </w:lvl>
  </w:abstractNum>
  <w:abstractNum w:abstractNumId="136">
    <w:nsid w:val="7055A5F5"/>
    <w:multiLevelType w:val="hybridMultilevel"/>
    <w:tmpl w:val="030887B8"/>
    <w:lvl w:ilvl="0" w:tplc="178A6844">
      <w:start w:val="2"/>
      <w:numFmt w:val="lowerRoman"/>
      <w:lvlText w:val="(%1)"/>
      <w:lvlJc w:val="left"/>
    </w:lvl>
    <w:lvl w:ilvl="1" w:tplc="7F369732">
      <w:numFmt w:val="decimal"/>
      <w:lvlText w:val=""/>
      <w:lvlJc w:val="left"/>
    </w:lvl>
    <w:lvl w:ilvl="2" w:tplc="067068A2">
      <w:numFmt w:val="decimal"/>
      <w:lvlText w:val=""/>
      <w:lvlJc w:val="left"/>
    </w:lvl>
    <w:lvl w:ilvl="3" w:tplc="66401DB0">
      <w:numFmt w:val="decimal"/>
      <w:lvlText w:val=""/>
      <w:lvlJc w:val="left"/>
    </w:lvl>
    <w:lvl w:ilvl="4" w:tplc="33A21516">
      <w:numFmt w:val="decimal"/>
      <w:lvlText w:val=""/>
      <w:lvlJc w:val="left"/>
    </w:lvl>
    <w:lvl w:ilvl="5" w:tplc="53542704">
      <w:numFmt w:val="decimal"/>
      <w:lvlText w:val=""/>
      <w:lvlJc w:val="left"/>
    </w:lvl>
    <w:lvl w:ilvl="6" w:tplc="4A12F110">
      <w:numFmt w:val="decimal"/>
      <w:lvlText w:val=""/>
      <w:lvlJc w:val="left"/>
    </w:lvl>
    <w:lvl w:ilvl="7" w:tplc="84728166">
      <w:numFmt w:val="decimal"/>
      <w:lvlText w:val=""/>
      <w:lvlJc w:val="left"/>
    </w:lvl>
    <w:lvl w:ilvl="8" w:tplc="95464854">
      <w:numFmt w:val="decimal"/>
      <w:lvlText w:val=""/>
      <w:lvlJc w:val="left"/>
    </w:lvl>
  </w:abstractNum>
  <w:abstractNum w:abstractNumId="137">
    <w:nsid w:val="71C91298"/>
    <w:multiLevelType w:val="hybridMultilevel"/>
    <w:tmpl w:val="95963220"/>
    <w:lvl w:ilvl="0" w:tplc="3B7C4FA0">
      <w:start w:val="1"/>
      <w:numFmt w:val="bullet"/>
      <w:lvlText w:val="•"/>
      <w:lvlJc w:val="left"/>
    </w:lvl>
    <w:lvl w:ilvl="1" w:tplc="3D262A22">
      <w:numFmt w:val="decimal"/>
      <w:lvlText w:val=""/>
      <w:lvlJc w:val="left"/>
    </w:lvl>
    <w:lvl w:ilvl="2" w:tplc="DA6CE0FA">
      <w:numFmt w:val="decimal"/>
      <w:lvlText w:val=""/>
      <w:lvlJc w:val="left"/>
    </w:lvl>
    <w:lvl w:ilvl="3" w:tplc="61E4C1F8">
      <w:numFmt w:val="decimal"/>
      <w:lvlText w:val=""/>
      <w:lvlJc w:val="left"/>
    </w:lvl>
    <w:lvl w:ilvl="4" w:tplc="E6DACCDA">
      <w:numFmt w:val="decimal"/>
      <w:lvlText w:val=""/>
      <w:lvlJc w:val="left"/>
    </w:lvl>
    <w:lvl w:ilvl="5" w:tplc="85467864">
      <w:numFmt w:val="decimal"/>
      <w:lvlText w:val=""/>
      <w:lvlJc w:val="left"/>
    </w:lvl>
    <w:lvl w:ilvl="6" w:tplc="2EC6CF42">
      <w:numFmt w:val="decimal"/>
      <w:lvlText w:val=""/>
      <w:lvlJc w:val="left"/>
    </w:lvl>
    <w:lvl w:ilvl="7" w:tplc="CE761C1E">
      <w:numFmt w:val="decimal"/>
      <w:lvlText w:val=""/>
      <w:lvlJc w:val="left"/>
    </w:lvl>
    <w:lvl w:ilvl="8" w:tplc="2B56E398">
      <w:numFmt w:val="decimal"/>
      <w:lvlText w:val=""/>
      <w:lvlJc w:val="left"/>
    </w:lvl>
  </w:abstractNum>
  <w:abstractNum w:abstractNumId="138">
    <w:nsid w:val="71EA1109"/>
    <w:multiLevelType w:val="hybridMultilevel"/>
    <w:tmpl w:val="5F06D9E8"/>
    <w:lvl w:ilvl="0" w:tplc="40D236AA">
      <w:start w:val="1"/>
      <w:numFmt w:val="bullet"/>
      <w:lvlText w:val="2"/>
      <w:lvlJc w:val="left"/>
    </w:lvl>
    <w:lvl w:ilvl="1" w:tplc="93AA7F2E">
      <w:numFmt w:val="decimal"/>
      <w:lvlText w:val=""/>
      <w:lvlJc w:val="left"/>
    </w:lvl>
    <w:lvl w:ilvl="2" w:tplc="6D9A0EF4">
      <w:numFmt w:val="decimal"/>
      <w:lvlText w:val=""/>
      <w:lvlJc w:val="left"/>
    </w:lvl>
    <w:lvl w:ilvl="3" w:tplc="09C2B46E">
      <w:numFmt w:val="decimal"/>
      <w:lvlText w:val=""/>
      <w:lvlJc w:val="left"/>
    </w:lvl>
    <w:lvl w:ilvl="4" w:tplc="707E110C">
      <w:numFmt w:val="decimal"/>
      <w:lvlText w:val=""/>
      <w:lvlJc w:val="left"/>
    </w:lvl>
    <w:lvl w:ilvl="5" w:tplc="78083F02">
      <w:numFmt w:val="decimal"/>
      <w:lvlText w:val=""/>
      <w:lvlJc w:val="left"/>
    </w:lvl>
    <w:lvl w:ilvl="6" w:tplc="91C01268">
      <w:numFmt w:val="decimal"/>
      <w:lvlText w:val=""/>
      <w:lvlJc w:val="left"/>
    </w:lvl>
    <w:lvl w:ilvl="7" w:tplc="816EC590">
      <w:numFmt w:val="decimal"/>
      <w:lvlText w:val=""/>
      <w:lvlJc w:val="left"/>
    </w:lvl>
    <w:lvl w:ilvl="8" w:tplc="C0343812">
      <w:numFmt w:val="decimal"/>
      <w:lvlText w:val=""/>
      <w:lvlJc w:val="left"/>
    </w:lvl>
  </w:abstractNum>
  <w:abstractNum w:abstractNumId="139">
    <w:nsid w:val="73A1821B"/>
    <w:multiLevelType w:val="hybridMultilevel"/>
    <w:tmpl w:val="7D6059FE"/>
    <w:lvl w:ilvl="0" w:tplc="EC76FEFA">
      <w:start w:val="1"/>
      <w:numFmt w:val="decimal"/>
      <w:lvlText w:val="(%1)"/>
      <w:lvlJc w:val="left"/>
    </w:lvl>
    <w:lvl w:ilvl="1" w:tplc="67583810">
      <w:numFmt w:val="decimal"/>
      <w:lvlText w:val=""/>
      <w:lvlJc w:val="left"/>
    </w:lvl>
    <w:lvl w:ilvl="2" w:tplc="082CE4F2">
      <w:numFmt w:val="decimal"/>
      <w:lvlText w:val=""/>
      <w:lvlJc w:val="left"/>
    </w:lvl>
    <w:lvl w:ilvl="3" w:tplc="9530FAFA">
      <w:numFmt w:val="decimal"/>
      <w:lvlText w:val=""/>
      <w:lvlJc w:val="left"/>
    </w:lvl>
    <w:lvl w:ilvl="4" w:tplc="0C98833E">
      <w:numFmt w:val="decimal"/>
      <w:lvlText w:val=""/>
      <w:lvlJc w:val="left"/>
    </w:lvl>
    <w:lvl w:ilvl="5" w:tplc="455EA1C0">
      <w:numFmt w:val="decimal"/>
      <w:lvlText w:val=""/>
      <w:lvlJc w:val="left"/>
    </w:lvl>
    <w:lvl w:ilvl="6" w:tplc="C520E8A6">
      <w:numFmt w:val="decimal"/>
      <w:lvlText w:val=""/>
      <w:lvlJc w:val="left"/>
    </w:lvl>
    <w:lvl w:ilvl="7" w:tplc="B798F3D4">
      <w:numFmt w:val="decimal"/>
      <w:lvlText w:val=""/>
      <w:lvlJc w:val="left"/>
    </w:lvl>
    <w:lvl w:ilvl="8" w:tplc="8EA4901E">
      <w:numFmt w:val="decimal"/>
      <w:lvlText w:val=""/>
      <w:lvlJc w:val="left"/>
    </w:lvl>
  </w:abstractNum>
  <w:abstractNum w:abstractNumId="140">
    <w:nsid w:val="73D4D3C4"/>
    <w:multiLevelType w:val="hybridMultilevel"/>
    <w:tmpl w:val="01706940"/>
    <w:lvl w:ilvl="0" w:tplc="36C8E46C">
      <w:start w:val="84"/>
      <w:numFmt w:val="decimal"/>
      <w:lvlText w:val="%1"/>
      <w:lvlJc w:val="left"/>
    </w:lvl>
    <w:lvl w:ilvl="1" w:tplc="A362862E">
      <w:numFmt w:val="decimal"/>
      <w:lvlText w:val=""/>
      <w:lvlJc w:val="left"/>
    </w:lvl>
    <w:lvl w:ilvl="2" w:tplc="FA1A679E">
      <w:numFmt w:val="decimal"/>
      <w:lvlText w:val=""/>
      <w:lvlJc w:val="left"/>
    </w:lvl>
    <w:lvl w:ilvl="3" w:tplc="966888B0">
      <w:numFmt w:val="decimal"/>
      <w:lvlText w:val=""/>
      <w:lvlJc w:val="left"/>
    </w:lvl>
    <w:lvl w:ilvl="4" w:tplc="556C92B8">
      <w:numFmt w:val="decimal"/>
      <w:lvlText w:val=""/>
      <w:lvlJc w:val="left"/>
    </w:lvl>
    <w:lvl w:ilvl="5" w:tplc="3D58B85A">
      <w:numFmt w:val="decimal"/>
      <w:lvlText w:val=""/>
      <w:lvlJc w:val="left"/>
    </w:lvl>
    <w:lvl w:ilvl="6" w:tplc="CC4E5734">
      <w:numFmt w:val="decimal"/>
      <w:lvlText w:val=""/>
      <w:lvlJc w:val="left"/>
    </w:lvl>
    <w:lvl w:ilvl="7" w:tplc="C136E590">
      <w:numFmt w:val="decimal"/>
      <w:lvlText w:val=""/>
      <w:lvlJc w:val="left"/>
    </w:lvl>
    <w:lvl w:ilvl="8" w:tplc="5810C230">
      <w:numFmt w:val="decimal"/>
      <w:lvlText w:val=""/>
      <w:lvlJc w:val="left"/>
    </w:lvl>
  </w:abstractNum>
  <w:abstractNum w:abstractNumId="141">
    <w:nsid w:val="746F2E30"/>
    <w:multiLevelType w:val="hybridMultilevel"/>
    <w:tmpl w:val="674E8D8A"/>
    <w:lvl w:ilvl="0" w:tplc="4EA43FDC">
      <w:start w:val="1"/>
      <w:numFmt w:val="lowerLetter"/>
      <w:lvlText w:val="(%1)"/>
      <w:lvlJc w:val="left"/>
    </w:lvl>
    <w:lvl w:ilvl="1" w:tplc="298AEABA">
      <w:numFmt w:val="decimal"/>
      <w:lvlText w:val=""/>
      <w:lvlJc w:val="left"/>
    </w:lvl>
    <w:lvl w:ilvl="2" w:tplc="691255BC">
      <w:numFmt w:val="decimal"/>
      <w:lvlText w:val=""/>
      <w:lvlJc w:val="left"/>
    </w:lvl>
    <w:lvl w:ilvl="3" w:tplc="8DEAEF7A">
      <w:numFmt w:val="decimal"/>
      <w:lvlText w:val=""/>
      <w:lvlJc w:val="left"/>
    </w:lvl>
    <w:lvl w:ilvl="4" w:tplc="ACA6F218">
      <w:numFmt w:val="decimal"/>
      <w:lvlText w:val=""/>
      <w:lvlJc w:val="left"/>
    </w:lvl>
    <w:lvl w:ilvl="5" w:tplc="234C887A">
      <w:numFmt w:val="decimal"/>
      <w:lvlText w:val=""/>
      <w:lvlJc w:val="left"/>
    </w:lvl>
    <w:lvl w:ilvl="6" w:tplc="2AFC81E8">
      <w:numFmt w:val="decimal"/>
      <w:lvlText w:val=""/>
      <w:lvlJc w:val="left"/>
    </w:lvl>
    <w:lvl w:ilvl="7" w:tplc="3CD4238C">
      <w:numFmt w:val="decimal"/>
      <w:lvlText w:val=""/>
      <w:lvlJc w:val="left"/>
    </w:lvl>
    <w:lvl w:ilvl="8" w:tplc="29E46304">
      <w:numFmt w:val="decimal"/>
      <w:lvlText w:val=""/>
      <w:lvlJc w:val="left"/>
    </w:lvl>
  </w:abstractNum>
  <w:abstractNum w:abstractNumId="142">
    <w:nsid w:val="74DE0EE3"/>
    <w:multiLevelType w:val="hybridMultilevel"/>
    <w:tmpl w:val="12CC8656"/>
    <w:lvl w:ilvl="0" w:tplc="038C8E5E">
      <w:start w:val="10"/>
      <w:numFmt w:val="decimal"/>
      <w:lvlText w:val="%1"/>
      <w:lvlJc w:val="left"/>
    </w:lvl>
    <w:lvl w:ilvl="1" w:tplc="12E63F3A">
      <w:numFmt w:val="decimal"/>
      <w:lvlText w:val=""/>
      <w:lvlJc w:val="left"/>
    </w:lvl>
    <w:lvl w:ilvl="2" w:tplc="FAD8E568">
      <w:numFmt w:val="decimal"/>
      <w:lvlText w:val=""/>
      <w:lvlJc w:val="left"/>
    </w:lvl>
    <w:lvl w:ilvl="3" w:tplc="74764392">
      <w:numFmt w:val="decimal"/>
      <w:lvlText w:val=""/>
      <w:lvlJc w:val="left"/>
    </w:lvl>
    <w:lvl w:ilvl="4" w:tplc="A4A6DFC6">
      <w:numFmt w:val="decimal"/>
      <w:lvlText w:val=""/>
      <w:lvlJc w:val="left"/>
    </w:lvl>
    <w:lvl w:ilvl="5" w:tplc="6CA8EEBE">
      <w:numFmt w:val="decimal"/>
      <w:lvlText w:val=""/>
      <w:lvlJc w:val="left"/>
    </w:lvl>
    <w:lvl w:ilvl="6" w:tplc="B8481E16">
      <w:numFmt w:val="decimal"/>
      <w:lvlText w:val=""/>
      <w:lvlJc w:val="left"/>
    </w:lvl>
    <w:lvl w:ilvl="7" w:tplc="80A005C0">
      <w:numFmt w:val="decimal"/>
      <w:lvlText w:val=""/>
      <w:lvlJc w:val="left"/>
    </w:lvl>
    <w:lvl w:ilvl="8" w:tplc="01AEDC4A">
      <w:numFmt w:val="decimal"/>
      <w:lvlText w:val=""/>
      <w:lvlJc w:val="left"/>
    </w:lvl>
  </w:abstractNum>
  <w:abstractNum w:abstractNumId="143">
    <w:nsid w:val="75486E47"/>
    <w:multiLevelType w:val="hybridMultilevel"/>
    <w:tmpl w:val="7ABCFF5A"/>
    <w:lvl w:ilvl="0" w:tplc="BD8AD67E">
      <w:start w:val="1"/>
      <w:numFmt w:val="lowerLetter"/>
      <w:lvlText w:val="(%1)"/>
      <w:lvlJc w:val="left"/>
    </w:lvl>
    <w:lvl w:ilvl="1" w:tplc="46E661A2">
      <w:numFmt w:val="decimal"/>
      <w:lvlText w:val=""/>
      <w:lvlJc w:val="left"/>
    </w:lvl>
    <w:lvl w:ilvl="2" w:tplc="153E6078">
      <w:numFmt w:val="decimal"/>
      <w:lvlText w:val=""/>
      <w:lvlJc w:val="left"/>
    </w:lvl>
    <w:lvl w:ilvl="3" w:tplc="3D5666C4">
      <w:numFmt w:val="decimal"/>
      <w:lvlText w:val=""/>
      <w:lvlJc w:val="left"/>
    </w:lvl>
    <w:lvl w:ilvl="4" w:tplc="DD800AB2">
      <w:numFmt w:val="decimal"/>
      <w:lvlText w:val=""/>
      <w:lvlJc w:val="left"/>
    </w:lvl>
    <w:lvl w:ilvl="5" w:tplc="BACE2860">
      <w:numFmt w:val="decimal"/>
      <w:lvlText w:val=""/>
      <w:lvlJc w:val="left"/>
    </w:lvl>
    <w:lvl w:ilvl="6" w:tplc="59DCA312">
      <w:numFmt w:val="decimal"/>
      <w:lvlText w:val=""/>
      <w:lvlJc w:val="left"/>
    </w:lvl>
    <w:lvl w:ilvl="7" w:tplc="8C925362">
      <w:numFmt w:val="decimal"/>
      <w:lvlText w:val=""/>
      <w:lvlJc w:val="left"/>
    </w:lvl>
    <w:lvl w:ilvl="8" w:tplc="648CCFCA">
      <w:numFmt w:val="decimal"/>
      <w:lvlText w:val=""/>
      <w:lvlJc w:val="left"/>
    </w:lvl>
  </w:abstractNum>
  <w:abstractNum w:abstractNumId="144">
    <w:nsid w:val="759F82CD"/>
    <w:multiLevelType w:val="hybridMultilevel"/>
    <w:tmpl w:val="40488D90"/>
    <w:lvl w:ilvl="0" w:tplc="676ABE44">
      <w:start w:val="1"/>
      <w:numFmt w:val="lowerLetter"/>
      <w:lvlText w:val="(%1)"/>
      <w:lvlJc w:val="left"/>
    </w:lvl>
    <w:lvl w:ilvl="1" w:tplc="AA6C8D46">
      <w:numFmt w:val="decimal"/>
      <w:lvlText w:val=""/>
      <w:lvlJc w:val="left"/>
    </w:lvl>
    <w:lvl w:ilvl="2" w:tplc="5784E928">
      <w:numFmt w:val="decimal"/>
      <w:lvlText w:val=""/>
      <w:lvlJc w:val="left"/>
    </w:lvl>
    <w:lvl w:ilvl="3" w:tplc="6242169C">
      <w:numFmt w:val="decimal"/>
      <w:lvlText w:val=""/>
      <w:lvlJc w:val="left"/>
    </w:lvl>
    <w:lvl w:ilvl="4" w:tplc="C9BE0DC0">
      <w:numFmt w:val="decimal"/>
      <w:lvlText w:val=""/>
      <w:lvlJc w:val="left"/>
    </w:lvl>
    <w:lvl w:ilvl="5" w:tplc="FF863F76">
      <w:numFmt w:val="decimal"/>
      <w:lvlText w:val=""/>
      <w:lvlJc w:val="left"/>
    </w:lvl>
    <w:lvl w:ilvl="6" w:tplc="1B5E6496">
      <w:numFmt w:val="decimal"/>
      <w:lvlText w:val=""/>
      <w:lvlJc w:val="left"/>
    </w:lvl>
    <w:lvl w:ilvl="7" w:tplc="4E7A06E2">
      <w:numFmt w:val="decimal"/>
      <w:lvlText w:val=""/>
      <w:lvlJc w:val="left"/>
    </w:lvl>
    <w:lvl w:ilvl="8" w:tplc="67CA2E7C">
      <w:numFmt w:val="decimal"/>
      <w:lvlText w:val=""/>
      <w:lvlJc w:val="left"/>
    </w:lvl>
  </w:abstractNum>
  <w:abstractNum w:abstractNumId="145">
    <w:nsid w:val="75E0858A"/>
    <w:multiLevelType w:val="hybridMultilevel"/>
    <w:tmpl w:val="F9F49C24"/>
    <w:lvl w:ilvl="0" w:tplc="B0CE7C44">
      <w:start w:val="56"/>
      <w:numFmt w:val="decimal"/>
      <w:lvlText w:val="%1"/>
      <w:lvlJc w:val="left"/>
    </w:lvl>
    <w:lvl w:ilvl="1" w:tplc="BD5AB87E">
      <w:numFmt w:val="decimal"/>
      <w:lvlText w:val=""/>
      <w:lvlJc w:val="left"/>
    </w:lvl>
    <w:lvl w:ilvl="2" w:tplc="55ECD552">
      <w:numFmt w:val="decimal"/>
      <w:lvlText w:val=""/>
      <w:lvlJc w:val="left"/>
    </w:lvl>
    <w:lvl w:ilvl="3" w:tplc="535089DA">
      <w:numFmt w:val="decimal"/>
      <w:lvlText w:val=""/>
      <w:lvlJc w:val="left"/>
    </w:lvl>
    <w:lvl w:ilvl="4" w:tplc="0ED66A2C">
      <w:numFmt w:val="decimal"/>
      <w:lvlText w:val=""/>
      <w:lvlJc w:val="left"/>
    </w:lvl>
    <w:lvl w:ilvl="5" w:tplc="B33698CA">
      <w:numFmt w:val="decimal"/>
      <w:lvlText w:val=""/>
      <w:lvlJc w:val="left"/>
    </w:lvl>
    <w:lvl w:ilvl="6" w:tplc="F8C07A12">
      <w:numFmt w:val="decimal"/>
      <w:lvlText w:val=""/>
      <w:lvlJc w:val="left"/>
    </w:lvl>
    <w:lvl w:ilvl="7" w:tplc="6BA6527A">
      <w:numFmt w:val="decimal"/>
      <w:lvlText w:val=""/>
      <w:lvlJc w:val="left"/>
    </w:lvl>
    <w:lvl w:ilvl="8" w:tplc="89AAE700">
      <w:numFmt w:val="decimal"/>
      <w:lvlText w:val=""/>
      <w:lvlJc w:val="left"/>
    </w:lvl>
  </w:abstractNum>
  <w:abstractNum w:abstractNumId="146">
    <w:nsid w:val="76272110"/>
    <w:multiLevelType w:val="hybridMultilevel"/>
    <w:tmpl w:val="247AE40E"/>
    <w:lvl w:ilvl="0" w:tplc="A7F6FDD4">
      <w:start w:val="1"/>
      <w:numFmt w:val="bullet"/>
      <w:lvlText w:val="•"/>
      <w:lvlJc w:val="left"/>
    </w:lvl>
    <w:lvl w:ilvl="1" w:tplc="3C249230">
      <w:numFmt w:val="decimal"/>
      <w:lvlText w:val=""/>
      <w:lvlJc w:val="left"/>
    </w:lvl>
    <w:lvl w:ilvl="2" w:tplc="CFFA4A1C">
      <w:numFmt w:val="decimal"/>
      <w:lvlText w:val=""/>
      <w:lvlJc w:val="left"/>
    </w:lvl>
    <w:lvl w:ilvl="3" w:tplc="71FC65DC">
      <w:numFmt w:val="decimal"/>
      <w:lvlText w:val=""/>
      <w:lvlJc w:val="left"/>
    </w:lvl>
    <w:lvl w:ilvl="4" w:tplc="3450630E">
      <w:numFmt w:val="decimal"/>
      <w:lvlText w:val=""/>
      <w:lvlJc w:val="left"/>
    </w:lvl>
    <w:lvl w:ilvl="5" w:tplc="869C726C">
      <w:numFmt w:val="decimal"/>
      <w:lvlText w:val=""/>
      <w:lvlJc w:val="left"/>
    </w:lvl>
    <w:lvl w:ilvl="6" w:tplc="3B022788">
      <w:numFmt w:val="decimal"/>
      <w:lvlText w:val=""/>
      <w:lvlJc w:val="left"/>
    </w:lvl>
    <w:lvl w:ilvl="7" w:tplc="04A81ADE">
      <w:numFmt w:val="decimal"/>
      <w:lvlText w:val=""/>
      <w:lvlJc w:val="left"/>
    </w:lvl>
    <w:lvl w:ilvl="8" w:tplc="36886184">
      <w:numFmt w:val="decimal"/>
      <w:lvlText w:val=""/>
      <w:lvlJc w:val="left"/>
    </w:lvl>
  </w:abstractNum>
  <w:abstractNum w:abstractNumId="147">
    <w:nsid w:val="7672BD23"/>
    <w:multiLevelType w:val="hybridMultilevel"/>
    <w:tmpl w:val="7DFEFD84"/>
    <w:lvl w:ilvl="0" w:tplc="69463102">
      <w:start w:val="6"/>
      <w:numFmt w:val="upperLetter"/>
      <w:lvlText w:val="(%1)"/>
      <w:lvlJc w:val="left"/>
    </w:lvl>
    <w:lvl w:ilvl="1" w:tplc="880CB36E">
      <w:numFmt w:val="decimal"/>
      <w:lvlText w:val=""/>
      <w:lvlJc w:val="left"/>
    </w:lvl>
    <w:lvl w:ilvl="2" w:tplc="F90AA792">
      <w:numFmt w:val="decimal"/>
      <w:lvlText w:val=""/>
      <w:lvlJc w:val="left"/>
    </w:lvl>
    <w:lvl w:ilvl="3" w:tplc="35845906">
      <w:numFmt w:val="decimal"/>
      <w:lvlText w:val=""/>
      <w:lvlJc w:val="left"/>
    </w:lvl>
    <w:lvl w:ilvl="4" w:tplc="C048F9F6">
      <w:numFmt w:val="decimal"/>
      <w:lvlText w:val=""/>
      <w:lvlJc w:val="left"/>
    </w:lvl>
    <w:lvl w:ilvl="5" w:tplc="EC340CFE">
      <w:numFmt w:val="decimal"/>
      <w:lvlText w:val=""/>
      <w:lvlJc w:val="left"/>
    </w:lvl>
    <w:lvl w:ilvl="6" w:tplc="DC764CD0">
      <w:numFmt w:val="decimal"/>
      <w:lvlText w:val=""/>
      <w:lvlJc w:val="left"/>
    </w:lvl>
    <w:lvl w:ilvl="7" w:tplc="4E5804A0">
      <w:numFmt w:val="decimal"/>
      <w:lvlText w:val=""/>
      <w:lvlJc w:val="left"/>
    </w:lvl>
    <w:lvl w:ilvl="8" w:tplc="ADF89542">
      <w:numFmt w:val="decimal"/>
      <w:lvlText w:val=""/>
      <w:lvlJc w:val="left"/>
    </w:lvl>
  </w:abstractNum>
  <w:abstractNum w:abstractNumId="148">
    <w:nsid w:val="78B5E776"/>
    <w:multiLevelType w:val="hybridMultilevel"/>
    <w:tmpl w:val="4A806206"/>
    <w:lvl w:ilvl="0" w:tplc="12780BE6">
      <w:start w:val="1"/>
      <w:numFmt w:val="lowerRoman"/>
      <w:lvlText w:val="(%1)"/>
      <w:lvlJc w:val="left"/>
    </w:lvl>
    <w:lvl w:ilvl="1" w:tplc="CE52B8AA">
      <w:numFmt w:val="decimal"/>
      <w:lvlText w:val=""/>
      <w:lvlJc w:val="left"/>
    </w:lvl>
    <w:lvl w:ilvl="2" w:tplc="E4120BA2">
      <w:numFmt w:val="decimal"/>
      <w:lvlText w:val=""/>
      <w:lvlJc w:val="left"/>
    </w:lvl>
    <w:lvl w:ilvl="3" w:tplc="B868276A">
      <w:numFmt w:val="decimal"/>
      <w:lvlText w:val=""/>
      <w:lvlJc w:val="left"/>
    </w:lvl>
    <w:lvl w:ilvl="4" w:tplc="6276DA00">
      <w:numFmt w:val="decimal"/>
      <w:lvlText w:val=""/>
      <w:lvlJc w:val="left"/>
    </w:lvl>
    <w:lvl w:ilvl="5" w:tplc="AA0AADFA">
      <w:numFmt w:val="decimal"/>
      <w:lvlText w:val=""/>
      <w:lvlJc w:val="left"/>
    </w:lvl>
    <w:lvl w:ilvl="6" w:tplc="D20CD7AE">
      <w:numFmt w:val="decimal"/>
      <w:lvlText w:val=""/>
      <w:lvlJc w:val="left"/>
    </w:lvl>
    <w:lvl w:ilvl="7" w:tplc="D7F8C9CA">
      <w:numFmt w:val="decimal"/>
      <w:lvlText w:val=""/>
      <w:lvlJc w:val="left"/>
    </w:lvl>
    <w:lvl w:ilvl="8" w:tplc="D3BA1ADA">
      <w:numFmt w:val="decimal"/>
      <w:lvlText w:val=""/>
      <w:lvlJc w:val="left"/>
    </w:lvl>
  </w:abstractNum>
  <w:abstractNum w:abstractNumId="149">
    <w:nsid w:val="78DF6A55"/>
    <w:multiLevelType w:val="hybridMultilevel"/>
    <w:tmpl w:val="A1CEF1E6"/>
    <w:lvl w:ilvl="0" w:tplc="B00C27E6">
      <w:start w:val="1"/>
      <w:numFmt w:val="bullet"/>
      <w:lvlText w:val="***"/>
      <w:lvlJc w:val="left"/>
    </w:lvl>
    <w:lvl w:ilvl="1" w:tplc="1A46784A">
      <w:numFmt w:val="decimal"/>
      <w:lvlText w:val=""/>
      <w:lvlJc w:val="left"/>
    </w:lvl>
    <w:lvl w:ilvl="2" w:tplc="0AB07520">
      <w:numFmt w:val="decimal"/>
      <w:lvlText w:val=""/>
      <w:lvlJc w:val="left"/>
    </w:lvl>
    <w:lvl w:ilvl="3" w:tplc="B936D58C">
      <w:numFmt w:val="decimal"/>
      <w:lvlText w:val=""/>
      <w:lvlJc w:val="left"/>
    </w:lvl>
    <w:lvl w:ilvl="4" w:tplc="079438DE">
      <w:numFmt w:val="decimal"/>
      <w:lvlText w:val=""/>
      <w:lvlJc w:val="left"/>
    </w:lvl>
    <w:lvl w:ilvl="5" w:tplc="098C8954">
      <w:numFmt w:val="decimal"/>
      <w:lvlText w:val=""/>
      <w:lvlJc w:val="left"/>
    </w:lvl>
    <w:lvl w:ilvl="6" w:tplc="EB72FEE0">
      <w:numFmt w:val="decimal"/>
      <w:lvlText w:val=""/>
      <w:lvlJc w:val="left"/>
    </w:lvl>
    <w:lvl w:ilvl="7" w:tplc="618EDB3C">
      <w:numFmt w:val="decimal"/>
      <w:lvlText w:val=""/>
      <w:lvlJc w:val="left"/>
    </w:lvl>
    <w:lvl w:ilvl="8" w:tplc="2070EC6E">
      <w:numFmt w:val="decimal"/>
      <w:lvlText w:val=""/>
      <w:lvlJc w:val="left"/>
    </w:lvl>
  </w:abstractNum>
  <w:abstractNum w:abstractNumId="150">
    <w:nsid w:val="7AB49DAF"/>
    <w:multiLevelType w:val="hybridMultilevel"/>
    <w:tmpl w:val="C1F0C44E"/>
    <w:lvl w:ilvl="0" w:tplc="85DA7D38">
      <w:start w:val="1"/>
      <w:numFmt w:val="lowerLetter"/>
      <w:lvlText w:val="(%1)"/>
      <w:lvlJc w:val="left"/>
    </w:lvl>
    <w:lvl w:ilvl="1" w:tplc="3A821FB2">
      <w:numFmt w:val="decimal"/>
      <w:lvlText w:val=""/>
      <w:lvlJc w:val="left"/>
    </w:lvl>
    <w:lvl w:ilvl="2" w:tplc="702CE748">
      <w:numFmt w:val="decimal"/>
      <w:lvlText w:val=""/>
      <w:lvlJc w:val="left"/>
    </w:lvl>
    <w:lvl w:ilvl="3" w:tplc="7A7C42A8">
      <w:numFmt w:val="decimal"/>
      <w:lvlText w:val=""/>
      <w:lvlJc w:val="left"/>
    </w:lvl>
    <w:lvl w:ilvl="4" w:tplc="9E20AC8E">
      <w:numFmt w:val="decimal"/>
      <w:lvlText w:val=""/>
      <w:lvlJc w:val="left"/>
    </w:lvl>
    <w:lvl w:ilvl="5" w:tplc="63E4B45E">
      <w:numFmt w:val="decimal"/>
      <w:lvlText w:val=""/>
      <w:lvlJc w:val="left"/>
    </w:lvl>
    <w:lvl w:ilvl="6" w:tplc="FB4664D4">
      <w:numFmt w:val="decimal"/>
      <w:lvlText w:val=""/>
      <w:lvlJc w:val="left"/>
    </w:lvl>
    <w:lvl w:ilvl="7" w:tplc="B4A847F0">
      <w:numFmt w:val="decimal"/>
      <w:lvlText w:val=""/>
      <w:lvlJc w:val="left"/>
    </w:lvl>
    <w:lvl w:ilvl="8" w:tplc="417CBD06">
      <w:numFmt w:val="decimal"/>
      <w:lvlText w:val=""/>
      <w:lvlJc w:val="left"/>
    </w:lvl>
  </w:abstractNum>
  <w:abstractNum w:abstractNumId="151">
    <w:nsid w:val="7C58FD05"/>
    <w:multiLevelType w:val="hybridMultilevel"/>
    <w:tmpl w:val="8ED895AA"/>
    <w:lvl w:ilvl="0" w:tplc="30745662">
      <w:start w:val="1"/>
      <w:numFmt w:val="bullet"/>
      <w:lvlText w:val="•"/>
      <w:lvlJc w:val="left"/>
    </w:lvl>
    <w:lvl w:ilvl="1" w:tplc="5980194E">
      <w:numFmt w:val="decimal"/>
      <w:lvlText w:val=""/>
      <w:lvlJc w:val="left"/>
    </w:lvl>
    <w:lvl w:ilvl="2" w:tplc="05807E02">
      <w:numFmt w:val="decimal"/>
      <w:lvlText w:val=""/>
      <w:lvlJc w:val="left"/>
    </w:lvl>
    <w:lvl w:ilvl="3" w:tplc="71426E54">
      <w:numFmt w:val="decimal"/>
      <w:lvlText w:val=""/>
      <w:lvlJc w:val="left"/>
    </w:lvl>
    <w:lvl w:ilvl="4" w:tplc="E5105D92">
      <w:numFmt w:val="decimal"/>
      <w:lvlText w:val=""/>
      <w:lvlJc w:val="left"/>
    </w:lvl>
    <w:lvl w:ilvl="5" w:tplc="157CA656">
      <w:numFmt w:val="decimal"/>
      <w:lvlText w:val=""/>
      <w:lvlJc w:val="left"/>
    </w:lvl>
    <w:lvl w:ilvl="6" w:tplc="C400B23C">
      <w:numFmt w:val="decimal"/>
      <w:lvlText w:val=""/>
      <w:lvlJc w:val="left"/>
    </w:lvl>
    <w:lvl w:ilvl="7" w:tplc="4C0A7010">
      <w:numFmt w:val="decimal"/>
      <w:lvlText w:val=""/>
      <w:lvlJc w:val="left"/>
    </w:lvl>
    <w:lvl w:ilvl="8" w:tplc="B35EA762">
      <w:numFmt w:val="decimal"/>
      <w:lvlText w:val=""/>
      <w:lvlJc w:val="left"/>
    </w:lvl>
  </w:abstractNum>
  <w:abstractNum w:abstractNumId="152">
    <w:nsid w:val="7D5E18F8"/>
    <w:multiLevelType w:val="hybridMultilevel"/>
    <w:tmpl w:val="A4DE651A"/>
    <w:lvl w:ilvl="0" w:tplc="F544E872">
      <w:start w:val="22"/>
      <w:numFmt w:val="decimal"/>
      <w:lvlText w:val="%1"/>
      <w:lvlJc w:val="left"/>
    </w:lvl>
    <w:lvl w:ilvl="1" w:tplc="DCE24AE8">
      <w:numFmt w:val="decimal"/>
      <w:lvlText w:val=""/>
      <w:lvlJc w:val="left"/>
    </w:lvl>
    <w:lvl w:ilvl="2" w:tplc="1E68D162">
      <w:numFmt w:val="decimal"/>
      <w:lvlText w:val=""/>
      <w:lvlJc w:val="left"/>
    </w:lvl>
    <w:lvl w:ilvl="3" w:tplc="33F6C77C">
      <w:numFmt w:val="decimal"/>
      <w:lvlText w:val=""/>
      <w:lvlJc w:val="left"/>
    </w:lvl>
    <w:lvl w:ilvl="4" w:tplc="71040394">
      <w:numFmt w:val="decimal"/>
      <w:lvlText w:val=""/>
      <w:lvlJc w:val="left"/>
    </w:lvl>
    <w:lvl w:ilvl="5" w:tplc="C278211C">
      <w:numFmt w:val="decimal"/>
      <w:lvlText w:val=""/>
      <w:lvlJc w:val="left"/>
    </w:lvl>
    <w:lvl w:ilvl="6" w:tplc="767E3F44">
      <w:numFmt w:val="decimal"/>
      <w:lvlText w:val=""/>
      <w:lvlJc w:val="left"/>
    </w:lvl>
    <w:lvl w:ilvl="7" w:tplc="A92C7D4E">
      <w:numFmt w:val="decimal"/>
      <w:lvlText w:val=""/>
      <w:lvlJc w:val="left"/>
    </w:lvl>
    <w:lvl w:ilvl="8" w:tplc="90220DD6">
      <w:numFmt w:val="decimal"/>
      <w:lvlText w:val=""/>
      <w:lvlJc w:val="left"/>
    </w:lvl>
  </w:abstractNum>
  <w:abstractNum w:abstractNumId="153">
    <w:nsid w:val="7DE67713"/>
    <w:multiLevelType w:val="hybridMultilevel"/>
    <w:tmpl w:val="539ACB14"/>
    <w:lvl w:ilvl="0" w:tplc="656A1278">
      <w:start w:val="2"/>
      <w:numFmt w:val="decimal"/>
      <w:lvlText w:val="(%1)"/>
      <w:lvlJc w:val="left"/>
    </w:lvl>
    <w:lvl w:ilvl="1" w:tplc="F120172A">
      <w:numFmt w:val="decimal"/>
      <w:lvlText w:val=""/>
      <w:lvlJc w:val="left"/>
    </w:lvl>
    <w:lvl w:ilvl="2" w:tplc="2FB81216">
      <w:numFmt w:val="decimal"/>
      <w:lvlText w:val=""/>
      <w:lvlJc w:val="left"/>
    </w:lvl>
    <w:lvl w:ilvl="3" w:tplc="212E5A3E">
      <w:numFmt w:val="decimal"/>
      <w:lvlText w:val=""/>
      <w:lvlJc w:val="left"/>
    </w:lvl>
    <w:lvl w:ilvl="4" w:tplc="65086418">
      <w:numFmt w:val="decimal"/>
      <w:lvlText w:val=""/>
      <w:lvlJc w:val="left"/>
    </w:lvl>
    <w:lvl w:ilvl="5" w:tplc="4EE4D44C">
      <w:numFmt w:val="decimal"/>
      <w:lvlText w:val=""/>
      <w:lvlJc w:val="left"/>
    </w:lvl>
    <w:lvl w:ilvl="6" w:tplc="F30E2064">
      <w:numFmt w:val="decimal"/>
      <w:lvlText w:val=""/>
      <w:lvlJc w:val="left"/>
    </w:lvl>
    <w:lvl w:ilvl="7" w:tplc="1DB066FA">
      <w:numFmt w:val="decimal"/>
      <w:lvlText w:val=""/>
      <w:lvlJc w:val="left"/>
    </w:lvl>
    <w:lvl w:ilvl="8" w:tplc="DFDEEC5A">
      <w:numFmt w:val="decimal"/>
      <w:lvlText w:val=""/>
      <w:lvlJc w:val="left"/>
    </w:lvl>
  </w:abstractNum>
  <w:abstractNum w:abstractNumId="154">
    <w:nsid w:val="7DFF9D09"/>
    <w:multiLevelType w:val="hybridMultilevel"/>
    <w:tmpl w:val="B1F47A66"/>
    <w:lvl w:ilvl="0" w:tplc="02BE7614">
      <w:start w:val="3"/>
      <w:numFmt w:val="decimal"/>
      <w:lvlText w:val="(%1)"/>
      <w:lvlJc w:val="left"/>
    </w:lvl>
    <w:lvl w:ilvl="1" w:tplc="776A8664">
      <w:numFmt w:val="decimal"/>
      <w:lvlText w:val=""/>
      <w:lvlJc w:val="left"/>
    </w:lvl>
    <w:lvl w:ilvl="2" w:tplc="308A77FE">
      <w:numFmt w:val="decimal"/>
      <w:lvlText w:val=""/>
      <w:lvlJc w:val="left"/>
    </w:lvl>
    <w:lvl w:ilvl="3" w:tplc="DD9E7BB0">
      <w:numFmt w:val="decimal"/>
      <w:lvlText w:val=""/>
      <w:lvlJc w:val="left"/>
    </w:lvl>
    <w:lvl w:ilvl="4" w:tplc="6BC28204">
      <w:numFmt w:val="decimal"/>
      <w:lvlText w:val=""/>
      <w:lvlJc w:val="left"/>
    </w:lvl>
    <w:lvl w:ilvl="5" w:tplc="3368ACFC">
      <w:numFmt w:val="decimal"/>
      <w:lvlText w:val=""/>
      <w:lvlJc w:val="left"/>
    </w:lvl>
    <w:lvl w:ilvl="6" w:tplc="D018AF4E">
      <w:numFmt w:val="decimal"/>
      <w:lvlText w:val=""/>
      <w:lvlJc w:val="left"/>
    </w:lvl>
    <w:lvl w:ilvl="7" w:tplc="E904C31C">
      <w:numFmt w:val="decimal"/>
      <w:lvlText w:val=""/>
      <w:lvlJc w:val="left"/>
    </w:lvl>
    <w:lvl w:ilvl="8" w:tplc="AD04FFB6">
      <w:numFmt w:val="decimal"/>
      <w:lvlText w:val=""/>
      <w:lvlJc w:val="left"/>
    </w:lvl>
  </w:abstractNum>
  <w:abstractNum w:abstractNumId="155">
    <w:nsid w:val="7F01579B"/>
    <w:multiLevelType w:val="hybridMultilevel"/>
    <w:tmpl w:val="B628C90C"/>
    <w:lvl w:ilvl="0" w:tplc="4A68D014">
      <w:start w:val="16"/>
      <w:numFmt w:val="decimal"/>
      <w:lvlText w:val="%1"/>
      <w:lvlJc w:val="left"/>
    </w:lvl>
    <w:lvl w:ilvl="1" w:tplc="45124AD8">
      <w:numFmt w:val="decimal"/>
      <w:lvlText w:val=""/>
      <w:lvlJc w:val="left"/>
    </w:lvl>
    <w:lvl w:ilvl="2" w:tplc="D9A88F78">
      <w:numFmt w:val="decimal"/>
      <w:lvlText w:val=""/>
      <w:lvlJc w:val="left"/>
    </w:lvl>
    <w:lvl w:ilvl="3" w:tplc="82A20B36">
      <w:numFmt w:val="decimal"/>
      <w:lvlText w:val=""/>
      <w:lvlJc w:val="left"/>
    </w:lvl>
    <w:lvl w:ilvl="4" w:tplc="678CD766">
      <w:numFmt w:val="decimal"/>
      <w:lvlText w:val=""/>
      <w:lvlJc w:val="left"/>
    </w:lvl>
    <w:lvl w:ilvl="5" w:tplc="E3A23DCC">
      <w:numFmt w:val="decimal"/>
      <w:lvlText w:val=""/>
      <w:lvlJc w:val="left"/>
    </w:lvl>
    <w:lvl w:ilvl="6" w:tplc="14F68D42">
      <w:numFmt w:val="decimal"/>
      <w:lvlText w:val=""/>
      <w:lvlJc w:val="left"/>
    </w:lvl>
    <w:lvl w:ilvl="7" w:tplc="8C7AA4BE">
      <w:numFmt w:val="decimal"/>
      <w:lvlText w:val=""/>
      <w:lvlJc w:val="left"/>
    </w:lvl>
    <w:lvl w:ilvl="8" w:tplc="A71C541C">
      <w:numFmt w:val="decimal"/>
      <w:lvlText w:val=""/>
      <w:lvlJc w:val="left"/>
    </w:lvl>
  </w:abstractNum>
  <w:abstractNum w:abstractNumId="156">
    <w:nsid w:val="7FB7E0AA"/>
    <w:multiLevelType w:val="hybridMultilevel"/>
    <w:tmpl w:val="33AE1CA0"/>
    <w:lvl w:ilvl="0" w:tplc="968C1AA4">
      <w:start w:val="1"/>
      <w:numFmt w:val="decimal"/>
      <w:lvlText w:val="%1."/>
      <w:lvlJc w:val="left"/>
    </w:lvl>
    <w:lvl w:ilvl="1" w:tplc="594069A2">
      <w:numFmt w:val="decimal"/>
      <w:lvlText w:val=""/>
      <w:lvlJc w:val="left"/>
    </w:lvl>
    <w:lvl w:ilvl="2" w:tplc="D1486F0C">
      <w:numFmt w:val="decimal"/>
      <w:lvlText w:val=""/>
      <w:lvlJc w:val="left"/>
    </w:lvl>
    <w:lvl w:ilvl="3" w:tplc="97B45A14">
      <w:numFmt w:val="decimal"/>
      <w:lvlText w:val=""/>
      <w:lvlJc w:val="left"/>
    </w:lvl>
    <w:lvl w:ilvl="4" w:tplc="3C62E094">
      <w:numFmt w:val="decimal"/>
      <w:lvlText w:val=""/>
      <w:lvlJc w:val="left"/>
    </w:lvl>
    <w:lvl w:ilvl="5" w:tplc="12AEE5F2">
      <w:numFmt w:val="decimal"/>
      <w:lvlText w:val=""/>
      <w:lvlJc w:val="left"/>
    </w:lvl>
    <w:lvl w:ilvl="6" w:tplc="392E1614">
      <w:numFmt w:val="decimal"/>
      <w:lvlText w:val=""/>
      <w:lvlJc w:val="left"/>
    </w:lvl>
    <w:lvl w:ilvl="7" w:tplc="6AACDFC4">
      <w:numFmt w:val="decimal"/>
      <w:lvlText w:val=""/>
      <w:lvlJc w:val="left"/>
    </w:lvl>
    <w:lvl w:ilvl="8" w:tplc="F6BAC6C0">
      <w:numFmt w:val="decimal"/>
      <w:lvlText w:val=""/>
      <w:lvlJc w:val="left"/>
    </w:lvl>
  </w:abstractNum>
  <w:abstractNum w:abstractNumId="157">
    <w:nsid w:val="7FFFCA11"/>
    <w:multiLevelType w:val="hybridMultilevel"/>
    <w:tmpl w:val="2A72E3F0"/>
    <w:lvl w:ilvl="0" w:tplc="2E2A4E74">
      <w:start w:val="1"/>
      <w:numFmt w:val="bullet"/>
      <w:lvlText w:val="/"/>
      <w:lvlJc w:val="left"/>
    </w:lvl>
    <w:lvl w:ilvl="1" w:tplc="42DA34D8">
      <w:numFmt w:val="decimal"/>
      <w:lvlText w:val=""/>
      <w:lvlJc w:val="left"/>
    </w:lvl>
    <w:lvl w:ilvl="2" w:tplc="D42C40DA">
      <w:numFmt w:val="decimal"/>
      <w:lvlText w:val=""/>
      <w:lvlJc w:val="left"/>
    </w:lvl>
    <w:lvl w:ilvl="3" w:tplc="5712E2E2">
      <w:numFmt w:val="decimal"/>
      <w:lvlText w:val=""/>
      <w:lvlJc w:val="left"/>
    </w:lvl>
    <w:lvl w:ilvl="4" w:tplc="80409306">
      <w:numFmt w:val="decimal"/>
      <w:lvlText w:val=""/>
      <w:lvlJc w:val="left"/>
    </w:lvl>
    <w:lvl w:ilvl="5" w:tplc="D15AE72A">
      <w:numFmt w:val="decimal"/>
      <w:lvlText w:val=""/>
      <w:lvlJc w:val="left"/>
    </w:lvl>
    <w:lvl w:ilvl="6" w:tplc="CD1A1872">
      <w:numFmt w:val="decimal"/>
      <w:lvlText w:val=""/>
      <w:lvlJc w:val="left"/>
    </w:lvl>
    <w:lvl w:ilvl="7" w:tplc="2B76BC60">
      <w:numFmt w:val="decimal"/>
      <w:lvlText w:val=""/>
      <w:lvlJc w:val="left"/>
    </w:lvl>
    <w:lvl w:ilvl="8" w:tplc="2E3AEC18">
      <w:numFmt w:val="decimal"/>
      <w:lvlText w:val=""/>
      <w:lvlJc w:val="left"/>
    </w:lvl>
  </w:abstractNum>
  <w:num w:numId="1">
    <w:abstractNumId w:val="62"/>
  </w:num>
  <w:num w:numId="2">
    <w:abstractNumId w:val="121"/>
  </w:num>
  <w:num w:numId="3">
    <w:abstractNumId w:val="77"/>
  </w:num>
  <w:num w:numId="4">
    <w:abstractNumId w:val="115"/>
  </w:num>
  <w:num w:numId="5">
    <w:abstractNumId w:val="5"/>
  </w:num>
  <w:num w:numId="6">
    <w:abstractNumId w:val="17"/>
  </w:num>
  <w:num w:numId="7">
    <w:abstractNumId w:val="157"/>
  </w:num>
  <w:num w:numId="8">
    <w:abstractNumId w:val="29"/>
  </w:num>
  <w:num w:numId="9">
    <w:abstractNumId w:val="138"/>
  </w:num>
  <w:num w:numId="10">
    <w:abstractNumId w:val="16"/>
  </w:num>
  <w:num w:numId="11">
    <w:abstractNumId w:val="156"/>
  </w:num>
  <w:num w:numId="12">
    <w:abstractNumId w:val="6"/>
  </w:num>
  <w:num w:numId="13">
    <w:abstractNumId w:val="132"/>
  </w:num>
  <w:num w:numId="14">
    <w:abstractNumId w:val="7"/>
  </w:num>
  <w:num w:numId="15">
    <w:abstractNumId w:val="2"/>
  </w:num>
  <w:num w:numId="16">
    <w:abstractNumId w:val="146"/>
  </w:num>
  <w:num w:numId="17">
    <w:abstractNumId w:val="84"/>
  </w:num>
  <w:num w:numId="18">
    <w:abstractNumId w:val="21"/>
  </w:num>
  <w:num w:numId="19">
    <w:abstractNumId w:val="19"/>
  </w:num>
  <w:num w:numId="20">
    <w:abstractNumId w:val="56"/>
  </w:num>
  <w:num w:numId="21">
    <w:abstractNumId w:val="142"/>
  </w:num>
  <w:num w:numId="22">
    <w:abstractNumId w:val="122"/>
  </w:num>
  <w:num w:numId="23">
    <w:abstractNumId w:val="53"/>
  </w:num>
  <w:num w:numId="24">
    <w:abstractNumId w:val="76"/>
  </w:num>
  <w:num w:numId="25">
    <w:abstractNumId w:val="81"/>
  </w:num>
  <w:num w:numId="26">
    <w:abstractNumId w:val="61"/>
  </w:num>
  <w:num w:numId="27">
    <w:abstractNumId w:val="104"/>
  </w:num>
  <w:num w:numId="28">
    <w:abstractNumId w:val="12"/>
  </w:num>
  <w:num w:numId="29">
    <w:abstractNumId w:val="72"/>
  </w:num>
  <w:num w:numId="30">
    <w:abstractNumId w:val="116"/>
  </w:num>
  <w:num w:numId="31">
    <w:abstractNumId w:val="43"/>
  </w:num>
  <w:num w:numId="32">
    <w:abstractNumId w:val="155"/>
  </w:num>
  <w:num w:numId="33">
    <w:abstractNumId w:val="80"/>
  </w:num>
  <w:num w:numId="34">
    <w:abstractNumId w:val="136"/>
  </w:num>
  <w:num w:numId="35">
    <w:abstractNumId w:val="114"/>
  </w:num>
  <w:num w:numId="36">
    <w:abstractNumId w:val="89"/>
  </w:num>
  <w:num w:numId="37">
    <w:abstractNumId w:val="3"/>
  </w:num>
  <w:num w:numId="38">
    <w:abstractNumId w:val="113"/>
  </w:num>
  <w:num w:numId="39">
    <w:abstractNumId w:val="126"/>
  </w:num>
  <w:num w:numId="40">
    <w:abstractNumId w:val="147"/>
  </w:num>
  <w:num w:numId="41">
    <w:abstractNumId w:val="133"/>
  </w:num>
  <w:num w:numId="42">
    <w:abstractNumId w:val="125"/>
  </w:num>
  <w:num w:numId="43">
    <w:abstractNumId w:val="152"/>
  </w:num>
  <w:num w:numId="44">
    <w:abstractNumId w:val="112"/>
  </w:num>
  <w:num w:numId="45">
    <w:abstractNumId w:val="139"/>
  </w:num>
  <w:num w:numId="46">
    <w:abstractNumId w:val="153"/>
  </w:num>
  <w:num w:numId="47">
    <w:abstractNumId w:val="97"/>
  </w:num>
  <w:num w:numId="48">
    <w:abstractNumId w:val="69"/>
  </w:num>
  <w:num w:numId="49">
    <w:abstractNumId w:val="20"/>
  </w:num>
  <w:num w:numId="50">
    <w:abstractNumId w:val="124"/>
  </w:num>
  <w:num w:numId="51">
    <w:abstractNumId w:val="137"/>
  </w:num>
  <w:num w:numId="52">
    <w:abstractNumId w:val="9"/>
  </w:num>
  <w:num w:numId="53">
    <w:abstractNumId w:val="93"/>
  </w:num>
  <w:num w:numId="54">
    <w:abstractNumId w:val="34"/>
  </w:num>
  <w:num w:numId="55">
    <w:abstractNumId w:val="90"/>
  </w:num>
  <w:num w:numId="56">
    <w:abstractNumId w:val="31"/>
  </w:num>
  <w:num w:numId="57">
    <w:abstractNumId w:val="107"/>
  </w:num>
  <w:num w:numId="58">
    <w:abstractNumId w:val="45"/>
  </w:num>
  <w:num w:numId="59">
    <w:abstractNumId w:val="47"/>
  </w:num>
  <w:num w:numId="60">
    <w:abstractNumId w:val="32"/>
  </w:num>
  <w:num w:numId="61">
    <w:abstractNumId w:val="8"/>
  </w:num>
  <w:num w:numId="62">
    <w:abstractNumId w:val="91"/>
  </w:num>
  <w:num w:numId="63">
    <w:abstractNumId w:val="30"/>
  </w:num>
  <w:num w:numId="64">
    <w:abstractNumId w:val="94"/>
  </w:num>
  <w:num w:numId="65">
    <w:abstractNumId w:val="71"/>
  </w:num>
  <w:num w:numId="66">
    <w:abstractNumId w:val="151"/>
  </w:num>
  <w:num w:numId="67">
    <w:abstractNumId w:val="38"/>
  </w:num>
  <w:num w:numId="68">
    <w:abstractNumId w:val="74"/>
  </w:num>
  <w:num w:numId="69">
    <w:abstractNumId w:val="109"/>
  </w:num>
  <w:num w:numId="70">
    <w:abstractNumId w:val="14"/>
  </w:num>
  <w:num w:numId="71">
    <w:abstractNumId w:val="64"/>
  </w:num>
  <w:num w:numId="72">
    <w:abstractNumId w:val="82"/>
  </w:num>
  <w:num w:numId="73">
    <w:abstractNumId w:val="149"/>
  </w:num>
  <w:num w:numId="74">
    <w:abstractNumId w:val="60"/>
  </w:num>
  <w:num w:numId="75">
    <w:abstractNumId w:val="50"/>
  </w:num>
  <w:num w:numId="76">
    <w:abstractNumId w:val="128"/>
  </w:num>
  <w:num w:numId="77">
    <w:abstractNumId w:val="58"/>
  </w:num>
  <w:num w:numId="78">
    <w:abstractNumId w:val="0"/>
  </w:num>
  <w:num w:numId="79">
    <w:abstractNumId w:val="51"/>
  </w:num>
  <w:num w:numId="80">
    <w:abstractNumId w:val="85"/>
  </w:num>
  <w:num w:numId="81">
    <w:abstractNumId w:val="127"/>
  </w:num>
  <w:num w:numId="82">
    <w:abstractNumId w:val="33"/>
  </w:num>
  <w:num w:numId="83">
    <w:abstractNumId w:val="99"/>
  </w:num>
  <w:num w:numId="84">
    <w:abstractNumId w:val="66"/>
  </w:num>
  <w:num w:numId="85">
    <w:abstractNumId w:val="65"/>
  </w:num>
  <w:num w:numId="86">
    <w:abstractNumId w:val="44"/>
  </w:num>
  <w:num w:numId="87">
    <w:abstractNumId w:val="108"/>
  </w:num>
  <w:num w:numId="88">
    <w:abstractNumId w:val="23"/>
  </w:num>
  <w:num w:numId="89">
    <w:abstractNumId w:val="87"/>
  </w:num>
  <w:num w:numId="90">
    <w:abstractNumId w:val="4"/>
  </w:num>
  <w:num w:numId="91">
    <w:abstractNumId w:val="57"/>
  </w:num>
  <w:num w:numId="92">
    <w:abstractNumId w:val="105"/>
  </w:num>
  <w:num w:numId="93">
    <w:abstractNumId w:val="98"/>
  </w:num>
  <w:num w:numId="94">
    <w:abstractNumId w:val="92"/>
  </w:num>
  <w:num w:numId="95">
    <w:abstractNumId w:val="52"/>
  </w:num>
  <w:num w:numId="96">
    <w:abstractNumId w:val="24"/>
  </w:num>
  <w:num w:numId="97">
    <w:abstractNumId w:val="86"/>
  </w:num>
  <w:num w:numId="98">
    <w:abstractNumId w:val="88"/>
  </w:num>
  <w:num w:numId="99">
    <w:abstractNumId w:val="110"/>
  </w:num>
  <w:num w:numId="100">
    <w:abstractNumId w:val="46"/>
  </w:num>
  <w:num w:numId="101">
    <w:abstractNumId w:val="111"/>
  </w:num>
  <w:num w:numId="102">
    <w:abstractNumId w:val="27"/>
  </w:num>
  <w:num w:numId="103">
    <w:abstractNumId w:val="145"/>
  </w:num>
  <w:num w:numId="104">
    <w:abstractNumId w:val="101"/>
  </w:num>
  <w:num w:numId="105">
    <w:abstractNumId w:val="95"/>
  </w:num>
  <w:num w:numId="106">
    <w:abstractNumId w:val="35"/>
  </w:num>
  <w:num w:numId="107">
    <w:abstractNumId w:val="73"/>
  </w:num>
  <w:num w:numId="108">
    <w:abstractNumId w:val="10"/>
  </w:num>
  <w:num w:numId="109">
    <w:abstractNumId w:val="36"/>
  </w:num>
  <w:num w:numId="110">
    <w:abstractNumId w:val="135"/>
  </w:num>
  <w:num w:numId="111">
    <w:abstractNumId w:val="103"/>
  </w:num>
  <w:num w:numId="112">
    <w:abstractNumId w:val="11"/>
  </w:num>
  <w:num w:numId="113">
    <w:abstractNumId w:val="13"/>
  </w:num>
  <w:num w:numId="114">
    <w:abstractNumId w:val="54"/>
  </w:num>
  <w:num w:numId="115">
    <w:abstractNumId w:val="79"/>
  </w:num>
  <w:num w:numId="116">
    <w:abstractNumId w:val="83"/>
  </w:num>
  <w:num w:numId="117">
    <w:abstractNumId w:val="96"/>
  </w:num>
  <w:num w:numId="118">
    <w:abstractNumId w:val="40"/>
  </w:num>
  <w:num w:numId="119">
    <w:abstractNumId w:val="119"/>
  </w:num>
  <w:num w:numId="120">
    <w:abstractNumId w:val="39"/>
  </w:num>
  <w:num w:numId="121">
    <w:abstractNumId w:val="48"/>
  </w:num>
  <w:num w:numId="122">
    <w:abstractNumId w:val="26"/>
  </w:num>
  <w:num w:numId="123">
    <w:abstractNumId w:val="154"/>
  </w:num>
  <w:num w:numId="124">
    <w:abstractNumId w:val="1"/>
  </w:num>
  <w:num w:numId="125">
    <w:abstractNumId w:val="123"/>
  </w:num>
  <w:num w:numId="126">
    <w:abstractNumId w:val="49"/>
  </w:num>
  <w:num w:numId="127">
    <w:abstractNumId w:val="25"/>
  </w:num>
  <w:num w:numId="128">
    <w:abstractNumId w:val="59"/>
  </w:num>
  <w:num w:numId="129">
    <w:abstractNumId w:val="150"/>
  </w:num>
  <w:num w:numId="130">
    <w:abstractNumId w:val="144"/>
  </w:num>
  <w:num w:numId="131">
    <w:abstractNumId w:val="117"/>
  </w:num>
  <w:num w:numId="132">
    <w:abstractNumId w:val="106"/>
  </w:num>
  <w:num w:numId="133">
    <w:abstractNumId w:val="15"/>
  </w:num>
  <w:num w:numId="134">
    <w:abstractNumId w:val="102"/>
  </w:num>
  <w:num w:numId="135">
    <w:abstractNumId w:val="55"/>
  </w:num>
  <w:num w:numId="136">
    <w:abstractNumId w:val="118"/>
  </w:num>
  <w:num w:numId="137">
    <w:abstractNumId w:val="148"/>
  </w:num>
  <w:num w:numId="138">
    <w:abstractNumId w:val="143"/>
  </w:num>
  <w:num w:numId="139">
    <w:abstractNumId w:val="130"/>
  </w:num>
  <w:num w:numId="140">
    <w:abstractNumId w:val="28"/>
  </w:num>
  <w:num w:numId="141">
    <w:abstractNumId w:val="120"/>
  </w:num>
  <w:num w:numId="142">
    <w:abstractNumId w:val="75"/>
  </w:num>
  <w:num w:numId="143">
    <w:abstractNumId w:val="42"/>
  </w:num>
  <w:num w:numId="144">
    <w:abstractNumId w:val="140"/>
  </w:num>
  <w:num w:numId="145">
    <w:abstractNumId w:val="141"/>
  </w:num>
  <w:num w:numId="146">
    <w:abstractNumId w:val="134"/>
  </w:num>
  <w:num w:numId="147">
    <w:abstractNumId w:val="70"/>
  </w:num>
  <w:num w:numId="148">
    <w:abstractNumId w:val="78"/>
  </w:num>
  <w:num w:numId="149">
    <w:abstractNumId w:val="18"/>
  </w:num>
  <w:num w:numId="150">
    <w:abstractNumId w:val="37"/>
  </w:num>
  <w:num w:numId="151">
    <w:abstractNumId w:val="131"/>
  </w:num>
  <w:num w:numId="152">
    <w:abstractNumId w:val="67"/>
  </w:num>
  <w:num w:numId="153">
    <w:abstractNumId w:val="63"/>
  </w:num>
  <w:num w:numId="154">
    <w:abstractNumId w:val="129"/>
  </w:num>
  <w:num w:numId="155">
    <w:abstractNumId w:val="68"/>
  </w:num>
  <w:num w:numId="156">
    <w:abstractNumId w:val="41"/>
  </w:num>
  <w:num w:numId="157">
    <w:abstractNumId w:val="22"/>
  </w:num>
  <w:num w:numId="158">
    <w:abstractNumId w:val="10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66"/>
    <w:rsid w:val="00837A9A"/>
    <w:rsid w:val="00CC2C66"/>
    <w:rsid w:val="00F8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49024</Words>
  <Characters>279440</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Wu, Julia</cp:lastModifiedBy>
  <cp:revision>3</cp:revision>
  <dcterms:created xsi:type="dcterms:W3CDTF">2022-09-01T06:36:00Z</dcterms:created>
  <dcterms:modified xsi:type="dcterms:W3CDTF">2024-12-19T09:10:00Z</dcterms:modified>
</cp:coreProperties>
</file>