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yumc-20260730.htm"/>
      <w:bookmarkStart w:id="1" w:name="ksyumc20260730"/>
      <w:bookmarkEnd w:id="0"/>
      <w:bookmarkEnd w:id="1"/>
      <w:r>
        <w:rPr/>
        <w:t> </w:t>
      </w:r>
    </w:p>
    <w:p>
      <w:pPr>
        <w:pStyle w:val="TextBody"/>
        <w:pBdr>
          <w:bottom w:val="double" w:sz="6" w:space="1" w:color="000000"/>
        </w:pBdr>
        <w:bidi w:val="0"/>
        <w:jc w:val="left"/>
        <w:rPr/>
      </w:pPr>
      <w:r>
        <w:rPr/>
        <w:t> </w:t>
      </w:r>
    </w:p>
    <w:p>
      <w:pPr>
        <w:pStyle w:val="TextBody"/>
        <w:bidi w:val="0"/>
        <w:spacing w:before="0" w:after="16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aps/>
          <w:color w:val="000000"/>
          <w:sz w:val="24"/>
        </w:rPr>
      </w:pPr>
      <w:r>
        <w:rPr>
          <w:rFonts w:ascii="Times New Roman" w:hAnsi="Times New Roman"/>
          <w:b/>
          <w:caps/>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Date of Report (Date of earliest event reported):</w:t>
      </w:r>
      <w:r>
        <w:rPr>
          <w:rFonts w:ascii="Times New Roman" w:hAnsi="Times New Roman"/>
          <w:color w:val="000000"/>
          <w:sz w:val="20"/>
        </w:rPr>
        <w:t xml:space="preserve"> </w:t>
      </w:r>
      <w:r>
        <w:rPr>
          <w:rFonts w:ascii="Times New Roman" w:hAnsi="Times New Roman"/>
          <w:b/>
          <w:color w:val="000000"/>
          <w:sz w:val="24"/>
        </w:rPr>
        <w:t>July 30, 2026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Yum China Holdings,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pPr>
      <w:r>
        <w:rPr/>
        <w:t> </w:t>
      </w:r>
    </w:p>
    <w:tbl>
      <w:tblPr>
        <w:tblW w:w="5005" w:type="dxa"/>
        <w:jc w:val="left"/>
        <w:tblInd w:w="0" w:type="dxa"/>
        <w:tblLayout w:type="fixed"/>
        <w:tblCellMar>
          <w:top w:w="28" w:type="dxa"/>
          <w:left w:w="28" w:type="dxa"/>
          <w:bottom w:w="28" w:type="dxa"/>
          <w:right w:w="28" w:type="dxa"/>
        </w:tblCellMar>
      </w:tblPr>
      <w:tblGrid>
        <w:gridCol w:w="2236"/>
        <w:gridCol w:w="146"/>
        <w:gridCol w:w="1036"/>
        <w:gridCol w:w="146"/>
        <w:gridCol w:w="144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81-2421743</w:t>
            </w:r>
          </w:p>
        </w:tc>
      </w:tr>
      <w:tr>
        <w:trPr/>
        <w:tc>
          <w:tcPr>
            <w:tcW w:w="22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(Commission</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bl>
    <w:p>
      <w:pPr>
        <w:pStyle w:val="TextBody"/>
        <w:bidi w:val="0"/>
        <w:jc w:val="left"/>
        <w:rPr/>
      </w:pPr>
      <w:r>
        <w:rPr/>
        <w:t> </w:t>
      </w:r>
    </w:p>
    <w:tbl>
      <w:tblPr>
        <w:tblW w:w="5698" w:type="dxa"/>
        <w:jc w:val="left"/>
        <w:tblInd w:w="0" w:type="dxa"/>
        <w:tblLayout w:type="fixed"/>
        <w:tblCellMar>
          <w:top w:w="28" w:type="dxa"/>
          <w:left w:w="28" w:type="dxa"/>
          <w:bottom w:w="28" w:type="dxa"/>
          <w:right w:w="28" w:type="dxa"/>
        </w:tblCellMar>
      </w:tblPr>
      <w:tblGrid>
        <w:gridCol w:w="3136"/>
        <w:gridCol w:w="146"/>
        <w:gridCol w:w="241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101 East Park Boulevard, Suite 805</w:t>
            </w:r>
          </w:p>
          <w:p>
            <w:pPr>
              <w:pStyle w:val="TableContents"/>
              <w:bidi w:val="0"/>
              <w:jc w:val="center"/>
              <w:rPr>
                <w:rFonts w:ascii="Times New Roman" w:hAnsi="Times New Roman"/>
                <w:sz w:val="20"/>
              </w:rPr>
            </w:pPr>
            <w:r>
              <w:rPr>
                <w:rFonts w:ascii="Times New Roman" w:hAnsi="Times New Roman"/>
                <w:b/>
                <w:color w:val="000000"/>
                <w:sz w:val="20"/>
              </w:rPr>
              <w:t>Plano, Texas</w:t>
            </w:r>
            <w:r>
              <w:rPr>
                <w:rFonts w:ascii="Times New Roman" w:hAnsi="Times New Roman"/>
                <w:color w:val="000000"/>
                <w:sz w:val="20"/>
              </w:rPr>
              <w:t xml:space="preserve"> </w:t>
            </w:r>
            <w:r>
              <w:rPr>
                <w:rFonts w:ascii="Times New Roman" w:hAnsi="Times New Roman"/>
                <w:b/>
                <w:color w:val="000000"/>
                <w:sz w:val="20"/>
              </w:rPr>
              <w:t>75074</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 States of America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Yum China Building</w:t>
            </w:r>
          </w:p>
          <w:p>
            <w:pPr>
              <w:pStyle w:val="TableContents"/>
              <w:bidi w:val="0"/>
              <w:jc w:val="center"/>
              <w:rPr>
                <w:rFonts w:ascii="Times New Roman" w:hAnsi="Times New Roman"/>
                <w:b/>
                <w:color w:val="000000"/>
                <w:sz w:val="20"/>
              </w:rPr>
            </w:pPr>
            <w:r>
              <w:rPr>
                <w:rFonts w:ascii="Times New Roman" w:hAnsi="Times New Roman"/>
                <w:b/>
                <w:color w:val="000000"/>
                <w:sz w:val="20"/>
              </w:rPr>
              <w:t>20 Tian Yao Qiao Road</w:t>
            </w:r>
          </w:p>
          <w:p>
            <w:pPr>
              <w:pStyle w:val="TableContents"/>
              <w:bidi w:val="0"/>
              <w:jc w:val="center"/>
              <w:rPr>
                <w:rFonts w:ascii="Times New Roman" w:hAnsi="Times New Roman"/>
                <w:sz w:val="20"/>
              </w:rPr>
            </w:pPr>
            <w:r>
              <w:rPr>
                <w:rFonts w:ascii="Times New Roman" w:hAnsi="Times New Roman"/>
                <w:b/>
                <w:color w:val="000000"/>
                <w:sz w:val="20"/>
              </w:rPr>
              <w:t>Shanghai</w:t>
            </w:r>
            <w:r>
              <w:rPr>
                <w:rFonts w:ascii="Times New Roman" w:hAnsi="Times New Roman"/>
                <w:color w:val="000000"/>
                <w:sz w:val="20"/>
              </w:rPr>
              <w:t xml:space="preserve"> </w:t>
            </w:r>
            <w:r>
              <w:rPr>
                <w:rFonts w:ascii="Times New Roman" w:hAnsi="Times New Roman"/>
                <w:b/>
                <w:color w:val="000000"/>
                <w:sz w:val="20"/>
              </w:rPr>
              <w:t>200030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People’s Republic of China</w:t>
            </w:r>
          </w:p>
        </w:tc>
      </w:tr>
      <w:tr>
        <w:trPr/>
        <w:tc>
          <w:tcPr>
            <w:tcW w:w="569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including zip code, of principal executive offices)</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(469) 980-2898</w:t>
      </w:r>
    </w:p>
    <w:p>
      <w:pPr>
        <w:pStyle w:val="TextBody"/>
        <w:bidi w:val="0"/>
        <w:jc w:val="center"/>
        <w:rPr>
          <w:rFonts w:ascii="Times New Roman" w:hAnsi="Times New Roman"/>
          <w:sz w:val="20"/>
        </w:rPr>
      </w:pPr>
      <w:r>
        <w:rPr>
          <w:rFonts w:ascii="Times New Roman" w:hAnsi="Times New Roman"/>
          <w:color w:val="000000"/>
          <w:sz w:val="16"/>
        </w:rPr>
        <w:t>(Registrant's telephone number, including area code)</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sz w:val="20"/>
        </w:rPr>
      </w:pPr>
      <w:r>
        <w:rPr>
          <w:rFonts w:ascii="Times New Roman" w:hAnsi="Times New Roman"/>
          <w:color w:val="000000"/>
          <w:sz w:val="16"/>
        </w:rPr>
        <w:t>(Former name or former address, if changed since last report)</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bookmarkStart w:id="2" w:name="ole_link1"/>
      <w:bookmarkStart w:id="3" w:name="ole_link2"/>
      <w:bookmarkEnd w:id="2"/>
      <w:bookmarkEnd w:id="3"/>
      <w:r>
        <w:rPr/>
        <w:t> </w:t>
      </w:r>
    </w:p>
    <w:tbl>
      <w:tblPr>
        <w:tblW w:w="8103" w:type="dxa"/>
        <w:jc w:val="left"/>
        <w:tblInd w:w="0" w:type="dxa"/>
        <w:tblLayout w:type="fixed"/>
        <w:tblCellMar>
          <w:top w:w="28" w:type="dxa"/>
          <w:left w:w="28" w:type="dxa"/>
          <w:bottom w:w="28" w:type="dxa"/>
          <w:right w:w="28" w:type="dxa"/>
        </w:tblCellMar>
      </w:tblPr>
      <w:tblGrid>
        <w:gridCol w:w="3496"/>
        <w:gridCol w:w="826"/>
        <w:gridCol w:w="3781"/>
      </w:tblGrid>
      <w:tr>
        <w:trPr/>
        <w:tc>
          <w:tcPr>
            <w:tcW w:w="34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4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82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37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496" w:type="dxa"/>
            <w:vMerge w:val="restart"/>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YUMC</w:t>
            </w:r>
          </w:p>
        </w:tc>
        <w:tc>
          <w:tcPr>
            <w:tcW w:w="37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3496" w:type="dxa"/>
            <w:vMerge w:val="continue"/>
            <w:tcBorders>
              <w:left w:val="single" w:sz="4" w:space="0" w:color="000000"/>
              <w:bottom w:val="single" w:sz="4" w:space="0" w:color="000000"/>
              <w:right w:val="single" w:sz="4" w:space="0" w:color="000000"/>
            </w:tcBorders>
            <w:tcMar>
              <w:top w:w="0" w:type="dxa"/>
            </w:tcMar>
            <w:vAlign w:val="center"/>
          </w:tcPr>
          <w:p>
            <w:pPr>
              <w:pStyle w:val="Normal"/>
              <w:bidi w:val="0"/>
              <w:jc w:val="left"/>
              <w:rPr/>
            </w:pPr>
            <w:r>
              <w:rPr/>
            </w:r>
          </w:p>
        </w:tc>
        <w:tc>
          <w:tcPr>
            <w:tcW w:w="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9987</w:t>
            </w:r>
          </w:p>
        </w:tc>
        <w:tc>
          <w:tcPr>
            <w:tcW w:w="37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The Stock Exchange of Hong Kong Limited</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57" w:type="dxa"/>
        <w:jc w:val="left"/>
        <w:tblInd w:w="0" w:type="dxa"/>
        <w:tblLayout w:type="fixed"/>
        <w:tblCellMar>
          <w:top w:w="28" w:type="dxa"/>
          <w:left w:w="28" w:type="dxa"/>
          <w:bottom w:w="28" w:type="dxa"/>
          <w:right w:w="28" w:type="dxa"/>
        </w:tblCellMar>
      </w:tblPr>
      <w:tblGrid>
        <w:gridCol w:w="961"/>
        <w:gridCol w:w="4096"/>
      </w:tblGrid>
      <w:tr>
        <w:trPr/>
        <w:tc>
          <w:tcPr>
            <w:tcW w:w="961"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30, 2026, Yum China Holdings, Inc. (the “Company”) issued a press release announcing its unaudited results for the second quarter ended June 30, 2026. A copy of the press release is being furnished as Exhibit 99.1 to this Current Report on Form 8-K.</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961"/>
        <w:gridCol w:w="3076"/>
      </w:tblGrid>
      <w:tr>
        <w:trPr/>
        <w:tc>
          <w:tcPr>
            <w:tcW w:w="96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exhibits are furnished with this report:</w:t>
      </w:r>
    </w:p>
    <w:p>
      <w:pPr>
        <w:pStyle w:val="TextBody"/>
        <w:bidi w:val="0"/>
        <w:jc w:val="left"/>
        <w:rPr/>
      </w:pPr>
      <w:r>
        <w:rPr/>
        <w:t> </w:t>
      </w:r>
    </w:p>
    <w:tbl>
      <w:tblPr>
        <w:tblW w:w="9973" w:type="dxa"/>
        <w:jc w:val="left"/>
        <w:tblInd w:w="0" w:type="dxa"/>
        <w:tblLayout w:type="fixed"/>
        <w:tblCellMar>
          <w:top w:w="28" w:type="dxa"/>
          <w:left w:w="28" w:type="dxa"/>
          <w:bottom w:w="28" w:type="dxa"/>
          <w:right w:w="28" w:type="dxa"/>
        </w:tblCellMar>
      </w:tblPr>
      <w:tblGrid>
        <w:gridCol w:w="1786"/>
        <w:gridCol w:w="866"/>
        <w:gridCol w:w="7321"/>
      </w:tblGrid>
      <w:tr>
        <w:trPr/>
        <w:tc>
          <w:tcPr>
            <w:tcW w:w="178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732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786" w:type="dxa"/>
            <w:tcBorders>
              <w:bottom w:val="single" w:sz="8" w:space="0" w:color="000000"/>
            </w:tcBorders>
            <w:tcMar>
              <w:top w:w="0" w:type="dxa"/>
              <w:left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Exhibit No.</w:t>
            </w:r>
          </w:p>
        </w:tc>
        <w:tc>
          <w:tcPr>
            <w:tcW w:w="866" w:type="dxa"/>
            <w:tcBorders>
              <w:bottom w:val="single" w:sz="8" w:space="0" w:color="000000"/>
            </w:tcBorders>
            <w:tcMar>
              <w:top w:w="0" w:type="dxa"/>
              <w:left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321" w:type="dxa"/>
            <w:tcBorders>
              <w:bottom w:val="single" w:sz="8" w:space="0" w:color="000000"/>
            </w:tcBorders>
            <w:tcMar>
              <w:top w:w="0" w:type="dxa"/>
              <w:left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Exhibit Description</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99.1</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732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yumc-ex99_1.htm">
              <w:r>
                <w:rPr>
                  <w:rStyle w:val="InternetLink"/>
                  <w:rFonts w:ascii="Times New Roman" w:hAnsi="Times New Roman"/>
                  <w:color w:val="000080"/>
                  <w:sz w:val="20"/>
                  <w:u w:val="single"/>
                </w:rPr>
                <w:t>Press Release of Yum China Holdings, Inc. issued July 30, 2026</w:t>
              </w:r>
            </w:hyperlink>
            <w:hyperlink w:anchor="yumc-ex99_1.htm">
              <w:r>
                <w:rPr>
                  <w:rStyle w:val="InternetLink"/>
                  <w:rFonts w:ascii="Times New Roman" w:hAnsi="Times New Roman"/>
                  <w:color w:val="000080"/>
                  <w:sz w:val="20"/>
                  <w:u w:val="single"/>
                </w:rPr>
                <w:t>.</w:t>
              </w:r>
            </w:hyperlink>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104</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32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0"/>
                <w:u w:val="single"/>
              </w:rPr>
            </w:pPr>
            <w:r>
              <w:rPr>
                <w:rFonts w:ascii="Times New Roman" w:hAnsi="Times New Roman"/>
                <w:color w:val="0000FF"/>
                <w:sz w:val="20"/>
                <w:u w:val="single"/>
              </w:rPr>
              <w:t>Cover Page Interactive Data File (embedded within the Inline XBRL document)</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897" w:type="dxa"/>
        <w:jc w:val="left"/>
        <w:tblInd w:w="0" w:type="dxa"/>
        <w:tblLayout w:type="fixed"/>
        <w:tblCellMar>
          <w:top w:w="28" w:type="dxa"/>
          <w:left w:w="28" w:type="dxa"/>
          <w:bottom w:w="28" w:type="dxa"/>
          <w:right w:w="28" w:type="dxa"/>
        </w:tblCellMar>
      </w:tblPr>
      <w:tblGrid>
        <w:gridCol w:w="1711"/>
        <w:gridCol w:w="146"/>
        <w:gridCol w:w="406"/>
        <w:gridCol w:w="146"/>
        <w:gridCol w:w="631"/>
        <w:gridCol w:w="146"/>
        <w:gridCol w:w="171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0"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YUM CHINA HOLDINGS, INC.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0"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Pingping Liu</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Pingping Liu</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yumc-ex99_1.htm"/>
      <w:bookmarkStart w:id="5" w:name="ksyumcex99_1"/>
      <w:bookmarkEnd w:id="4"/>
      <w:bookmarkEnd w:id="5"/>
      <w:r>
        <w:rPr>
          <w:rFonts w:ascii="Times New Roman" w:hAnsi="Times New Roman"/>
          <w:b/>
          <w:color w:val="000000"/>
          <w:sz w:val="20"/>
        </w:rPr>
        <w:t>Exhibit 99.1</w:t>
      </w:r>
      <w:r>
        <w:br w:type="page"/>
      </w:r>
    </w:p>
    <w:p>
      <w:pPr>
        <w:pStyle w:val="TextBody"/>
        <w:bidi w:val="0"/>
        <w:jc w:val="left"/>
        <w:rPr/>
      </w:pPr>
      <w:r>
        <w:rPr/>
        <w:drawing>
          <wp:inline distT="0" distB="0" distL="0" distR="0">
            <wp:extent cx="6858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 cy="685800"/>
                    </a:xfrm>
                    <a:prstGeom prst="rect">
                      <a:avLst/>
                    </a:prstGeom>
                  </pic:spPr>
                </pic:pic>
              </a:graphicData>
            </a:graphic>
          </wp:inline>
        </w:drawing>
      </w:r>
    </w:p>
    <w:p>
      <w:pPr>
        <w:pStyle w:val="TextBody"/>
        <w:bidi w:val="0"/>
        <w:jc w:val="center"/>
        <w:rPr>
          <w:rFonts w:ascii="Times New Roman" w:hAnsi="Times New Roman"/>
          <w:sz w:val="20"/>
        </w:rPr>
      </w:pPr>
      <w:r>
        <w:rPr>
          <w:rFonts w:ascii="Times New Roman" w:hAnsi="Times New Roman"/>
          <w:b/>
          <w:color w:val="000000"/>
          <w:sz w:val="20"/>
        </w:rPr>
        <w:t>Yum China Reports Second Quarter 2026 Results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Revenue Increased by 13%; Operating Profit Up 14%; Diluted EPS Grew 21%</w:t>
      </w:r>
    </w:p>
    <w:p>
      <w:pPr>
        <w:pStyle w:val="TextBody"/>
        <w:bidi w:val="0"/>
        <w:jc w:val="center"/>
        <w:rPr>
          <w:rFonts w:ascii="Times New Roman" w:hAnsi="Times New Roman"/>
          <w:sz w:val="20"/>
        </w:rPr>
      </w:pPr>
      <w:r>
        <w:rPr>
          <w:rFonts w:ascii="Times New Roman" w:hAnsi="Times New Roman"/>
          <w:color w:val="000000"/>
          <w:sz w:val="20"/>
        </w:rPr>
        <w:t>Same-Store Sales Growth Improved Sequentially to 1%; OP Margin Expanded Year Over Year for the 9</w:t>
      </w:r>
      <w:r>
        <w:rPr>
          <w:rFonts w:ascii="Times New Roman" w:hAnsi="Times New Roman"/>
          <w:color w:val="000000"/>
          <w:sz w:val="13"/>
        </w:rPr>
        <w:t>th</w:t>
      </w:r>
      <w:r>
        <w:rPr>
          <w:rFonts w:ascii="Times New Roman" w:hAnsi="Times New Roman"/>
          <w:color w:val="000000"/>
          <w:sz w:val="20"/>
        </w:rPr>
        <w:t xml:space="preserve"> Consecutive Quarter</w:t>
      </w:r>
    </w:p>
    <w:p>
      <w:pPr>
        <w:pStyle w:val="TextBody"/>
        <w:bidi w:val="0"/>
        <w:jc w:val="center"/>
        <w:rPr>
          <w:rFonts w:ascii="Times New Roman" w:hAnsi="Times New Roman"/>
          <w:color w:val="000000"/>
          <w:sz w:val="20"/>
        </w:rPr>
      </w:pPr>
      <w:r>
        <w:rPr>
          <w:rFonts w:ascii="Times New Roman" w:hAnsi="Times New Roman"/>
          <w:color w:val="000000"/>
          <w:sz w:val="20"/>
        </w:rPr>
        <w:t>Acquisition of the Pizza Hut Brand in Mainland China Expected to Close in August 2026</w:t>
      </w:r>
    </w:p>
    <w:p>
      <w:pPr>
        <w:pStyle w:val="TextBody"/>
        <w:bidi w:val="0"/>
        <w:jc w:val="center"/>
        <w:rPr>
          <w:rFonts w:ascii="Times New Roman" w:hAnsi="Times New Roman"/>
          <w:color w:val="000000"/>
          <w:sz w:val="20"/>
        </w:rPr>
      </w:pPr>
      <w:r>
        <w:rPr>
          <w:rFonts w:ascii="Times New Roman" w:hAnsi="Times New Roman"/>
          <w:color w:val="000000"/>
          <w:sz w:val="20"/>
        </w:rPr>
        <w:t>On Track to Return $1.5 Billion to Shareholders in 2026, ~10% of Current Market Capitalization</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Shanghai, China (July 30, 2026) – Yum China Holdings, Inc. (the “Company” or “Yum China”) (NYSE: YUMC and HKEX: 9987) today reported unaudited results for the second quarter ended June 30, 2026.</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Second Quarter Highlights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Total system sales </w:t>
      </w:r>
      <w:r>
        <w:rPr>
          <w:rFonts w:ascii="Times New Roman" w:hAnsi="Times New Roman"/>
          <w:color w:val="000000"/>
          <w:sz w:val="20"/>
        </w:rPr>
        <w:t xml:space="preserve">grew 6% year over year (“YoY”), excluding foreign currency translation (“F/X”).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Same-store sales </w:t>
      </w:r>
      <w:r>
        <w:rPr>
          <w:rFonts w:ascii="Times New Roman" w:hAnsi="Times New Roman"/>
          <w:color w:val="000000"/>
          <w:sz w:val="20"/>
        </w:rPr>
        <w:t>grew 1% YoY. Same-store transactions grew 5% YoY, the 14</w:t>
      </w:r>
      <w:r>
        <w:rPr>
          <w:rFonts w:ascii="Times New Roman" w:hAnsi="Times New Roman"/>
          <w:color w:val="000000"/>
          <w:sz w:val="13"/>
        </w:rPr>
        <w:t>th</w:t>
      </w:r>
      <w:r>
        <w:rPr>
          <w:color w:val="000000"/>
        </w:rPr>
        <w:t xml:space="preserve"> </w:t>
      </w:r>
      <w:r>
        <w:rPr>
          <w:rFonts w:ascii="Times New Roman" w:hAnsi="Times New Roman"/>
          <w:color w:val="000000"/>
          <w:sz w:val="20"/>
        </w:rPr>
        <w:t xml:space="preserve">consecutive quarter of growth.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Total revenues </w:t>
      </w:r>
      <w:r>
        <w:rPr>
          <w:rFonts w:ascii="Times New Roman" w:hAnsi="Times New Roman"/>
          <w:color w:val="000000"/>
          <w:sz w:val="20"/>
        </w:rPr>
        <w:t>increased 13% YoY to $3.1 billion, or a 6% increase excluding F/X.</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Opened 560 </w:t>
      </w:r>
      <w:r>
        <w:rPr>
          <w:rFonts w:ascii="Times New Roman" w:hAnsi="Times New Roman"/>
          <w:b/>
          <w:color w:val="000000"/>
          <w:sz w:val="20"/>
        </w:rPr>
        <w:t xml:space="preserve">net new stores, </w:t>
      </w:r>
      <w:r>
        <w:rPr>
          <w:rFonts w:ascii="Times New Roman" w:hAnsi="Times New Roman"/>
          <w:color w:val="000000"/>
          <w:sz w:val="20"/>
        </w:rPr>
        <w:t>a second-quarter record high and 67% higher than the openings in the same quarter last year,</w:t>
      </w:r>
      <w:r>
        <w:rPr>
          <w:color w:val="000000"/>
        </w:rPr>
        <w:t xml:space="preserve"> </w:t>
      </w:r>
      <w:r>
        <w:rPr>
          <w:rFonts w:ascii="Times New Roman" w:hAnsi="Times New Roman"/>
          <w:color w:val="000000"/>
          <w:sz w:val="20"/>
        </w:rPr>
        <w:t>with 41% opened by franchisees. As of June 30, 2026, total store count reached 19,297, with 18% of stores operated by franchisees.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Operating profit </w:t>
      </w:r>
      <w:r>
        <w:rPr>
          <w:rFonts w:ascii="Times New Roman" w:hAnsi="Times New Roman"/>
          <w:color w:val="000000"/>
          <w:sz w:val="20"/>
        </w:rPr>
        <w:t xml:space="preserve">grew 14% YoY to $348 million, a second-quarter record high. </w:t>
      </w:r>
      <w:r>
        <w:rPr>
          <w:rFonts w:ascii="Times New Roman" w:hAnsi="Times New Roman"/>
          <w:b/>
          <w:color w:val="000000"/>
          <w:sz w:val="20"/>
        </w:rPr>
        <w:t>Core operating profit</w:t>
      </w:r>
      <w:r>
        <w:rPr>
          <w:color w:val="000000"/>
        </w:rPr>
        <w:t xml:space="preserve"> </w:t>
      </w:r>
      <w:r>
        <w:rPr>
          <w:rFonts w:ascii="Times New Roman" w:hAnsi="Times New Roman"/>
          <w:color w:val="000000"/>
          <w:sz w:val="20"/>
        </w:rPr>
        <w:t xml:space="preserve">grew 7% YoY.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OP margin </w:t>
      </w:r>
      <w:r>
        <w:rPr>
          <w:rFonts w:ascii="Times New Roman" w:hAnsi="Times New Roman"/>
          <w:color w:val="000000"/>
          <w:sz w:val="20"/>
        </w:rPr>
        <w:t xml:space="preserve">was 11.1%, an increase of 20 basis points YoY, the ninth consecutive quarter of OP margin expansion.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Restaurant margin </w:t>
      </w:r>
      <w:r>
        <w:rPr>
          <w:rFonts w:ascii="Times New Roman" w:hAnsi="Times New Roman"/>
          <w:color w:val="000000"/>
          <w:sz w:val="20"/>
        </w:rPr>
        <w:t xml:space="preserve">was 16.1%, flat YoY, primarily due to increased rider cost from a higher delivery mix, offset by streamlined operations.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Diluted EPS </w:t>
      </w:r>
      <w:r>
        <w:rPr>
          <w:rFonts w:ascii="Times New Roman" w:hAnsi="Times New Roman"/>
          <w:color w:val="000000"/>
          <w:sz w:val="20"/>
        </w:rPr>
        <w:t>increased 21% YoY to $0.70, or up 14% excluding F/X, and up 10% further excluding the impact</w:t>
      </w:r>
      <w:r>
        <w:rPr>
          <w:rFonts w:ascii="Times New Roman" w:hAnsi="Times New Roman"/>
          <w:color w:val="000000"/>
          <w:sz w:val="13"/>
        </w:rPr>
        <w:t xml:space="preserve">1 </w:t>
      </w:r>
      <w:r>
        <w:rPr>
          <w:rFonts w:ascii="Times New Roman" w:hAnsi="Times New Roman"/>
          <w:color w:val="000000"/>
          <w:sz w:val="20"/>
        </w:rPr>
        <w:t xml:space="preserve">of the mark-to-market equity investments.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Returned $402 million to shareholders through $301 million in </w:t>
      </w:r>
      <w:r>
        <w:rPr>
          <w:rFonts w:ascii="Times New Roman" w:hAnsi="Times New Roman"/>
          <w:b/>
          <w:color w:val="000000"/>
          <w:sz w:val="20"/>
        </w:rPr>
        <w:t xml:space="preserve">share repurchases </w:t>
      </w:r>
      <w:r>
        <w:rPr>
          <w:rFonts w:ascii="Times New Roman" w:hAnsi="Times New Roman"/>
          <w:color w:val="000000"/>
          <w:sz w:val="20"/>
        </w:rPr>
        <w:t>and</w:t>
      </w:r>
      <w:r>
        <w:rPr>
          <w:color w:val="000000"/>
        </w:rPr>
        <w:t xml:space="preserve"> </w:t>
      </w:r>
      <w:r>
        <w:rPr>
          <w:rFonts w:ascii="Times New Roman" w:hAnsi="Times New Roman"/>
          <w:color w:val="000000"/>
          <w:sz w:val="20"/>
        </w:rPr>
        <w:t xml:space="preserve">$101 million in </w:t>
      </w:r>
      <w:r>
        <w:rPr>
          <w:rFonts w:ascii="Times New Roman" w:hAnsi="Times New Roman"/>
          <w:b/>
          <w:color w:val="000000"/>
          <w:sz w:val="20"/>
        </w:rPr>
        <w:t>cash dividends</w:t>
      </w:r>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Delivery sales</w:t>
      </w:r>
      <w:r>
        <w:rPr>
          <w:color w:val="000000"/>
        </w:rPr>
        <w:t xml:space="preserve"> </w:t>
      </w:r>
      <w:r>
        <w:rPr>
          <w:rFonts w:ascii="Times New Roman" w:hAnsi="Times New Roman"/>
          <w:color w:val="000000"/>
          <w:sz w:val="20"/>
        </w:rPr>
        <w:t xml:space="preserve">grew 26% YoY. Delivery contributed approximately 54% of total Company sales, up from 45% in the same quarter last year.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Active Members</w:t>
      </w:r>
      <w:r>
        <w:rPr>
          <w:color w:val="000000"/>
        </w:rPr>
        <w:t xml:space="preserve"> </w:t>
      </w:r>
      <w:r>
        <w:rPr>
          <w:rFonts w:ascii="Times New Roman" w:hAnsi="Times New Roman"/>
          <w:color w:val="000000"/>
          <w:sz w:val="20"/>
        </w:rPr>
        <w:t>of KFC or Pizza Hut, defined as those who transacted</w:t>
      </w:r>
      <w:r>
        <w:rPr>
          <w:color w:val="000000"/>
        </w:rPr>
        <w:t xml:space="preserve"> </w:t>
      </w:r>
      <w:r>
        <w:rPr>
          <w:rFonts w:ascii="Times New Roman" w:hAnsi="Times New Roman"/>
          <w:color w:val="000000"/>
          <w:sz w:val="20"/>
        </w:rPr>
        <w:t>in the past 12 months, exceeded 270 million, representing a 6% YoY increase.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CEO Comments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80808"/>
          <w:sz w:val="20"/>
        </w:rPr>
        <w:t>Joey Wat, CEO of Yum China, commented, “We delivered strong results in the second quarter. For the ninth consecutive quarter, we simultaneously grew system sales, operating profit and OP margin. While the operating environment remains dynamic, our topline growth continued to outperform the industry in Q2. Same-store sales growth improved sequentially to 1%, led by the 14</w:t>
      </w:r>
      <w:r>
        <w:rPr>
          <w:rFonts w:ascii="Times New Roman" w:hAnsi="Times New Roman"/>
          <w:color w:val="080808"/>
          <w:sz w:val="13"/>
        </w:rPr>
        <w:t>th</w:t>
      </w:r>
      <w:r>
        <w:rPr>
          <w:rFonts w:ascii="Times New Roman" w:hAnsi="Times New Roman"/>
          <w:color w:val="080808"/>
          <w:sz w:val="20"/>
        </w:rPr>
        <w:t xml:space="preserve"> consecutive quarter of same-store transaction growth, while store openings continued to accelerate year over year </w:t>
      </w:r>
      <w:r>
        <w:rPr>
          <w:rFonts w:ascii="Times New Roman" w:hAnsi="Times New Roman"/>
          <w:color w:val="000000"/>
          <w:sz w:val="20"/>
        </w:rPr>
        <w:t>across both company-owned and franchise stores</w:t>
      </w:r>
      <w:r>
        <w:rPr>
          <w:rFonts w:ascii="Times New Roman" w:hAnsi="Times New Roman"/>
          <w:color w:val="080808"/>
          <w:sz w:val="20"/>
        </w:rPr>
        <w:t xml:space="preserve">. KFC delivered strong results, with 7% system sales growth and restaurant margin expansion. Pizza Hut’s same-store sales returned to positive growth and net new openings nearly doubled from last year.”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80808"/>
          <w:sz w:val="20"/>
        </w:rPr>
        <w:t>Wat continued, “Our menu innovations and breakthrough side-by-side modules are helping us broaden into new occasions and new customer segments. As we rapidly roll out KCOFFEE cafe, KPRO and car-side pickup services to more KFC locations, Pizza Hut has also built a Pizza Hut Burger Bar to</w:t>
      </w:r>
      <w:r>
        <w:rPr>
          <w:rFonts w:ascii="Times New Roman" w:hAnsi="Times New Roman"/>
          <w:color w:val="000000"/>
          <w:sz w:val="20"/>
        </w:rPr>
        <w:t xml:space="preserve"> </w:t>
      </w:r>
      <w:r>
        <w:rPr>
          <w:rFonts w:ascii="Times New Roman" w:hAnsi="Times New Roman"/>
          <w:color w:val="080808"/>
          <w:sz w:val="20"/>
        </w:rPr>
        <w:t xml:space="preserve">drive incremental sales and profit. At the same time, our KFC Small Town and Pizza Hut WOW models are helping us deepen penetration in lower-tier cities. With our multiple growth drivers, we are confident in our ability to lead the catering industry and deliver on our full-year growth targets, even as we face tougher comparisons in the second half of the year following last year’s delivery platform subsidies.” </w:t>
      </w:r>
    </w:p>
    <w:p>
      <w:pPr>
        <w:pStyle w:val="TextBody"/>
        <w:bidi w:val="0"/>
        <w:jc w:val="both"/>
        <w:rPr/>
      </w:pPr>
      <w:r>
        <w:rPr/>
        <w:t> </w:t>
      </w:r>
    </w:p>
    <w:p>
      <w:pPr>
        <w:pStyle w:val="TextBody"/>
        <w:bidi w:val="0"/>
        <w:jc w:val="both"/>
        <w:rPr>
          <w:rFonts w:ascii="Times New Roman" w:hAnsi="Times New Roman"/>
          <w:color w:val="080808"/>
          <w:sz w:val="20"/>
        </w:rPr>
      </w:pPr>
      <w:r>
        <w:rPr>
          <w:rFonts w:ascii="Times New Roman" w:hAnsi="Times New Roman"/>
          <w:color w:val="080808"/>
          <w:sz w:val="20"/>
        </w:rPr>
        <w:t xml:space="preserve">Wat concluded, “We are about to reach a major breakthrough by becoming the owner of the Pizza Hut brand in Mainland China, after operating the brand in the market for 36 years. In the near term, we expect the savings in license fees to support margin expansion, with Pizza Hut's restaurant margin approaching KFC's. More potential new stores are expected to meet our payback requirements of two to three years. Over the longer term, brand ownership will give us greater strategic flexibility to capture new opportunities and innovate more nimbly across our menu, store formats, new business modules and operations. We expect this to accelerate Pizza Hut’s growth trajectory and generate sustainable long-term value for our shareholders.”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0"/>
        </w:rPr>
        <w:t xml:space="preserve">1 </w:t>
      </w:r>
      <w:r>
        <w:rPr>
          <w:rFonts w:ascii="Times New Roman" w:hAnsi="Times New Roman"/>
          <w:color w:val="000000"/>
          <w:sz w:val="15"/>
        </w:rPr>
        <w:t>Refers to a 4 cents favorable F/X impact, and a lower mark-to-market loss of 2 cents in the second quarter of 2026, compared with a loss of 4 cents in the second quarter of 2025.</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Key Financial Results</w:t>
      </w:r>
    </w:p>
    <w:tbl>
      <w:tblPr>
        <w:tblW w:w="10205" w:type="dxa"/>
        <w:jc w:val="left"/>
        <w:tblInd w:w="0" w:type="dxa"/>
        <w:tblLayout w:type="fixed"/>
        <w:tblCellMar>
          <w:top w:w="28" w:type="dxa"/>
          <w:left w:w="28" w:type="dxa"/>
          <w:bottom w:w="28" w:type="dxa"/>
          <w:right w:w="28" w:type="dxa"/>
        </w:tblCellMar>
      </w:tblPr>
      <w:tblGrid>
        <w:gridCol w:w="2259"/>
        <w:gridCol w:w="146"/>
        <w:gridCol w:w="466"/>
        <w:gridCol w:w="146"/>
        <w:gridCol w:w="146"/>
        <w:gridCol w:w="146"/>
        <w:gridCol w:w="466"/>
        <w:gridCol w:w="146"/>
        <w:gridCol w:w="146"/>
        <w:gridCol w:w="211"/>
        <w:gridCol w:w="675"/>
        <w:gridCol w:w="146"/>
        <w:gridCol w:w="146"/>
        <w:gridCol w:w="160"/>
        <w:gridCol w:w="511"/>
        <w:gridCol w:w="146"/>
        <w:gridCol w:w="146"/>
        <w:gridCol w:w="146"/>
        <w:gridCol w:w="146"/>
        <w:gridCol w:w="466"/>
        <w:gridCol w:w="146"/>
        <w:gridCol w:w="146"/>
        <w:gridCol w:w="146"/>
        <w:gridCol w:w="466"/>
        <w:gridCol w:w="146"/>
        <w:gridCol w:w="146"/>
        <w:gridCol w:w="211"/>
        <w:gridCol w:w="675"/>
        <w:gridCol w:w="146"/>
        <w:gridCol w:w="146"/>
        <w:gridCol w:w="160"/>
        <w:gridCol w:w="511"/>
        <w:gridCol w:w="194"/>
      </w:tblGrid>
      <w:tr>
        <w:trPr/>
        <w:tc>
          <w:tcPr>
            <w:tcW w:w="2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259"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3657"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Second Quarter</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657"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First Half (Year to Date Ended 6/30)</w:t>
            </w:r>
          </w:p>
        </w:tc>
        <w:tc>
          <w:tcPr>
            <w:tcW w:w="194"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22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%/ppts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%/ppts Change</w:t>
            </w:r>
          </w:p>
        </w:tc>
        <w:tc>
          <w:tcPr>
            <w:tcW w:w="1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22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 F/X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 F/X</w:t>
            </w:r>
          </w:p>
        </w:tc>
        <w:tc>
          <w:tcPr>
            <w:tcW w:w="1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22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System Sales Growth </w:t>
            </w:r>
            <w:r>
              <w:rPr>
                <w:rFonts w:ascii="Times New Roman" w:hAnsi="Times New Roman"/>
                <w:color w:val="000000"/>
                <w:sz w:val="13"/>
              </w:rPr>
              <w:t>(2)</w:t>
            </w:r>
            <w:r>
              <w:rPr>
                <w:rFonts w:ascii="Times New Roman" w:hAnsi="Times New Roman"/>
                <w:color w:val="000000"/>
                <w:sz w:val="2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22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Same-Store Sales Growth </w:t>
            </w:r>
            <w:r>
              <w:rPr>
                <w:rFonts w:ascii="Times New Roman" w:hAnsi="Times New Roman"/>
                <w:color w:val="000000"/>
                <w:sz w:val="13"/>
              </w:rPr>
              <w:t>(2)</w:t>
            </w:r>
            <w:r>
              <w:rPr>
                <w:rFonts w:ascii="Times New Roman" w:hAnsi="Times New Roman"/>
                <w:color w:val="000000"/>
                <w:sz w:val="2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Even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22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2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Operating Profit </w:t>
            </w:r>
            <w:r>
              <w:rPr>
                <w:rFonts w:ascii="Times New Roman" w:hAnsi="Times New Roman"/>
                <w:color w:val="000000"/>
                <w:sz w:val="13"/>
              </w:rPr>
              <w:t xml:space="preserve">(3) </w:t>
            </w:r>
            <w:r>
              <w:rPr>
                <w:rFonts w:ascii="Times New Roman" w:hAnsi="Times New Roman"/>
                <w:color w:val="000000"/>
                <w:sz w:val="20"/>
              </w:rPr>
              <w:t>($mn)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2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Core Operating Profit </w:t>
            </w:r>
            <w:r>
              <w:rPr>
                <w:rFonts w:ascii="Times New Roman" w:hAnsi="Times New Roman"/>
                <w:color w:val="000000"/>
                <w:sz w:val="13"/>
              </w:rPr>
              <w:t>(3)</w:t>
            </w:r>
            <w:r>
              <w:rPr>
                <w:rFonts w:ascii="Times New Roman" w:hAnsi="Times New Roman"/>
                <w:color w:val="000000"/>
                <w:sz w:val="20"/>
              </w:rPr>
              <w:t xml:space="preserve"> </w:t>
            </w:r>
            <w:r>
              <w:rPr>
                <w:rFonts w:ascii="Times New Roman" w:hAnsi="Times New Roman"/>
                <w:color w:val="000000"/>
                <w:sz w:val="13"/>
              </w:rPr>
              <w:t xml:space="preserve">(4) </w:t>
            </w:r>
            <w:r>
              <w:rPr>
                <w:rFonts w:ascii="Times New Roman" w:hAnsi="Times New Roman"/>
                <w:color w:val="000000"/>
                <w:sz w:val="20"/>
              </w:rPr>
              <w:t>($mn)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2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 Margin </w:t>
            </w:r>
            <w:r>
              <w:rPr>
                <w:rFonts w:ascii="Times New Roman" w:hAnsi="Times New Roman"/>
                <w:color w:val="000000"/>
                <w:sz w:val="13"/>
              </w:rPr>
              <w:t xml:space="preserve">(5)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2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Core OP Margin </w:t>
            </w:r>
            <w:r>
              <w:rPr>
                <w:rFonts w:ascii="Times New Roman" w:hAnsi="Times New Roman"/>
                <w:color w:val="000000"/>
                <w:sz w:val="13"/>
              </w:rPr>
              <w:t>(3)</w:t>
            </w:r>
            <w:r>
              <w:rPr>
                <w:rFonts w:ascii="Times New Roman" w:hAnsi="Times New Roman"/>
                <w:color w:val="000000"/>
                <w:sz w:val="20"/>
              </w:rPr>
              <w:t xml:space="preserve"> </w:t>
            </w:r>
            <w:r>
              <w:rPr>
                <w:rFonts w:ascii="Times New Roman" w:hAnsi="Times New Roman"/>
                <w:color w:val="000000"/>
                <w:sz w:val="13"/>
              </w:rPr>
              <w:t>(6)</w:t>
            </w:r>
            <w:r>
              <w:rPr>
                <w:rFonts w:ascii="Times New Roman" w:hAnsi="Times New Roman"/>
                <w:color w:val="000000"/>
                <w:sz w:val="2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2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2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Net Income </w:t>
            </w:r>
            <w:r>
              <w:rPr>
                <w:rFonts w:ascii="Times New Roman" w:hAnsi="Times New Roman"/>
                <w:color w:val="000000"/>
                <w:sz w:val="13"/>
              </w:rPr>
              <w:t xml:space="preserve">(3) </w:t>
            </w:r>
            <w:r>
              <w:rPr>
                <w:rFonts w:ascii="Times New Roman" w:hAnsi="Times New Roman"/>
                <w:color w:val="000000"/>
                <w:sz w:val="20"/>
              </w:rPr>
              <w:t>($mn)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25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Diluted Earnings </w:t>
              <w:br/>
              <w:t>  Per Common Share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25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Diluted Earnings </w:t>
              <w:br/>
              <w:t xml:space="preserve">  Per Common Share </w:t>
            </w:r>
            <w:r>
              <w:rPr>
                <w:rFonts w:ascii="Times New Roman" w:hAnsi="Times New Roman"/>
                <w:color w:val="000000"/>
                <w:sz w:val="13"/>
              </w:rPr>
              <w:t xml:space="preserve">(3) </w:t>
            </w: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10"/>
        </w:rPr>
        <w:t xml:space="preserve">2 </w:t>
      </w:r>
      <w:r>
        <w:rPr>
          <w:rFonts w:ascii="Times New Roman" w:hAnsi="Times New Roman"/>
          <w:color w:val="000000"/>
          <w:sz w:val="15"/>
        </w:rPr>
        <w:t>System sales and same-store sales percentages exclude the impact of F/X. Effective January 1, 2018, temporary store closures are normalized in the same-store sales calculation by excluding the period during which stores are temporarily closed.</w:t>
      </w:r>
    </w:p>
    <w:p>
      <w:pPr>
        <w:pStyle w:val="TextBody"/>
        <w:bidi w:val="0"/>
        <w:jc w:val="both"/>
        <w:rPr>
          <w:rFonts w:ascii="Times New Roman" w:hAnsi="Times New Roman"/>
          <w:sz w:val="20"/>
        </w:rPr>
      </w:pPr>
      <w:r>
        <w:rPr>
          <w:rFonts w:ascii="Times New Roman" w:hAnsi="Times New Roman"/>
          <w:color w:val="000000"/>
          <w:sz w:val="10"/>
        </w:rPr>
        <w:t xml:space="preserve">3 </w:t>
      </w:r>
      <w:r>
        <w:rPr>
          <w:rFonts w:ascii="Times New Roman" w:hAnsi="Times New Roman"/>
          <w:color w:val="000000"/>
          <w:sz w:val="15"/>
        </w:rPr>
        <w:t>See “Reconciliation of Reported GAAP Results to Non-GAAP Measures” included in the accompanying tables of this release for further details.</w:t>
      </w:r>
    </w:p>
    <w:p>
      <w:pPr>
        <w:pStyle w:val="TextBody"/>
        <w:bidi w:val="0"/>
        <w:jc w:val="both"/>
        <w:rPr>
          <w:rFonts w:ascii="Times New Roman" w:hAnsi="Times New Roman"/>
          <w:sz w:val="20"/>
        </w:rPr>
      </w:pPr>
      <w:r>
        <w:rPr>
          <w:rFonts w:ascii="Times New Roman" w:hAnsi="Times New Roman"/>
          <w:color w:val="000000"/>
          <w:sz w:val="10"/>
        </w:rPr>
        <w:t xml:space="preserve">4 </w:t>
      </w:r>
      <w:r>
        <w:rPr>
          <w:rFonts w:ascii="Times New Roman" w:hAnsi="Times New Roman"/>
          <w:color w:val="000000"/>
          <w:sz w:val="15"/>
        </w:rPr>
        <w:t>Core operating profit is defined as operating profit adjusted for special items, further excluding items affecting comparability and the impact of F/X. The Company uses core operating profit for the purposes of evaluating the performance of its core operations. Current period amounts are derived by translating results at the average exchange rates of the prior year period.</w:t>
      </w:r>
    </w:p>
    <w:p>
      <w:pPr>
        <w:pStyle w:val="TextBody"/>
        <w:bidi w:val="0"/>
        <w:jc w:val="both"/>
        <w:rPr>
          <w:rFonts w:ascii="Times New Roman" w:hAnsi="Times New Roman"/>
          <w:sz w:val="20"/>
        </w:rPr>
      </w:pPr>
      <w:r>
        <w:rPr>
          <w:rFonts w:ascii="Times New Roman" w:hAnsi="Times New Roman"/>
          <w:color w:val="000000"/>
          <w:sz w:val="10"/>
        </w:rPr>
        <w:t xml:space="preserve">5 </w:t>
      </w:r>
      <w:r>
        <w:rPr>
          <w:rFonts w:ascii="Times New Roman" w:hAnsi="Times New Roman"/>
          <w:color w:val="000000"/>
          <w:sz w:val="15"/>
        </w:rPr>
        <w:t>OP margin refers to operating profit as a percentage of total revenues.</w:t>
      </w:r>
    </w:p>
    <w:p>
      <w:pPr>
        <w:pStyle w:val="TextBody"/>
        <w:bidi w:val="0"/>
        <w:jc w:val="both"/>
        <w:rPr>
          <w:rFonts w:ascii="Times New Roman" w:hAnsi="Times New Roman"/>
          <w:sz w:val="20"/>
        </w:rPr>
      </w:pPr>
      <w:r>
        <w:rPr>
          <w:rFonts w:ascii="Times New Roman" w:hAnsi="Times New Roman"/>
          <w:color w:val="000000"/>
          <w:sz w:val="10"/>
        </w:rPr>
        <w:t>6</w:t>
      </w:r>
      <w:r>
        <w:rPr>
          <w:rFonts w:ascii="Times New Roman" w:hAnsi="Times New Roman"/>
          <w:color w:val="000000"/>
          <w:sz w:val="20"/>
        </w:rPr>
        <w:t xml:space="preserve"> </w:t>
      </w:r>
      <w:r>
        <w:rPr>
          <w:rFonts w:ascii="Times New Roman" w:hAnsi="Times New Roman"/>
          <w:color w:val="000000"/>
          <w:sz w:val="15"/>
        </w:rPr>
        <w:t>Core OP margin refers to core operating profit as a percentage of total revenues excluding F/X.</w:t>
      </w:r>
    </w:p>
    <w:p>
      <w:pPr>
        <w:pStyle w:val="TextBody"/>
        <w:bidi w:val="0"/>
        <w:jc w:val="left"/>
        <w:rPr>
          <w:rFonts w:ascii="Times New Roman" w:hAnsi="Times New Roman"/>
          <w:sz w:val="20"/>
        </w:rPr>
      </w:pPr>
      <w:r>
        <w:rPr>
          <w:rFonts w:ascii="Times New Roman" w:hAnsi="Times New Roman"/>
          <w:i/>
          <w:color w:val="000000"/>
          <w:sz w:val="15"/>
        </w:rPr>
        <w:t>Note</w:t>
      </w:r>
      <w:r>
        <w:rPr>
          <w:rFonts w:ascii="Times New Roman" w:hAnsi="Times New Roman"/>
          <w:color w:val="000000"/>
          <w:sz w:val="15"/>
        </w:rPr>
        <w:t>: All comparisons are versus the same period a year ago.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5"/>
        </w:rPr>
        <w:t>Percentages may not recompute due to rounding.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5"/>
        </w:rPr>
        <w:t>NM refers to not meaningful.</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Capital Returns to Shareholders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on track to return $1.5 billion each year from 2024 to 2026, which is annually around 10% of our market capitalization as of July 29,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first half of 2026, the Company returned $718 million in capital to shareholders through $515 million in share repurchases and $203 million in cash dividends.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declared a cash dividend of $0.29 per share on Yum China’s common stock, payable on September 17, 2026, to shareholders of record as of the close of business on August 27, 2026.</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Starting in 2027, the Company plans to return approximately 100% of annual free cash flow after subsidiaries</w:t>
      </w:r>
      <w:r>
        <w:rPr>
          <w:color w:val="080808"/>
        </w:rPr>
        <w:t>’</w:t>
      </w:r>
      <w:r>
        <w:rPr>
          <w:color w:val="000000"/>
        </w:rPr>
        <w:t xml:space="preserve"> </w:t>
      </w:r>
      <w:r>
        <w:rPr>
          <w:rFonts w:ascii="Times New Roman" w:hAnsi="Times New Roman"/>
          <w:color w:val="000000"/>
          <w:sz w:val="20"/>
        </w:rPr>
        <w:t xml:space="preserve">dividend payments to non-controlling interests. This is anticipated to translate into an average annual return of approximately $900 million to over $1 billion in 2027 and 2028, and to exceed $1 billion in 2028.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KFC</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28"/>
        <w:gridCol w:w="146"/>
        <w:gridCol w:w="676"/>
        <w:gridCol w:w="146"/>
        <w:gridCol w:w="146"/>
        <w:gridCol w:w="146"/>
        <w:gridCol w:w="676"/>
        <w:gridCol w:w="146"/>
        <w:gridCol w:w="146"/>
        <w:gridCol w:w="211"/>
        <w:gridCol w:w="675"/>
        <w:gridCol w:w="146"/>
        <w:gridCol w:w="146"/>
        <w:gridCol w:w="156"/>
        <w:gridCol w:w="499"/>
        <w:gridCol w:w="146"/>
        <w:gridCol w:w="146"/>
        <w:gridCol w:w="676"/>
        <w:gridCol w:w="146"/>
        <w:gridCol w:w="146"/>
        <w:gridCol w:w="146"/>
        <w:gridCol w:w="676"/>
        <w:gridCol w:w="146"/>
        <w:gridCol w:w="146"/>
        <w:gridCol w:w="228"/>
        <w:gridCol w:w="658"/>
        <w:gridCol w:w="166"/>
        <w:gridCol w:w="146"/>
        <w:gridCol w:w="162"/>
        <w:gridCol w:w="469"/>
        <w:gridCol w:w="213"/>
      </w:tblGrid>
      <w:tr>
        <w:trPr/>
        <w:tc>
          <w:tcPr>
            <w:tcW w:w="1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28"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4061"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Second Quarter</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4057"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First Half (Year to Date Ended 6/30)</w:t>
            </w:r>
          </w:p>
        </w:tc>
        <w:tc>
          <w:tcPr>
            <w:tcW w:w="213"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172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%/ppts Change</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%/ppts Change</w:t>
            </w:r>
          </w:p>
        </w:tc>
        <w:tc>
          <w:tcPr>
            <w:tcW w:w="21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72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 F/X</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 F/X</w:t>
            </w:r>
          </w:p>
        </w:tc>
        <w:tc>
          <w:tcPr>
            <w:tcW w:w="21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72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13"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172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 Growth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13"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172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Same-Store Sales Growth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Even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13"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172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3"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72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3"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72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Operating Profit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3"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72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172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Margin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1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System sales for KFC grew 7% YoY, improving sequentially from 5% in the first quarter. Same-store sales increased 1% YoY, the fifth consecutive quarter of growth. Same-store transactions grew 4% YoY. Ticket average was 3% lower YoY, mainly due to incremental smaller orders from new customer segments and occasions, including KCOFFEE and KPRO.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Delivery sales grew 26% YoY, contributing approximately 54% of KFC’s Company sales, up from 45% in the same quarter last year.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KFC opened 335 net new stores during the quarter, including 152 opened by franchisees, representing 45% of net new store openings. Total store count reached 13,789 as of June 30, 2026, with 17% of stores operated by franchisees.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profit increased 14% YoY to $332 million. Core operating profit increased 7% YoY.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 margin was 14.2%, an increase of 20 basis points YoY.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Restaurant margin was 17.1%, an increase of 20 basis points YoY, primarily due to streamlined operations and favorable commodity prices, partially offset by the impact of increased rider cost resulting from higher delivery mix and value-for-money offerings.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Pizza Hut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78"/>
        <w:gridCol w:w="146"/>
        <w:gridCol w:w="571"/>
        <w:gridCol w:w="146"/>
        <w:gridCol w:w="146"/>
        <w:gridCol w:w="146"/>
        <w:gridCol w:w="571"/>
        <w:gridCol w:w="146"/>
        <w:gridCol w:w="146"/>
        <w:gridCol w:w="228"/>
        <w:gridCol w:w="658"/>
        <w:gridCol w:w="166"/>
        <w:gridCol w:w="146"/>
        <w:gridCol w:w="161"/>
        <w:gridCol w:w="516"/>
        <w:gridCol w:w="166"/>
        <w:gridCol w:w="146"/>
        <w:gridCol w:w="571"/>
        <w:gridCol w:w="146"/>
        <w:gridCol w:w="146"/>
        <w:gridCol w:w="146"/>
        <w:gridCol w:w="571"/>
        <w:gridCol w:w="146"/>
        <w:gridCol w:w="146"/>
        <w:gridCol w:w="211"/>
        <w:gridCol w:w="675"/>
        <w:gridCol w:w="146"/>
        <w:gridCol w:w="146"/>
        <w:gridCol w:w="161"/>
        <w:gridCol w:w="516"/>
        <w:gridCol w:w="195"/>
      </w:tblGrid>
      <w:tr>
        <w:trPr/>
        <w:tc>
          <w:tcPr>
            <w:tcW w:w="2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078"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3893"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Second Quarter</w:t>
            </w:r>
          </w:p>
        </w:tc>
        <w:tc>
          <w:tcPr>
            <w:tcW w:w="16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3873"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First Half (Year to Date Ended 6/30)</w:t>
            </w:r>
          </w:p>
        </w:tc>
        <w:tc>
          <w:tcPr>
            <w:tcW w:w="195"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%/ppts Change</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%/ppts Change</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 F/X</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 F/X</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Sales Growth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Same-Store Sales Growth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Even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Operating Profit ($mn)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7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07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Margin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System sales for Pizza Hut grew 6% YoY, improving sequentially from 4% in the first quarter. Same-store sales growth returned to positive at 1%. Same-store transactions grew 13% YoY, marking the 14</w:t>
      </w:r>
      <w:r>
        <w:rPr>
          <w:rFonts w:ascii="Times New Roman" w:hAnsi="Times New Roman"/>
          <w:color w:val="000000"/>
          <w:sz w:val="13"/>
        </w:rPr>
        <w:t>th</w:t>
      </w:r>
      <w:r>
        <w:rPr>
          <w:color w:val="000000"/>
        </w:rPr>
        <w:t xml:space="preserve"> </w:t>
      </w:r>
      <w:r>
        <w:rPr>
          <w:rFonts w:ascii="Times New Roman" w:hAnsi="Times New Roman"/>
          <w:color w:val="000000"/>
          <w:sz w:val="20"/>
        </w:rPr>
        <w:t xml:space="preserve">consecutive quarter of growth, and more than offset the 11% decline in ticket average. In line with our mass-market strategy, ticket average moved closer to our target range, primarily driven by value-for-money offerings and incremental smaller orders such as those from solo diners.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Delivery sales grew 26% YoY, contributing approximately 52% of Pizza Hut’s Company sales, up from 43% in the same quarter last year.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Pizza Hut opened 174 net new stores during the quarter, nearly double the net openings in the same quarter last year, including 70 opened by franchisees, representing 40% of net new store openings. Total store count reached 4,549 as of June 30, 2026, with 11% of stores operated by franchisees.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profit grew 11% YoY to $51 million. Core operating profit increased 5% YoY.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 margin was 8.3%, flat YoY. OP margin expanded by 60 bps YoY in the first half of the year.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Restaurant margin was 12.9%, a decrease of 40 basis points YoY, primarily due to the impact of increased costs associated with higher delivery sales mix, value-for-money offerings and investment in Pizza Hut Burger Bar, partially offset by streamlined operations, automation and favorable commodity prices. Restaurant margin increased by 10 basis points YoY in the first half of the year.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2026 Outlook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targets: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stores of over 20,000, or more than 1,900 net new stores.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40-50% franchise mix of net new stores for both KFC and Pizza Hut.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Capital expenditures of approximately $600 million to $700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$1.5 billion capital return to shareholders.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Other Update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on track to close the acquisition of the Pizza Hut brand in Mainland China in August and plans to secure an approximately $1.2 billion equivalent offshore bridge loan to finance the transaction.</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on Non-GAAP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Reported GAAP results include items that are excluded from non-GAAP measures. See “Reconciliation of Reported GAAP Results to Non-GAAP Measures” and “Segment Results” within this release for non-GAAP reconciliation details. </w:t>
      </w:r>
    </w:p>
    <w:p>
      <w:pPr>
        <w:pStyle w:val="TextBody"/>
        <w:bidi w:val="0"/>
        <w:spacing w:before="120" w:after="283"/>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Conference Call</w:t>
      </w:r>
    </w:p>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Yum China’s management will hold an earnings conference call at 7:00 a.m. U.S. Eastern Time on Thursday, July 30, 2026 (7:00 p.m. Beijing/Hong Kong Time on Thursday, July 30, 2026).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 xml:space="preserve">A live webcast of the call may be accessed at </w:t>
      </w:r>
      <w:r>
        <w:rPr>
          <w:rFonts w:ascii="Times New Roman" w:hAnsi="Times New Roman"/>
          <w:sz w:val="20"/>
        </w:rPr>
        <w:t>https://edge.media-server.com/mmc/p/zubr6dix</w:t>
      </w:r>
      <w:r>
        <w:rPr>
          <w:rFonts w:ascii="Times New Roman" w:hAnsi="Times New Roman"/>
          <w:color w:val="000000"/>
          <w:sz w:val="20"/>
          <w:u w:val="single"/>
        </w:rPr>
        <w: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join by phone, please register in advance through the link provided below. Upon registering, you will be provided with participant dial-in numbers and a unique access PIN.</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 xml:space="preserve">Pre-registration Link: </w:t>
      </w:r>
      <w:r>
        <w:rPr>
          <w:rFonts w:ascii="Times New Roman" w:hAnsi="Times New Roman"/>
          <w:sz w:val="20"/>
        </w:rPr>
        <w:t>https://register-conf.media-server.com/register/BI611346d62d61456ca32d90b61aca7523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 replay of the webcast will be available two hours after the event and will remain accessible until July 29, 2027. Earnings release and accompanying slides will be available at the Company’s Investor Relations website </w:t>
      </w:r>
      <w:r>
        <w:rPr>
          <w:rFonts w:ascii="Times New Roman" w:hAnsi="Times New Roman"/>
          <w:sz w:val="20"/>
        </w:rPr>
        <w:t>http://ir.yumchina.com</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important news and information regarding Yum China, including our filings with the U.S. Securities and Exchange Commission and the Hong Kong Stock Exchange, visit Yum China's Investor Relations website at </w:t>
      </w:r>
      <w:r>
        <w:rPr>
          <w:rFonts w:ascii="Times New Roman" w:hAnsi="Times New Roman"/>
          <w:sz w:val="20"/>
        </w:rPr>
        <w:t>http://ir.yumchina.com</w:t>
      </w:r>
      <w:r>
        <w:rPr>
          <w:rFonts w:ascii="Times New Roman" w:hAnsi="Times New Roman"/>
          <w:color w:val="000000"/>
          <w:sz w:val="20"/>
        </w:rPr>
        <w:t>. Yum China uses this website as a primary channel for disclosing key information to its investors, some of which may contain material and previously non-public information.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press release contains “forward-looking statements” within the meaning of Section 27A of the Securities Act of 1933 and Section 21E of the Securities Exchange Act of 1934, including statements under the section titled “2026 Outlook.” We intend all forward-looking statements to be covered by the safe harbor provisions of the Private Securities Litigation Reform Act of 1995. Forward-looking statements generally can be identified by the fact that they do not relate strictly to historical or current facts and by the use of forward-looking words such as “expect,” “expectation,” “believe,” “anticipate,” “may,” “could,” “intend,” “belief,” “plan,” “estimate,” “target,” “predict,” “project,” “likely,” “will,” “continue,” “should,” “forecast,” “outlook,” “commit” or similar terminology. These statements are based on current estimates and assumptions made by us in light of our experience and perception of historical trends, current conditions and expected future developments, as well as other factors that we believe are appropriate and reasonable under the circumstances, but there can be no assurance that such estimates and assumptions will prove to be correct. Forward-looking statements include, without limitation, statements regarding the future strategies, growth, business plans, investments, store openings, net new stores, franchise mix of net new stores, capital expenditures, capital returns, dividend and share repurchase plans, CAGR for system sales, operating profit and EPS, earnings, performance and returns, anticipated effects of population and macroeconomic trends, execution of the Company’s RGM 3.0 strategy, the anticipated effects of our innovation, digital and delivery capabilities and investments on growth and beliefs regarding the long-term drivers of Yum China’s business. Forward-looking statements are not guarantees of performance and are inherently subject to known and unknown risks and uncertainties that are difficult to predict and could cause our actual results or events to differ materially from those indicated by those statements. We cannot assure you that any of our expectations, estimates or assumptions will be achieved. The forward-looking statements included in this press release are only made as of the date of this press release, and we disclaim any obligation to publicly update any forward-looking statement to reflect subsequent events or circumstances, except as required by law. Numerous factors could cause our actual results or events to differ materially from those expressed or implied by forward-looking statements, including, without limitation: whether we are able to achieve development goals at the times and in the amounts currently anticipated, if at all, the success of our marketing campaigns and product innovation, our ability to maintain food safety and quality control systems, changes in public health conditions, our ability to control costs and expenses, including tax costs, as well as changes in political, economic, trade relations, regulatory conditions in China and the U.S., and those set forth under the caption “Risk Factors” in our most recent Annual Report on Form 10-K and subsequent Quarterly Reports on Form 10-Q. Our plan of capital returns to shareholders is based on current expectations, which may change based on market conditions, capital needs or otherwise. In addition, other risks and uncertainties not presently known to us or that we currently believe to be immaterial could affect the accuracy of any such forward-looking statements. All forward-looking statements should be evaluated with the understanding of their inherent uncertainty. You should consult our filings with the Securities and Exchange Commission (including the information set forth under the caption “Management’s Discussion and Analysis of Financial Condition and Results of Operations” in our Annual Report on Form 10-K and subsequent Quarterly Reports on Form 10-Q) for additional detail about factors that could affect our financial and other results.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t>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About Yum China Holdings, Inc.</w:t>
      </w:r>
    </w:p>
    <w:p>
      <w:pPr>
        <w:pStyle w:val="TextBody"/>
        <w:bidi w:val="0"/>
        <w:spacing w:before="80" w:after="283"/>
        <w:jc w:val="both"/>
        <w:rPr>
          <w:rFonts w:ascii="Times New Roman" w:hAnsi="Times New Roman"/>
          <w:sz w:val="20"/>
        </w:rPr>
      </w:pPr>
      <w:r>
        <w:rPr>
          <w:rFonts w:ascii="Times New Roman" w:hAnsi="Times New Roman"/>
          <w:color w:val="000000"/>
          <w:sz w:val="20"/>
        </w:rPr>
        <w:t xml:space="preserve">Yum China is the largest restaurant company in China with a mission to make every life taste beautiful. The Company operates over 19,000 restaurants under six brands across over 2,700 cities in China. KFC and Pizza Hut are the leading brands in the quick-service and casual dining restaurant spaces in China, respectively. In addition, Yum China has partnered with Lavazza to develop the Lavazza coffee concept in China. Little Sheep and Huang Ji Huang specialize in Chinese cuisine. Taco Bell offers innovative Mexican-inspired food. Yum China has a world-class, digitalized supply chain, which includes an extensive network of logistics centers nationwide and an in-house supply chain management system. Its strong digital capabilities and loyalty program enable the Company to reach customers faster and serve them better. Yum China is a Fortune 500 company with the vision to be the world’s most innovative pioneer in the restaurant industry. For more information, please visit </w:t>
      </w:r>
      <w:r>
        <w:rPr>
          <w:rFonts w:ascii="Times New Roman" w:hAnsi="Times New Roman"/>
          <w:sz w:val="20"/>
        </w:rPr>
        <w:t>http://ir.yumchina.com</w:t>
      </w:r>
      <w:r>
        <w:rPr>
          <w:rFonts w:ascii="Times New Roman" w:hAnsi="Times New Roman"/>
          <w:color w:val="0000FF"/>
          <w:sz w:val="20"/>
        </w:rPr>
        <w:t>.</w:t>
      </w:r>
    </w:p>
    <w:p>
      <w:pPr>
        <w:pStyle w:val="TextBody"/>
        <w:bidi w:val="0"/>
        <w:spacing w:before="80" w:after="283"/>
        <w:jc w:val="both"/>
        <w:rPr/>
      </w:pPr>
      <w:r>
        <w:rPr/>
        <w:t> </w:t>
      </w:r>
    </w:p>
    <w:p>
      <w:pPr>
        <w:pStyle w:val="TextBody"/>
        <w:bidi w:val="0"/>
        <w:spacing w:before="80" w:after="283"/>
        <w:jc w:val="both"/>
        <w:rPr/>
      </w:pPr>
      <w:r>
        <w:rPr/>
        <w:t>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Contacts</w:t>
      </w:r>
    </w:p>
    <w:p>
      <w:pPr>
        <w:pStyle w:val="TextBody"/>
        <w:bidi w:val="0"/>
        <w:jc w:val="both"/>
        <w:rPr/>
      </w:pPr>
      <w:r>
        <w:rPr/>
        <w:t> </w:t>
      </w:r>
    </w:p>
    <w:tbl>
      <w:tblPr>
        <w:tblW w:w="2438" w:type="dxa"/>
        <w:jc w:val="left"/>
        <w:tblInd w:w="0" w:type="dxa"/>
        <w:tblLayout w:type="fixed"/>
        <w:tblCellMar>
          <w:top w:w="28" w:type="dxa"/>
          <w:left w:w="28" w:type="dxa"/>
          <w:bottom w:w="28" w:type="dxa"/>
          <w:right w:w="28" w:type="dxa"/>
        </w:tblCellMar>
      </w:tblPr>
      <w:tblGrid>
        <w:gridCol w:w="161"/>
        <w:gridCol w:w="146"/>
        <w:gridCol w:w="213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Investor Relations Contact: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 xml:space="preserve">Tel: +86 21 2407 7556 </w:t>
            </w:r>
          </w:p>
          <w:p>
            <w:pPr>
              <w:pStyle w:val="TableContents"/>
              <w:bidi w:val="0"/>
              <w:jc w:val="left"/>
              <w:rPr>
                <w:rFonts w:ascii="Times New Roman" w:hAnsi="Times New Roman"/>
                <w:sz w:val="20"/>
              </w:rPr>
            </w:pPr>
            <w:r>
              <w:rPr>
                <w:rFonts w:ascii="Times New Roman" w:hAnsi="Times New Roman"/>
                <w:sz w:val="20"/>
              </w:rPr>
              <w:t>IR@YumChina.com</w:t>
            </w:r>
            <w:r>
              <w:rPr>
                <w:rFonts w:ascii="Times New Roman" w:hAnsi="Times New Roman"/>
                <w:color w:val="000000"/>
                <w:sz w:val="20"/>
              </w:rPr>
              <w:t xml:space="preserve"> </w:t>
            </w:r>
          </w:p>
          <w:p>
            <w:pPr>
              <w:pStyle w:val="TableContents"/>
              <w:bidi w:val="0"/>
              <w:spacing w:before="0" w:after="283"/>
              <w:jc w:val="left"/>
              <w:rPr/>
            </w:pPr>
            <w:r>
              <w:rPr/>
              <w:t> </w:t>
            </w:r>
          </w:p>
        </w:tc>
      </w:tr>
      <w:tr>
        <w:trPr/>
        <w:tc>
          <w:tcPr>
            <w:tcW w:w="243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Media Contact: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Tel: +86 21 2407 3824</w:t>
            </w:r>
          </w:p>
          <w:p>
            <w:pPr>
              <w:pStyle w:val="TableContents"/>
              <w:bidi w:val="0"/>
              <w:spacing w:before="0" w:after="283"/>
              <w:jc w:val="left"/>
              <w:rPr>
                <w:rFonts w:ascii="Times New Roman" w:hAnsi="Times New Roman"/>
                <w:sz w:val="20"/>
              </w:rPr>
            </w:pPr>
            <w:r>
              <w:rPr>
                <w:rFonts w:ascii="Times New Roman" w:hAnsi="Times New Roman"/>
                <w:sz w:val="20"/>
              </w:rPr>
              <w:t>Media@YumChina.com</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solidated_summary_of_results"/>
      <w:bookmarkEnd w:id="6"/>
      <w:r>
        <w:rPr>
          <w:rFonts w:ascii="Times New Roman" w:hAnsi="Times New Roman"/>
          <w:b/>
          <w:color w:val="000000"/>
          <w:sz w:val="20"/>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(in US$ million,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05"/>
        <w:gridCol w:w="146"/>
        <w:gridCol w:w="217"/>
        <w:gridCol w:w="569"/>
        <w:gridCol w:w="256"/>
        <w:gridCol w:w="146"/>
        <w:gridCol w:w="217"/>
        <w:gridCol w:w="569"/>
        <w:gridCol w:w="256"/>
        <w:gridCol w:w="146"/>
        <w:gridCol w:w="146"/>
        <w:gridCol w:w="391"/>
        <w:gridCol w:w="166"/>
        <w:gridCol w:w="451"/>
        <w:gridCol w:w="146"/>
        <w:gridCol w:w="217"/>
        <w:gridCol w:w="569"/>
        <w:gridCol w:w="256"/>
        <w:gridCol w:w="146"/>
        <w:gridCol w:w="217"/>
        <w:gridCol w:w="569"/>
        <w:gridCol w:w="256"/>
        <w:gridCol w:w="146"/>
        <w:gridCol w:w="146"/>
        <w:gridCol w:w="391"/>
        <w:gridCol w:w="166"/>
        <w:gridCol w:w="499"/>
      </w:tblGrid>
      <w:tr>
        <w:trPr/>
        <w:tc>
          <w:tcPr>
            <w:tcW w:w="2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6/30/2026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6/30/2025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6/30/2026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6/30/2025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 xml:space="preserve">Income Before Income Taxes and </w:t>
              <w:br/>
              <w:t xml:space="preserve">  Equity in Net Earnings (Losses) from </w:t>
              <w:br/>
              <w:t>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Equity in net earnings (losses) from </w:t>
              <w:br/>
              <w:t>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Weighted-average shares outstanding </w:t>
              <w:b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Weighted-average shares outstanding </w:t>
              <w:b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Percentages may not recompute due to rounding. NM refers to not meaningful.</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kfc_global_operating_results"/>
      <w:bookmarkEnd w:id="7"/>
      <w:r>
        <w:rPr>
          <w:rFonts w:ascii="Times New Roman" w:hAnsi="Times New Roman"/>
          <w:b/>
          <w:color w:val="000000"/>
          <w:sz w:val="20"/>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KFC Operating Results</w:t>
      </w:r>
    </w:p>
    <w:p>
      <w:pPr>
        <w:pStyle w:val="TextBody"/>
        <w:bidi w:val="0"/>
        <w:jc w:val="center"/>
        <w:rPr>
          <w:rFonts w:ascii="Times New Roman" w:hAnsi="Times New Roman"/>
          <w:b/>
          <w:color w:val="000000"/>
          <w:sz w:val="20"/>
        </w:rPr>
      </w:pPr>
      <w:r>
        <w:rPr>
          <w:rFonts w:ascii="Times New Roman" w:hAnsi="Times New Roman"/>
          <w:b/>
          <w:color w:val="000000"/>
          <w:sz w:val="20"/>
        </w:rPr>
        <w:t>(in US$ million)</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65"/>
        <w:gridCol w:w="146"/>
        <w:gridCol w:w="220"/>
        <w:gridCol w:w="576"/>
        <w:gridCol w:w="256"/>
        <w:gridCol w:w="146"/>
        <w:gridCol w:w="220"/>
        <w:gridCol w:w="576"/>
        <w:gridCol w:w="256"/>
        <w:gridCol w:w="146"/>
        <w:gridCol w:w="146"/>
        <w:gridCol w:w="391"/>
        <w:gridCol w:w="166"/>
        <w:gridCol w:w="451"/>
        <w:gridCol w:w="146"/>
        <w:gridCol w:w="220"/>
        <w:gridCol w:w="576"/>
        <w:gridCol w:w="256"/>
        <w:gridCol w:w="146"/>
        <w:gridCol w:w="220"/>
        <w:gridCol w:w="576"/>
        <w:gridCol w:w="256"/>
        <w:gridCol w:w="146"/>
        <w:gridCol w:w="146"/>
        <w:gridCol w:w="391"/>
        <w:gridCol w:w="166"/>
        <w:gridCol w:w="499"/>
      </w:tblGrid>
      <w:tr>
        <w:trPr/>
        <w:tc>
          <w:tcPr>
            <w:tcW w:w="2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6/30/2026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6/30/2025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6/30/2026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6/30/2025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Percentages may not recompute due to rounding.</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pizza_hut_global_operating_results"/>
      <w:bookmarkEnd w:id="8"/>
      <w:r>
        <w:rPr>
          <w:rFonts w:ascii="Times New Roman" w:hAnsi="Times New Roman"/>
          <w:b/>
          <w:color w:val="000000"/>
          <w:sz w:val="20"/>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Pizza Hut Operating Results</w:t>
      </w:r>
    </w:p>
    <w:p>
      <w:pPr>
        <w:pStyle w:val="TextBody"/>
        <w:bidi w:val="0"/>
        <w:jc w:val="center"/>
        <w:rPr>
          <w:rFonts w:ascii="Times New Roman" w:hAnsi="Times New Roman"/>
          <w:b/>
          <w:color w:val="000000"/>
          <w:sz w:val="20"/>
        </w:rPr>
      </w:pPr>
      <w:r>
        <w:rPr>
          <w:rFonts w:ascii="Times New Roman" w:hAnsi="Times New Roman"/>
          <w:b/>
          <w:color w:val="000000"/>
          <w:sz w:val="20"/>
        </w:rPr>
        <w:t>(in US$ million)</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65"/>
        <w:gridCol w:w="146"/>
        <w:gridCol w:w="220"/>
        <w:gridCol w:w="576"/>
        <w:gridCol w:w="256"/>
        <w:gridCol w:w="146"/>
        <w:gridCol w:w="220"/>
        <w:gridCol w:w="576"/>
        <w:gridCol w:w="256"/>
        <w:gridCol w:w="146"/>
        <w:gridCol w:w="146"/>
        <w:gridCol w:w="391"/>
        <w:gridCol w:w="166"/>
        <w:gridCol w:w="451"/>
        <w:gridCol w:w="146"/>
        <w:gridCol w:w="220"/>
        <w:gridCol w:w="576"/>
        <w:gridCol w:w="256"/>
        <w:gridCol w:w="146"/>
        <w:gridCol w:w="220"/>
        <w:gridCol w:w="576"/>
        <w:gridCol w:w="256"/>
        <w:gridCol w:w="146"/>
        <w:gridCol w:w="146"/>
        <w:gridCol w:w="391"/>
        <w:gridCol w:w="166"/>
        <w:gridCol w:w="499"/>
      </w:tblGrid>
      <w:tr>
        <w:trPr/>
        <w:tc>
          <w:tcPr>
            <w:tcW w:w="2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6/30/2026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6/30/2025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6/30/2026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6/30/2025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from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Expenses for transactions with 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Food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Payroll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Occupancy and 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ppts.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Percentages may not recompute due to rounding.</w:t>
      </w:r>
    </w:p>
    <w:p>
      <w:pPr>
        <w:pStyle w:val="TextBody"/>
        <w:bidi w:val="0"/>
        <w:spacing w:before="40" w:after="283"/>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condensed_consolidated_balance_sheets"/>
      <w:bookmarkEnd w:id="9"/>
      <w:r>
        <w:rPr>
          <w:rFonts w:ascii="Times New Roman" w:hAnsi="Times New Roman"/>
          <w:b/>
          <w:color w:val="000000"/>
          <w:sz w:val="20"/>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US$ million)</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96"/>
        <w:gridCol w:w="146"/>
        <w:gridCol w:w="258"/>
        <w:gridCol w:w="831"/>
        <w:gridCol w:w="166"/>
        <w:gridCol w:w="146"/>
        <w:gridCol w:w="249"/>
        <w:gridCol w:w="800"/>
        <w:gridCol w:w="413"/>
      </w:tblGrid>
      <w:tr>
        <w:trPr/>
        <w:tc>
          <w:tcPr>
            <w:tcW w:w="7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10,783</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NONCONTROLLING INTEREST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$0.01 par value; 1,000 million shares authorized; 345 million shares </w:t>
              <w:br/>
              <w:t xml:space="preserve">      and 355 million shares issued at June 30, 2026 and December 31, 2025, respectively; </w:t>
              <w:br/>
              <w:t>      345 million shares and 354 million shares outstanding at June 30, 2026 and December 31,</w:t>
              <w:br/>
              <w:t>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Yum China Holdings,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Redeemable Noncontrolling Interest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10,783</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condensed_consolidated_statements_of_cas"/>
      <w:bookmarkEnd w:id="10"/>
      <w:r>
        <w:rPr>
          <w:rFonts w:ascii="Times New Roman" w:hAnsi="Times New Roman"/>
          <w:b/>
          <w:color w:val="000000"/>
          <w:sz w:val="20"/>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US$ million)</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021" w:type="dxa"/>
        <w:jc w:val="left"/>
        <w:tblInd w:w="0" w:type="dxa"/>
        <w:tblLayout w:type="fixed"/>
        <w:tblCellMar>
          <w:top w:w="28" w:type="dxa"/>
          <w:left w:w="28" w:type="dxa"/>
          <w:bottom w:w="28" w:type="dxa"/>
          <w:right w:w="28" w:type="dxa"/>
        </w:tblCellMar>
      </w:tblPr>
      <w:tblGrid>
        <w:gridCol w:w="6376"/>
        <w:gridCol w:w="146"/>
        <w:gridCol w:w="211"/>
        <w:gridCol w:w="631"/>
        <w:gridCol w:w="166"/>
        <w:gridCol w:w="146"/>
        <w:gridCol w:w="146"/>
        <w:gridCol w:w="211"/>
        <w:gridCol w:w="631"/>
        <w:gridCol w:w="166"/>
        <w:gridCol w:w="191"/>
      </w:tblGrid>
      <w:tr>
        <w:trPr/>
        <w:tc>
          <w:tcPr>
            <w:tcW w:w="6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Flows –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income –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Non-cash 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Closures and impairment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Equity in net (earnings) 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Distributions of income received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prepaid expenses, other current assets and value-added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Flows –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Capital spending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Purchases of short-term investments, 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Maturities of short-term investments, long-term bank deposits 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Acquisition of equity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Flows –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Proceeds from 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Repayment of 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Repurchase of 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dividends paid on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Dividends paid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Effect of Exchange Rates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Cash Equivalents, and Restricted Cash -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Cash, Cash Equivalents, and Restricted Cash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this press release: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performance metrics and non-GAAP measures are presented excluding the impact of foreign currency translation (“F/X”). These amounts are derived by translating current year results at prior year average exchange rates. We believe the elimination of the F/X impact provides better year-to-year comparability without the distortion of foreign currency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System sales growth reflects the results of all restaurants regardless of ownership, including Company-owned and franchise restaurants that operate our restaurant concepts, except for non-Company-owned restaurants for which we do not receive a sales-based royalty. Sales of franchise restaurants typically generate ongoing franchise fees for the Company at an average rate of approximately 6% of system sales. Franchise restaurant sales are not included in Company sales in the Condensed Consolidated Statements of Income; however, the franchise fees are included in the Company’s revenues. We believe system sales growth is useful to investors as a significant indicator of the overall strength of our business as it incorporates all of our revenue drivers, Company and franchise same-store sales as well as net unit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January 1, 2018, the Company revised its definition of same-store sales growth to represent the estimated percentage change in sales of food of all restaurants in the Company system that have been open prior to the first day of our prior fiscal year, excluding the period during which stores are temporarily closed. We refer to these as our "base" stores. Previously, same-store sales growth represented the estimated percentage change in sales of all restaurants in the Company system that have been open for one year or more, including stores temporarily closed, and the base stores changed on a rolling basis from month to month. This revision was made to align with how management measures performance internally and focuses on trends of a more stable base of stores.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 Count by Brand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KFC</w:t>
      </w:r>
    </w:p>
    <w:p>
      <w:pPr>
        <w:pStyle w:val="TextBody"/>
        <w:bidi w:val="0"/>
        <w:jc w:val="left"/>
        <w:rPr/>
      </w:pPr>
      <w:r>
        <w:rPr/>
        <w:t> </w:t>
      </w:r>
    </w:p>
    <w:tbl>
      <w:tblPr>
        <w:tblW w:w="8193" w:type="dxa"/>
        <w:jc w:val="left"/>
        <w:tblInd w:w="0" w:type="dxa"/>
        <w:tblLayout w:type="fixed"/>
        <w:tblCellMar>
          <w:top w:w="28" w:type="dxa"/>
          <w:left w:w="28" w:type="dxa"/>
          <w:bottom w:w="28" w:type="dxa"/>
          <w:right w:w="28" w:type="dxa"/>
        </w:tblCellMar>
      </w:tblPr>
      <w:tblGrid>
        <w:gridCol w:w="1516"/>
        <w:gridCol w:w="146"/>
        <w:gridCol w:w="189"/>
        <w:gridCol w:w="876"/>
        <w:gridCol w:w="146"/>
        <w:gridCol w:w="146"/>
        <w:gridCol w:w="270"/>
        <w:gridCol w:w="780"/>
        <w:gridCol w:w="146"/>
        <w:gridCol w:w="146"/>
        <w:gridCol w:w="195"/>
        <w:gridCol w:w="646"/>
        <w:gridCol w:w="166"/>
        <w:gridCol w:w="146"/>
        <w:gridCol w:w="360"/>
        <w:gridCol w:w="856"/>
        <w:gridCol w:w="166"/>
        <w:gridCol w:w="146"/>
        <w:gridCol w:w="170"/>
        <w:gridCol w:w="790"/>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New</w:t>
            </w:r>
            <w:r>
              <w:rPr>
                <w:rFonts w:ascii="Times New Roman" w:hAnsi="Times New Roman"/>
                <w:color w:val="000000"/>
                <w:sz w:val="20"/>
              </w:rPr>
              <w:t xml:space="preserve"> </w:t>
            </w:r>
            <w:r>
              <w:rPr>
                <w:rFonts w:ascii="Times New Roman" w:hAnsi="Times New Roman"/>
                <w:b/>
                <w:color w:val="000000"/>
                <w:sz w:val="20"/>
              </w:rPr>
              <w:t>Builds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Closures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Refranchised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Pizza Hut</w:t>
      </w:r>
    </w:p>
    <w:p>
      <w:pPr>
        <w:pStyle w:val="TextBody"/>
        <w:bidi w:val="0"/>
        <w:jc w:val="left"/>
        <w:rPr/>
      </w:pPr>
      <w:r>
        <w:rPr/>
        <w:t> </w:t>
      </w:r>
    </w:p>
    <w:tbl>
      <w:tblPr>
        <w:tblW w:w="6665" w:type="dxa"/>
        <w:jc w:val="left"/>
        <w:tblInd w:w="0" w:type="dxa"/>
        <w:tblLayout w:type="fixed"/>
        <w:tblCellMar>
          <w:top w:w="28" w:type="dxa"/>
          <w:left w:w="28" w:type="dxa"/>
          <w:bottom w:w="28" w:type="dxa"/>
          <w:right w:w="28" w:type="dxa"/>
        </w:tblCellMar>
      </w:tblPr>
      <w:tblGrid>
        <w:gridCol w:w="1516"/>
        <w:gridCol w:w="146"/>
        <w:gridCol w:w="217"/>
        <w:gridCol w:w="848"/>
        <w:gridCol w:w="146"/>
        <w:gridCol w:w="146"/>
        <w:gridCol w:w="270"/>
        <w:gridCol w:w="780"/>
        <w:gridCol w:w="146"/>
        <w:gridCol w:w="146"/>
        <w:gridCol w:w="195"/>
        <w:gridCol w:w="646"/>
        <w:gridCol w:w="166"/>
        <w:gridCol w:w="146"/>
        <w:gridCol w:w="195"/>
        <w:gridCol w:w="765"/>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New</w:t>
            </w:r>
            <w:r>
              <w:rPr>
                <w:rFonts w:ascii="Times New Roman" w:hAnsi="Times New Roman"/>
                <w:color w:val="000000"/>
                <w:sz w:val="20"/>
              </w:rPr>
              <w:t xml:space="preserve"> </w:t>
            </w:r>
            <w:r>
              <w:rPr>
                <w:rFonts w:ascii="Times New Roman" w:hAnsi="Times New Roman"/>
                <w:b/>
                <w:color w:val="000000"/>
                <w:sz w:val="20"/>
              </w:rPr>
              <w:t>Builds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Closures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Others</w:t>
      </w:r>
    </w:p>
    <w:p>
      <w:pPr>
        <w:pStyle w:val="TextBody"/>
        <w:bidi w:val="0"/>
        <w:jc w:val="left"/>
        <w:rPr/>
      </w:pPr>
      <w:r>
        <w:rPr/>
        <w:t> </w:t>
      </w:r>
    </w:p>
    <w:tbl>
      <w:tblPr>
        <w:tblW w:w="6665" w:type="dxa"/>
        <w:jc w:val="left"/>
        <w:tblInd w:w="0" w:type="dxa"/>
        <w:tblLayout w:type="fixed"/>
        <w:tblCellMar>
          <w:top w:w="28" w:type="dxa"/>
          <w:left w:w="28" w:type="dxa"/>
          <w:bottom w:w="28" w:type="dxa"/>
          <w:right w:w="28" w:type="dxa"/>
        </w:tblCellMar>
      </w:tblPr>
      <w:tblGrid>
        <w:gridCol w:w="1516"/>
        <w:gridCol w:w="146"/>
        <w:gridCol w:w="274"/>
        <w:gridCol w:w="791"/>
        <w:gridCol w:w="146"/>
        <w:gridCol w:w="146"/>
        <w:gridCol w:w="270"/>
        <w:gridCol w:w="780"/>
        <w:gridCol w:w="146"/>
        <w:gridCol w:w="146"/>
        <w:gridCol w:w="195"/>
        <w:gridCol w:w="646"/>
        <w:gridCol w:w="166"/>
        <w:gridCol w:w="146"/>
        <w:gridCol w:w="247"/>
        <w:gridCol w:w="713"/>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New</w:t>
            </w:r>
            <w:r>
              <w:rPr>
                <w:rFonts w:ascii="Times New Roman" w:hAnsi="Times New Roman"/>
                <w:color w:val="000000"/>
                <w:sz w:val="20"/>
              </w:rPr>
              <w:t xml:space="preserve"> </w:t>
            </w:r>
            <w:r>
              <w:rPr>
                <w:rFonts w:ascii="Times New Roman" w:hAnsi="Times New Roman"/>
                <w:b/>
                <w:color w:val="000000"/>
                <w:sz w:val="20"/>
              </w:rPr>
              <w:t>Builds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Closures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Reported GAAP Results to Non-GAAP Measures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to the results provided in accordance with U.S. Generally Accepted Accounting Principles (“GAAP”) in this press release, the Company provides the following non-GAAP measures: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Measures adjusted for Special Items, which include Adjusted Operating Profit, Adjusted Net Income, Adjusted Earnings Per Common Share ("EPS"), Adjusted Effective Tax Rate and Adjusted EBITDA;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Company Restaurant Profit ("Restaurant profit") and Restaurant margin;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Core Operating Profit and Core OP margin, which exclude Special Items, and further adjusted for Items Affecting Comparability and the impact of F/X;</w:t>
      </w:r>
    </w:p>
    <w:p>
      <w:pPr>
        <w:pStyle w:val="TextBody"/>
        <w:bidi w:val="0"/>
        <w:spacing w:before="0" w:after="20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These non-GAAP measures are not intended to replace the presentation of our financial results in accordance with GAAP. Rather, the Company believes that the presentation of these non-GAAP measures provides additional information to investors to facilitate the comparison of past and present results, excluding those items that the Company does not believe are indicative of our core operations.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With respect to non-GAAP measures adjusted for Special Items, the Company excludes impact from Special Items for the purpose of evaluating performance internally and uses them as factors in determining compensation for certain employees. Special Items are not included in any of our segment results.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Adjusted EBITDA is defined as net income including noncontrolling interests adjusted for equity in net earnings (losses) from equity method investments, income tax, interest income, net, investment gain or loss, depreciation and amortization, store impairment charges, and Special Items. Store impairment charges included as an adjustment item in Adjusted EBITDA primarily resulted from our semi-annual impairment evaluation of long-lived assets of individual restaurants, and additional impairment evaluation whenever events or changes in circumstances indicate that the carrying value of the assets may not be recoverable. If these restaurant-level assets were not impaired, depreciation of the assets would have been recorded and included in EBITDA. Therefore, store impairment charges were a non-cash item similar to depreciation and amortization of our long-lived assets of restaurants. The Company believes that investors and analysts may find it useful in measuring operating performance without regard to such non-cash items.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Restaurant Profit is defined as Company sales less expenses incurred directly by our Company-owned restaurants in generating Company sales, including cost of food and paper, restaurant-level payroll and employee benefits, rent, depreciation and amortization of restaurant-level assets, advertising expenses, and other operating expenses. Company restaurant margin percentage is defined as Restaurant profit divided by Company sales. We also use Restaurant profit and Restaurant margin for the purposes of internally evaluating the performance of our Company-owned restaurants and we believe they provide useful information to investors as to the profitability of our Company-owned restaurants.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Core Operating Profit is defined as Operating Profit adjusted for Special Items, and further excluding Items Affecting Comparability and the impact of F/X. We consider quantitative and qualitative factors in assessing whether to adjust for the impact of items that may be significant or that could affect an understanding of our ongoing financial and business performance or trends. Items such as charges, gains and accounting changes which are viewed by management as significantly impacting the current period or the comparable period, due to changes in policy or other external factors, or non-cash items pertaining to underlying activities that are different from or unrelated to our core operations, are generally considered “Items Affecting Comparability.” Examples of Items Affecting Comparability include, but are not limited to: temporary relief from landlords and government agencies; VAT deductions due to tax policy changes; and amortization of reacquired franchise rights recognized upon acquisitions. We believe presenting Core Operating Profit provides additional information to further enhance comparability of our operating results and we use this measure for purposes of evaluating the performance of our core operations. Core OP margin is defined as Core Operating Profit divided by Total revenues, excluding the impact of F/X.</w:t>
      </w:r>
    </w:p>
    <w:p>
      <w:pPr>
        <w:pStyle w:val="TextBody"/>
        <w:bidi w:val="0"/>
        <w:spacing w:before="0" w:after="20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tables set forth the reconciliation of the most directly comparable GAAP financial measures to the non-GAAP financial measures. The reconciliation of GAAP Operating Profit to Restaurant Profit and Core Operating Profit by segment is presented in Segment Results within this release.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83"/>
        <w:gridCol w:w="146"/>
        <w:gridCol w:w="281"/>
        <w:gridCol w:w="621"/>
        <w:gridCol w:w="271"/>
        <w:gridCol w:w="146"/>
        <w:gridCol w:w="281"/>
        <w:gridCol w:w="621"/>
        <w:gridCol w:w="271"/>
        <w:gridCol w:w="146"/>
        <w:gridCol w:w="281"/>
        <w:gridCol w:w="621"/>
        <w:gridCol w:w="271"/>
        <w:gridCol w:w="146"/>
        <w:gridCol w:w="281"/>
        <w:gridCol w:w="621"/>
        <w:gridCol w:w="317"/>
      </w:tblGrid>
      <w:tr>
        <w:trPr/>
        <w:tc>
          <w:tcPr>
            <w:tcW w:w="4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Operating Profit to 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Net Income to 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Net Income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EPS to Adjusted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Effective Tax Rate to Adjusted 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on effective tax rate as a result of Special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income, along with the reconciliation to Adjusted EBITDA, is presented below:</w:t>
      </w:r>
    </w:p>
    <w:tbl>
      <w:tblPr>
        <w:tblW w:w="10205" w:type="dxa"/>
        <w:jc w:val="left"/>
        <w:tblInd w:w="0" w:type="dxa"/>
        <w:tblLayout w:type="fixed"/>
        <w:tblCellMar>
          <w:top w:w="28" w:type="dxa"/>
          <w:left w:w="28" w:type="dxa"/>
          <w:bottom w:w="28" w:type="dxa"/>
          <w:right w:w="28" w:type="dxa"/>
        </w:tblCellMar>
      </w:tblPr>
      <w:tblGrid>
        <w:gridCol w:w="5107"/>
        <w:gridCol w:w="146"/>
        <w:gridCol w:w="316"/>
        <w:gridCol w:w="632"/>
        <w:gridCol w:w="166"/>
        <w:gridCol w:w="146"/>
        <w:gridCol w:w="316"/>
        <w:gridCol w:w="632"/>
        <w:gridCol w:w="166"/>
        <w:gridCol w:w="146"/>
        <w:gridCol w:w="257"/>
        <w:gridCol w:w="696"/>
        <w:gridCol w:w="167"/>
        <w:gridCol w:w="147"/>
        <w:gridCol w:w="316"/>
        <w:gridCol w:w="632"/>
        <w:gridCol w:w="217"/>
      </w:tblGrid>
      <w:tr>
        <w:trPr/>
        <w:tc>
          <w:tcPr>
            <w:tcW w:w="5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Yum China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(earnings) 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 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2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Profit, along with the reconciliation to Core Operating Profit, is presented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48"/>
        <w:gridCol w:w="236"/>
        <w:gridCol w:w="638"/>
        <w:gridCol w:w="271"/>
        <w:gridCol w:w="146"/>
        <w:gridCol w:w="236"/>
        <w:gridCol w:w="638"/>
        <w:gridCol w:w="271"/>
        <w:gridCol w:w="146"/>
        <w:gridCol w:w="146"/>
        <w:gridCol w:w="361"/>
        <w:gridCol w:w="146"/>
        <w:gridCol w:w="496"/>
        <w:gridCol w:w="146"/>
        <w:gridCol w:w="236"/>
        <w:gridCol w:w="638"/>
        <w:gridCol w:w="271"/>
        <w:gridCol w:w="146"/>
        <w:gridCol w:w="236"/>
        <w:gridCol w:w="638"/>
        <w:gridCol w:w="271"/>
        <w:gridCol w:w="146"/>
        <w:gridCol w:w="146"/>
        <w:gridCol w:w="361"/>
        <w:gridCol w:w="146"/>
        <w:gridCol w:w="545"/>
      </w:tblGrid>
      <w:tr>
        <w:trPr/>
        <w:tc>
          <w:tcPr>
            <w:tcW w:w="254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to Date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Items, Operating Profit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Profit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Affecting Comparability</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F/X impact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Operating Profit</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F/X impact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excluding the impact of F/X</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OP margin</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ppts.</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segment_results"/>
      <w:bookmarkEnd w:id="11"/>
      <w:r>
        <w:rPr>
          <w:rFonts w:ascii="Times New Roman" w:hAnsi="Times New Roman"/>
          <w:b/>
          <w:color w:val="000000"/>
          <w:sz w:val="20"/>
        </w:rPr>
        <w:t>Yum China Holdings, Inc.</w:t>
      </w:r>
    </w:p>
    <w:p>
      <w:pPr>
        <w:pStyle w:val="TextBody"/>
        <w:bidi w:val="0"/>
        <w:jc w:val="center"/>
        <w:rPr>
          <w:rFonts w:ascii="Times New Roman" w:hAnsi="Times New Roman"/>
          <w:b/>
          <w:color w:val="000000"/>
          <w:sz w:val="20"/>
        </w:rPr>
      </w:pPr>
      <w:r>
        <w:rPr>
          <w:rFonts w:ascii="Times New Roman" w:hAnsi="Times New Roman"/>
          <w:b/>
          <w:color w:val="000000"/>
          <w:sz w:val="20"/>
        </w:rPr>
        <w:t>Segment Results</w:t>
      </w:r>
    </w:p>
    <w:p>
      <w:pPr>
        <w:pStyle w:val="TextBody"/>
        <w:bidi w:val="0"/>
        <w:jc w:val="center"/>
        <w:rPr>
          <w:rFonts w:ascii="Times New Roman" w:hAnsi="Times New Roman"/>
          <w:b/>
          <w:color w:val="000000"/>
          <w:sz w:val="20"/>
        </w:rPr>
      </w:pPr>
      <w:r>
        <w:rPr>
          <w:rFonts w:ascii="Times New Roman" w:hAnsi="Times New Roman"/>
          <w:b/>
          <w:color w:val="000000"/>
          <w:sz w:val="20"/>
        </w:rPr>
        <w:t>(in US$ million)</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81"/>
        <w:gridCol w:w="146"/>
        <w:gridCol w:w="196"/>
        <w:gridCol w:w="511"/>
        <w:gridCol w:w="146"/>
        <w:gridCol w:w="146"/>
        <w:gridCol w:w="258"/>
        <w:gridCol w:w="494"/>
        <w:gridCol w:w="146"/>
        <w:gridCol w:w="146"/>
        <w:gridCol w:w="464"/>
        <w:gridCol w:w="892"/>
        <w:gridCol w:w="166"/>
        <w:gridCol w:w="146"/>
        <w:gridCol w:w="388"/>
        <w:gridCol w:w="747"/>
        <w:gridCol w:w="166"/>
        <w:gridCol w:w="146"/>
        <w:gridCol w:w="311"/>
        <w:gridCol w:w="695"/>
        <w:gridCol w:w="166"/>
        <w:gridCol w:w="146"/>
        <w:gridCol w:w="196"/>
        <w:gridCol w:w="511"/>
        <w:gridCol w:w="195"/>
      </w:tblGrid>
      <w:tr>
        <w:trPr/>
        <w:tc>
          <w:tcPr>
            <w:tcW w:w="2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6/30/2026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Reconciliation of GAAP Operating Profit to Restaurant Profit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96"/>
        <w:gridCol w:w="146"/>
        <w:gridCol w:w="196"/>
        <w:gridCol w:w="511"/>
        <w:gridCol w:w="256"/>
        <w:gridCol w:w="146"/>
        <w:gridCol w:w="232"/>
        <w:gridCol w:w="498"/>
        <w:gridCol w:w="256"/>
        <w:gridCol w:w="146"/>
        <w:gridCol w:w="409"/>
        <w:gridCol w:w="821"/>
        <w:gridCol w:w="286"/>
        <w:gridCol w:w="146"/>
        <w:gridCol w:w="382"/>
        <w:gridCol w:w="736"/>
        <w:gridCol w:w="166"/>
        <w:gridCol w:w="146"/>
        <w:gridCol w:w="311"/>
        <w:gridCol w:w="695"/>
        <w:gridCol w:w="166"/>
        <w:gridCol w:w="146"/>
        <w:gridCol w:w="196"/>
        <w:gridCol w:w="511"/>
        <w:gridCol w:w="305"/>
      </w:tblGrid>
      <w:tr>
        <w:trPr/>
        <w:tc>
          <w:tcPr>
            <w:tcW w:w="2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6/30/2026</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3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2,910</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Core Operating Profit is as follows:</w:t>
      </w:r>
    </w:p>
    <w:p>
      <w:pPr>
        <w:pStyle w:val="TextBody"/>
        <w:bidi w:val="0"/>
        <w:jc w:val="left"/>
        <w:rPr/>
      </w:pPr>
      <w:r>
        <w:rPr/>
        <w:t> </w:t>
      </w:r>
    </w:p>
    <w:tbl>
      <w:tblPr>
        <w:tblW w:w="10138" w:type="dxa"/>
        <w:jc w:val="left"/>
        <w:tblInd w:w="0" w:type="dxa"/>
        <w:tblLayout w:type="fixed"/>
        <w:tblCellMar>
          <w:top w:w="28" w:type="dxa"/>
          <w:left w:w="28" w:type="dxa"/>
          <w:bottom w:w="28" w:type="dxa"/>
          <w:right w:w="28" w:type="dxa"/>
        </w:tblCellMar>
      </w:tblPr>
      <w:tblGrid>
        <w:gridCol w:w="2476"/>
        <w:gridCol w:w="146"/>
        <w:gridCol w:w="196"/>
        <w:gridCol w:w="376"/>
        <w:gridCol w:w="166"/>
        <w:gridCol w:w="146"/>
        <w:gridCol w:w="304"/>
        <w:gridCol w:w="536"/>
        <w:gridCol w:w="166"/>
        <w:gridCol w:w="146"/>
        <w:gridCol w:w="580"/>
        <w:gridCol w:w="1025"/>
        <w:gridCol w:w="166"/>
        <w:gridCol w:w="146"/>
        <w:gridCol w:w="422"/>
        <w:gridCol w:w="748"/>
        <w:gridCol w:w="166"/>
        <w:gridCol w:w="146"/>
        <w:gridCol w:w="363"/>
        <w:gridCol w:w="643"/>
        <w:gridCol w:w="146"/>
        <w:gridCol w:w="146"/>
        <w:gridCol w:w="196"/>
        <w:gridCol w:w="376"/>
        <w:gridCol w:w="21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6/30/2026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Affecting Comparability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68"/>
        <w:gridCol w:w="146"/>
        <w:gridCol w:w="196"/>
        <w:gridCol w:w="511"/>
        <w:gridCol w:w="146"/>
        <w:gridCol w:w="146"/>
        <w:gridCol w:w="257"/>
        <w:gridCol w:w="493"/>
        <w:gridCol w:w="146"/>
        <w:gridCol w:w="146"/>
        <w:gridCol w:w="462"/>
        <w:gridCol w:w="889"/>
        <w:gridCol w:w="166"/>
        <w:gridCol w:w="146"/>
        <w:gridCol w:w="388"/>
        <w:gridCol w:w="747"/>
        <w:gridCol w:w="166"/>
        <w:gridCol w:w="146"/>
        <w:gridCol w:w="311"/>
        <w:gridCol w:w="695"/>
        <w:gridCol w:w="166"/>
        <w:gridCol w:w="146"/>
        <w:gridCol w:w="196"/>
        <w:gridCol w:w="511"/>
        <w:gridCol w:w="215"/>
      </w:tblGrid>
      <w:tr>
        <w:trPr/>
        <w:tc>
          <w:tcPr>
            <w:tcW w:w="2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6/30/2025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Restaurant Profit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96"/>
        <w:gridCol w:w="146"/>
        <w:gridCol w:w="196"/>
        <w:gridCol w:w="511"/>
        <w:gridCol w:w="256"/>
        <w:gridCol w:w="146"/>
        <w:gridCol w:w="232"/>
        <w:gridCol w:w="498"/>
        <w:gridCol w:w="256"/>
        <w:gridCol w:w="146"/>
        <w:gridCol w:w="355"/>
        <w:gridCol w:w="874"/>
        <w:gridCol w:w="286"/>
        <w:gridCol w:w="146"/>
        <w:gridCol w:w="403"/>
        <w:gridCol w:w="715"/>
        <w:gridCol w:w="166"/>
        <w:gridCol w:w="146"/>
        <w:gridCol w:w="311"/>
        <w:gridCol w:w="695"/>
        <w:gridCol w:w="166"/>
        <w:gridCol w:w="146"/>
        <w:gridCol w:w="196"/>
        <w:gridCol w:w="511"/>
        <w:gridCol w:w="306"/>
      </w:tblGrid>
      <w:tr>
        <w:trPr/>
        <w:tc>
          <w:tcPr>
            <w:tcW w:w="2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6/30/2025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2,613</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Core Operating Profit is as follows:</w:t>
      </w:r>
    </w:p>
    <w:p>
      <w:pPr>
        <w:pStyle w:val="TextBody"/>
        <w:bidi w:val="0"/>
        <w:jc w:val="left"/>
        <w:rPr/>
      </w:pPr>
      <w:r>
        <w:rPr/>
        <w:t> </w:t>
      </w:r>
    </w:p>
    <w:tbl>
      <w:tblPr>
        <w:tblW w:w="10078" w:type="dxa"/>
        <w:jc w:val="left"/>
        <w:tblInd w:w="0" w:type="dxa"/>
        <w:tblLayout w:type="fixed"/>
        <w:tblCellMar>
          <w:top w:w="28" w:type="dxa"/>
          <w:left w:w="28" w:type="dxa"/>
          <w:bottom w:w="28" w:type="dxa"/>
          <w:right w:w="28" w:type="dxa"/>
        </w:tblCellMar>
      </w:tblPr>
      <w:tblGrid>
        <w:gridCol w:w="2476"/>
        <w:gridCol w:w="146"/>
        <w:gridCol w:w="196"/>
        <w:gridCol w:w="376"/>
        <w:gridCol w:w="146"/>
        <w:gridCol w:w="146"/>
        <w:gridCol w:w="304"/>
        <w:gridCol w:w="536"/>
        <w:gridCol w:w="146"/>
        <w:gridCol w:w="146"/>
        <w:gridCol w:w="580"/>
        <w:gridCol w:w="1025"/>
        <w:gridCol w:w="166"/>
        <w:gridCol w:w="146"/>
        <w:gridCol w:w="422"/>
        <w:gridCol w:w="748"/>
        <w:gridCol w:w="166"/>
        <w:gridCol w:w="146"/>
        <w:gridCol w:w="363"/>
        <w:gridCol w:w="643"/>
        <w:gridCol w:w="146"/>
        <w:gridCol w:w="146"/>
        <w:gridCol w:w="196"/>
        <w:gridCol w:w="376"/>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6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 6/30/2025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Affecting Comparability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64"/>
        <w:gridCol w:w="146"/>
        <w:gridCol w:w="196"/>
        <w:gridCol w:w="511"/>
        <w:gridCol w:w="146"/>
        <w:gridCol w:w="146"/>
        <w:gridCol w:w="220"/>
        <w:gridCol w:w="575"/>
        <w:gridCol w:w="146"/>
        <w:gridCol w:w="146"/>
        <w:gridCol w:w="462"/>
        <w:gridCol w:w="889"/>
        <w:gridCol w:w="146"/>
        <w:gridCol w:w="146"/>
        <w:gridCol w:w="388"/>
        <w:gridCol w:w="747"/>
        <w:gridCol w:w="166"/>
        <w:gridCol w:w="146"/>
        <w:gridCol w:w="311"/>
        <w:gridCol w:w="695"/>
        <w:gridCol w:w="166"/>
        <w:gridCol w:w="146"/>
        <w:gridCol w:w="196"/>
        <w:gridCol w:w="511"/>
        <w:gridCol w:w="194"/>
      </w:tblGrid>
      <w:tr>
        <w:trPr/>
        <w:tc>
          <w:tcPr>
            <w:tcW w:w="2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 6/30/2026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Restaurant Profit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66"/>
        <w:gridCol w:w="146"/>
        <w:gridCol w:w="196"/>
        <w:gridCol w:w="511"/>
        <w:gridCol w:w="256"/>
        <w:gridCol w:w="146"/>
        <w:gridCol w:w="214"/>
        <w:gridCol w:w="558"/>
        <w:gridCol w:w="256"/>
        <w:gridCol w:w="146"/>
        <w:gridCol w:w="406"/>
        <w:gridCol w:w="814"/>
        <w:gridCol w:w="285"/>
        <w:gridCol w:w="146"/>
        <w:gridCol w:w="382"/>
        <w:gridCol w:w="735"/>
        <w:gridCol w:w="166"/>
        <w:gridCol w:w="146"/>
        <w:gridCol w:w="311"/>
        <w:gridCol w:w="695"/>
        <w:gridCol w:w="166"/>
        <w:gridCol w:w="146"/>
        <w:gridCol w:w="196"/>
        <w:gridCol w:w="511"/>
        <w:gridCol w:w="305"/>
      </w:tblGrid>
      <w:tr>
        <w:trPr/>
        <w:tc>
          <w:tcPr>
            <w:tcW w:w="2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 6/30/2026</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3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w:t>
            </w:r>
          </w:p>
        </w:tc>
        <w:tc>
          <w:tcPr>
            <w:tcW w:w="3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5,957</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Core Operating Profit is as follows:</w:t>
      </w:r>
    </w:p>
    <w:p>
      <w:pPr>
        <w:pStyle w:val="TextBody"/>
        <w:bidi w:val="0"/>
        <w:jc w:val="left"/>
        <w:rPr/>
      </w:pPr>
      <w:r>
        <w:rPr/>
        <w:t> </w:t>
      </w:r>
    </w:p>
    <w:tbl>
      <w:tblPr>
        <w:tblW w:w="10118" w:type="dxa"/>
        <w:jc w:val="left"/>
        <w:tblInd w:w="0" w:type="dxa"/>
        <w:tblLayout w:type="fixed"/>
        <w:tblCellMar>
          <w:top w:w="28" w:type="dxa"/>
          <w:left w:w="28" w:type="dxa"/>
          <w:bottom w:w="28" w:type="dxa"/>
          <w:right w:w="28" w:type="dxa"/>
        </w:tblCellMar>
      </w:tblPr>
      <w:tblGrid>
        <w:gridCol w:w="2476"/>
        <w:gridCol w:w="146"/>
        <w:gridCol w:w="196"/>
        <w:gridCol w:w="376"/>
        <w:gridCol w:w="166"/>
        <w:gridCol w:w="146"/>
        <w:gridCol w:w="288"/>
        <w:gridCol w:w="552"/>
        <w:gridCol w:w="166"/>
        <w:gridCol w:w="146"/>
        <w:gridCol w:w="580"/>
        <w:gridCol w:w="1025"/>
        <w:gridCol w:w="146"/>
        <w:gridCol w:w="146"/>
        <w:gridCol w:w="422"/>
        <w:gridCol w:w="748"/>
        <w:gridCol w:w="166"/>
        <w:gridCol w:w="146"/>
        <w:gridCol w:w="363"/>
        <w:gridCol w:w="643"/>
        <w:gridCol w:w="146"/>
        <w:gridCol w:w="146"/>
        <w:gridCol w:w="196"/>
        <w:gridCol w:w="376"/>
        <w:gridCol w:w="21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 6/30/2026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Affecting Comparability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36"/>
        <w:gridCol w:w="146"/>
        <w:gridCol w:w="196"/>
        <w:gridCol w:w="511"/>
        <w:gridCol w:w="146"/>
        <w:gridCol w:w="146"/>
        <w:gridCol w:w="220"/>
        <w:gridCol w:w="574"/>
        <w:gridCol w:w="146"/>
        <w:gridCol w:w="146"/>
        <w:gridCol w:w="459"/>
        <w:gridCol w:w="883"/>
        <w:gridCol w:w="166"/>
        <w:gridCol w:w="146"/>
        <w:gridCol w:w="387"/>
        <w:gridCol w:w="746"/>
        <w:gridCol w:w="166"/>
        <w:gridCol w:w="146"/>
        <w:gridCol w:w="311"/>
        <w:gridCol w:w="695"/>
        <w:gridCol w:w="166"/>
        <w:gridCol w:w="146"/>
        <w:gridCol w:w="196"/>
        <w:gridCol w:w="511"/>
        <w:gridCol w:w="214"/>
      </w:tblGrid>
      <w:tr>
        <w:trPr/>
        <w:tc>
          <w:tcPr>
            <w:tcW w:w="2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 6/30/2025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5,768</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restaurant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Restaurant Profit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66"/>
        <w:gridCol w:w="146"/>
        <w:gridCol w:w="196"/>
        <w:gridCol w:w="511"/>
        <w:gridCol w:w="256"/>
        <w:gridCol w:w="146"/>
        <w:gridCol w:w="214"/>
        <w:gridCol w:w="558"/>
        <w:gridCol w:w="256"/>
        <w:gridCol w:w="146"/>
        <w:gridCol w:w="352"/>
        <w:gridCol w:w="867"/>
        <w:gridCol w:w="285"/>
        <w:gridCol w:w="146"/>
        <w:gridCol w:w="382"/>
        <w:gridCol w:w="735"/>
        <w:gridCol w:w="166"/>
        <w:gridCol w:w="146"/>
        <w:gridCol w:w="311"/>
        <w:gridCol w:w="695"/>
        <w:gridCol w:w="166"/>
        <w:gridCol w:w="146"/>
        <w:gridCol w:w="196"/>
        <w:gridCol w:w="511"/>
        <w:gridCol w:w="306"/>
      </w:tblGrid>
      <w:tr>
        <w:trPr/>
        <w:tc>
          <w:tcPr>
            <w:tcW w:w="2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 6/30/2025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fees and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Revenues from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Franchise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Expenses for transactions with franchisees</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Closures and impairment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5,414</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Restaurant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Reconciliation of GAAP Operating Profit to Core Operating Profit is as follows:</w:t>
      </w:r>
    </w:p>
    <w:p>
      <w:pPr>
        <w:pStyle w:val="TextBody"/>
        <w:bidi w:val="0"/>
        <w:jc w:val="left"/>
        <w:rPr/>
      </w:pPr>
      <w:r>
        <w:rPr/>
        <w:t> </w:t>
      </w:r>
    </w:p>
    <w:tbl>
      <w:tblPr>
        <w:tblW w:w="10078" w:type="dxa"/>
        <w:jc w:val="left"/>
        <w:tblInd w:w="0" w:type="dxa"/>
        <w:tblLayout w:type="fixed"/>
        <w:tblCellMar>
          <w:top w:w="28" w:type="dxa"/>
          <w:left w:w="28" w:type="dxa"/>
          <w:bottom w:w="28" w:type="dxa"/>
          <w:right w:w="28" w:type="dxa"/>
        </w:tblCellMar>
      </w:tblPr>
      <w:tblGrid>
        <w:gridCol w:w="2476"/>
        <w:gridCol w:w="146"/>
        <w:gridCol w:w="196"/>
        <w:gridCol w:w="376"/>
        <w:gridCol w:w="146"/>
        <w:gridCol w:w="146"/>
        <w:gridCol w:w="288"/>
        <w:gridCol w:w="552"/>
        <w:gridCol w:w="146"/>
        <w:gridCol w:w="146"/>
        <w:gridCol w:w="580"/>
        <w:gridCol w:w="1025"/>
        <w:gridCol w:w="166"/>
        <w:gridCol w:w="146"/>
        <w:gridCol w:w="422"/>
        <w:gridCol w:w="748"/>
        <w:gridCol w:w="166"/>
        <w:gridCol w:w="146"/>
        <w:gridCol w:w="363"/>
        <w:gridCol w:w="643"/>
        <w:gridCol w:w="146"/>
        <w:gridCol w:w="146"/>
        <w:gridCol w:w="196"/>
        <w:gridCol w:w="376"/>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6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to Date Ended 6/30/2025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Pizza Hut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Corporate</w:t>
              <w:br/>
              <w:t>and</w:t>
              <w:br/>
              <w:t>Unallocated</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Elimination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Affecting Comparability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Operating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above tables reconcile segment information, which is based on management responsibility, with our Condensed Consolidated Statements of Income. </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Amounts have not been allocated to any segment for purpose of making operating decision or assessing financial performance as the transactions are deemed corporate revenues and expenses in nature.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Primarily includes revenues and associated expenses of transactions with franchisees derived from the Company’s central procurement model whereby the Company centrally purchases substantially all food and paper products from suppliers and then sells and delivers to KFC and Pizza Hut restaurants, including franchisees.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8289</Words>
  <Characters>41076</Characters>
  <CharactersWithSpaces>52761</CharactersWithSpaces>
  <Paragraphs>9479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