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69215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right="2580" w:firstLine="8"/>
        <w:spacing w:after="0" w:line="356" w:lineRule="auto"/>
        <w:tabs>
          <w:tab w:leader="none" w:pos="59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2019</w:t>
      </w: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98"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the transition period from ____________ to _________________</w:t>
      </w:r>
    </w:p>
    <w:p>
      <w:pPr>
        <w:spacing w:after="0" w:line="98" w:lineRule="exact"/>
        <w:rPr>
          <w:sz w:val="24"/>
          <w:szCs w:val="24"/>
          <w:color w:val="auto"/>
        </w:rPr>
      </w:pPr>
    </w:p>
    <w:tbl>
      <w:tblPr>
        <w:tblLayout w:type="fixed"/>
        <w:tblInd w:w="1860" w:type="dxa"/>
        <w:tblCellMar>
          <w:top w:w="0" w:type="dxa"/>
          <w:left w:w="0" w:type="dxa"/>
          <w:bottom w:w="0" w:type="dxa"/>
          <w:right w:w="0" w:type="dxa"/>
        </w:tblCellMar>
      </w:tblPr>
      <w:tr>
        <w:trPr>
          <w:trHeight w:val="212"/>
        </w:trPr>
        <w:tc>
          <w:tcPr>
            <w:tcW w:w="2060" w:type="dxa"/>
            <w:vAlign w:val="bottom"/>
          </w:tcPr>
          <w:p>
            <w:pPr>
              <w:spacing w:after="0"/>
              <w:rPr>
                <w:sz w:val="18"/>
                <w:szCs w:val="18"/>
                <w:color w:val="auto"/>
              </w:rPr>
            </w:pPr>
          </w:p>
        </w:tc>
        <w:tc>
          <w:tcPr>
            <w:tcW w:w="5640" w:type="dxa"/>
            <w:vAlign w:val="bottom"/>
            <w:gridSpan w:val="3"/>
          </w:tcPr>
          <w:p>
            <w:pPr>
              <w:jc w:val="center"/>
              <w:ind w:right="1959"/>
              <w:spacing w:after="0"/>
              <w:rPr>
                <w:sz w:val="20"/>
                <w:szCs w:val="20"/>
                <w:color w:val="auto"/>
              </w:rPr>
            </w:pPr>
            <w:r>
              <w:rPr>
                <w:rFonts w:ascii="Times New Roman" w:cs="Times New Roman" w:eastAsia="Times New Roman" w:hAnsi="Times New Roman"/>
                <w:sz w:val="16"/>
                <w:szCs w:val="16"/>
                <w:b w:val="1"/>
                <w:bCs w:val="1"/>
                <w:color w:val="auto"/>
              </w:rPr>
              <w:t>Commission file number 001-37762</w:t>
            </w:r>
          </w:p>
        </w:tc>
      </w:tr>
      <w:tr>
        <w:trPr>
          <w:trHeight w:val="101"/>
        </w:trPr>
        <w:tc>
          <w:tcPr>
            <w:tcW w:w="2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r>
      <w:tr>
        <w:trPr>
          <w:trHeight w:val="304"/>
        </w:trPr>
        <w:tc>
          <w:tcPr>
            <w:tcW w:w="2060" w:type="dxa"/>
            <w:vAlign w:val="bottom"/>
          </w:tcPr>
          <w:p>
            <w:pPr>
              <w:spacing w:after="0"/>
              <w:rPr>
                <w:sz w:val="24"/>
                <w:szCs w:val="24"/>
                <w:color w:val="auto"/>
              </w:rPr>
            </w:pPr>
          </w:p>
        </w:tc>
        <w:tc>
          <w:tcPr>
            <w:tcW w:w="5640" w:type="dxa"/>
            <w:vAlign w:val="bottom"/>
            <w:gridSpan w:val="3"/>
          </w:tcPr>
          <w:p>
            <w:pPr>
              <w:jc w:val="center"/>
              <w:ind w:right="1959"/>
              <w:spacing w:after="0"/>
              <w:rPr>
                <w:sz w:val="20"/>
                <w:szCs w:val="20"/>
                <w:color w:val="auto"/>
              </w:rPr>
            </w:pPr>
            <w:r>
              <w:rPr>
                <w:rFonts w:ascii="Times New Roman" w:cs="Times New Roman" w:eastAsia="Times New Roman" w:hAnsi="Times New Roman"/>
                <w:sz w:val="22"/>
                <w:szCs w:val="22"/>
                <w:b w:val="1"/>
                <w:bCs w:val="1"/>
                <w:color w:val="auto"/>
                <w:w w:val="97"/>
              </w:rPr>
              <w:t>Yum China Holdings, Inc.</w:t>
            </w:r>
          </w:p>
        </w:tc>
      </w:tr>
      <w:tr>
        <w:trPr>
          <w:trHeight w:val="210"/>
        </w:trPr>
        <w:tc>
          <w:tcPr>
            <w:tcW w:w="2060" w:type="dxa"/>
            <w:vAlign w:val="bottom"/>
          </w:tcPr>
          <w:p>
            <w:pPr>
              <w:spacing w:after="0"/>
              <w:rPr>
                <w:sz w:val="18"/>
                <w:szCs w:val="18"/>
                <w:color w:val="auto"/>
              </w:rPr>
            </w:pPr>
          </w:p>
        </w:tc>
        <w:tc>
          <w:tcPr>
            <w:tcW w:w="5640" w:type="dxa"/>
            <w:vAlign w:val="bottom"/>
            <w:gridSpan w:val="3"/>
          </w:tcPr>
          <w:p>
            <w:pPr>
              <w:jc w:val="center"/>
              <w:ind w:right="19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76"/>
        </w:trPr>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640" w:type="dxa"/>
            <w:vAlign w:val="bottom"/>
            <w:gridSpan w:val="3"/>
          </w:tcPr>
          <w:p>
            <w:pPr>
              <w:jc w:val="center"/>
              <w:ind w:left="3692"/>
              <w:spacing w:after="0"/>
              <w:rPr>
                <w:sz w:val="20"/>
                <w:szCs w:val="20"/>
                <w:color w:val="auto"/>
              </w:rPr>
            </w:pPr>
            <w:r>
              <w:rPr>
                <w:rFonts w:ascii="Times New Roman" w:cs="Times New Roman" w:eastAsia="Times New Roman" w:hAnsi="Times New Roman"/>
                <w:sz w:val="16"/>
                <w:szCs w:val="16"/>
                <w:b w:val="1"/>
                <w:bCs w:val="1"/>
                <w:color w:val="auto"/>
              </w:rPr>
              <w:t>81-2421743</w:t>
            </w:r>
          </w:p>
        </w:tc>
      </w:tr>
      <w:tr>
        <w:trPr>
          <w:trHeight w:val="203"/>
        </w:trPr>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0" w:type="dxa"/>
            <w:vAlign w:val="bottom"/>
          </w:tcPr>
          <w:p>
            <w:pPr>
              <w:jc w:val="center"/>
              <w:ind w:left="14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4"/>
        </w:trPr>
        <w:tc>
          <w:tcPr>
            <w:tcW w:w="20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w w:val="99"/>
              </w:rPr>
              <w:t>Yum China Building</w:t>
            </w:r>
          </w:p>
        </w:tc>
      </w:tr>
      <w:tr>
        <w:trPr>
          <w:trHeight w:val="203"/>
        </w:trPr>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7100 Corporate Drive</w:t>
            </w: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0" w:type="dxa"/>
            <w:vAlign w:val="bottom"/>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w w:val="99"/>
              </w:rPr>
              <w:t>20 Tian Yao Qiao Road</w:t>
            </w:r>
          </w:p>
        </w:tc>
      </w:tr>
      <w:tr>
        <w:trPr>
          <w:trHeight w:val="203"/>
        </w:trPr>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Plano, Texas 75024</w:t>
            </w: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Shanghai 200030</w:t>
            </w:r>
          </w:p>
        </w:tc>
      </w:tr>
      <w:tr>
        <w:trPr>
          <w:trHeight w:val="212"/>
        </w:trPr>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 of America</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People’s Republic of China</w:t>
            </w:r>
          </w:p>
        </w:tc>
      </w:tr>
    </w:tbl>
    <w:p>
      <w:pPr>
        <w:spacing w:after="0" w:line="7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6"/>
          <w:szCs w:val="16"/>
          <w:color w:val="auto"/>
        </w:rPr>
        <w:t>(Address, Including Zip Code, of Principal Executive Offices)</w:t>
      </w:r>
    </w:p>
    <w:p>
      <w:pPr>
        <w:spacing w:after="0" w:line="84"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(469) 980-2898</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7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00"/>
        </w:trPr>
        <w:tc>
          <w:tcPr>
            <w:tcW w:w="5160" w:type="dxa"/>
            <w:vAlign w:val="bottom"/>
            <w:tcBorders>
              <w:top w:val="single" w:sz="8" w:color="auto"/>
              <w:left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5120" w:type="dxa"/>
            <w:vAlign w:val="bottom"/>
            <w:tcBorders>
              <w:top w:val="single" w:sz="8" w:color="auto"/>
              <w:right w:val="single" w:sz="8" w:color="auto"/>
            </w:tcBorders>
          </w:tcPr>
          <w:p>
            <w:pPr>
              <w:spacing w:after="0"/>
              <w:rPr>
                <w:sz w:val="17"/>
                <w:szCs w:val="17"/>
                <w:color w:val="auto"/>
              </w:rPr>
            </w:pPr>
          </w:p>
        </w:tc>
      </w:tr>
      <w:tr>
        <w:trPr>
          <w:trHeight w:val="215"/>
        </w:trPr>
        <w:tc>
          <w:tcPr>
            <w:tcW w:w="5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5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9"/>
        </w:trPr>
        <w:tc>
          <w:tcPr>
            <w:tcW w:w="5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YUMC</w:t>
            </w:r>
          </w:p>
        </w:tc>
        <w:tc>
          <w:tcPr>
            <w:tcW w:w="5120" w:type="dxa"/>
            <w:vAlign w:val="bottom"/>
            <w:tcBorders>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67" w:lineRule="exact"/>
        <w:rPr>
          <w:sz w:val="24"/>
          <w:szCs w:val="24"/>
          <w:color w:val="auto"/>
        </w:rPr>
      </w:pPr>
    </w:p>
    <w:p>
      <w:pPr>
        <w:jc w:val="both"/>
        <w:ind w:firstLine="59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firstLine="59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firstLine="598"/>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right="20" w:firstLine="59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520"/>
        <w:spacing w:after="0" w:line="27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as of October 30, 2019 was 375,908,592 </w:t>
      </w:r>
      <w:r>
        <w:rPr>
          <w:rFonts w:ascii="Times New Roman" w:cs="Times New Roman" w:eastAsia="Times New Roman" w:hAnsi="Times New Roman"/>
          <w:sz w:val="18"/>
          <w:szCs w:val="18"/>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80" w:type="dxa"/>
            <w:vAlign w:val="bottom"/>
            <w:gridSpan w:val="9"/>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Yum China Holdings, Inc.</w:t>
            </w:r>
          </w:p>
        </w:tc>
        <w:tc>
          <w:tcPr>
            <w:tcW w:w="9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0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34"/>
        </w:trPr>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9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1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 Financial Statements</w:t>
              </w:r>
            </w:hyperlink>
          </w:p>
        </w:tc>
        <w:tc>
          <w:tcPr>
            <w:tcW w:w="744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4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 – Quarters and Years to Date Ended September 30, 2019 and 2018</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7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Income – Quarters and Years to Date Ended September 30, 2019</w:t>
              </w:r>
            </w:hyperlink>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and 2018</w:t>
              </w:r>
            </w:hyperlink>
          </w:p>
        </w:tc>
        <w:tc>
          <w:tcPr>
            <w:tcW w:w="8160" w:type="dxa"/>
            <w:vAlign w:val="bottom"/>
            <w:gridSpan w:val="1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4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 Years to Date Ended September 30, 2019 and 2018</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Balance Sheets – September 30, 2019 and December 31, 2018</w:t>
              </w:r>
            </w:hyperlink>
          </w:p>
        </w:tc>
        <w:tc>
          <w:tcPr>
            <w:tcW w:w="1060" w:type="dxa"/>
            <w:vAlign w:val="bottom"/>
            <w:tcBorders>
              <w:top w:val="single" w:sz="8" w:color="0000EE"/>
            </w:tcBorders>
            <w:gridSpan w:val="2"/>
          </w:tcPr>
          <w:p>
            <w:pPr>
              <w:spacing w:after="0"/>
              <w:rPr>
                <w:sz w:val="24"/>
                <w:szCs w:val="24"/>
                <w:color w:val="auto"/>
              </w:rPr>
            </w:pPr>
          </w:p>
        </w:tc>
        <w:tc>
          <w:tcPr>
            <w:tcW w:w="166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4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71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Item 2 – Management’s Discussion and Analysis of Financial Condition and Results of Operations</w:t>
              </w:r>
            </w:hyperlink>
          </w:p>
        </w:tc>
        <w:tc>
          <w:tcPr>
            <w:tcW w:w="248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412"/>
        </w:trPr>
        <w:tc>
          <w:tcPr>
            <w:tcW w:w="920" w:type="dxa"/>
            <w:vAlign w:val="bottom"/>
          </w:tcPr>
          <w:p>
            <w:pPr>
              <w:spacing w:after="0"/>
              <w:rPr>
                <w:sz w:val="24"/>
                <w:szCs w:val="24"/>
                <w:color w:val="auto"/>
              </w:rPr>
            </w:pPr>
          </w:p>
        </w:tc>
        <w:tc>
          <w:tcPr>
            <w:tcW w:w="5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Item 3 – Quantitative and Qualitative Disclosures About Market Risk</w:t>
              </w:r>
            </w:hyperlink>
          </w:p>
        </w:tc>
        <w:tc>
          <w:tcPr>
            <w:tcW w:w="458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12"/>
        </w:trPr>
        <w:tc>
          <w:tcPr>
            <w:tcW w:w="920" w:type="dxa"/>
            <w:vAlign w:val="bottom"/>
          </w:tcPr>
          <w:p>
            <w:pPr>
              <w:spacing w:after="0"/>
              <w:rPr>
                <w:sz w:val="24"/>
                <w:szCs w:val="24"/>
                <w:color w:val="auto"/>
              </w:rPr>
            </w:pP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4 – Controls and Procedures</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4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Other Information</w:t>
              </w:r>
            </w:hyperlink>
          </w:p>
        </w:tc>
        <w:tc>
          <w:tcPr>
            <w:tcW w:w="718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1 – Legal Proceedings</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920" w:type="dxa"/>
            <w:vAlign w:val="bottom"/>
          </w:tcPr>
          <w:p>
            <w:pPr>
              <w:spacing w:after="0"/>
              <w:rPr>
                <w:sz w:val="24"/>
                <w:szCs w:val="24"/>
                <w:color w:val="auto"/>
              </w:rPr>
            </w:pPr>
          </w:p>
        </w:tc>
        <w:tc>
          <w:tcPr>
            <w:tcW w:w="19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1A – Risk Factors</w:t>
              </w:r>
            </w:hyperlink>
          </w:p>
        </w:tc>
        <w:tc>
          <w:tcPr>
            <w:tcW w:w="762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5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Item 2 – Unregistered Sales of Equity Securities and Use of Proceeds</w:t>
              </w:r>
            </w:hyperlink>
          </w:p>
        </w:tc>
        <w:tc>
          <w:tcPr>
            <w:tcW w:w="46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92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6 – Exhibits</w:t>
              </w:r>
            </w:hyperlink>
          </w:p>
        </w:tc>
        <w:tc>
          <w:tcPr>
            <w:tcW w:w="8280" w:type="dxa"/>
            <w:vAlign w:val="bottom"/>
            <w:gridSpan w:val="1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920" w:type="dxa"/>
            <w:vAlign w:val="bottom"/>
          </w:tcPr>
          <w:p>
            <w:pPr>
              <w:spacing w:after="0"/>
              <w:rPr>
                <w:sz w:val="24"/>
                <w:szCs w:val="24"/>
                <w:color w:val="auto"/>
              </w:rPr>
            </w:pP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Signatures</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858"/>
        </w:trPr>
        <w:tc>
          <w:tcPr>
            <w:tcW w:w="92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240" w:type="dxa"/>
            <w:vAlign w:val="bottom"/>
            <w:gridSpan w:val="10"/>
          </w:tcPr>
          <w:p>
            <w:pPr>
              <w:jc w:val="center"/>
              <w:ind w:left="37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gridSpan w:val="2"/>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2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Yum China Holdings, Inc.</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US$ millions, except per share data)</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1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Year to Date Ended</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Company sales</w:t>
            </w:r>
          </w:p>
        </w:tc>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fees and income</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transactions with franchisees and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Expenses, Net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Food and paper</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for transactions with franchisees and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Closures and impairment (income) expenses, net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 net</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gain</w:t>
            </w:r>
          </w:p>
        </w:tc>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 including noncontrolling interests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 noncontrolling interests</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 Yum China Holdings, Inc.</w:t>
            </w:r>
          </w:p>
        </w:tc>
        <w:tc>
          <w:tcPr>
            <w:tcW w:w="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millions):</w:t>
            </w:r>
          </w:p>
        </w:tc>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6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6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tcBorders>
            <w:gridSpan w:val="2"/>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Condensed Consolidated Statements of Comprehensive Income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4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1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 including noncontrolling interests</w:t>
            </w:r>
          </w:p>
        </w:tc>
        <w:tc>
          <w:tcPr>
            <w:tcW w:w="9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658</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 of nil:</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r>
      <w:tr>
        <w:trPr>
          <w:trHeight w:val="205"/>
        </w:trPr>
        <w:tc>
          <w:tcPr>
            <w:tcW w:w="4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 including noncontrolling</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502</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 noncontrolling interests</w:t>
            </w: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 Yum China Holdings, Inc.</w:t>
            </w:r>
          </w:p>
        </w:tc>
        <w:tc>
          <w:tcPr>
            <w:tcW w:w="9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483</w:t>
            </w:r>
          </w:p>
        </w:tc>
      </w:tr>
      <w:tr>
        <w:trPr>
          <w:trHeight w:val="20"/>
        </w:trPr>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Condensed 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Year to Date Ended</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5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0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 including noncontrolling interests</w:t>
            </w:r>
          </w:p>
        </w:tc>
        <w:tc>
          <w:tcPr>
            <w:tcW w:w="224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340" w:type="dxa"/>
            <w:vAlign w:val="bottom"/>
            <w:gridSpan w:val="2"/>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Closures and impairment expenses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Gain from re-measurement of equity interest upon acquisition</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gain</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from investments in unconsolidated affiliates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of income received from unconsolidated affiliates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assets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payable and other current liabilities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income taxes payable</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non-current operating lease liabilities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1,045</w:t>
            </w: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1,173</w:t>
            </w:r>
          </w:p>
        </w:tc>
        <w:tc>
          <w:tcPr>
            <w:tcW w:w="0" w:type="dxa"/>
            <w:vAlign w:val="bottom"/>
          </w:tcPr>
          <w:p>
            <w:pPr>
              <w:spacing w:after="0"/>
              <w:rPr>
                <w:sz w:val="1"/>
                <w:szCs w:val="1"/>
                <w:color w:val="auto"/>
              </w:rPr>
            </w:pPr>
          </w:p>
        </w:tc>
      </w:tr>
      <w:tr>
        <w:trPr>
          <w:trHeight w:val="21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Capital spending</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short-term borrowings assumed from acquisition</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Cash Equivalents and Restricted Cash</w:t>
            </w:r>
          </w:p>
        </w:tc>
        <w:tc>
          <w:tcPr>
            <w:tcW w:w="10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4"/>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Beginning of Period</w:t>
            </w:r>
          </w:p>
        </w:tc>
        <w:tc>
          <w:tcPr>
            <w:tcW w:w="10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1,266</w:t>
            </w:r>
          </w:p>
        </w:tc>
        <w:tc>
          <w:tcPr>
            <w:tcW w:w="1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1,059</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108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1,364</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1,334</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1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0" w:type="dxa"/>
            <w:vAlign w:val="bottom"/>
          </w:tcPr>
          <w:p>
            <w:pPr>
              <w:spacing w:after="0"/>
              <w:rPr>
                <w:sz w:val="1"/>
                <w:szCs w:val="1"/>
                <w:color w:val="auto"/>
              </w:rPr>
            </w:pPr>
          </w:p>
        </w:tc>
      </w:tr>
      <w:tr>
        <w:trPr>
          <w:trHeight w:val="232"/>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7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c>
          <w:tcPr>
            <w:tcW w:w="180" w:type="dxa"/>
            <w:vAlign w:val="bottom"/>
          </w:tcPr>
          <w:p>
            <w:pPr>
              <w:spacing w:after="0"/>
              <w:rPr>
                <w:sz w:val="19"/>
                <w:szCs w:val="19"/>
                <w:color w:val="auto"/>
              </w:rPr>
            </w:pP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8"/>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3"/>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w:t>
            </w: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7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AND EQUITY</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1,566</w:t>
            </w:r>
          </w:p>
        </w:tc>
        <w:tc>
          <w:tcPr>
            <w:tcW w:w="180" w:type="dxa"/>
            <w:vAlign w:val="bottom"/>
          </w:tcPr>
          <w:p>
            <w:pPr>
              <w:spacing w:after="0"/>
              <w:rPr>
                <w:sz w:val="19"/>
                <w:szCs w:val="19"/>
                <w:color w:val="auto"/>
              </w:rPr>
            </w:pP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8"/>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3"/>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1,000 million shares authorized; 394 million</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and 392 million shares issued at September 30, 2019 and December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2018, respectively; 376 million shares and 379 million shares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September 30, 2019 and December 31, 2018, respectively</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8"/>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Equity – Yum China Holdings, Inc.</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23"/>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Equity</w:t>
            </w:r>
          </w:p>
        </w:tc>
        <w:tc>
          <w:tcPr>
            <w:tcW w:w="1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6,710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US$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Yum China Holdings, Inc. (“Yum China” and, together with its subsidiaries, the “Company,” “we,” “us” and “our”) was incorporated in Delaware on April 1, 2016. The Company separated from Yum! Brands, Inc. (“YUM” or the “Parent”) on October 31, 2016 (the “separation”), becoming an independent publicly traded company as a result of a pro rata distribution (the “distribution”) of all outstanding shares of Yum China common stock to shareholders of YUM. On October 31, 2016, YUM’s shareholders of record as of 5:00 p.m. Eastern Time on October 19, 2016 received one share of Yum China common stock for every one share of YUM common stock held as of the record date. Yum China’s common stock began trading “regular way” under the ticker symbol “YUMC” on the New York Stock Exchange on November 1, 2016.</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owns, franchises or has an ownership in entities that own and operate restaurants under the KFC, Pizza Hut, East Dawning, Little Sheep, Taco Bell and COFFii &amp; JOY concepts (collectively, the “Concepts”). In connection with the separation of the Company from YUM, Yum! Restaurants Asia Pte. Ltd., a wholly-owned indirect subsidiary of YUM, and Yum Restaurants Consulting (Shanghai) Company Limited (“YCCL”), a wholly-owned indirect subsidiary of Yum China, entered into a 50-year master license agreement with automatic renewals for additional consecutive renewal terms of 50 years each, subject only to YCCL being in “good standing” and unless YCCL gives notice of its intent not to renew, for the exclusive right to use and sub-license the use of intellectual property owned by YUM and its subsidiaries for the development and operation of the KFC, Pizza Hut and, subject to achieving certain agreed-upon milestones, Taco Bell brands and their related marks and other intellectual property rights for restaurant services in the People’s Republic of China (the “PRC” or “China”), excluding Hong Kong, Taiwan and Macau. In exchange, we pay a license fee to YUM equal to 3% of net system sales from both our Company and franchise restaurants.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the intellectual property of East Dawning, Little Sheep and COFFii &amp; JOY and pay no license fee related to these Concepts.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owns a controlling interest in the holding company of DAOJIA.com.cn (“Daojia”), an established online food delivery service provider in China.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started a new e-commerce business in 2017, offering a wide selection of products including electronics, home and kitchen accessories, and other general merchandise to customers directly through the Company’s e-commerce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preparation of the accompanying Condensed Consolidated Financial Statements in conformity with Generally Accepted Accounting Principles in the United States of America (“GAAP”) requires us to make estimates and assumptions that affect reported amounts of assets and liabilities, disclosure of contingent assets and liabilities at the date of the financial statements, and the reported amounts of revenues and expenses during the reporting period. Actual results could differ from these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 accordance with the rules and regulations of the Securities and Exchange Commission (the “SEC”) for interim financial information. Accordingly, they do not include all of the information and footnotes required by GAAP for complete financial statements. The Condensed Consolidated Financial Statements include all normal and recurring adjustments considered necessary to present fairly our financial position as of September 30, 2019, results of our operations and comprehensive income for the quarters and years to date ended September 30, 2019 and 2018, and cash flows for the years to date ended September 30, 2019 and 2018. Our results of operations, comprehensive income and cash flows for these interim periods are not necessarily indicative of the results to be expected for the full year. These statements should be read in conjunction with the consolidated financial statements and notes thereto defined and included in the Company’s Annual Report on Form 10-K as filed with the SEC on February 27, 2019.</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the acquisition of Daojia in 2017, the Company also acquired a variable interest entity (“VIE”) and subsidiaries of the VIE effectively controlled by Daojia. There exists a parent-subsidiary relationship between Daojia and its VIE as a result of certain exclusive agreements that require Daojia to consolidate its VIE and subsidiaries of the VIE because Daojia is the primary beneficiary that possesses the power to direct the activities of the VIE that most significantly impact its economic performance and has the obligation to absorb substantially all of the profits and all of the expected losses of the VIE. The acquired VIE and its subsidiaries were considered immaterial, both individually and in the aggregate. The results of Daojia’s operations have been included in the Company’s Condensed Consolidated Financial Statements since the acquisition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2018, the Company completed the acquisition of an additional 36% equity interest in an unconsolidated affiliate that operates KFC stores in Wuxi, China (“Wuxi KFC”), for cash consideration of approximately $98 million, increasing the Company’s equity interest to 83%, allowing the Company to consolidate the entity. The acquisition was considered immaterial. We began consolidating Wuxi KFC upon the completion of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or “ASC 842”), which increases transparency and comparability among organizations by recognizing lease assets and lease liabilities on the balance sheet and disclosing key information about leasing arrangements. The FASB subsequently issued amendments to clarify the implementation guidance. The Company adopted these standards on January 1, 2019, using a modified retrospective method for leases that exist at, or are entered into after, January 1, 2019, and has not recast the comparative periods presented in the Condensed Consolidated Financial Statements. Additionally, we elected the package of practical expedients that allowed us to not reassess: (1) whether any expired or existing contracts are or contain leases, (2) lease classification for any expired or existing leases and (3) initial direct costs for any expired or existing leases. We also elected the hindsight practical expedient to determine the reasonably certain lease term for existing leases.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adoption of ASC 842, the Company recognized right-of-use (“ROU”) assets and lease liabilities of approximately $2.0 billion and $2.2 billion, respectively, for operating leases of the land and/or building of our restaurants and office spaces based on the present value of lease payments over the lease term. In addition, an impairment charge of $60 million (net of related impact on deferred taxes and noncontrolling interests) on ROU assets arising from existing operating leases as of January 1, 2019 was recorded as an adjustment to retained earnings, as the additional impairment charge would have been recorded before adoption had the operating lease ROU assets been recognized at the time of impairment.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following table summarizes the effect on the Consolidated Balance Sheet as a result of adopting ASC 842.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15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Effect of adoption</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January 1, 2019</w:t>
            </w:r>
          </w:p>
        </w:tc>
        <w:tc>
          <w:tcPr>
            <w:tcW w:w="0" w:type="dxa"/>
            <w:vAlign w:val="bottom"/>
          </w:tcPr>
          <w:p>
            <w:pPr>
              <w:spacing w:after="0"/>
              <w:rPr>
                <w:sz w:val="1"/>
                <w:szCs w:val="1"/>
                <w:color w:val="auto"/>
              </w:rPr>
            </w:pPr>
          </w:p>
        </w:tc>
      </w:tr>
      <w:tr>
        <w:trPr>
          <w:trHeight w:val="426"/>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0"/>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1,952</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1,913</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0"/>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4,610</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6,579</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w:t>
            </w: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3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INTEREST AND EQUITY</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0"/>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Non-current finance lease liabilities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0"/>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3,665</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Redeemable Noncontrolling Interest</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(h)</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Equity – Yum China Holdings, Inc.</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2,976</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2,913</w:t>
            </w:r>
          </w:p>
        </w:tc>
        <w:tc>
          <w:tcPr>
            <w:tcW w:w="0" w:type="dxa"/>
            <w:vAlign w:val="bottom"/>
          </w:tcPr>
          <w:p>
            <w:pPr>
              <w:spacing w:after="0"/>
              <w:rPr>
                <w:sz w:val="1"/>
                <w:szCs w:val="1"/>
                <w:color w:val="auto"/>
              </w:rPr>
            </w:pPr>
          </w:p>
        </w:tc>
      </w:tr>
      <w:tr>
        <w:trPr>
          <w:trHeight w:val="199"/>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6,579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portion of prepaid rent reclassified to operating lease ROU assets.</w:t>
      </w:r>
    </w:p>
    <w:p>
      <w:pPr>
        <w:spacing w:after="0" w:line="225"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result of capitalization of operating lease payments and reclassification of prepaid rent, initial direct cost, deferred rent accrual and lease incentives, and offset by impairment of operating lease ROU assets that existed prior to the date of adoption.</w:t>
      </w:r>
    </w:p>
    <w:p>
      <w:pPr>
        <w:spacing w:after="0" w:line="16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initial direct cost, favorable lease and non-current prepaid rent reclassified to operating lease ROU assets.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600" w:hanging="59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deferred tax impact related to impairment of operating lease ROU assets.</w:t>
      </w:r>
    </w:p>
    <w:p>
      <w:pPr>
        <w:spacing w:after="0" w:line="225" w:lineRule="exact"/>
        <w:rPr>
          <w:rFonts w:ascii="Times New Roman" w:cs="Times New Roman" w:eastAsia="Times New Roman" w:hAnsi="Times New Roman"/>
          <w:sz w:val="18"/>
          <w:szCs w:val="18"/>
          <w:color w:val="auto"/>
        </w:rPr>
      </w:pPr>
    </w:p>
    <w:p>
      <w:pPr>
        <w:ind w:left="600" w:right="20" w:hanging="592"/>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recognition of the current portion of operating lease liabilities, offset by the reclassification of accrued rental payments and the current portion of deferred rent accrual to operating lease ROU assets.</w:t>
      </w:r>
    </w:p>
    <w:p>
      <w:pPr>
        <w:spacing w:after="0" w:line="16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recognition of the non-current operating lease liabilities.</w:t>
      </w:r>
    </w:p>
    <w:p>
      <w:pPr>
        <w:spacing w:after="0" w:line="225"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the non-current portion of deferred rent accrual and lease incentives to operating lease ROU assets.</w:t>
      </w:r>
    </w:p>
    <w:p>
      <w:pPr>
        <w:spacing w:after="0" w:line="225" w:lineRule="exact"/>
        <w:rPr>
          <w:rFonts w:ascii="Times New Roman" w:cs="Times New Roman" w:eastAsia="Times New Roman" w:hAnsi="Times New Roman"/>
          <w:sz w:val="18"/>
          <w:szCs w:val="18"/>
          <w:color w:val="auto"/>
        </w:rPr>
      </w:pPr>
    </w:p>
    <w:p>
      <w:pPr>
        <w:jc w:val="both"/>
        <w:ind w:left="600" w:hanging="592"/>
        <w:spacing w:after="0" w:line="258"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impairment charge on operating lease ROU assets arising from existing operating leases as of January 1, 2019, net of related impact on deferred taxes and noncontrolling interests, with a corresponding reduction to the carrying amount of operating lease ROU assets. The impairment charge was recorded for those restaurants under operating leases with full impairment on the long-lived assets before January 1, 2019, as the additional impairment charge would have been recorded before January 1, 2019 had the operating lease ROU assets been recognized at the time of impairment.</w:t>
      </w:r>
    </w:p>
    <w:p>
      <w:pPr>
        <w:spacing w:after="0" w:line="18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impairment of operating lease ROU assets attributable to noncontrolling interests.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 xml:space="preserve"> (“ASU 2018-02”). The new guidance allows a reclassification from accumulated other comprehensive income to retained earnings for stranded tax effects resulting from the Tax Cuts and Jobs Act (the “Tax Act”) and will improve the usefulness of information reported to financial statement users. ASU 2018-02 is effective for the Company from January 1, 2019, with early adoption permitted. We adopted the standard on January 1, 2019, and such adoption did not have a material impact on our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(“ASU 2018-07”). The new guidance largely aligns the accounting for share-based awards issued to employees and non-employees.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guidance for employee awards will apply to nonemployee share-based transactions with limited exceptions. The new guidance also clarifies that any share-based payment awards issued to customers should be evaluated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ASU 2018-07 is effective for the Company from January 1, 2019, with early adoption permitted. We adopted the standard on January 1, 2019, and such adoption did not have a material impact on our financial statements.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items in the Condensed Consolidated Financial Statements have been reclassified to conform to the current period’s presentation to facilitate comparison.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revenues primarily include Company sales, Franchise fees and income and Revenues from transactions with franchisees and unconsolidated affiliates.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Sales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from Company-owned restaurants are recognized when a customer takes possession of the food and tenders payment, which is when our obligation to perform is satisfied. The Company presents sales net of sales-related taxes. We also offer our customers delivery through both our own mobile applications and third-party aggregators’ platforms. For delivery orders placed through our mobile applications, we use our dedicated riders, while for orders placed through third-party aggregators’ platforms, we use our dedicated riders, or, in limited cases, third-party aggregators’ delivery staff. With respect to delivery orders delivered by our dedicated riders, we control and determine the price for the delivery service and generally recognize revenue, including delivery fees, when a customer takes possession of the food. When orders are fulfilled by the delivery staff of third-party aggregators, who control and determine the price for the delivery service, we recognize revenue, excluding delivery fees, when control of the food is transferred to the third-party aggregators’ delivery staff. The payment terms with respect to these sales are short-term in nature.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revenues from prepaid stored-value products, including gift cards and product vouchers, when they are redeemed by the customer. Prepaid gift cards sold at any given point generally expire over the next 36 months, and product vouchers generally expire over a period up to 12 months. We recognize breakage revenue, which is the amount of prepaid stored-value products that is not expected to be redeemed, either (1) proportionally in earnings as redemptions occur, in situations where the Company expects to be entitled to a breakage amount, or (2) when the likelihood of redemption is remote, in situations where the Company does not expect to be entitled to breakage, provided that there is no requirement for remitting balances to government agencies under unclaimed property laws. The Company reviews its breakage estimates at least annually based upon the latest available information regarding redemption and expiration patterns.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privilege membership programs offer privilege members rights to multiple benefits, such as free delivery and discounts on certain products. For certain KFC and Pizza Hut privilege membership programs offering a pre-defined amount of benefits that can be redeemed ratably over the membership period, revenue is ratably recognized over the period based on the elapse of time. With respect to Pizza Hut family privilege membership program offering members a mix of distinct benefits, including a welcome gift and assorted discount coupons with pre-defined quantities, consideration collected is allocated to the benefits provided based on their relative standalone selling price and revenue is recognized when food or services are delivered or the benefits expire.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Fees and Income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fees and income primarily include upfront fees, such as initial fees and renewal fees, and continuing fees. We have determined that the services we provide in exchange for upfront fees and continuing fees are highly interrelated with the franchise right. We recognize upfront fees received from a franchisee as revenue over the term of the franchise agreement or the renewal agreement because the franchise rights are accounted for as rights to access our symbolic intellectual property in accordance with ASC 606. The franchise agreement term is generally 10 years for KFC and Pizza Hut, and five or 10 years for Little Sheep. We recognize continuing fees, which are based upon a percentage of franchisee sales, as those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from Transactions with Franchisees and Unconsolidated Affiliates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transactions with franchisees and unconsolidated affiliates consist primarily of sales of food and paper products, advertising services and other services provided to franchisees and unconsolidated affiliates.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centrally purchases substantially all food and paper products from suppliers for substantially all of our restaurants, including franchisees and unconsolidated affiliates, and then sells and delivers them to the restaurants. The performance obligation arising from such transactions is considered distinct from the franchise agreement as it is not highly dependent on the franchise agreement and the customer can benefit from the procurement service on its own. We consider ourselves the principal in this arrangement as we have the ability to control a promised good or service before transferring that good or service to the franchisees and unconsolidated affiliates. Revenue is recognized upon transfer of control over ordered items, generally upon delivery to the franchisees and unconsolidated affiliates.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advertising services, the Company often engages third parties to provide services and acts as a principal in the transaction based on our responsibilities of defining the nature of the services and administering and directing all marketing and advertising programs in accordance with the provisions of our franchise agreements. The Company collects advertising contributions, which are generally based on a certain percentage of sales from substantially all of our restaurants, including franchisees and unconsolidated affiliates. Other services provided to franchisees and unconsolidated affiliates consist primarily of customer support and technology support services. Advertising services and other services provided are highly interrelated to franchise right, and are not considered individually distinct. We recognize revenue when the related sales occur.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Loyalty Programs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Company’s KFC and Pizza Hut reportable segments operates a loyalty program that allows registered members to earn points for each qualifying purchase. Points, which generally expire 18 months after being earned, may be redeemed for future purchases of KFC or Pizza Hut branded products or other products for free or at a discounted price. Points cannot be redeemed or exchanged for cash. The estimated value of points earned by the loyalty program members is recorded as a reduction of revenue at the time the points are earned, based on the percentage of points that are projected to be redeemed, with a corresponding deferred revenue liability included in Accounts payable and other current liabilities on the Condensed Consolidated Balance Sheets and subsequently recognized into revenue when the points are redeemed or expire. The Company estimates the value of the future redemption obligations based on the estimated value of the product for which points are expected to be redeemed and historical redemption patterns, including an estimate of the breakage for points that members will never redeem. The Company reviews its breakage estimates periodically based upon the latest available information regarding redemption and expiration patterns.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types of arrangements and segments: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 9/30/2019</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3"/>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2"/>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Pr>
          <w:p>
            <w:pPr>
              <w:spacing w:after="0"/>
              <w:rPr>
                <w:sz w:val="19"/>
                <w:szCs w:val="19"/>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80" w:type="dxa"/>
            <w:vAlign w:val="bottom"/>
          </w:tcPr>
          <w:p>
            <w:pPr>
              <w:spacing w:after="0"/>
              <w:rPr>
                <w:sz w:val="19"/>
                <w:szCs w:val="19"/>
                <w:color w:val="auto"/>
              </w:rPr>
            </w:pPr>
          </w:p>
        </w:tc>
        <w:tc>
          <w:tcPr>
            <w:tcW w:w="1180" w:type="dxa"/>
            <w:vAlign w:val="bottom"/>
            <w:gridSpan w:val="2"/>
          </w:tcPr>
          <w:p>
            <w:pPr>
              <w:jc w:val="center"/>
              <w:ind w:right="340"/>
              <w:spacing w:after="0" w:line="222" w:lineRule="exact"/>
              <w:rPr>
                <w:sz w:val="20"/>
                <w:szCs w:val="20"/>
                <w:color w:val="auto"/>
              </w:rPr>
            </w:pPr>
            <w:r>
              <w:rPr>
                <w:rFonts w:ascii="Times New Roman" w:cs="Times New Roman" w:eastAsia="Times New Roman" w:hAnsi="Times New Roman"/>
                <w:sz w:val="15"/>
                <w:szCs w:val="15"/>
                <w:b w:val="1"/>
                <w:bCs w:val="1"/>
                <w:color w:val="auto"/>
                <w:w w:val="99"/>
              </w:rPr>
              <w:t>Segments</w:t>
            </w:r>
            <w:r>
              <w:rPr>
                <w:rFonts w:ascii="Times New Roman" w:cs="Times New Roman" w:eastAsia="Times New Roman" w:hAnsi="Times New Roman"/>
                <w:sz w:val="25"/>
                <w:szCs w:val="25"/>
                <w:b w:val="1"/>
                <w:bCs w:val="1"/>
                <w:color w:val="auto"/>
                <w:w w:val="99"/>
                <w:vertAlign w:val="superscript"/>
              </w:rPr>
              <w:t>(a)</w:t>
            </w:r>
          </w:p>
        </w:tc>
        <w:tc>
          <w:tcPr>
            <w:tcW w:w="1140" w:type="dxa"/>
            <w:vAlign w:val="bottom"/>
            <w:gridSpan w:val="2"/>
          </w:tcPr>
          <w:p>
            <w:pPr>
              <w:spacing w:after="0" w:line="222"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5"/>
                <w:szCs w:val="25"/>
                <w:b w:val="1"/>
                <w:bCs w:val="1"/>
                <w:color w:val="auto"/>
                <w:vertAlign w:val="superscript"/>
              </w:rPr>
              <w:t>(a)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2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4"/>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2,097</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2,097</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franchisees and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2,328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2,319</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 9/30/2018</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3"/>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2"/>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Pr>
          <w:p>
            <w:pPr>
              <w:spacing w:after="0"/>
              <w:rPr>
                <w:sz w:val="19"/>
                <w:szCs w:val="19"/>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80" w:type="dxa"/>
            <w:vAlign w:val="bottom"/>
          </w:tcPr>
          <w:p>
            <w:pPr>
              <w:spacing w:after="0"/>
              <w:rPr>
                <w:sz w:val="19"/>
                <w:szCs w:val="19"/>
                <w:color w:val="auto"/>
              </w:rPr>
            </w:pPr>
          </w:p>
        </w:tc>
        <w:tc>
          <w:tcPr>
            <w:tcW w:w="1180" w:type="dxa"/>
            <w:vAlign w:val="bottom"/>
            <w:gridSpan w:val="2"/>
          </w:tcPr>
          <w:p>
            <w:pPr>
              <w:jc w:val="center"/>
              <w:ind w:right="340"/>
              <w:spacing w:after="0" w:line="222" w:lineRule="exact"/>
              <w:rPr>
                <w:sz w:val="20"/>
                <w:szCs w:val="20"/>
                <w:color w:val="auto"/>
              </w:rPr>
            </w:pPr>
            <w:r>
              <w:rPr>
                <w:rFonts w:ascii="Times New Roman" w:cs="Times New Roman" w:eastAsia="Times New Roman" w:hAnsi="Times New Roman"/>
                <w:sz w:val="15"/>
                <w:szCs w:val="15"/>
                <w:b w:val="1"/>
                <w:bCs w:val="1"/>
                <w:color w:val="auto"/>
                <w:w w:val="99"/>
              </w:rPr>
              <w:t>Segments</w:t>
            </w:r>
            <w:r>
              <w:rPr>
                <w:rFonts w:ascii="Times New Roman" w:cs="Times New Roman" w:eastAsia="Times New Roman" w:hAnsi="Times New Roman"/>
                <w:sz w:val="25"/>
                <w:szCs w:val="25"/>
                <w:b w:val="1"/>
                <w:bCs w:val="1"/>
                <w:color w:val="auto"/>
                <w:w w:val="99"/>
                <w:vertAlign w:val="superscript"/>
              </w:rPr>
              <w:t>(a)</w:t>
            </w:r>
          </w:p>
        </w:tc>
        <w:tc>
          <w:tcPr>
            <w:tcW w:w="1140" w:type="dxa"/>
            <w:vAlign w:val="bottom"/>
            <w:gridSpan w:val="2"/>
          </w:tcPr>
          <w:p>
            <w:pPr>
              <w:spacing w:after="0" w:line="222"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5"/>
                <w:szCs w:val="25"/>
                <w:b w:val="1"/>
                <w:bCs w:val="1"/>
                <w:color w:val="auto"/>
                <w:vertAlign w:val="superscript"/>
              </w:rPr>
              <w:t>(a)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4"/>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1,452</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2,008</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2,008</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franchisees and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2,212</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Year to Date Ended 9/30/2019</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2"/>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Pr>
          <w:p>
            <w:pPr>
              <w:spacing w:after="0"/>
              <w:rPr>
                <w:sz w:val="19"/>
                <w:szCs w:val="19"/>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80" w:type="dxa"/>
            <w:vAlign w:val="bottom"/>
          </w:tcPr>
          <w:p>
            <w:pPr>
              <w:spacing w:after="0"/>
              <w:rPr>
                <w:sz w:val="19"/>
                <w:szCs w:val="19"/>
                <w:color w:val="auto"/>
              </w:rPr>
            </w:pPr>
          </w:p>
        </w:tc>
        <w:tc>
          <w:tcPr>
            <w:tcW w:w="1180" w:type="dxa"/>
            <w:vAlign w:val="bottom"/>
            <w:gridSpan w:val="2"/>
          </w:tcPr>
          <w:p>
            <w:pPr>
              <w:jc w:val="center"/>
              <w:ind w:right="340"/>
              <w:spacing w:after="0" w:line="222" w:lineRule="exact"/>
              <w:rPr>
                <w:sz w:val="20"/>
                <w:szCs w:val="20"/>
                <w:color w:val="auto"/>
              </w:rPr>
            </w:pPr>
            <w:r>
              <w:rPr>
                <w:rFonts w:ascii="Times New Roman" w:cs="Times New Roman" w:eastAsia="Times New Roman" w:hAnsi="Times New Roman"/>
                <w:sz w:val="15"/>
                <w:szCs w:val="15"/>
                <w:b w:val="1"/>
                <w:bCs w:val="1"/>
                <w:color w:val="auto"/>
                <w:w w:val="99"/>
              </w:rPr>
              <w:t>Segments</w:t>
            </w:r>
            <w:r>
              <w:rPr>
                <w:rFonts w:ascii="Times New Roman" w:cs="Times New Roman" w:eastAsia="Times New Roman" w:hAnsi="Times New Roman"/>
                <w:sz w:val="25"/>
                <w:szCs w:val="25"/>
                <w:b w:val="1"/>
                <w:bCs w:val="1"/>
                <w:color w:val="auto"/>
                <w:w w:val="99"/>
                <w:vertAlign w:val="superscript"/>
              </w:rPr>
              <w:t>(a)</w:t>
            </w:r>
          </w:p>
        </w:tc>
        <w:tc>
          <w:tcPr>
            <w:tcW w:w="1140" w:type="dxa"/>
            <w:vAlign w:val="bottom"/>
            <w:gridSpan w:val="2"/>
          </w:tcPr>
          <w:p>
            <w:pPr>
              <w:spacing w:after="0" w:line="222"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5"/>
                <w:szCs w:val="25"/>
                <w:b w:val="1"/>
                <w:bCs w:val="1"/>
                <w:color w:val="auto"/>
                <w:vertAlign w:val="superscript"/>
              </w:rPr>
              <w:t>(a)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4"/>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4,495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6,112</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6,112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franchisees and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4,648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6,775</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6,747</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Year to Date Ended 9/30/2018</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2"/>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Pr>
          <w:p>
            <w:pPr>
              <w:spacing w:after="0"/>
              <w:rPr>
                <w:sz w:val="19"/>
                <w:szCs w:val="19"/>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80" w:type="dxa"/>
            <w:vAlign w:val="bottom"/>
          </w:tcPr>
          <w:p>
            <w:pPr>
              <w:spacing w:after="0"/>
              <w:rPr>
                <w:sz w:val="19"/>
                <w:szCs w:val="19"/>
                <w:color w:val="auto"/>
              </w:rPr>
            </w:pPr>
          </w:p>
        </w:tc>
        <w:tc>
          <w:tcPr>
            <w:tcW w:w="1180" w:type="dxa"/>
            <w:vAlign w:val="bottom"/>
            <w:gridSpan w:val="2"/>
          </w:tcPr>
          <w:p>
            <w:pPr>
              <w:jc w:val="center"/>
              <w:ind w:right="340"/>
              <w:spacing w:after="0" w:line="222" w:lineRule="exact"/>
              <w:rPr>
                <w:sz w:val="20"/>
                <w:szCs w:val="20"/>
                <w:color w:val="auto"/>
              </w:rPr>
            </w:pPr>
            <w:r>
              <w:rPr>
                <w:rFonts w:ascii="Times New Roman" w:cs="Times New Roman" w:eastAsia="Times New Roman" w:hAnsi="Times New Roman"/>
                <w:sz w:val="15"/>
                <w:szCs w:val="15"/>
                <w:b w:val="1"/>
                <w:bCs w:val="1"/>
                <w:color w:val="auto"/>
                <w:w w:val="99"/>
              </w:rPr>
              <w:t>Segments</w:t>
            </w:r>
            <w:r>
              <w:rPr>
                <w:rFonts w:ascii="Times New Roman" w:cs="Times New Roman" w:eastAsia="Times New Roman" w:hAnsi="Times New Roman"/>
                <w:sz w:val="25"/>
                <w:szCs w:val="25"/>
                <w:b w:val="1"/>
                <w:bCs w:val="1"/>
                <w:color w:val="auto"/>
                <w:w w:val="99"/>
                <w:vertAlign w:val="superscript"/>
              </w:rPr>
              <w:t>(a)</w:t>
            </w:r>
          </w:p>
        </w:tc>
        <w:tc>
          <w:tcPr>
            <w:tcW w:w="1140" w:type="dxa"/>
            <w:vAlign w:val="bottom"/>
            <w:gridSpan w:val="2"/>
          </w:tcPr>
          <w:p>
            <w:pPr>
              <w:spacing w:after="0" w:line="222"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5"/>
                <w:szCs w:val="25"/>
                <w:b w:val="1"/>
                <w:bCs w:val="1"/>
                <w:color w:val="auto"/>
                <w:vertAlign w:val="superscript"/>
              </w:rPr>
              <w:t>(a)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4"/>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4,248</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1,640</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5,912</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rPr>
                <w:sz w:val="17"/>
                <w:szCs w:val="17"/>
                <w:color w:val="auto"/>
              </w:rPr>
            </w:pPr>
          </w:p>
        </w:tc>
        <w:tc>
          <w:tcPr>
            <w:tcW w:w="3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5,912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franchisees and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4,399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1,643</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6,510</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gridSpan w:val="2"/>
          </w:tcPr>
          <w:p>
            <w:pPr>
              <w:spacing w:after="0"/>
              <w:rPr>
                <w:sz w:val="18"/>
                <w:szCs w:val="18"/>
                <w:color w:val="auto"/>
              </w:rPr>
            </w:pPr>
          </w:p>
        </w:tc>
        <w:tc>
          <w:tcPr>
            <w:tcW w:w="3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6,501</w:t>
            </w:r>
          </w:p>
        </w:tc>
      </w:tr>
      <w:tr>
        <w:trPr>
          <w:trHeight w:val="20"/>
        </w:trPr>
        <w:tc>
          <w:tcPr>
            <w:tcW w:w="2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0" w:hanging="592"/>
        <w:spacing w:after="0" w:line="266"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COFFii &amp; JOY and our e-commerce business became operating segments starting from the first quarter of 2019, revenue by segment information for prior quarters has been recast to align with the change in segment reporting. Additional details on our reportable segments are included in Note 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mainly consist of trade receivables and royalties from franchisees and unconsolidated affiliates, and are generally due within 30 days of the period in which the corresponding sales occur and are classified as Accounts receivable on the Condensed Consolidated Balance Sheets. Our provision for uncollectible receivable balances is based upon pre-defined aging criteria or upon the occurrence of other events that indicate that we may not collect the balance due. Additionally, we monitor the financial condition of our franchisees and record provisions for estimated losses on receivables when we believe it is probable that our franchisees will be unable to make their required payments. While we use the best information available in making our determination, the ultimate recovery of recorded receivables is also dependent upon future economic events and other conditions that may be beyond our control. Trade receivables that are ultimately deemed to be uncollectible, and for which collection efforts have been exhausted, are written off against the allowance for doubtful accounts.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Costs to Obtain Contracts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Costs to obtain contracts consist of upfront license fees that we paid to YUM prior to the separation in relation to initial fees or renewal fees we received from franchisees and unconsolidated affiliates, as well as license fees that are payable to YUM in relation to our deferred revenue of prepaid stored-value products and customer loyalty programs. They meet the requirements to be capitalized as they are incremental costs of obtaining contracts with customers and the Company expects to generate future economic benefits from such costs incurred. Such costs to obtain contracts are included in Other assets on the Condensed Consolidated Balance Sheets and are amortized on a systematic basis that is consistent with the transfer to the customer of the goods or services to which the assets relate. Subsequent to the separation, we are no longer required to pay YUM initial or renewal fees that we receive from franchisees and unconsolidated affiliates. The Company did not incur any impairment losses related to costs to obtain contracts during any of the periods presented. Costs to obtain contracts were $9 million and $8 million at September 30, 2019 and December 31, 2018,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5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 at September 30, 2019 and December 31, 2018 were as follows: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12/31/2018</w:t>
            </w:r>
          </w:p>
        </w:tc>
      </w:tr>
      <w:tr>
        <w:trPr>
          <w:trHeight w:val="218"/>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 related to prepaid stored-value products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 related to customer loyalty programs</w:t>
            </w:r>
          </w:p>
        </w:tc>
        <w:tc>
          <w:tcPr>
            <w:tcW w:w="2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 related to upfront fees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14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liabilities consist of deferred revenue related to prepaid stored-value products, customer loyalty programs and upfront fees. Deferred revenue related to prepaid stored-value products and customer loyalty programs is included in Accounts payable and other current liabilities on the Condensed Consolidated Balance Sheets. Deferred revenue related to upfront fees that we expect to recognize as revenue in the next 12 months is included in Accounts payable and other current liabilities, and the remaining balance is included in Other liabilities on the Condensed Consolidated Balance Sheets. Revenue recognized that was included in the contract liability balance at the beginning of each period amounted to $35 million and $21 million for the quarter ended September 30, 2019 and 2018, respectively, and $56 million and $39 million for the years to date ended September 30, 2019 and 2018, respectively. Changes in contract liability balances were not materially impacted by business acquisition, change in estimate of transaction price or any other factors during any of the periods presented.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as a practical expedient, not to disclose the value of remaining performance obligations associated with sales-based royalty promised to franchisees in exchange for franchise right and other related services. The remaining duration of the performance obligation is the remaining contractual term of each franchise agreement. We recognize continuing franchisee fees and revenues from advertising services and other services provided to franchisees and unconsolidated affiliates based on a certain percentage of sales, as those sales occur.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Earnings Per Common Share (“EPS”)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basic and diluted EPS (in millions, except per share data):</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to Date Ended</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 Yum China Holdings, Inc.</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(for basic calculation) </w:t>
            </w:r>
            <w:r>
              <w:rPr>
                <w:rFonts w:ascii="Times New Roman" w:cs="Times New Roman" w:eastAsia="Times New Roman" w:hAnsi="Times New Roman"/>
                <w:sz w:val="15"/>
                <w:szCs w:val="15"/>
                <w:color w:val="auto"/>
              </w:rPr>
              <w:t>(a)</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Effect of dilutive share-based awards </w:t>
            </w:r>
            <w:r>
              <w:rPr>
                <w:rFonts w:ascii="Times New Roman" w:cs="Times New Roman" w:eastAsia="Times New Roman" w:hAnsi="Times New Roman"/>
                <w:sz w:val="15"/>
                <w:szCs w:val="15"/>
                <w:color w:val="auto"/>
              </w:rPr>
              <w:t>(a)</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Effect of dilutive warrants </w:t>
            </w:r>
            <w:r>
              <w:rPr>
                <w:rFonts w:ascii="Times New Roman" w:cs="Times New Roman" w:eastAsia="Times New Roman" w:hAnsi="Times New Roman"/>
                <w:sz w:val="15"/>
                <w:szCs w:val="15"/>
                <w:color w:val="auto"/>
              </w:rPr>
              <w:t>(b)</w:t>
            </w: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5"/>
        </w:trPr>
        <w:tc>
          <w:tcPr>
            <w:tcW w:w="5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and dilutive potential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 outstanding (for diluted calculation)</w:t>
            </w: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6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Share-based awards excluded from the diluted EPS computation </w:t>
            </w:r>
            <w:r>
              <w:rPr>
                <w:rFonts w:ascii="Times New Roman" w:cs="Times New Roman" w:eastAsia="Times New Roman" w:hAnsi="Times New Roman"/>
                <w:sz w:val="15"/>
                <w:szCs w:val="15"/>
                <w:color w:val="auto"/>
              </w:rPr>
              <w:t>(c)</w:t>
            </w: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0" w:hanging="592"/>
        <w:spacing w:after="0" w:line="258"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separation, shares of Yum China common stock were distributed to YUM’s shareholders of record as of October 19, 2016 and included in the calculated weighted-average common shares outstanding. Holders of outstanding YUM equity awards generally received both adjusted YUM awards and Yum China awards, or adjusted awards on shares of common stock of either YUM or Yum China in their entirety. Any subsequent exercise of these awards, whether held by the Company’s employees or YUM’s employees, would increase the number of common shares outstanding. The incremental shares arising from outstanding equity awards are included in the computation of diluted EPS, if there is dilutive effect.</w:t>
      </w:r>
    </w:p>
    <w:p>
      <w:pPr>
        <w:spacing w:after="0" w:line="224" w:lineRule="exact"/>
        <w:rPr>
          <w:rFonts w:ascii="Times New Roman" w:cs="Times New Roman" w:eastAsia="Times New Roman" w:hAnsi="Times New Roman"/>
          <w:sz w:val="18"/>
          <w:szCs w:val="18"/>
          <w:color w:val="auto"/>
        </w:rPr>
      </w:pPr>
    </w:p>
    <w:p>
      <w:pPr>
        <w:jc w:val="both"/>
        <w:ind w:left="600" w:hanging="592"/>
        <w:spacing w:after="0" w:line="258"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investment agreements dated September 1, 2016, Yum China issued to strategic investors two tranches of warrants on January 9, 2017, with each tranche initially providing the right to purchase 8,200,405 shares of Yum China common stock, at an exercise price of $31.40 and $39.25 per share, respectively, subject to customary anti-dilution adjustments. The warrants may be exercised at any time through October 31, 2021. The incremental shares arising from outstanding warrants are included in the computation of diluted EPS, if there is dilutive effect when the average market price of Yum China common stock for the period exceeds the exercise price of the warrants.</w:t>
      </w:r>
    </w:p>
    <w:p>
      <w:pPr>
        <w:spacing w:after="0" w:line="183"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outstanding stock appreciation rights, restricted stock units and performance share units were not included in the computation of diluted EPS because to do so would have been antidilutive for the quarters and years to date presented.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5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Equity and Redeemable Noncontrolling Interest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1"/>
                <w:szCs w:val="11"/>
                <w:b w:val="1"/>
                <w:bCs w:val="1"/>
                <w:color w:val="auto"/>
              </w:rPr>
              <w:t>Yum China Holdings, Inc.</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6"/>
        </w:trPr>
        <w:tc>
          <w:tcPr>
            <w:tcW w:w="2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Redeemable</w:t>
            </w:r>
          </w:p>
        </w:tc>
      </w:tr>
      <w:tr>
        <w:trPr>
          <w:trHeight w:val="137"/>
        </w:trPr>
        <w:tc>
          <w:tcPr>
            <w:tcW w:w="2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3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80" w:type="dxa"/>
            <w:vAlign w:val="bottom"/>
            <w:gridSpan w:val="2"/>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r>
      <w:tr>
        <w:trPr>
          <w:trHeight w:val="129"/>
        </w:trPr>
        <w:tc>
          <w:tcPr>
            <w:tcW w:w="230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4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Interest</w:t>
            </w:r>
          </w:p>
        </w:tc>
      </w:tr>
      <w:tr>
        <w:trPr>
          <w:trHeight w:val="129"/>
        </w:trPr>
        <w:tc>
          <w:tcPr>
            <w:tcW w:w="2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June 30, 2019</w:t>
            </w:r>
          </w:p>
        </w:tc>
        <w:tc>
          <w:tcPr>
            <w:tcW w:w="5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394</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2,417</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1,193</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(600)</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81</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3,078</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w:t>
            </w:r>
          </w:p>
        </w:tc>
      </w:tr>
      <w:tr>
        <w:trPr>
          <w:trHeight w:val="128"/>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adjustments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8"/>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Comprehensive income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($0.12 per common share)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Exercise and vesting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share-based awards</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9"/>
        </w:trPr>
        <w:tc>
          <w:tcPr>
            <w:tcW w:w="2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September 30, 2019</w:t>
            </w:r>
          </w:p>
        </w:tc>
        <w:tc>
          <w:tcPr>
            <w:tcW w:w="5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394</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2,423</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1,371</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(109)</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(18)</w:t>
            </w:r>
          </w:p>
        </w:tc>
        <w:tc>
          <w:tcPr>
            <w:tcW w:w="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(664)</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3,114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w:t>
            </w:r>
          </w:p>
        </w:tc>
      </w:tr>
      <w:tr>
        <w:trPr>
          <w:trHeight w:val="264"/>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at June 30, 2018</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391</w:t>
            </w:r>
          </w:p>
        </w:tc>
        <w:tc>
          <w:tcPr>
            <w:tcW w:w="80" w:type="dxa"/>
            <w:vAlign w:val="bottom"/>
          </w:tcPr>
          <w:p>
            <w:pPr>
              <w:spacing w:after="0"/>
              <w:rPr>
                <w:sz w:val="22"/>
                <w:szCs w:val="2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2,388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751</w:t>
            </w:r>
          </w:p>
        </w:tc>
        <w:tc>
          <w:tcPr>
            <w:tcW w:w="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22"/>
                <w:szCs w:val="22"/>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Pr>
          <w:p>
            <w:pPr>
              <w:spacing w:after="0"/>
              <w:rPr>
                <w:sz w:val="22"/>
                <w:szCs w:val="22"/>
                <w:color w:val="auto"/>
              </w:rPr>
            </w:pPr>
          </w:p>
        </w:tc>
        <w:tc>
          <w:tcPr>
            <w:tcW w:w="380" w:type="dxa"/>
            <w:vAlign w:val="bottom"/>
          </w:tcPr>
          <w:p>
            <w:pPr>
              <w:jc w:val="right"/>
              <w:ind w:right="3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(221)</w:t>
            </w:r>
          </w:p>
        </w:tc>
        <w:tc>
          <w:tcPr>
            <w:tcW w:w="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93</w:t>
            </w:r>
          </w:p>
        </w:tc>
        <w:tc>
          <w:tcPr>
            <w:tcW w:w="220" w:type="dxa"/>
            <w:vAlign w:val="bottom"/>
            <w:gridSpan w:val="2"/>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3,096</w:t>
            </w:r>
          </w:p>
        </w:tc>
        <w:tc>
          <w:tcPr>
            <w:tcW w:w="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w:t>
            </w:r>
          </w:p>
        </w:tc>
      </w:tr>
      <w:tr>
        <w:trPr>
          <w:trHeight w:val="128"/>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212</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adjustments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8"/>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Comprehensive income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($0.1 per common share)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Exercise and vesting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share-based awards</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9"/>
        </w:trPr>
        <w:tc>
          <w:tcPr>
            <w:tcW w:w="2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September 30, 2018</w:t>
            </w:r>
          </w:p>
        </w:tc>
        <w:tc>
          <w:tcPr>
            <w:tcW w:w="5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391</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2,393</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916</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(315)</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3,083</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w:t>
            </w:r>
          </w:p>
        </w:tc>
      </w:tr>
      <w:tr>
        <w:trPr>
          <w:trHeight w:val="345"/>
        </w:trPr>
        <w:tc>
          <w:tcPr>
            <w:tcW w:w="2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1"/>
                <w:szCs w:val="11"/>
                <w:b w:val="1"/>
                <w:bCs w:val="1"/>
                <w:color w:val="auto"/>
              </w:rPr>
              <w:t>Yum China Holdings, Inc.</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6"/>
        </w:trPr>
        <w:tc>
          <w:tcPr>
            <w:tcW w:w="2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Redeemable</w:t>
            </w:r>
          </w:p>
        </w:tc>
      </w:tr>
      <w:tr>
        <w:trPr>
          <w:trHeight w:val="137"/>
        </w:trPr>
        <w:tc>
          <w:tcPr>
            <w:tcW w:w="2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3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80" w:type="dxa"/>
            <w:vAlign w:val="bottom"/>
            <w:gridSpan w:val="2"/>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r>
      <w:tr>
        <w:trPr>
          <w:trHeight w:val="129"/>
        </w:trPr>
        <w:tc>
          <w:tcPr>
            <w:tcW w:w="230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(Loss) Income</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4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Interest</w:t>
            </w:r>
          </w:p>
        </w:tc>
      </w:tr>
      <w:tr>
        <w:trPr>
          <w:trHeight w:val="129"/>
        </w:trPr>
        <w:tc>
          <w:tcPr>
            <w:tcW w:w="2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2018</w:t>
            </w:r>
          </w:p>
        </w:tc>
        <w:tc>
          <w:tcPr>
            <w:tcW w:w="5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392</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2,402</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944</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w:t>
            </w:r>
          </w:p>
        </w:tc>
        <w:tc>
          <w:tcPr>
            <w:tcW w:w="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(460)</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103</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2,976</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w:t>
            </w:r>
          </w:p>
        </w:tc>
      </w:tr>
      <w:tr>
        <w:trPr>
          <w:trHeight w:val="128"/>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adjustments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8"/>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Comprehensive income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($0.36 per common share)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Dividends declared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Exercise and vesting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share-based awards</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Cumulative effect of accounting</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change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9"/>
        </w:trPr>
        <w:tc>
          <w:tcPr>
            <w:tcW w:w="2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September 30, 2019</w:t>
            </w:r>
          </w:p>
        </w:tc>
        <w:tc>
          <w:tcPr>
            <w:tcW w:w="5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394</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2,423</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1,371</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(109)</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(18)</w:t>
            </w:r>
          </w:p>
        </w:tc>
        <w:tc>
          <w:tcPr>
            <w:tcW w:w="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(664)</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3,114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w:t>
            </w:r>
          </w:p>
        </w:tc>
      </w:tr>
      <w:tr>
        <w:trPr>
          <w:trHeight w:val="264"/>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2017</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389</w:t>
            </w:r>
          </w:p>
        </w:tc>
        <w:tc>
          <w:tcPr>
            <w:tcW w:w="80" w:type="dxa"/>
            <w:vAlign w:val="bottom"/>
          </w:tcPr>
          <w:p>
            <w:pPr>
              <w:spacing w:after="0"/>
              <w:rPr>
                <w:sz w:val="22"/>
                <w:szCs w:val="2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2,375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397</w:t>
            </w:r>
          </w:p>
        </w:tc>
        <w:tc>
          <w:tcPr>
            <w:tcW w:w="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137</w:t>
            </w:r>
          </w:p>
        </w:tc>
        <w:tc>
          <w:tcPr>
            <w:tcW w:w="80" w:type="dxa"/>
            <w:vAlign w:val="bottom"/>
          </w:tcPr>
          <w:p>
            <w:pPr>
              <w:spacing w:after="0"/>
              <w:rPr>
                <w:sz w:val="22"/>
                <w:szCs w:val="22"/>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22"/>
                <w:szCs w:val="22"/>
                <w:color w:val="auto"/>
              </w:rPr>
            </w:pPr>
          </w:p>
        </w:tc>
        <w:tc>
          <w:tcPr>
            <w:tcW w:w="380" w:type="dxa"/>
            <w:vAlign w:val="bottom"/>
          </w:tcPr>
          <w:p>
            <w:pPr>
              <w:jc w:val="right"/>
              <w:ind w:right="3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(148)</w:t>
            </w:r>
          </w:p>
        </w:tc>
        <w:tc>
          <w:tcPr>
            <w:tcW w:w="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77</w:t>
            </w:r>
          </w:p>
        </w:tc>
        <w:tc>
          <w:tcPr>
            <w:tcW w:w="220" w:type="dxa"/>
            <w:vAlign w:val="bottom"/>
            <w:gridSpan w:val="2"/>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2,842</w:t>
            </w:r>
          </w:p>
        </w:tc>
        <w:tc>
          <w:tcPr>
            <w:tcW w:w="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w:t>
            </w:r>
          </w:p>
        </w:tc>
      </w:tr>
      <w:tr>
        <w:trPr>
          <w:trHeight w:val="128"/>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658</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adjustments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8"/>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Comprehensive income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Acquisition of business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($0.3 per common share)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Dividends declared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28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Exercise and vesting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share-based awards</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9"/>
        </w:trPr>
        <w:tc>
          <w:tcPr>
            <w:tcW w:w="2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September 30, 2018</w:t>
            </w:r>
          </w:p>
        </w:tc>
        <w:tc>
          <w:tcPr>
            <w:tcW w:w="5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391</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2,393</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916</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(315)</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3,083</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7, 2017, we announced that our Board of Directors authorized a $300 million share repurchase program. On October 4, 2017, the Board of Directors increased Yum China’s existing share repurchase authorization from $300 million to an aggregate of $550 million. On October 30, 2018, the Board of Directors further increased the share repurchase authorization to an aggregate of $1.4 billion. The Company repurchased 4.9 million and 4.6 million shares of Yum China common stock at a total cost of $204 million and $167 million for the years to date ended September 30, 2019 and 2018, respectively. The total cost includes $2 million and $6 million to be settled subsequent to September 30, 2019 and 2018, respectively, for shares repurchased with trade dates on or prior to September 30, 2019 and 2018, respectively. As of September 30, 2019, $756 million remained available for future share repurchases under the authorization.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Items Affecting Comparability of Net Income and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from Re-Measurement of Equity Interest Upon Acquisition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2018, the Company completed the acquisition of Wuxi KFC. In connection with the acquisition, the Company also recognized a gain of $98 million from the re-measurement of our previously held 47% equity interest at fair value using discounted cash flow valuation approach and incorporating assumptions and estimates that were not observable in the market. Key assumptions used in estimating future cash flows included projected revenue growth and operating expenses, which were based on internal projections, historical performance of stores and the business environment, as well as the selection of an appropriate discount rate based on weighted-average cost of capital and company-specific risk premium. The gain was not allocated to any segment for performance reporting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Meituan Dianping (“Meituan”) Investment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2018, the Company subscribed for 8.4 million, or less than 1%, of the ordinary shares of Meituan, an e-commerce platform for services in China, for a total consideration of approximately $74 million, when it launched its initial public offering on the Hong Kong Stock Exchange in September 2018. The Company accounted for the equity securities at fair value with subsequent fair value changes recorded in our Condensed Consolidated Statements of Income. The fair value of the investment in Meituan is determined based on the closing market price for the shares at the end of each reporting period. As of September 30, 2019, the fair value of the investment was $86 million. The unrealized gain of $12 million and $39 million was included in Investment gain in our Condensed Consolidated Statements of Income during the quarter and year to date ended September 30, 2019,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Transition Tax</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completed the evaluation of the impact on our transition tax computation based on the final regulations that were released by the U.S. Treasury Department and the Internal Revenue Service (“IRS”) and became effective in the first quarter of 2019, and recorded an additional amount of $8 million for the transition tax accordingly. See Note 12 for additional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Other Income, net</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5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05"/>
        </w:trPr>
        <w:tc>
          <w:tcPr>
            <w:tcW w:w="5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Equity income from investments in unconsolidated</w:t>
            </w: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affiliates</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19</w:t>
            </w:r>
          </w:p>
        </w:tc>
        <w:tc>
          <w:tcPr>
            <w:tcW w:w="106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from re-measurement of equity interest upon</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w:t>
            </w:r>
            <w:r>
              <w:rPr>
                <w:rFonts w:ascii="Times New Roman" w:cs="Times New Roman" w:eastAsia="Times New Roman" w:hAnsi="Times New Roman"/>
                <w:sz w:val="15"/>
                <w:szCs w:val="15"/>
                <w:color w:val="auto"/>
              </w:rPr>
              <w:t>(a)</w:t>
            </w:r>
          </w:p>
        </w:tc>
        <w:tc>
          <w:tcPr>
            <w:tcW w:w="94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impact and other</w:t>
            </w: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5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0" w:right="20" w:hanging="592"/>
        <w:spacing w:after="0" w:line="313"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acquisition of Wuxi KFC in the first quarter of 2018, as disclosed in Note 2, the Company recognized a gain of $98 million from the re-measurement of our previously held 47% equity interest at fair value, which was not allocated to any segment for performance reporting purposes.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8 – Supplemental Balance Sheet Information</w:t>
            </w: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9/30/2019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12/31/2018</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780" w:type="dxa"/>
            <w:vAlign w:val="bottom"/>
            <w:gridSpan w:val="5"/>
            <w:vMerge w:val="continue"/>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Prepaid Expenses and Other Current Assets</w:t>
            </w:r>
          </w:p>
        </w:tc>
        <w:tc>
          <w:tcPr>
            <w:tcW w:w="1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9/30/2019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12/31/2018</w:t>
            </w:r>
          </w:p>
        </w:tc>
        <w:tc>
          <w:tcPr>
            <w:tcW w:w="0" w:type="dxa"/>
            <w:vAlign w:val="bottom"/>
          </w:tcPr>
          <w:p>
            <w:pPr>
              <w:spacing w:after="0"/>
              <w:rPr>
                <w:sz w:val="1"/>
                <w:szCs w:val="1"/>
                <w:color w:val="auto"/>
              </w:rPr>
            </w:pPr>
          </w:p>
        </w:tc>
      </w:tr>
      <w:tr>
        <w:trPr>
          <w:trHeight w:val="21"/>
        </w:trPr>
        <w:tc>
          <w:tcPr>
            <w:tcW w:w="4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Receivables from payment processors and aggregators</w:t>
            </w: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780" w:type="dxa"/>
            <w:vAlign w:val="bottom"/>
            <w:gridSpan w:val="5"/>
            <w:vMerge w:val="continue"/>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Dividends receivable from unconsolidated affiliates</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3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Property, Plant and Equipment</w:t>
            </w:r>
          </w:p>
        </w:tc>
        <w:tc>
          <w:tcPr>
            <w:tcW w:w="2560" w:type="dxa"/>
            <w:vAlign w:val="bottom"/>
            <w:gridSpan w:val="2"/>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9/30/2019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12/31/2018</w:t>
            </w:r>
          </w:p>
        </w:tc>
        <w:tc>
          <w:tcPr>
            <w:tcW w:w="0" w:type="dxa"/>
            <w:vAlign w:val="bottom"/>
          </w:tcPr>
          <w:p>
            <w:pPr>
              <w:spacing w:after="0"/>
              <w:rPr>
                <w:sz w:val="1"/>
                <w:szCs w:val="1"/>
                <w:color w:val="auto"/>
              </w:rPr>
            </w:pPr>
          </w:p>
        </w:tc>
      </w:tr>
      <w:tr>
        <w:trPr>
          <w:trHeight w:val="21"/>
        </w:trPr>
        <w:tc>
          <w:tcPr>
            <w:tcW w:w="4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780" w:type="dxa"/>
            <w:vAlign w:val="bottom"/>
            <w:gridSpan w:val="5"/>
            <w:vMerge w:val="continue"/>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2,099</w:t>
            </w:r>
          </w:p>
        </w:tc>
        <w:tc>
          <w:tcPr>
            <w:tcW w:w="180" w:type="dxa"/>
            <w:vAlign w:val="bottom"/>
            <w:gridSpan w:val="2"/>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leases, primarily buildings</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Machinery, equipment and construction in progress</w:t>
            </w:r>
          </w:p>
        </w:tc>
        <w:tc>
          <w:tcPr>
            <w:tcW w:w="3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18"/>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34"/>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23"/>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Other Assets</w:t>
            </w:r>
          </w:p>
        </w:tc>
        <w:tc>
          <w:tcPr>
            <w:tcW w:w="3840" w:type="dxa"/>
            <w:vAlign w:val="bottom"/>
            <w:gridSpan w:val="4"/>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9/30/2019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12/31/2018</w:t>
            </w:r>
          </w:p>
        </w:tc>
        <w:tc>
          <w:tcPr>
            <w:tcW w:w="0" w:type="dxa"/>
            <w:vAlign w:val="bottom"/>
          </w:tcPr>
          <w:p>
            <w:pPr>
              <w:spacing w:after="0"/>
              <w:rPr>
                <w:sz w:val="1"/>
                <w:szCs w:val="1"/>
                <w:color w:val="auto"/>
              </w:rPr>
            </w:pPr>
          </w:p>
        </w:tc>
      </w:tr>
      <w:tr>
        <w:trPr>
          <w:trHeight w:val="21"/>
        </w:trPr>
        <w:tc>
          <w:tcPr>
            <w:tcW w:w="4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VAT assets</w:t>
            </w: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780" w:type="dxa"/>
            <w:vAlign w:val="bottom"/>
            <w:gridSpan w:val="5"/>
            <w:vMerge w:val="continue"/>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gridSpan w:val="2"/>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Land use right</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Costs to obtain contracts</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Others</w:t>
            </w:r>
          </w:p>
        </w:tc>
        <w:tc>
          <w:tcPr>
            <w:tcW w:w="3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8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Accounts Payable and Other Current Liabilities</w:t>
            </w:r>
          </w:p>
        </w:tc>
        <w:tc>
          <w:tcPr>
            <w:tcW w:w="3260" w:type="dxa"/>
            <w:vAlign w:val="bottom"/>
          </w:tcPr>
          <w:p>
            <w:pPr>
              <w:spacing w:after="0"/>
              <w:rPr>
                <w:sz w:val="17"/>
                <w:szCs w:val="17"/>
                <w:color w:val="auto"/>
              </w:rPr>
            </w:pPr>
          </w:p>
        </w:tc>
        <w:tc>
          <w:tcPr>
            <w:tcW w:w="2320" w:type="dxa"/>
            <w:vAlign w:val="bottom"/>
            <w:gridSpan w:val="2"/>
          </w:tcPr>
          <w:p>
            <w:pPr>
              <w:jc w:val="center"/>
              <w:ind w:left="1474"/>
              <w:spacing w:after="0"/>
              <w:rPr>
                <w:sz w:val="20"/>
                <w:szCs w:val="20"/>
                <w:color w:val="auto"/>
              </w:rPr>
            </w:pPr>
            <w:r>
              <w:rPr>
                <w:rFonts w:ascii="Times New Roman" w:cs="Times New Roman" w:eastAsia="Times New Roman" w:hAnsi="Times New Roman"/>
                <w:sz w:val="18"/>
                <w:szCs w:val="18"/>
                <w:color w:val="auto"/>
                <w:w w:val="98"/>
              </w:rPr>
              <w:t>9/30/2019</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12/31/2018</w:t>
            </w:r>
          </w:p>
        </w:tc>
        <w:tc>
          <w:tcPr>
            <w:tcW w:w="0" w:type="dxa"/>
            <w:vAlign w:val="bottom"/>
          </w:tcPr>
          <w:p>
            <w:pPr>
              <w:spacing w:after="0"/>
              <w:rPr>
                <w:sz w:val="1"/>
                <w:szCs w:val="1"/>
                <w:color w:val="auto"/>
              </w:rPr>
            </w:pPr>
          </w:p>
        </w:tc>
      </w:tr>
      <w:tr>
        <w:trPr>
          <w:trHeight w:val="21"/>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700" w:type="dxa"/>
            <w:vAlign w:val="bottom"/>
            <w:gridSpan w:val="3"/>
            <w:vMerge w:val="continue"/>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leases liabilities</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marketing expenses</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7"/>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3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1,566</w:t>
            </w:r>
          </w:p>
        </w:tc>
        <w:tc>
          <w:tcPr>
            <w:tcW w:w="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5500" w:type="dxa"/>
            <w:vAlign w:val="bottom"/>
            <w:gridSpan w:val="2"/>
          </w:tcPr>
          <w:p>
            <w:pPr>
              <w:spacing w:after="0"/>
              <w:rPr>
                <w:sz w:val="24"/>
                <w:szCs w:val="24"/>
                <w:color w:val="auto"/>
              </w:rPr>
            </w:pPr>
          </w:p>
        </w:tc>
        <w:tc>
          <w:tcPr>
            <w:tcW w:w="2320" w:type="dxa"/>
            <w:vAlign w:val="bottom"/>
            <w:gridSpan w:val="2"/>
          </w:tcPr>
          <w:p>
            <w:pPr>
              <w:jc w:val="center"/>
              <w:ind w:left="1474"/>
              <w:spacing w:after="0"/>
              <w:rPr>
                <w:sz w:val="20"/>
                <w:szCs w:val="20"/>
                <w:color w:val="auto"/>
              </w:rPr>
            </w:pPr>
            <w:r>
              <w:rPr>
                <w:rFonts w:ascii="Times New Roman" w:cs="Times New Roman" w:eastAsia="Times New Roman" w:hAnsi="Times New Roman"/>
                <w:sz w:val="18"/>
                <w:szCs w:val="18"/>
                <w:color w:val="auto"/>
                <w:w w:val="98"/>
              </w:rPr>
              <w:t>9/30/2019</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12/31/2018</w:t>
            </w:r>
          </w:p>
        </w:tc>
        <w:tc>
          <w:tcPr>
            <w:tcW w:w="0" w:type="dxa"/>
            <w:vAlign w:val="bottom"/>
          </w:tcPr>
          <w:p>
            <w:pPr>
              <w:spacing w:after="0"/>
              <w:rPr>
                <w:sz w:val="1"/>
                <w:szCs w:val="1"/>
                <w:color w:val="auto"/>
              </w:rPr>
            </w:pPr>
          </w:p>
        </w:tc>
      </w:tr>
      <w:tr>
        <w:trPr>
          <w:trHeight w:val="21"/>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Accrued income tax payable</w:t>
            </w:r>
          </w:p>
        </w:tc>
        <w:tc>
          <w:tcPr>
            <w:tcW w:w="1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700" w:type="dxa"/>
            <w:vAlign w:val="bottom"/>
            <w:gridSpan w:val="3"/>
            <w:vMerge w:val="continue"/>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rental accrual</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4"/>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16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for Condensed Consolidated Statements of Cash Flows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20" w:type="dxa"/>
            <w:vAlign w:val="bottom"/>
            <w:gridSpan w:val="2"/>
          </w:tcPr>
          <w:p>
            <w:pPr>
              <w:jc w:val="center"/>
              <w:ind w:left="1494"/>
              <w:spacing w:after="0"/>
              <w:rPr>
                <w:sz w:val="20"/>
                <w:szCs w:val="20"/>
                <w:color w:val="auto"/>
              </w:rPr>
            </w:pPr>
            <w:r>
              <w:rPr>
                <w:rFonts w:ascii="Times New Roman" w:cs="Times New Roman" w:eastAsia="Times New Roman" w:hAnsi="Times New Roman"/>
                <w:sz w:val="16"/>
                <w:szCs w:val="16"/>
                <w:color w:val="auto"/>
              </w:rPr>
              <w:t>9/30/2019</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72"/>
              <w:spacing w:after="0"/>
              <w:rPr>
                <w:sz w:val="20"/>
                <w:szCs w:val="20"/>
                <w:color w:val="auto"/>
              </w:rPr>
            </w:pPr>
            <w:r>
              <w:rPr>
                <w:rFonts w:ascii="Times New Roman" w:cs="Times New Roman" w:eastAsia="Times New Roman" w:hAnsi="Times New Roman"/>
                <w:sz w:val="16"/>
                <w:szCs w:val="16"/>
                <w:color w:val="auto"/>
              </w:rPr>
              <w:t>12/31/2018</w:t>
            </w:r>
          </w:p>
        </w:tc>
        <w:tc>
          <w:tcPr>
            <w:tcW w:w="0" w:type="dxa"/>
            <w:vAlign w:val="bottom"/>
          </w:tcPr>
          <w:p>
            <w:pPr>
              <w:spacing w:after="0"/>
              <w:rPr>
                <w:sz w:val="1"/>
                <w:szCs w:val="1"/>
                <w:color w:val="auto"/>
              </w:rPr>
            </w:pPr>
          </w:p>
        </w:tc>
      </w:tr>
      <w:tr>
        <w:trPr>
          <w:trHeight w:val="210"/>
        </w:trPr>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 as presented in Condensed Consolidated Balance Sheets</w:t>
            </w:r>
          </w:p>
        </w:tc>
        <w:tc>
          <w:tcPr>
            <w:tcW w:w="116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gridSpan w:val="2"/>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22"/>
        </w:trPr>
        <w:tc>
          <w:tcPr>
            <w:tcW w:w="6700" w:type="dxa"/>
            <w:vAlign w:val="bottom"/>
            <w:gridSpan w:val="3"/>
          </w:tcPr>
          <w:p>
            <w:pPr>
              <w:spacing w:after="0" w:line="222" w:lineRule="exact"/>
              <w:rPr>
                <w:sz w:val="20"/>
                <w:szCs w:val="20"/>
                <w:color w:val="auto"/>
              </w:rPr>
            </w:pPr>
            <w:r>
              <w:rPr>
                <w:rFonts w:ascii="Times New Roman" w:cs="Times New Roman" w:eastAsia="Times New Roman" w:hAnsi="Times New Roman"/>
                <w:sz w:val="15"/>
                <w:szCs w:val="15"/>
                <w:color w:val="auto"/>
              </w:rPr>
              <w:t xml:space="preserve">Restricted cash included in Other assets </w:t>
            </w:r>
            <w:r>
              <w:rPr>
                <w:rFonts w:ascii="Times New Roman" w:cs="Times New Roman" w:eastAsia="Times New Roman" w:hAnsi="Times New Roman"/>
                <w:sz w:val="25"/>
                <w:szCs w:val="25"/>
                <w:color w:val="auto"/>
                <w:vertAlign w:val="superscript"/>
              </w:rPr>
              <w:t>(a)</w:t>
            </w:r>
          </w:p>
        </w:tc>
        <w:tc>
          <w:tcPr>
            <w:tcW w:w="11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as presented in Condensed Consolidated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Statements of Cash Flows</w:t>
            </w:r>
          </w:p>
        </w:tc>
        <w:tc>
          <w:tcPr>
            <w:tcW w:w="232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6"/>
                <w:szCs w:val="16"/>
                <w:color w:val="auto"/>
              </w:rPr>
              <w:t>1,364</w:t>
            </w:r>
          </w:p>
        </w:tc>
        <w:tc>
          <w:tcPr>
            <w:tcW w:w="4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0" w:hanging="592"/>
        <w:spacing w:after="0" w:line="261"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included in Other assets within our Condensed Consolidated Balance Sheet represents amounts deposited into an escrow account pursuant to a definitive agreement entered in August 2019 to acquire a controlling interest in the Huang Ji Huang group, a leading Chinese-style casual dining franchise business. Subject to the satisfaction of closing conditions, the acquisition is expected to close in early 2020. The acquisition is considered immaterial.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3"/>
        </w:trPr>
        <w:tc>
          <w:tcPr>
            <w:tcW w:w="5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38"/>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KFC</w:t>
            </w:r>
          </w:p>
        </w:tc>
        <w:tc>
          <w:tcPr>
            <w:tcW w:w="1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Pizza Hut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Segments</w:t>
            </w:r>
          </w:p>
        </w:tc>
      </w:tr>
      <w:tr>
        <w:trPr>
          <w:trHeight w:val="21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r>
      <w:tr>
        <w:trPr>
          <w:trHeight w:val="234"/>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impairment losses</w:t>
            </w:r>
            <w:r>
              <w:rPr>
                <w:rFonts w:ascii="Times New Roman" w:cs="Times New Roman" w:eastAsia="Times New Roman" w:hAnsi="Times New Roman"/>
                <w:sz w:val="15"/>
                <w:szCs w:val="15"/>
                <w:color w:val="auto"/>
              </w:rPr>
              <w:t>(a)</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8"/>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currency translation adjustment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gross</w:t>
            </w: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r>
      <w:tr>
        <w:trPr>
          <w:trHeight w:val="234"/>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impairment losses</w:t>
            </w:r>
            <w:r>
              <w:rPr>
                <w:rFonts w:ascii="Times New Roman" w:cs="Times New Roman" w:eastAsia="Times New Roman" w:hAnsi="Times New Roman"/>
                <w:sz w:val="15"/>
                <w:szCs w:val="15"/>
                <w:color w:val="auto"/>
              </w:rPr>
              <w:t>(a)</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620" w:right="5280" w:hanging="5612"/>
        <w:spacing w:after="0" w:line="783" w:lineRule="auto"/>
        <w:tabs>
          <w:tab w:leader="none" w:pos="5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impairment losses represent Little Sheep goodwill impairment.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Intangible assets, net as of September 30, 2019 and December 31, 2018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797"/>
              <w:spacing w:after="0"/>
              <w:rPr>
                <w:sz w:val="20"/>
                <w:szCs w:val="20"/>
                <w:color w:val="auto"/>
              </w:rPr>
            </w:pPr>
            <w:r>
              <w:rPr>
                <w:rFonts w:ascii="Times New Roman" w:cs="Times New Roman" w:eastAsia="Times New Roman" w:hAnsi="Times New Roman"/>
                <w:sz w:val="13"/>
                <w:szCs w:val="13"/>
                <w:b w:val="1"/>
                <w:bCs w:val="1"/>
                <w:color w:val="auto"/>
              </w:rPr>
              <w:t>9/30/2019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12/31/2018</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37"/>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6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impairment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0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impairment</w:t>
            </w:r>
          </w:p>
        </w:tc>
        <w:tc>
          <w:tcPr>
            <w:tcW w:w="100" w:type="dxa"/>
            <w:vAlign w:val="bottom"/>
          </w:tcPr>
          <w:p>
            <w:pPr>
              <w:spacing w:after="0"/>
              <w:rPr>
                <w:sz w:val="11"/>
                <w:szCs w:val="11"/>
                <w:color w:val="auto"/>
              </w:rPr>
            </w:pPr>
          </w:p>
        </w:tc>
        <w:tc>
          <w:tcPr>
            <w:tcW w:w="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155"/>
        </w:trPr>
        <w:tc>
          <w:tcPr>
            <w:tcW w:w="1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Definite-lived intangible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Amount</w:t>
            </w:r>
            <w:r>
              <w:rPr>
                <w:rFonts w:ascii="Times New Roman" w:cs="Times New Roman" w:eastAsia="Times New Roman" w:hAnsi="Times New Roman"/>
                <w:sz w:val="10"/>
                <w:szCs w:val="10"/>
                <w:b w:val="1"/>
                <w:bCs w:val="1"/>
                <w:color w:val="auto"/>
                <w:w w:val="97"/>
              </w:rPr>
              <w:t>(a)</w:t>
            </w:r>
          </w:p>
        </w:tc>
        <w:tc>
          <w:tcPr>
            <w:tcW w:w="60" w:type="dxa"/>
            <w:vAlign w:val="bottom"/>
          </w:tcPr>
          <w:p>
            <w:pPr>
              <w:spacing w:after="0"/>
              <w:rPr>
                <w:sz w:val="13"/>
                <w:szCs w:val="13"/>
                <w:color w:val="auto"/>
              </w:rPr>
            </w:pPr>
          </w:p>
        </w:tc>
        <w:tc>
          <w:tcPr>
            <w:tcW w:w="9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3"/>
                <w:szCs w:val="13"/>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100" w:type="dxa"/>
            <w:vAlign w:val="bottom"/>
          </w:tcPr>
          <w:p>
            <w:pPr>
              <w:spacing w:after="0"/>
              <w:rPr>
                <w:sz w:val="13"/>
                <w:szCs w:val="13"/>
                <w:color w:val="auto"/>
              </w:rPr>
            </w:pPr>
          </w:p>
        </w:tc>
        <w:tc>
          <w:tcPr>
            <w:tcW w:w="9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24"/>
        </w:trPr>
        <w:tc>
          <w:tcPr>
            <w:tcW w:w="19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assets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Reacquired franchise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rights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144</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49"/>
        </w:trPr>
        <w:tc>
          <w:tcPr>
            <w:tcW w:w="1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Daojia platform</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9"/>
        </w:trPr>
        <w:tc>
          <w:tcPr>
            <w:tcW w:w="1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Customer-related assets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3"/>
        </w:trPr>
        <w:tc>
          <w:tcPr>
            <w:tcW w:w="1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Others</w:t>
            </w:r>
            <w:r>
              <w:rPr>
                <w:rFonts w:ascii="Times New Roman" w:cs="Times New Roman" w:eastAsia="Times New Roman" w:hAnsi="Times New Roman"/>
                <w:sz w:val="10"/>
                <w:szCs w:val="10"/>
                <w:color w:val="auto"/>
              </w:rPr>
              <w:t>(b)</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Indefinite-lived intangible</w:t>
            </w: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180</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(122)</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195</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(120)</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24"/>
        </w:trPr>
        <w:tc>
          <w:tcPr>
            <w:tcW w:w="19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assets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Little Sheep trademark</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4"/>
                <w:szCs w:val="14"/>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8"/>
        </w:trPr>
        <w:tc>
          <w:tcPr>
            <w:tcW w:w="1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intangible assets</w:t>
            </w:r>
          </w:p>
        </w:tc>
        <w:tc>
          <w:tcPr>
            <w:tcW w:w="620" w:type="dxa"/>
            <w:vAlign w:val="bottom"/>
            <w:gridSpan w:val="2"/>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231</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(122)</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(120)</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hanging="59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gross carrying amount include the effect of currency translation adjustment.</w:t>
      </w:r>
    </w:p>
    <w:p>
      <w:pPr>
        <w:spacing w:after="0" w:line="225" w:lineRule="exact"/>
        <w:rPr>
          <w:rFonts w:ascii="Times New Roman" w:cs="Times New Roman" w:eastAsia="Times New Roman" w:hAnsi="Times New Roman"/>
          <w:sz w:val="18"/>
          <w:szCs w:val="18"/>
          <w:color w:val="auto"/>
        </w:rPr>
      </w:pPr>
    </w:p>
    <w:p>
      <w:pPr>
        <w:ind w:left="600" w:right="20" w:hanging="592"/>
        <w:spacing w:after="0" w:line="282"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Others during year to date ended September 30, 2019 is primarily due to the reclassification of favorable lease assets, with a gross carrying amount of $7 million and accumulated amortization of $5 million, to right-of-use assets upon adoption of ASC 842.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of definite-lived intangible assets was $3 million and $7 million for the quarters ended September 30, 2019 and 2018, respectively, and $13 million and $20 million for the years to date ended September 30, 2019 and 2018, respectively. As of September 30, 2019, expected amortization expense for the unamortized definite-lived intangible assets is approximately $3 million for the remainder of 2019, $12 million in 2020, $12 million in 2021, $12 million in 2022 and $3 million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2019, we operated more than 8,900 restaurants, leasing the underlying land and/or building. We generally enter into lease agreements with initial terms of 10 to 20 years. Most of our lease agreements contain termination options that permit us to terminate the lease agreement early if the restaurant’s unit contribution is negative for a specified period of time. We generally do not have renewal options for our leases. Such options are accounted for only when it is reasonably certain that we will exercise the options. The rent under the majority of our current restaurant lease agreements is generally payable in one of three ways: (i) fixed rent; (ii) the higher of a fixed base rent or a percentage of the restaurant’s sales revenue; or (iii) a percentage of the restaurant’s sales revenue. Most leases require us to pay common area maintenance fees for the leased property. In addition to restaurants leases, we also lease office spaces, logistics centers and equipment. Our lease agreements do not contain any material residual value guarantees or material restrictive covenants.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adoption of ASC 842, operating leases were not recognized on the balance sheet of the Company, but rent expenses were recognized on a straight-line basis over the lease term. Upon adoption, right-of-use assets and lease liabilities are recognized upon lease commencement for operating leases based on the present value of lease payments over the lease term. This is consistent with the historical recognition of finance leases, which was unchanged upon adoption of ASC 842. Variable lease payments that do not depend on a rate or index are expensed as incurred. The Company has elected not to recognize right-of-use assets or lease liabilities for leases with an initial term of 12 months or less; we recognize lease expense for these leases on a straight-line basis over the lease term. In addition, the Company has elected not to separate non-lease components (e.g., common area maintenance fees) from the lease components.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In limited cases, we sublease certain restaurants to franchisees in connection with refranchising transactions or lease our properties to other third parties. The lease payments under these leases are generally based on the higher of a fixed base rent or a percentage of the restaurant’s annual sales revenue. Income from sublease agreements with franchisees or lease agreements with other third parties are included in Franchise fees and income and Other revenue, respectively, within our Condensed Consolidated Statements of Income. The impact of ASC 842 on our accounting as a lessor was not significant.</w:t>
      </w:r>
    </w:p>
    <w:p>
      <w:pPr>
        <w:sectPr>
          <w:pgSz w:w="11900" w:h="16838" w:orient="portrait"/>
          <w:cols w:equalWidth="0" w:num="1">
            <w:col w:w="11420"/>
          </w:cols>
          <w:pgMar w:left="240" w:top="337"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Balance Sheet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4" w:lineRule="exact"/>
        <w:rPr>
          <w:sz w:val="20"/>
          <w:szCs w:val="20"/>
          <w:color w:val="auto"/>
        </w:rPr>
      </w:pPr>
    </w:p>
    <w:p>
      <w:pPr>
        <w:ind w:right="1000"/>
        <w:spacing w:after="0" w:line="289" w:lineRule="auto"/>
        <w:rPr>
          <w:sz w:val="20"/>
          <w:szCs w:val="20"/>
          <w:color w:val="auto"/>
        </w:rPr>
      </w:pPr>
      <w:r>
        <w:rPr>
          <w:rFonts w:ascii="Times New Roman" w:cs="Times New Roman" w:eastAsia="Times New Roman" w:hAnsi="Times New Roman"/>
          <w:sz w:val="16"/>
          <w:szCs w:val="16"/>
          <w:color w:val="auto"/>
        </w:rPr>
        <w:t>Operating lease right-of-use assets Finance lease right-of-use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leased assets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Non-current</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lease liabilities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Lease Cost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cost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lease cost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leased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Variable lease cost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Short-term lease cost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Sublease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lease cost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1360"/>
        <w:spacing w:after="0"/>
        <w:tabs>
          <w:tab w:leader="none" w:pos="4340" w:val="left"/>
        </w:tabs>
        <w:rPr>
          <w:sz w:val="20"/>
          <w:szCs w:val="20"/>
          <w:color w:val="auto"/>
        </w:rPr>
      </w:pPr>
      <w:r>
        <w:rPr>
          <w:rFonts w:ascii="Times New Roman" w:cs="Times New Roman" w:eastAsia="Times New Roman" w:hAnsi="Times New Roman"/>
          <w:sz w:val="16"/>
          <w:szCs w:val="16"/>
          <w:b w:val="1"/>
          <w:bCs w:val="1"/>
          <w:color w:val="auto"/>
        </w:rPr>
        <w:t>9/30/2019</w:t>
      </w:r>
      <w:r>
        <w:rPr>
          <w:sz w:val="20"/>
          <w:szCs w:val="20"/>
          <w:color w:val="auto"/>
        </w:rPr>
        <w:tab/>
      </w:r>
      <w:r>
        <w:rPr>
          <w:rFonts w:ascii="Times New Roman" w:cs="Times New Roman" w:eastAsia="Times New Roman" w:hAnsi="Times New Roman"/>
          <w:sz w:val="16"/>
          <w:szCs w:val="16"/>
          <w:b w:val="1"/>
          <w:bCs w:val="1"/>
          <w:color w:val="auto"/>
        </w:rPr>
        <w:t>Account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21590</wp:posOffset>
            </wp:positionV>
            <wp:extent cx="11233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44" w:lineRule="exact"/>
        <w:rPr>
          <w:sz w:val="20"/>
          <w:szCs w:val="20"/>
          <w:color w:val="auto"/>
        </w:rPr>
      </w:pPr>
    </w:p>
    <w:p>
      <w:pPr>
        <w:ind w:left="2140" w:hanging="1284"/>
        <w:spacing w:after="0"/>
        <w:tabs>
          <w:tab w:leader="none" w:pos="21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1,893Operating lease right-of-use assets</w:t>
      </w:r>
    </w:p>
    <w:p>
      <w:pPr>
        <w:spacing w:after="0" w:line="32" w:lineRule="exact"/>
        <w:rPr>
          <w:rFonts w:ascii="Times New Roman" w:cs="Times New Roman" w:eastAsia="Times New Roman" w:hAnsi="Times New Roman"/>
          <w:sz w:val="16"/>
          <w:szCs w:val="16"/>
          <w:color w:val="auto"/>
        </w:rPr>
      </w:pPr>
    </w:p>
    <w:p>
      <w:pPr>
        <w:ind w:left="2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20320</wp:posOffset>
            </wp:positionV>
            <wp:extent cx="11233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6" w:lineRule="exact"/>
        <w:rPr>
          <w:sz w:val="20"/>
          <w:szCs w:val="20"/>
          <w:color w:val="auto"/>
        </w:rPr>
      </w:pPr>
    </w:p>
    <w:p>
      <w:pPr>
        <w:ind w:left="2140" w:hanging="1284"/>
        <w:spacing w:after="0"/>
        <w:tabs>
          <w:tab w:leader="none" w:pos="21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20320</wp:posOffset>
            </wp:positionV>
            <wp:extent cx="11233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37465</wp:posOffset>
            </wp:positionV>
            <wp:extent cx="11233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w:t>
            </w:r>
          </w:p>
        </w:tc>
        <w:tc>
          <w:tcPr>
            <w:tcW w:w="180" w:type="dxa"/>
            <w:vAlign w:val="bottom"/>
          </w:tcPr>
          <w:p>
            <w:pPr>
              <w:spacing w:after="0"/>
              <w:rPr>
                <w:sz w:val="18"/>
                <w:szCs w:val="18"/>
                <w:color w:val="auto"/>
              </w:rPr>
            </w:pPr>
          </w:p>
        </w:tc>
        <w:tc>
          <w:tcPr>
            <w:tcW w:w="3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3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1,729</w:t>
            </w:r>
          </w:p>
        </w:tc>
        <w:tc>
          <w:tcPr>
            <w:tcW w:w="180" w:type="dxa"/>
            <w:vAlign w:val="bottom"/>
          </w:tcPr>
          <w:p>
            <w:pPr>
              <w:spacing w:after="0"/>
              <w:rPr>
                <w:sz w:val="24"/>
                <w:szCs w:val="24"/>
                <w:color w:val="auto"/>
              </w:rPr>
            </w:pPr>
          </w:p>
        </w:tc>
        <w:tc>
          <w:tcPr>
            <w:tcW w:w="3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9"/>
                <w:szCs w:val="19"/>
                <w:color w:val="auto"/>
              </w:rPr>
            </w:pPr>
          </w:p>
        </w:tc>
        <w:tc>
          <w:tcPr>
            <w:tcW w:w="3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Non-current finance lease liabilities</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60" w:type="dxa"/>
            <w:vAlign w:val="bottom"/>
          </w:tcPr>
          <w:p>
            <w:pPr>
              <w:spacing w:after="0"/>
              <w:rPr>
                <w:sz w:val="24"/>
                <w:szCs w:val="24"/>
                <w:color w:val="auto"/>
              </w:rPr>
            </w:pPr>
          </w:p>
        </w:tc>
        <w:tc>
          <w:tcPr>
            <w:tcW w:w="9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Year to Date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60" w:type="dxa"/>
            <w:vAlign w:val="bottom"/>
          </w:tcPr>
          <w:p>
            <w:pPr>
              <w:spacing w:after="0"/>
              <w:rPr>
                <w:sz w:val="18"/>
                <w:szCs w:val="18"/>
                <w:color w:val="auto"/>
              </w:rPr>
            </w:pPr>
          </w:p>
        </w:tc>
        <w:tc>
          <w:tcPr>
            <w:tcW w:w="9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Account Classification</w:t>
            </w:r>
          </w:p>
        </w:tc>
      </w:tr>
      <w:tr>
        <w:trPr>
          <w:trHeight w:val="211"/>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100" w:type="dxa"/>
            <w:vAlign w:val="bottom"/>
          </w:tcPr>
          <w:p>
            <w:pPr>
              <w:spacing w:after="0"/>
              <w:rPr>
                <w:sz w:val="18"/>
                <w:szCs w:val="18"/>
                <w:color w:val="auto"/>
              </w:rPr>
            </w:pPr>
          </w:p>
        </w:tc>
      </w:tr>
      <w:tr>
        <w:trPr>
          <w:trHeight w:val="414"/>
        </w:trPr>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351</w:t>
            </w:r>
          </w:p>
        </w:tc>
        <w:tc>
          <w:tcPr>
            <w:tcW w:w="100" w:type="dxa"/>
            <w:vAlign w:val="bottom"/>
          </w:tcPr>
          <w:p>
            <w:pPr>
              <w:spacing w:after="0"/>
              <w:rPr>
                <w:sz w:val="24"/>
                <w:szCs w:val="24"/>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Occupancy and other operating expenses,</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G&amp;A or Franchise expenses</w:t>
            </w: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Occupancy and other operating expenses</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r>
      <w:tr>
        <w:trPr>
          <w:trHeight w:val="208"/>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265</w:t>
            </w:r>
          </w:p>
        </w:tc>
        <w:tc>
          <w:tcPr>
            <w:tcW w:w="10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Occupancy and other operating expenses</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or Franchise expenses</w:t>
            </w:r>
          </w:p>
        </w:tc>
      </w:tr>
      <w:tr>
        <w:trPr>
          <w:trHeight w:val="208"/>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Occupancy and other operating expenses or</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G&amp;A</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(21)   Franchise fees and income or Other revenues</w:t>
            </w:r>
          </w:p>
        </w:tc>
      </w:tr>
      <w:tr>
        <w:trPr>
          <w:trHeight w:val="210"/>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605</w:t>
            </w:r>
          </w:p>
        </w:tc>
        <w:tc>
          <w:tcPr>
            <w:tcW w:w="100" w:type="dxa"/>
            <w:vAlign w:val="bottom"/>
            <w:tcBorders>
              <w:top w:val="single" w:sz="8" w:color="auto"/>
              <w:bottom w:val="single" w:sz="8" w:color="auto"/>
            </w:tcBorders>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240" w:space="720"/>
            <w:col w:w="7460"/>
          </w:cols>
          <w:pgMar w:left="240" w:top="337" w:right="2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Year to Date</w:t>
            </w:r>
          </w:p>
        </w:tc>
        <w:tc>
          <w:tcPr>
            <w:tcW w:w="120" w:type="dxa"/>
            <w:vAlign w:val="bottom"/>
          </w:tcPr>
          <w:p>
            <w:pPr>
              <w:spacing w:after="0"/>
              <w:rPr>
                <w:sz w:val="17"/>
                <w:szCs w:val="17"/>
                <w:color w:val="auto"/>
              </w:rPr>
            </w:pPr>
          </w:p>
        </w:tc>
      </w:tr>
      <w:tr>
        <w:trPr>
          <w:trHeight w:val="21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480" w:type="dxa"/>
            <w:vAlign w:val="bottom"/>
          </w:tcPr>
          <w:p>
            <w:pPr>
              <w:spacing w:after="0"/>
              <w:rPr>
                <w:sz w:val="18"/>
                <w:szCs w:val="18"/>
                <w:color w:val="auto"/>
              </w:rPr>
            </w:pPr>
          </w:p>
        </w:tc>
        <w:tc>
          <w:tcPr>
            <w:tcW w:w="130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Ended</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Borders>
              <w:bottom w:val="single" w:sz="8" w:color="auto"/>
            </w:tcBorders>
          </w:tcPr>
          <w:p>
            <w:pPr>
              <w:spacing w:after="0"/>
              <w:rPr>
                <w:sz w:val="18"/>
                <w:szCs w:val="18"/>
                <w:color w:val="auto"/>
              </w:rPr>
            </w:pPr>
          </w:p>
        </w:tc>
      </w:tr>
      <w:tr>
        <w:trPr>
          <w:trHeight w:val="209"/>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120" w:type="dxa"/>
            <w:vAlign w:val="bottom"/>
          </w:tcPr>
          <w:p>
            <w:pPr>
              <w:spacing w:after="0"/>
              <w:rPr>
                <w:sz w:val="18"/>
                <w:szCs w:val="18"/>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780" w:type="dxa"/>
            <w:vAlign w:val="bottom"/>
            <w:gridSpan w:val="2"/>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r>
      <w:tr>
        <w:trPr>
          <w:trHeight w:val="222"/>
        </w:trPr>
        <w:tc>
          <w:tcPr>
            <w:tcW w:w="6080" w:type="dxa"/>
            <w:vAlign w:val="bottom"/>
          </w:tcPr>
          <w:p>
            <w:pPr>
              <w:spacing w:after="0" w:line="222" w:lineRule="exact"/>
              <w:rPr>
                <w:sz w:val="20"/>
                <w:szCs w:val="20"/>
                <w:color w:val="auto"/>
              </w:rPr>
            </w:pPr>
            <w:r>
              <w:rPr>
                <w:rFonts w:ascii="Times New Roman" w:cs="Times New Roman" w:eastAsia="Times New Roman" w:hAnsi="Times New Roman"/>
                <w:sz w:val="15"/>
                <w:szCs w:val="15"/>
                <w:color w:val="auto"/>
              </w:rPr>
              <w:t>Right-of-use assets obtained in exchange for new lease liabilities</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5"/>
                <w:szCs w:val="15"/>
                <w:color w:val="auto"/>
              </w:rPr>
              <w:t>:</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6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leases</w:t>
            </w:r>
          </w:p>
        </w:tc>
        <w:tc>
          <w:tcPr>
            <w:tcW w:w="2780" w:type="dxa"/>
            <w:vAlign w:val="bottom"/>
            <w:gridSpan w:val="2"/>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Finance leases</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r>
    </w:tbl>
    <w:p>
      <w:pPr>
        <w:spacing w:after="0" w:line="204" w:lineRule="exact"/>
        <w:rPr>
          <w:sz w:val="20"/>
          <w:szCs w:val="20"/>
          <w:color w:val="auto"/>
        </w:rPr>
      </w:pPr>
    </w:p>
    <w:p>
      <w:pPr>
        <w:jc w:val="center"/>
        <w:ind w:left="5620" w:right="140" w:hanging="5612"/>
        <w:spacing w:after="0" w:line="783" w:lineRule="auto"/>
        <w:tabs>
          <w:tab w:leader="none" w:pos="5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also includes noncash transactions resulting in adjustments to the lease liability or ROU asset due to modification or other reassessment events.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640" w:type="dxa"/>
            <w:vAlign w:val="bottom"/>
            <w:tcBorders>
              <w:bottom w:val="single" w:sz="8" w:color="auto"/>
            </w:tcBorders>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7.1</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12.0</w:t>
            </w:r>
          </w:p>
        </w:tc>
      </w:tr>
      <w:tr>
        <w:trPr>
          <w:trHeight w:val="432"/>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6.1%</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w:t>
            </w:r>
          </w:p>
        </w:tc>
      </w:tr>
      <w:tr>
        <w:trPr>
          <w:trHeight w:val="4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Future Lease Payments and Lease Liabilities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2019 were as follows: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6"/>
        </w:trPr>
        <w:tc>
          <w:tcPr>
            <w:tcW w:w="6400" w:type="dxa"/>
            <w:vAlign w:val="bottom"/>
          </w:tcPr>
          <w:p>
            <w:pPr>
              <w:spacing w:after="0"/>
              <w:rPr>
                <w:sz w:val="24"/>
                <w:szCs w:val="24"/>
                <w:color w:val="auto"/>
              </w:rPr>
            </w:pPr>
          </w:p>
        </w:tc>
        <w:tc>
          <w:tcPr>
            <w:tcW w:w="112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400" w:type="dxa"/>
            <w:vAlign w:val="bottom"/>
          </w:tcPr>
          <w:p>
            <w:pPr>
              <w:spacing w:after="0"/>
              <w:rPr>
                <w:sz w:val="17"/>
                <w:szCs w:val="17"/>
                <w:color w:val="auto"/>
              </w:rPr>
            </w:pPr>
          </w:p>
        </w:tc>
        <w:tc>
          <w:tcPr>
            <w:tcW w:w="112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2"/>
        </w:trPr>
        <w:tc>
          <w:tcPr>
            <w:tcW w:w="6400" w:type="dxa"/>
            <w:vAlign w:val="bottom"/>
          </w:tcPr>
          <w:p>
            <w:pPr>
              <w:spacing w:after="0"/>
              <w:rPr>
                <w:sz w:val="18"/>
                <w:szCs w:val="18"/>
                <w:color w:val="auto"/>
              </w:rPr>
            </w:pPr>
          </w:p>
        </w:tc>
        <w:tc>
          <w:tcPr>
            <w:tcW w:w="112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Borders>
              <w:bottom w:val="single" w:sz="8" w:color="auto"/>
            </w:tcBorders>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Remainder of 2019</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gridSpan w:val="2"/>
          </w:tcPr>
          <w:p>
            <w:pPr>
              <w:spacing w:after="0"/>
              <w:rPr>
                <w:sz w:val="18"/>
                <w:szCs w:val="18"/>
                <w:color w:val="auto"/>
              </w:rPr>
            </w:pPr>
          </w:p>
        </w:tc>
        <w:tc>
          <w:tcPr>
            <w:tcW w:w="920" w:type="dxa"/>
            <w:vAlign w:val="bottom"/>
          </w:tcPr>
          <w:p>
            <w:pPr>
              <w:jc w:val="right"/>
              <w:ind w:right="79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952</w:t>
            </w: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Total undiscounted lease payment</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2,591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2,625</w:t>
            </w:r>
          </w:p>
        </w:tc>
      </w:tr>
      <w:tr>
        <w:trPr>
          <w:trHeight w:val="222"/>
        </w:trPr>
        <w:tc>
          <w:tcPr>
            <w:tcW w:w="6400" w:type="dxa"/>
            <w:vAlign w:val="bottom"/>
          </w:tcPr>
          <w:p>
            <w:pPr>
              <w:spacing w:after="0" w:line="222" w:lineRule="exact"/>
              <w:rPr>
                <w:sz w:val="20"/>
                <w:szCs w:val="20"/>
                <w:color w:val="auto"/>
              </w:rPr>
            </w:pPr>
            <w:r>
              <w:rPr>
                <w:rFonts w:ascii="Times New Roman" w:cs="Times New Roman" w:eastAsia="Times New Roman" w:hAnsi="Times New Roman"/>
                <w:sz w:val="15"/>
                <w:szCs w:val="15"/>
                <w:color w:val="auto"/>
              </w:rPr>
              <w:t xml:space="preserve">Less: imputed interest </w:t>
            </w:r>
            <w:r>
              <w:rPr>
                <w:rFonts w:ascii="Times New Roman" w:cs="Times New Roman" w:eastAsia="Times New Roman" w:hAnsi="Times New Roman"/>
                <w:sz w:val="25"/>
                <w:szCs w:val="25"/>
                <w:color w:val="auto"/>
                <w:vertAlign w:val="superscript"/>
              </w:rPr>
              <w:t>(b)</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r>
      <w:tr>
        <w:trPr>
          <w:trHeight w:val="20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2,089</w:t>
            </w:r>
          </w:p>
        </w:tc>
        <w:tc>
          <w:tcPr>
            <w:tcW w:w="120" w:type="dxa"/>
            <w:vAlign w:val="bottom"/>
          </w:tcPr>
          <w:p>
            <w:pPr>
              <w:spacing w:after="0"/>
              <w:rPr>
                <w:sz w:val="17"/>
                <w:szCs w:val="17"/>
                <w:color w:val="auto"/>
              </w:rPr>
            </w:pP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gridSpan w:val="2"/>
          </w:tcPr>
          <w:p>
            <w:pPr>
              <w:spacing w:after="0"/>
              <w:rPr>
                <w:sz w:val="17"/>
                <w:szCs w:val="17"/>
                <w:color w:val="auto"/>
              </w:rPr>
            </w:pPr>
          </w:p>
        </w:tc>
        <w:tc>
          <w:tcPr>
            <w:tcW w:w="920" w:type="dxa"/>
            <w:vAlign w:val="bottom"/>
          </w:tcPr>
          <w:p>
            <w:pPr>
              <w:jc w:val="right"/>
              <w:ind w:right="79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2,113</w:t>
            </w:r>
          </w:p>
        </w:tc>
      </w:tr>
      <w:tr>
        <w:trPr>
          <w:trHeight w:val="20"/>
        </w:trPr>
        <w:tc>
          <w:tcPr>
            <w:tcW w:w="6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0" w:hanging="592"/>
        <w:spacing w:after="0" w:line="266" w:lineRule="auto"/>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imputed interest and present value of lease payments. We used the incremental borrowing rate on January 1, 2019 for operating leases that commenced prior to that date.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2019, we have additional lease agreements that have been signed but not yet commenced, with total undiscounted minimum lease payments of $121 million. These leases will commence between the fourth quarter of 2019 and 2023 with lease terms of 1 year to 20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2018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97"/>
        </w:trPr>
        <w:tc>
          <w:tcPr>
            <w:tcW w:w="6400" w:type="dxa"/>
            <w:vAlign w:val="bottom"/>
          </w:tcPr>
          <w:p>
            <w:pPr>
              <w:spacing w:after="0"/>
              <w:rPr>
                <w:sz w:val="17"/>
                <w:szCs w:val="17"/>
                <w:color w:val="auto"/>
              </w:rPr>
            </w:pPr>
          </w:p>
        </w:tc>
        <w:tc>
          <w:tcPr>
            <w:tcW w:w="112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12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6400" w:type="dxa"/>
            <w:vAlign w:val="bottom"/>
          </w:tcPr>
          <w:p>
            <w:pPr>
              <w:spacing w:after="0"/>
              <w:rPr>
                <w:sz w:val="18"/>
                <w:szCs w:val="18"/>
                <w:color w:val="auto"/>
              </w:rPr>
            </w:pPr>
          </w:p>
        </w:tc>
        <w:tc>
          <w:tcPr>
            <w:tcW w:w="112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124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r>
      <w:tr>
        <w:trPr>
          <w:trHeight w:val="219"/>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886</w:t>
            </w:r>
          </w:p>
        </w:tc>
      </w:tr>
      <w:tr>
        <w:trPr>
          <w:trHeight w:val="210"/>
        </w:trPr>
        <w:tc>
          <w:tcPr>
            <w:tcW w:w="640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2,775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2,812</w:t>
            </w: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2018, the present value of minimum payments under finance leases was $27 million, after deducting imputed interest of $10 million. The current portion of finance lease obligations was $2 million as of December 31, 2018, and was classified in Accounts payable and other current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primarily consist of cash and cash equivalents, short-term investments, accounts receivable and accounts payable, and the carrying values of these assets and liabilities generally approximate their fair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its investment in the equity securities of Meituan at fair value, which is determined based on the closing market price for the shares at the end of each reporting period, with subsequent fair value changes recorded in our Condensed Consolidated Statements of Income.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is a summary of our financial assets measured on a recurring basis or disclosed at fair value and the level within the fair value hierarchy in which the measurement falls. The Company classifies its cash equivalents, short-term investments and investment in equity securities within Level 1 or Level 2 in the fair value hierarchy because it uses quoted market prices or alternative pricing sources and models utilizing market observable inputs to determine their fair value. No transfers among the levels within the fair value hierarchy occurred during the quarter ended September 30,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Fair Value Measurement or Disclosure</w:t>
            </w:r>
          </w:p>
        </w:tc>
        <w:tc>
          <w:tcPr>
            <w:tcW w:w="122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at September 30, 2019</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1"/>
        </w:trPr>
        <w:tc>
          <w:tcPr>
            <w:tcW w:w="3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320" w:type="dxa"/>
            <w:vAlign w:val="bottom"/>
          </w:tcPr>
          <w:p>
            <w:pPr>
              <w:spacing w:after="0"/>
              <w:rPr>
                <w:sz w:val="19"/>
                <w:szCs w:val="19"/>
                <w:color w:val="auto"/>
              </w:rPr>
            </w:pP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4"/>
        </w:trPr>
        <w:tc>
          <w:tcPr>
            <w:tcW w:w="3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Fair Value Measurement or Disclosure</w:t>
            </w:r>
          </w:p>
        </w:tc>
        <w:tc>
          <w:tcPr>
            <w:tcW w:w="1220" w:type="dxa"/>
            <w:vAlign w:val="bottom"/>
          </w:tcPr>
          <w:p>
            <w:pPr>
              <w:spacing w:after="0"/>
              <w:rPr>
                <w:sz w:val="24"/>
                <w:szCs w:val="24"/>
                <w:color w:val="auto"/>
              </w:rPr>
            </w:pPr>
          </w:p>
        </w:tc>
      </w:tr>
      <w:tr>
        <w:trPr>
          <w:trHeight w:val="238"/>
        </w:trPr>
        <w:tc>
          <w:tcPr>
            <w:tcW w:w="3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at December 31, 2018</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1"/>
        </w:trPr>
        <w:tc>
          <w:tcPr>
            <w:tcW w:w="3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320" w:type="dxa"/>
            <w:vAlign w:val="bottom"/>
          </w:tcPr>
          <w:p>
            <w:pPr>
              <w:spacing w:after="0"/>
              <w:rPr>
                <w:sz w:val="19"/>
                <w:szCs w:val="19"/>
                <w:color w:val="auto"/>
              </w:rPr>
            </w:pP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debt securities</w:t>
            </w:r>
            <w:r>
              <w:rPr>
                <w:rFonts w:ascii="Times New Roman" w:cs="Times New Roman" w:eastAsia="Times New Roman" w:hAnsi="Times New Roman"/>
                <w:sz w:val="15"/>
                <w:szCs w:val="15"/>
                <w:color w:val="auto"/>
              </w:rPr>
              <w:t>(a)</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620" w:right="5420" w:hanging="5612"/>
        <w:spacing w:after="0" w:line="409" w:lineRule="auto"/>
        <w:tabs>
          <w:tab w:leader="none" w:pos="59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Classified as held-to-maturity investments and measured at amortized cost.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Non-Recurring Fair Value Measurements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certain of the Company’s restaurant-level assets (including operating lease ROU assets, property, plant and equipment), goodwill and intangible assets, are measured at fair value based on Level 3 on a non-recurring basis, if determined to be impaired. In the determination of fair value of restaurant level assets, the Company considered the highest and best use of the assets and used unobservable inputs (Level 3), such as reasonable sales growth and margin improvement assumptions in generating after-tax cash flows or the price market participants would pay to sublease the ROU assets for other use.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amounts recognized from all non-recurring fair value measurements using Level 3 inputs during the quarters and years to date ended September 30, 2019 and 2018. These amounts exclude fair value measurements made for restaurants that were closed or refranchised prior to those respective period-end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 to Date Ended</w:t>
            </w:r>
          </w:p>
        </w:tc>
        <w:tc>
          <w:tcPr>
            <w:tcW w:w="320" w:type="dxa"/>
            <w:vAlign w:val="bottom"/>
            <w:tcBorders>
              <w:bottom w:val="single" w:sz="8" w:color="auto"/>
            </w:tcBorders>
          </w:tcPr>
          <w:p>
            <w:pPr>
              <w:spacing w:after="0"/>
              <w:rPr>
                <w:sz w:val="15"/>
                <w:szCs w:val="15"/>
                <w:color w:val="auto"/>
              </w:rPr>
            </w:pPr>
          </w:p>
        </w:tc>
        <w:tc>
          <w:tcPr>
            <w:tcW w:w="236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Account Classification</w:t>
            </w: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9/30/2019</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9/30/2018</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9/30/2019</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9/30/2018</w:t>
            </w:r>
          </w:p>
        </w:tc>
        <w:tc>
          <w:tcPr>
            <w:tcW w:w="320" w:type="dxa"/>
            <w:vAlign w:val="bottom"/>
            <w:tcBorders>
              <w:bottom w:val="single" w:sz="8" w:color="auto"/>
            </w:tcBorders>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ROU impairment prior to the</w:t>
            </w:r>
          </w:p>
        </w:tc>
        <w:tc>
          <w:tcPr>
            <w:tcW w:w="1520" w:type="dxa"/>
            <w:vAlign w:val="bottom"/>
            <w:gridSpan w:val="2"/>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4"/>
                <w:szCs w:val="24"/>
                <w:color w:val="auto"/>
              </w:rPr>
            </w:pPr>
          </w:p>
        </w:tc>
        <w:tc>
          <w:tcPr>
            <w:tcW w:w="88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0" w:type="dxa"/>
            <w:vAlign w:val="bottom"/>
          </w:tcPr>
          <w:p>
            <w:pPr>
              <w:spacing w:after="0"/>
              <w:rPr>
                <w:sz w:val="1"/>
                <w:szCs w:val="1"/>
                <w:color w:val="auto"/>
              </w:rPr>
            </w:pPr>
          </w:p>
        </w:tc>
      </w:tr>
      <w:tr>
        <w:trPr>
          <w:trHeight w:val="162"/>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adoption of ASC 842</w:t>
            </w:r>
            <w:r>
              <w:rPr>
                <w:rFonts w:ascii="Times New Roman" w:cs="Times New Roman" w:eastAsia="Times New Roman" w:hAnsi="Times New Roman"/>
                <w:sz w:val="12"/>
                <w:szCs w:val="12"/>
                <w:color w:val="auto"/>
              </w:rPr>
              <w:t>(a)</w:t>
            </w:r>
          </w:p>
        </w:tc>
        <w:tc>
          <w:tcPr>
            <w:tcW w:w="152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Incremental restaurant-level</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upon adoption of</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Closure and impairment expenses, net</w:t>
            </w:r>
          </w:p>
        </w:tc>
        <w:tc>
          <w:tcPr>
            <w:tcW w:w="0" w:type="dxa"/>
            <w:vAlign w:val="bottom"/>
          </w:tcPr>
          <w:p>
            <w:pPr>
              <w:spacing w:after="0"/>
              <w:rPr>
                <w:sz w:val="1"/>
                <w:szCs w:val="1"/>
                <w:color w:val="auto"/>
              </w:rPr>
            </w:pPr>
          </w:p>
        </w:tc>
      </w:tr>
      <w:tr>
        <w:trPr>
          <w:trHeight w:val="162"/>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ASC 842</w:t>
            </w:r>
            <w:r>
              <w:rPr>
                <w:rFonts w:ascii="Times New Roman" w:cs="Times New Roman" w:eastAsia="Times New Roman" w:hAnsi="Times New Roman"/>
                <w:sz w:val="12"/>
                <w:szCs w:val="12"/>
                <w:color w:val="auto"/>
              </w:rPr>
              <w:t>(b)</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Restaurant-level impairment</w:t>
            </w:r>
            <w:r>
              <w:rPr>
                <w:rFonts w:ascii="Times New Roman" w:cs="Times New Roman" w:eastAsia="Times New Roman" w:hAnsi="Times New Roman"/>
                <w:sz w:val="12"/>
                <w:szCs w:val="12"/>
                <w:color w:val="auto"/>
              </w:rPr>
              <w:t>(c)</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w:t>
            </w: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Closure and impairment expenses, net</w:t>
            </w:r>
          </w:p>
        </w:tc>
        <w:tc>
          <w:tcPr>
            <w:tcW w:w="0" w:type="dxa"/>
            <w:vAlign w:val="bottom"/>
          </w:tcPr>
          <w:p>
            <w:pPr>
              <w:spacing w:after="0"/>
              <w:rPr>
                <w:sz w:val="1"/>
                <w:szCs w:val="1"/>
                <w:color w:val="auto"/>
              </w:rPr>
            </w:pPr>
          </w:p>
        </w:tc>
      </w:tr>
      <w:tr>
        <w:trPr>
          <w:trHeight w:val="156"/>
        </w:trPr>
        <w:tc>
          <w:tcPr>
            <w:tcW w:w="2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6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0" w:hanging="592"/>
        <w:spacing w:after="0" w:line="256"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 impairment prior to the adoption of ASC 842 represents an impairment charge on operating lease ROU assets arising from existing operating leases as of January 1, 2019. After netting with the related impact on deferred taxes of $19 million and the impact on noncontrolling interests of $3 million, we recorded a cumulative adjustment of $60 million to retained earnings in accordance with the transition guidance for the new lease standard. For those restaurants under operating leases with full impairment on their long-lived assets (primarily property, plant and equipment) before January 1, 2019, an additional impairment charge would have been recorded before January 1, 2019 had the operating lease ROU assets been recognized at the time of impairment.</w:t>
      </w:r>
    </w:p>
    <w:p>
      <w:pPr>
        <w:spacing w:after="0" w:line="187"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incremental restaurant-level impairment upon adoption of ASC 842 in the first quarter of 2019. We performed an additional impairment evaluation of long-lived assets of restaurants, which includes operating lease ROU assets, and property, plant and equipment.</w:t>
      </w:r>
    </w:p>
    <w:p>
      <w:pPr>
        <w:spacing w:after="0" w:line="161" w:lineRule="exact"/>
        <w:rPr>
          <w:rFonts w:ascii="Times New Roman" w:cs="Times New Roman" w:eastAsia="Times New Roman" w:hAnsi="Times New Roman"/>
          <w:sz w:val="18"/>
          <w:szCs w:val="18"/>
          <w:color w:val="auto"/>
        </w:rPr>
      </w:pPr>
    </w:p>
    <w:p>
      <w:pPr>
        <w:ind w:left="600" w:right="20" w:hanging="59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Restaurant-level impairment changes resulted primarily from our semi-annual impairment evaluation of long-lived assets of individual restaurants that were being operated at the time of impairment and had not been offered for refranchising.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6"/>
        </w:trPr>
        <w:tc>
          <w:tcPr>
            <w:tcW w:w="5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4"/>
                <w:szCs w:val="24"/>
                <w:color w:val="auto"/>
              </w:rPr>
            </w:pPr>
          </w:p>
        </w:tc>
        <w:tc>
          <w:tcPr>
            <w:tcW w:w="26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5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1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higher effective tax rate for the quarter ended September 30, 2019 was primarily due to additional accrued tax on Global Intangible Low Taxed Income (“GILTI”). The higher year to date effective tax rate was primarily due to an additional adjustment of $8 million on transition tax pursuant to the Tax Act recorded in the first quarter of 2019 and additional accrued tax on GILTI, offset by non-taxable gain related to the investment in equity securities of Meituan.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2017, the U.S. enacted the Tax Act, which included a broad range of tax reforms, including, but not limited to, the establishment of a flat corporate income tax rate of 21%, the elimination or reduction of certain business deductions and the imposition of tax on deemed repatriation of accumulated undistributed foreign earnings. The Tax Act impacted Yum China in two material aspects: (1) in general, all of the foreign-source dividends received by Yum China from its foreign subsidiaries are exempted from taxation starting from the tax year beginning after December 31, 2017 and (2) Yum China recorded additional income tax expense in the fourth quarter of 2017, including an estimated one-time transition tax on its deemed repatriation of accumulated undistributed foreign earnings and additional tax related to the revaluation of certain deferred tax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completed our analysis of the Tax Act in the fourth quarter of 2018 according to guidance released by the U.S. Treasury Department and the IRS as of December 2018 and made a reversal to provisional amount in the amount of $36 million for the transition tax recorded in 2017 accordingly. The U.S. Treasury Department and the IRS released the final transition tax regulations on January 15, 2019, which were published in the Federal Register and became effective on February 5, 2019. We completed the evaluation of the impact on our transition tax computation based on the final regulations released in the first quarter of 2019 and recorded an additional amount of $8 million for the transition tax accordingly.</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Tax Act requires a U.S. shareholder to be subject to tax on GILTI earned by certain foreign subsidiaries. We have elected the option to account for current year GILTI tax as a period cost as incurred, and therefore included it in estimating the annual effective tax rate.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reviews, examinations and audits by Chinese tax authorities, the IRS and other taxing authorities with respect to income and non-income based taxes. Since 2016, we have been under a national audit on transfer pricing by the STA in China regarding our related party transactions for the period from 2006 to 2015. The information currently requested by tax authorities focuses on our franchise arrangement with YUM. To address the requests, we have submitted information to the extent it is available to the Company. It is reasonably possible that there could be significant developments, including expert review and assessment by the STA, within the next 12 months. The ultimate assessment will depend upon further review of the information provided and ongoing technical and other discussions with the STA and in-charge local tax authorities, and therefore it is not possible to reasonably estimate the potential impact. We will continue to defend our transfer pricing position. However, if the STA prevails in the assessment of additional tax due based on its ruling, the assessed tax, interest and penalties, if any, could have a material adverse impact on our financial position, results of operations and cash flows.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two reportable segments: KFC and Pizza Hut. Starting from the first quarter of 2019, our newly developed COFFii &amp; JOY concept and e-commerce business became operating segments, as their financial results started being regularly reviewed by the Company’s chief operating decision maker. Accordingly, our six non-reportable operating segments, reflecting the operations of East Dawning, Little Sheep, Taco Bell, Daojia, COFFii &amp; JOY and our e-commerce business, are combined and referred to as All Other Segments, as those operating segments are insignificant both individually and in aggregate. Segment financial information for prior quarters has been recast to align with this change in segment reporting. There was no impact on the consolidated financial statements of the Company as a result of this change.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Quarter Ended 9/30/2019</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97"/>
        </w:trPr>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KFC</w:t>
            </w:r>
          </w:p>
        </w:tc>
        <w:tc>
          <w:tcPr>
            <w:tcW w:w="140" w:type="dxa"/>
            <w:vAlign w:val="bottom"/>
          </w:tcPr>
          <w:p>
            <w:pPr>
              <w:spacing w:after="0"/>
              <w:rPr>
                <w:sz w:val="19"/>
                <w:szCs w:val="19"/>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80"/>
              <w:spacing w:after="0" w:line="222"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5"/>
                <w:szCs w:val="25"/>
                <w:b w:val="1"/>
                <w:bCs w:val="1"/>
                <w:color w:val="auto"/>
                <w:vertAlign w:val="superscript"/>
              </w:rPr>
              <w:t>(a)</w:t>
            </w: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external</w:t>
            </w: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2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revenue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20"/>
        </w:trPr>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6"/>
        </w:trPr>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Quarter Ended 9/30/2018</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7"/>
        </w:trPr>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KFC</w:t>
            </w:r>
          </w:p>
        </w:tc>
        <w:tc>
          <w:tcPr>
            <w:tcW w:w="140" w:type="dxa"/>
            <w:vAlign w:val="bottom"/>
          </w:tcPr>
          <w:p>
            <w:pPr>
              <w:spacing w:after="0"/>
              <w:rPr>
                <w:sz w:val="19"/>
                <w:szCs w:val="19"/>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80"/>
              <w:spacing w:after="0" w:line="222"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5"/>
                <w:szCs w:val="25"/>
                <w:b w:val="1"/>
                <w:bCs w:val="1"/>
                <w:color w:val="auto"/>
                <w:vertAlign w:val="superscript"/>
              </w:rPr>
              <w:t>(a)</w:t>
            </w: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external</w:t>
            </w: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2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revenue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0"/>
        </w:trPr>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6"/>
        </w:trPr>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to Date Ended 9/30/2019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7"/>
        </w:trPr>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KFC</w:t>
            </w:r>
          </w:p>
        </w:tc>
        <w:tc>
          <w:tcPr>
            <w:tcW w:w="140" w:type="dxa"/>
            <w:vAlign w:val="bottom"/>
          </w:tcPr>
          <w:p>
            <w:pPr>
              <w:spacing w:after="0"/>
              <w:rPr>
                <w:sz w:val="19"/>
                <w:szCs w:val="19"/>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80"/>
              <w:spacing w:after="0" w:line="222"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5"/>
                <w:szCs w:val="25"/>
                <w:b w:val="1"/>
                <w:bCs w:val="1"/>
                <w:color w:val="auto"/>
                <w:vertAlign w:val="superscript"/>
              </w:rPr>
              <w:t>(a)</w:t>
            </w: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external</w:t>
            </w: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2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revenue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6,747</w:t>
            </w:r>
          </w:p>
        </w:tc>
      </w:tr>
      <w:tr>
        <w:trPr>
          <w:trHeight w:val="20"/>
        </w:trPr>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6"/>
        </w:trPr>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to Date Ended 9/30/2018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7"/>
        </w:trPr>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KFC</w:t>
            </w:r>
          </w:p>
        </w:tc>
        <w:tc>
          <w:tcPr>
            <w:tcW w:w="140" w:type="dxa"/>
            <w:vAlign w:val="bottom"/>
          </w:tcPr>
          <w:p>
            <w:pPr>
              <w:spacing w:after="0"/>
              <w:rPr>
                <w:sz w:val="19"/>
                <w:szCs w:val="19"/>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80"/>
              <w:spacing w:after="0" w:line="222"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5"/>
                <w:szCs w:val="25"/>
                <w:b w:val="1"/>
                <w:bCs w:val="1"/>
                <w:color w:val="auto"/>
                <w:vertAlign w:val="superscript"/>
              </w:rPr>
              <w:t>(a)</w:t>
            </w: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external</w:t>
            </w: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2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revenue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Pr>
          <w:p>
            <w:pPr>
              <w:spacing w:after="0"/>
              <w:rPr>
                <w:sz w:val="18"/>
                <w:szCs w:val="18"/>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gridSpan w:val="2"/>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w:t>
            </w:r>
          </w:p>
        </w:tc>
      </w:tr>
      <w:tr>
        <w:trPr>
          <w:trHeight w:val="20"/>
        </w:trPr>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252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1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KFC</w:t>
            </w:r>
            <w:r>
              <w:rPr>
                <w:rFonts w:ascii="Times New Roman" w:cs="Times New Roman" w:eastAsia="Times New Roman" w:hAnsi="Times New Roman"/>
                <w:sz w:val="15"/>
                <w:szCs w:val="15"/>
                <w:color w:val="auto"/>
              </w:rPr>
              <w:t>(b)</w:t>
            </w:r>
          </w:p>
        </w:tc>
        <w:tc>
          <w:tcPr>
            <w:tcW w:w="9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759</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Pizza Hut</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All Other Segments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revenues from transactions with franchisees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unconsolidated affiliates</w:t>
            </w:r>
            <w:r>
              <w:rPr>
                <w:rFonts w:ascii="Times New Roman" w:cs="Times New Roman" w:eastAsia="Times New Roman" w:hAnsi="Times New Roman"/>
                <w:sz w:val="15"/>
                <w:szCs w:val="15"/>
                <w:color w:val="auto"/>
              </w:rPr>
              <w:t>(c)</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Other revenues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expenses from transactions with franchisees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unconsolidated affiliates</w:t>
            </w:r>
            <w:r>
              <w:rPr>
                <w:rFonts w:ascii="Times New Roman" w:cs="Times New Roman" w:eastAsia="Times New Roman" w:hAnsi="Times New Roman"/>
                <w:sz w:val="15"/>
                <w:szCs w:val="15"/>
                <w:color w:val="auto"/>
              </w:rPr>
              <w:t>(c)</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Other operating costs and expenses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and corporate G&amp;A expenses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Other income (loss)</w:t>
            </w:r>
            <w:r>
              <w:rPr>
                <w:rFonts w:ascii="Times New Roman" w:cs="Times New Roman" w:eastAsia="Times New Roman" w:hAnsi="Times New Roman"/>
                <w:sz w:val="15"/>
                <w:szCs w:val="15"/>
                <w:color w:val="auto"/>
              </w:rPr>
              <w:t>(d)</w:t>
            </w: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r>
      <w:tr>
        <w:trPr>
          <w:trHeight w:val="21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9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r>
              <w:rPr>
                <w:rFonts w:ascii="Times New Roman" w:cs="Times New Roman" w:eastAsia="Times New Roman" w:hAnsi="Times New Roman"/>
                <w:sz w:val="15"/>
                <w:szCs w:val="15"/>
                <w:color w:val="auto"/>
              </w:rPr>
              <w:t>(a)</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Investment gain</w:t>
            </w:r>
            <w:r>
              <w:rPr>
                <w:rFonts w:ascii="Times New Roman" w:cs="Times New Roman" w:eastAsia="Times New Roman" w:hAnsi="Times New Roman"/>
                <w:sz w:val="15"/>
                <w:szCs w:val="15"/>
                <w:color w:val="auto"/>
              </w:rPr>
              <w:t>(a)</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885</w:t>
            </w:r>
          </w:p>
        </w:tc>
      </w:tr>
      <w:tr>
        <w:trPr>
          <w:trHeight w:val="20"/>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1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KFC</w:t>
            </w:r>
            <w:r>
              <w:rPr>
                <w:rFonts w:ascii="Times New Roman" w:cs="Times New Roman" w:eastAsia="Times New Roman" w:hAnsi="Times New Roman"/>
                <w:sz w:val="15"/>
                <w:szCs w:val="15"/>
                <w:color w:val="auto"/>
              </w:rPr>
              <w:t>(e)</w:t>
            </w:r>
          </w:p>
        </w:tc>
        <w:tc>
          <w:tcPr>
            <w:tcW w:w="2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Pizza Hut</w:t>
            </w:r>
            <w:r>
              <w:rPr>
                <w:rFonts w:ascii="Times New Roman" w:cs="Times New Roman" w:eastAsia="Times New Roman" w:hAnsi="Times New Roman"/>
                <w:sz w:val="15"/>
                <w:szCs w:val="15"/>
                <w:color w:val="auto"/>
              </w:rPr>
              <w:t>(e)</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All Other Segments</w:t>
            </w: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Borders>
              <w:bottom w:val="single" w:sz="8" w:color="auto"/>
            </w:tcBorders>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12/31/2018</w:t>
            </w:r>
          </w:p>
        </w:tc>
      </w:tr>
      <w:tr>
        <w:trPr>
          <w:trHeight w:val="21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KFC</w:t>
            </w:r>
            <w:r>
              <w:rPr>
                <w:rFonts w:ascii="Times New Roman" w:cs="Times New Roman" w:eastAsia="Times New Roman" w:hAnsi="Times New Roman"/>
                <w:sz w:val="15"/>
                <w:szCs w:val="15"/>
                <w:color w:val="auto"/>
              </w:rPr>
              <w:t>(f)</w:t>
            </w:r>
          </w:p>
        </w:tc>
        <w:tc>
          <w:tcPr>
            <w:tcW w:w="2860" w:type="dxa"/>
            <w:vAlign w:val="bottom"/>
          </w:tcPr>
          <w:p>
            <w:pPr>
              <w:spacing w:after="0"/>
              <w:rPr>
                <w:sz w:val="18"/>
                <w:szCs w:val="18"/>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2,992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1,745</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Pizza Hut</w:t>
            </w:r>
          </w:p>
        </w:tc>
        <w:tc>
          <w:tcPr>
            <w:tcW w:w="2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All Other Segments</w:t>
            </w:r>
          </w:p>
        </w:tc>
        <w:tc>
          <w:tcPr>
            <w:tcW w:w="2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15"/>
                <w:szCs w:val="15"/>
                <w:color w:val="auto"/>
              </w:rPr>
              <w:t>(g)</w:t>
            </w:r>
          </w:p>
        </w:tc>
        <w:tc>
          <w:tcPr>
            <w:tcW w:w="28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2,615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2,175</w:t>
            </w:r>
          </w:p>
        </w:tc>
      </w:tr>
      <w:tr>
        <w:trPr>
          <w:trHeight w:val="223"/>
        </w:trPr>
        <w:tc>
          <w:tcPr>
            <w:tcW w:w="5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6,710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4,610</w:t>
            </w: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0" w:hanging="592"/>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not been allocated to any segment for performance reporting purposes.</w:t>
      </w:r>
    </w:p>
    <w:p>
      <w:pPr>
        <w:spacing w:after="0" w:line="225" w:lineRule="exact"/>
        <w:rPr>
          <w:rFonts w:ascii="Times New Roman" w:cs="Times New Roman" w:eastAsia="Times New Roman" w:hAnsi="Times New Roman"/>
          <w:sz w:val="18"/>
          <w:szCs w:val="18"/>
          <w:color w:val="auto"/>
        </w:rPr>
      </w:pPr>
    </w:p>
    <w:p>
      <w:pPr>
        <w:ind w:left="600" w:right="20" w:hanging="592"/>
        <w:spacing w:after="0" w:line="282" w:lineRule="auto"/>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income from investments in unconsolidated affiliates of $19 million and $17 million for the quarters ended September 30, 2019 and 2018, respectively, and $56 million and $52 million for the years to date ended September 30, 2019 and 2018, respectively.</w:t>
      </w:r>
    </w:p>
    <w:p>
      <w:pPr>
        <w:spacing w:after="0" w:line="161" w:lineRule="exact"/>
        <w:rPr>
          <w:rFonts w:ascii="Times New Roman" w:cs="Times New Roman" w:eastAsia="Times New Roman" w:hAnsi="Times New Roman"/>
          <w:sz w:val="18"/>
          <w:szCs w:val="18"/>
          <w:color w:val="auto"/>
        </w:rPr>
      </w:pPr>
    </w:p>
    <w:p>
      <w:pPr>
        <w:jc w:val="both"/>
        <w:ind w:left="600" w:hanging="592"/>
        <w:spacing w:after="0" w:line="261" w:lineRule="auto"/>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revenues and associated expenses of transactions with franchisee and unconsolidated affiliates derived from the Company’s central procurement model whereby the Company centrally purchases substantially all food and paper products from suppliers and then sells and delivers to restaurants, including franchisees and unconsolidated affiliates. Amounts have not been allocated to any segment for purposes of making operating decisions or assessing financial performance as the transactions are deemed corporate revenues and expenses in nature.</w:t>
      </w:r>
    </w:p>
    <w:p>
      <w:pPr>
        <w:spacing w:after="0" w:line="180"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for the year to date ended September 30, 2018 primarily includes gain from re-measurement of the previously held equity interest in connection with the acquisition of Wuxi KFC (See Note 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7" w:name="page28"/>
    <w:bookmarkEnd w:id="27"/>
    <w:p>
      <w:pPr>
        <w:ind w:left="600" w:hanging="592"/>
        <w:spacing w:after="0" w:line="282"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store closure impairment charges, incremental restaurant-level impairment charges as a result of adopting ASC 842 and restaurant-level impairment charges resulting from our semi-annual impairment evaluation (See Note 11).</w:t>
      </w:r>
    </w:p>
    <w:p>
      <w:pPr>
        <w:spacing w:after="0" w:line="16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investments in unconsolidated affiliates.</w:t>
      </w:r>
    </w:p>
    <w:p>
      <w:pPr>
        <w:spacing w:after="0" w:line="225"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cash and cash equivalents, short-term investments, investment in equity securities, and inventories that are centrally managed.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Indemnification of China Tax on Indirect Transfers of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2015, the Chinese State Taxation Administration (“STA”) issued Bulletin 7 on Income arising from Indirect Transfers of Assets by Non-Resident Enterprises. Pursuant to Bulletin 7, an “indirect transfer” of Chinese taxable assets, including equity interests in a Chinese resident enterprise, by a non-resident enterprise, may be recharacterized and treated as a direct transfer of Chinese taxable assets, if such arrangement does not have reasonable commercial purpose and the transferor has avoided payment of Chinese enterprise income tax. As a result, gains derived from such an indirect transfer may be subject to Chinese enterprise income tax at a rate of 10%.</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YUM concluded and we concurred that it is more likely than not that YUM will not be subject to this tax with respect to the distribution. However, there are significant uncertainties regarding what constitutes a reasonable commercial purpose, how the safe harbor provisions for group restructurings are to be interpreted and how the taxing authorities will ultimately view the distribution. As a result, YUM’s position could be challenged by Chinese tax authorities resulting in a 10% tax assessed on the difference between the fair market value and the tax basis of the separated China business. As YUM’s tax basis in the China business is minimal, the amount of such tax could be significant.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tax liability arising from the application of Bulletin 7 to the distribution is expected to be settled in accordance with the tax matters agreement between the Company and YUM. Pursuant to the tax matters agreement, to the extent any Chinese indirect transfer tax pursuant to Bulletin 7 is imposed, such tax and related losses will be allocated between YUM and the Company in proportion to their respective share of the combined market capitalization of YUM and the Company during the 30 trading days after the separation. Such a settlement could be significant and have a material adverse effect on our results of operations and our financial condition. At the inception of the tax indemnity being provided to YUM, the fair value of the non-contingent obligation to stand ready to perform was insignificant and the liability for the contingent obligation to make payment was not probable or estimable.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have guaranteed certain lines of credit and loans of franchisees and unconsolidated affiliates. As of September 30, 2019, guarantees on behalf of franchisees were immaterial and no guarantees were outstanding for unconsolidated affiliates.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Proceedings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lawsuits covering a variety of allegations. The Company believes that the ultimate liability, if any, in excess of amounts already provided for these matters in the Condensed Consolidated Financial Statements, is not likely to have a material adverse effect on the Company’s results of operations, financial condition or cash flows. Matters faced by the Company from time to time include, but are not limited to, claims from landlords, employees, customers and others related to operational, contractual or employment issues.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2019, the Company announced that the Board of Directors declared a cash dividend of $0.12 per share, payable as of the close of business on December 17, 2019 to stockholders of record as of the close of business on November 26, 2019. The total estimated cash dividend payable is approximately $45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to the Company throughout this Management’s Discussion and Analysis of Financial Condition and Results of Operations (this “MD&amp;A”) are made using the first person notations of “we,” “us” or “our.” This MD&amp;A contains forward-looking statements, including statements with respect to the ongoing transfer pricing audit, the retail tax structure reform, our growth plans, future capital resources to fund our operations and anticipated capital expenditures, share repurchases, our ability to pay dividends and the impact of new accounting pronouncements not yet adopted. See “Cautionary Note Regarding Forward-Looking Statements” at the end of this Item 2 for information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Yum China Holdings, Inc. is the largest restaurant company in China, with over 8,900 restaurants as of September 30, 2019. Our growing restaurant base consists of China’s leading restaurant brands and concepts, primarily the KFC and Pizza Hut brands, as well as brands such as East Dawning, Little Sheep, Taco Bell and COFFii &amp; JOY. Following our separation from YUM, we obtained the exclusive right to operate and sub-license the KFC, Pizza Hut and, subject to achieving certain agreed-upon milestones, Taco Bell brands in China, excluding Hong Kong, Taiwan and Macau (the “PRC” or “China”), and we own the intellectual property of the East Dawning, Little Sheep and COFFii &amp; JOY concepts outright. We were the first major global restaurant brand when we entered China in 1987 and we have developed deep operating experience in the market. We have since grown to become one of China’s largest restaurant developers with locations in over 1,300 cities as of September 30, 2019.</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KFC is the leading quick-service restaurant (“QSR”) brand in the PRC in terms of system sales and number of restaurants. As of September 30, 2019, KFC operated over 6,300 restaurants in over 1,300 cities across China. During the first quarter of 2018, the Company completed the acquisition of an additional 36% interest in an unconsolidated affiliate that operates KFC stores in Wuxi, China (“Wuxi KFC”), increasing the equity interest to 83% and allowing the Company to consolidate the entity.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Pizza Hut is the leading casual dining restaurant (“CDR”) brand in China in terms of system sales and number of restaurants. As of September 30, 2019, Pizza Hut operated over 2,200 restaurants in over 500 cities.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for this MD&amp;A to provide the reader with information that will assist in understanding our results of operations, including metrics that management uses to assess the Company’s performance. Throughout this MD&amp;A, we discuss the following performance metrics:</w:t>
      </w:r>
    </w:p>
    <w:p>
      <w:pPr>
        <w:spacing w:after="0" w:line="162" w:lineRule="exact"/>
        <w:rPr>
          <w:sz w:val="20"/>
          <w:szCs w:val="20"/>
          <w:color w:val="auto"/>
        </w:rPr>
      </w:pPr>
    </w:p>
    <w:p>
      <w:pPr>
        <w:jc w:val="both"/>
        <w:ind w:left="880" w:hanging="440"/>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certain percentage changes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spacing w:after="0" w:line="176" w:lineRule="exact"/>
        <w:rPr>
          <w:rFonts w:ascii="Times New Roman" w:cs="Times New Roman" w:eastAsia="Times New Roman" w:hAnsi="Times New Roman"/>
          <w:sz w:val="18"/>
          <w:szCs w:val="18"/>
          <w:color w:val="auto"/>
        </w:rPr>
      </w:pPr>
    </w:p>
    <w:p>
      <w:pPr>
        <w:jc w:val="both"/>
        <w:ind w:left="880" w:hanging="440"/>
        <w:spacing w:after="0" w:line="255"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growth reflects the results of all restaurants regardless of ownership, including Company-owned, franchise and unconsolidated affiliate restaurants that operate our Concepts, except for non-Company-owned restaurants for which we do not receive a sales-based royalty. Sales of franchise and unconsolidated affiliate restaurants typically generate ongoing franchise fees for the Company at a rate of approximately 6% of system sales. Franchise and unconsolidated affiliate restaurant sales are not included in Company sales in the Condensed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 w:name="page31"/>
    <w:bookmarkEnd w:id="30"/>
    <w:p>
      <w:pPr>
        <w:jc w:val="both"/>
        <w:ind w:left="880" w:hanging="440"/>
        <w:spacing w:after="0" w:line="258"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2018, the Company revised its definition of same-store sales growth to represent the estimated percentage change in sales of food of all restaurants in the Company system that have been open prior to the first day of our prior fiscal year. We refer to these as our “base” stores. Previously, same-store sales growth represented the estimated percentage change in sales of all restaurants in the Company system that have been open for one year or more, and the base stores changed on a rolling basis from month to month. This revision was made to align with how management measures performance internally and focuses on trends of a more stable base of stores.</w:t>
      </w:r>
    </w:p>
    <w:p>
      <w:pPr>
        <w:spacing w:after="0" w:line="183" w:lineRule="exact"/>
        <w:rPr>
          <w:rFonts w:ascii="Times New Roman" w:cs="Times New Roman" w:eastAsia="Times New Roman" w:hAnsi="Times New Roman"/>
          <w:sz w:val="18"/>
          <w:szCs w:val="18"/>
          <w:color w:val="auto"/>
        </w:rPr>
      </w:pPr>
    </w:p>
    <w:p>
      <w:pPr>
        <w:jc w:val="both"/>
        <w:ind w:left="880" w:hanging="440"/>
        <w:spacing w:after="0" w:line="258"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Restaurant profit (“Restaurant profit”) is defined as Company sales less expenses incurred directly by our Company-owned restaurants in generating Company sales. Company restaurant margin percentage is defined as Restaurant profit divided by Company sales. Within the Company sales and Restaurant profit analysis, Store Portfolio Actions represent the net impact of new unit openings, acquisitions, refranchising and store closures, and Other primarily represents the impact of same-store sales as well as the impact of changes in restaurant operating costs such as inflation/deflation.</w:t>
      </w:r>
    </w:p>
    <w:p>
      <w:pPr>
        <w:spacing w:after="0" w:line="183" w:lineRule="exact"/>
        <w:rPr>
          <w:rFonts w:ascii="Times New Roman" w:cs="Times New Roman" w:eastAsia="Times New Roman" w:hAnsi="Times New Roman"/>
          <w:sz w:val="18"/>
          <w:szCs w:val="18"/>
          <w:color w:val="auto"/>
        </w:rPr>
      </w:pPr>
    </w:p>
    <w:p>
      <w:pPr>
        <w:jc w:val="both"/>
        <w:ind w:left="880" w:hanging="440"/>
        <w:spacing w:after="0" w:line="253"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results provided in accordance with GAAP throughout this MD&amp;A, the Company provides measures adjusted for Special Items, which include Adjusted Operating Profit, Adjusted Net Income, Adjusted Earnings Per Common Share, Adjusted Effective Tax Rate and Adjusted EBITDA, which we define as net income including noncontrolling interests adjusted for income tax, interest income, net, investment gain or loss, depreciation and amortization, and other items, including store impairment charges and Special Items. The Special Item for the year to date ended September 30, 2019 represents the impact from the U.S. Tax Cuts and Jobs Act (the “Tax Act”). The Special Item for the year to date ended September 30, 2018 represents a gain recognized from the re-measurement of our previously held equity interest in Wuxi KFC at fair value upon acquisition, as described in Note 2. The Company excludes impact from Special Items for the purpose of evaluating performance internally. Special Items are not included in any of our segment results. In addition, the Company provides Adjusted EBITDA because we believe that investors and analysts may find it useful in measuring operating performance without regard to items such as income tax, interest income, net, investment gain or loss, depreciation and amortization, and other items, including store impairment charges and Special Items. These adjusted measures are not intended to replace the presentation of our financial results in accordance with GAAP. Rather, the Company believes that the presentation of these adjusted measures provides additional information to investors to facilitate the comparison of past and present results, excluding those items that the Company does not believe are indicative of our ongoing operations due to their nature.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Note references in this MD&amp;A refer to the Notes to the Condensed Consolidated Financial Statements. Tabular amounts are displayed in millions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except percentages and per share and unit count amounts, or as otherwise specifically identified. Percentages may not recompute due to rounding.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quarters are references to the Company’s fiscal quarters.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Quarters and Years to Date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has two reportable segments: KFC and Pizza Hut. Starting from the first quarter of 2019, our newly developed COFFii &amp; JOY concept and e-commerce business became operating segments, as their financial results started being regularly reviewed by the Company’s chief operating decision maker. Accordingly, our six non-reportable operating segments, reflecting the operations of East Dawning, Little Sheep, Taco Bell, Daojia, COFFii &amp; JOY and our e-commerce business, are combined and referred to as All Other Segments, as those operating segments are insignificant both individually and in aggregate. Segment financial information for prior quarters has been recast to align with this change in segment reporting. There was no impact on the consolidated financial statements of the Company as a result of this change. Additional details on our reportable operating segments are included in Note 13.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highlights: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600" w:type="dxa"/>
            <w:vAlign w:val="bottom"/>
            <w:tcBorders>
              <w:top w:val="single" w:sz="8" w:color="auto"/>
              <w:left w:val="single" w:sz="8" w:color="auto"/>
              <w:right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 Change</w:t>
            </w:r>
          </w:p>
        </w:tc>
        <w:tc>
          <w:tcPr>
            <w:tcW w:w="17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right w:val="single" w:sz="8" w:color="auto"/>
            </w:tcBorders>
          </w:tcPr>
          <w:p>
            <w:pPr>
              <w:spacing w:after="0"/>
              <w:rPr>
                <w:sz w:val="19"/>
                <w:szCs w:val="19"/>
                <w:color w:val="auto"/>
              </w:rPr>
            </w:pPr>
          </w:p>
        </w:tc>
      </w:tr>
      <w:tr>
        <w:trPr>
          <w:trHeight w:val="205"/>
        </w:trPr>
        <w:tc>
          <w:tcPr>
            <w:tcW w:w="2600" w:type="dxa"/>
            <w:vAlign w:val="bottom"/>
            <w:tcBorders>
              <w:left w:val="single" w:sz="8" w:color="auto"/>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jc w:val="center"/>
              <w:ind w:right="190"/>
              <w:spacing w:after="0" w:line="205" w:lineRule="exact"/>
              <w:rPr>
                <w:sz w:val="20"/>
                <w:szCs w:val="20"/>
                <w:color w:val="auto"/>
              </w:rPr>
            </w:pPr>
            <w:r>
              <w:rPr>
                <w:rFonts w:ascii="Times New Roman" w:cs="Times New Roman" w:eastAsia="Times New Roman" w:hAnsi="Times New Roman"/>
                <w:sz w:val="18"/>
                <w:szCs w:val="18"/>
                <w:color w:val="auto"/>
                <w:w w:val="98"/>
              </w:rPr>
              <w:t>Operating Profit</w:t>
            </w:r>
          </w:p>
        </w:tc>
        <w:tc>
          <w:tcPr>
            <w:tcW w:w="1700" w:type="dxa"/>
            <w:vAlign w:val="bottom"/>
            <w:tcBorders>
              <w:right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8"/>
              </w:rPr>
              <w:t>Operating Profit</w:t>
            </w:r>
          </w:p>
        </w:tc>
      </w:tr>
      <w:tr>
        <w:trPr>
          <w:trHeight w:val="234"/>
        </w:trPr>
        <w:tc>
          <w:tcPr>
            <w:tcW w:w="2600" w:type="dxa"/>
            <w:vAlign w:val="bottom"/>
            <w:tcBorders>
              <w:left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System Sales</w:t>
            </w:r>
            <w:r>
              <w:rPr>
                <w:rFonts w:ascii="Times New Roman" w:cs="Times New Roman" w:eastAsia="Times New Roman" w:hAnsi="Times New Roman"/>
                <w:sz w:val="15"/>
                <w:szCs w:val="15"/>
                <w:color w:val="auto"/>
              </w:rPr>
              <w:t>(a)</w:t>
            </w:r>
          </w:p>
        </w:tc>
        <w:tc>
          <w:tcPr>
            <w:tcW w:w="1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Same-Store Sales</w:t>
            </w:r>
            <w:r>
              <w:rPr>
                <w:rFonts w:ascii="Times New Roman" w:cs="Times New Roman" w:eastAsia="Times New Roman" w:hAnsi="Times New Roman"/>
                <w:sz w:val="15"/>
                <w:szCs w:val="15"/>
                <w:color w:val="auto"/>
              </w:rPr>
              <w:t>(a)</w:t>
            </w: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Net New Units</w:t>
            </w:r>
          </w:p>
        </w:tc>
        <w:tc>
          <w:tcPr>
            <w:tcW w:w="17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(Reported)</w:t>
            </w:r>
          </w:p>
        </w:tc>
        <w:tc>
          <w:tcPr>
            <w:tcW w:w="17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(Ex F/X)</w:t>
            </w:r>
          </w:p>
        </w:tc>
      </w:tr>
      <w:tr>
        <w:trPr>
          <w:trHeight w:val="218"/>
        </w:trPr>
        <w:tc>
          <w:tcPr>
            <w:tcW w:w="2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KFC</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Pizza Hut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 Segments</w:t>
            </w:r>
            <w:r>
              <w:rPr>
                <w:rFonts w:ascii="Times New Roman" w:cs="Times New Roman" w:eastAsia="Times New Roman" w:hAnsi="Times New Roman"/>
                <w:sz w:val="15"/>
                <w:szCs w:val="15"/>
                <w:color w:val="auto"/>
              </w:rPr>
              <w:t>(b)</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2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45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to date highlights:</w:t>
            </w:r>
          </w:p>
        </w:tc>
        <w:tc>
          <w:tcPr>
            <w:tcW w:w="17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23"/>
        </w:trPr>
        <w:tc>
          <w:tcPr>
            <w:tcW w:w="2600" w:type="dxa"/>
            <w:vAlign w:val="bottom"/>
            <w:tcBorders>
              <w:left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 Change</w:t>
            </w:r>
          </w:p>
        </w:tc>
        <w:tc>
          <w:tcPr>
            <w:tcW w:w="17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5"/>
        </w:trPr>
        <w:tc>
          <w:tcPr>
            <w:tcW w:w="2600" w:type="dxa"/>
            <w:vAlign w:val="bottom"/>
            <w:tcBorders>
              <w:left w:val="single" w:sz="8" w:color="auto"/>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jc w:val="center"/>
              <w:ind w:right="190"/>
              <w:spacing w:after="0" w:line="205" w:lineRule="exact"/>
              <w:rPr>
                <w:sz w:val="20"/>
                <w:szCs w:val="20"/>
                <w:color w:val="auto"/>
              </w:rPr>
            </w:pPr>
            <w:r>
              <w:rPr>
                <w:rFonts w:ascii="Times New Roman" w:cs="Times New Roman" w:eastAsia="Times New Roman" w:hAnsi="Times New Roman"/>
                <w:sz w:val="18"/>
                <w:szCs w:val="18"/>
                <w:color w:val="auto"/>
                <w:w w:val="98"/>
              </w:rPr>
              <w:t>Operating Profit</w:t>
            </w:r>
          </w:p>
        </w:tc>
        <w:tc>
          <w:tcPr>
            <w:tcW w:w="1700" w:type="dxa"/>
            <w:vAlign w:val="bottom"/>
            <w:tcBorders>
              <w:right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8"/>
              </w:rPr>
              <w:t>Operating Profit</w:t>
            </w:r>
          </w:p>
        </w:tc>
      </w:tr>
      <w:tr>
        <w:trPr>
          <w:trHeight w:val="234"/>
        </w:trPr>
        <w:tc>
          <w:tcPr>
            <w:tcW w:w="2600" w:type="dxa"/>
            <w:vAlign w:val="bottom"/>
            <w:tcBorders>
              <w:left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System Sales</w:t>
            </w:r>
            <w:r>
              <w:rPr>
                <w:rFonts w:ascii="Times New Roman" w:cs="Times New Roman" w:eastAsia="Times New Roman" w:hAnsi="Times New Roman"/>
                <w:sz w:val="15"/>
                <w:szCs w:val="15"/>
                <w:color w:val="auto"/>
              </w:rPr>
              <w:t>(a)</w:t>
            </w:r>
          </w:p>
        </w:tc>
        <w:tc>
          <w:tcPr>
            <w:tcW w:w="1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Same-Store Sales</w:t>
            </w:r>
            <w:r>
              <w:rPr>
                <w:rFonts w:ascii="Times New Roman" w:cs="Times New Roman" w:eastAsia="Times New Roman" w:hAnsi="Times New Roman"/>
                <w:sz w:val="15"/>
                <w:szCs w:val="15"/>
                <w:color w:val="auto"/>
              </w:rPr>
              <w:t>(a)</w:t>
            </w: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Net New Units</w:t>
            </w:r>
          </w:p>
        </w:tc>
        <w:tc>
          <w:tcPr>
            <w:tcW w:w="17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(Reported)</w:t>
            </w:r>
          </w:p>
        </w:tc>
        <w:tc>
          <w:tcPr>
            <w:tcW w:w="17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(Ex F/X)</w:t>
            </w:r>
          </w:p>
        </w:tc>
      </w:tr>
      <w:tr>
        <w:trPr>
          <w:trHeight w:val="218"/>
        </w:trPr>
        <w:tc>
          <w:tcPr>
            <w:tcW w:w="2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KFC</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Pizza Hut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 Segments</w:t>
            </w:r>
            <w:r>
              <w:rPr>
                <w:rFonts w:ascii="Times New Roman" w:cs="Times New Roman" w:eastAsia="Times New Roman" w:hAnsi="Times New Roman"/>
                <w:sz w:val="15"/>
                <w:szCs w:val="15"/>
                <w:color w:val="auto"/>
              </w:rPr>
              <w:t>(b)</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2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refers to changes over 100%, from negative to positive amounts or from zero to an amount.</w:t>
      </w:r>
    </w:p>
    <w:p>
      <w:pPr>
        <w:spacing w:after="0" w:line="225"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and same-store sales percentages as shown in tables exclude the impact of F/X.</w:t>
      </w:r>
    </w:p>
    <w:p>
      <w:pPr>
        <w:spacing w:after="0" w:line="22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non-Company-owned restaurants, for which we do not receive a sales-based royalty, are excluded from system sales and same-store sales.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operated over 8,900 units, predominately KFC and Pizza Hut restaurants, which are the leading QSR and CDR brand, respectively, in mainland China. Given our strong competitive position, a growing economy and a population of approximately 1.4 billion in mainland China, the Company has rapidly added KFC and Pizza Hut restaurants.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compared to the third quarter of 2018, Company sales in the third quarter of 2019 increased 4%, or 8% if excluding the impact of F/X. Company sales for the year to date ended September 30, 2019 increased 3%, or 9% if excluding the impact of F/X. The quarter and year to date increase in Company sales, excluding the impact of F/X, was driven by net unit growth and same-store sales growth.</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Operating profit for the quarter, excluding the impact of F/X, was primarily driven by same-store sales growth, net unit growth, labor efficiency and utilities savings, partially offset by wage and commodity inflation, and higher promotion and product upgrade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 to date decrease in Operating profit, excluding the impact of F/X, was primarily due to the negative impact from lapping a gain recognized from re-measurement of our equity interest in Wuxi KFC upon acquisition in the first quarter of 2018, wage and commodity inflation, higher promotion and product upgrade costs, and higher G&amp;A expenses, partially offset by the positive impact from same-store sales growth, net unit growth and labor efficiency.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quarters and years to date ended September 30, 2019 and 2018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 B/(W) </w:t>
            </w:r>
            <w:r>
              <w:rPr>
                <w:rFonts w:ascii="Times New Roman" w:cs="Times New Roman" w:eastAsia="Times New Roman" w:hAnsi="Times New Roman"/>
                <w:sz w:val="27"/>
                <w:szCs w:val="27"/>
                <w:b w:val="1"/>
                <w:bCs w:val="1"/>
                <w:color w:val="auto"/>
                <w:vertAlign w:val="superscript"/>
              </w:rPr>
              <w:t>(a)</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to Date Ended</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 B/(W) </w:t>
            </w:r>
            <w:r>
              <w:rPr>
                <w:rFonts w:ascii="Times New Roman" w:cs="Times New Roman" w:eastAsia="Times New Roman" w:hAnsi="Times New Roman"/>
                <w:sz w:val="27"/>
                <w:szCs w:val="27"/>
                <w:b w:val="1"/>
                <w:bCs w:val="1"/>
                <w:color w:val="auto"/>
                <w:vertAlign w:val="superscript"/>
              </w:rPr>
              <w:t>(a)</w:t>
            </w: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100" w:type="dxa"/>
            <w:vAlign w:val="bottom"/>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9/30/2018</w:t>
            </w:r>
          </w:p>
        </w:tc>
        <w:tc>
          <w:tcPr>
            <w:tcW w:w="120" w:type="dxa"/>
            <w:vAlign w:val="bottom"/>
          </w:tcPr>
          <w:p>
            <w:pPr>
              <w:spacing w:after="0"/>
              <w:rPr>
                <w:sz w:val="17"/>
                <w:szCs w:val="17"/>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20" w:type="dxa"/>
            <w:vAlign w:val="bottom"/>
          </w:tcPr>
          <w:p>
            <w:pPr>
              <w:spacing w:after="0"/>
              <w:rPr>
                <w:sz w:val="17"/>
                <w:szCs w:val="17"/>
                <w:color w:val="auto"/>
              </w:rPr>
            </w:pPr>
          </w:p>
        </w:tc>
        <w:tc>
          <w:tcPr>
            <w:tcW w:w="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Ex F/X</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9/30/2018</w:t>
            </w:r>
          </w:p>
        </w:tc>
        <w:tc>
          <w:tcPr>
            <w:tcW w:w="120" w:type="dxa"/>
            <w:vAlign w:val="bottom"/>
          </w:tcPr>
          <w:p>
            <w:pPr>
              <w:spacing w:after="0"/>
              <w:rPr>
                <w:sz w:val="17"/>
                <w:szCs w:val="17"/>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7"/>
                <w:szCs w:val="17"/>
                <w:color w:val="auto"/>
              </w:rPr>
            </w:pP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 F/X</w:t>
            </w:r>
          </w:p>
        </w:tc>
        <w:tc>
          <w:tcPr>
            <w:tcW w:w="0" w:type="dxa"/>
            <w:vAlign w:val="bottom"/>
          </w:tcPr>
          <w:p>
            <w:pPr>
              <w:spacing w:after="0"/>
              <w:rPr>
                <w:sz w:val="1"/>
                <w:szCs w:val="1"/>
                <w:color w:val="auto"/>
              </w:rPr>
            </w:pPr>
          </w:p>
        </w:tc>
      </w:tr>
      <w:tr>
        <w:trPr>
          <w:trHeight w:val="221"/>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2,097</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2,008</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6,112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5,912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franchisees and</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159</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461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9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2,212</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6,747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6,501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Restaurant profits</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372</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353</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Restaurant Margin %</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ppts.</w:t>
            </w:r>
          </w:p>
        </w:tc>
        <w:tc>
          <w:tcPr>
            <w:tcW w:w="0" w:type="dxa"/>
            <w:vAlign w:val="bottom"/>
          </w:tcPr>
          <w:p>
            <w:pPr>
              <w:spacing w:after="0" w:line="20" w:lineRule="exact"/>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ppts.</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ppts.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ppts.</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8"/>
                <w:szCs w:val="18"/>
                <w:color w:val="auto"/>
              </w:rPr>
              <w:t>)</w:t>
            </w: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269</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857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 - including</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212</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658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 - noncontrolling</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 - Yum</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China Holdings, Inc.</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223</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203</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634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 Earnings Per Common</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0.51</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Adjusted Operating Profit</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Adjusted Net Income - Yum</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China Holdings, Inc.</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223</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Adjusted Diluted Earnings</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 Common Share</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40" w:type="dxa"/>
            <w:vAlign w:val="bottom"/>
            <w:vMerge w:val="continue"/>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407</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hanging="592"/>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period-over-period change in percentage.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Metrics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66"/>
        </w:trPr>
        <w:tc>
          <w:tcPr>
            <w:tcW w:w="152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15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60" w:type="dxa"/>
            <w:vAlign w:val="bottom"/>
          </w:tcPr>
          <w:p>
            <w:pPr>
              <w:spacing w:after="0"/>
              <w:rPr>
                <w:sz w:val="19"/>
                <w:szCs w:val="19"/>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1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 Sales Growth</w:t>
            </w: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System Sales Growth, excluding F/X</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Same-Store Sales Growth (Decline)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Unit Count</w:t>
            </w:r>
          </w:p>
        </w:tc>
        <w:tc>
          <w:tcPr>
            <w:tcW w:w="3020" w:type="dxa"/>
            <w:vAlign w:val="bottom"/>
          </w:tcPr>
          <w:p>
            <w:pPr>
              <w:spacing w:after="0"/>
              <w:rPr>
                <w:sz w:val="17"/>
                <w:szCs w:val="17"/>
                <w:color w:val="auto"/>
              </w:rPr>
            </w:pPr>
          </w:p>
        </w:tc>
        <w:tc>
          <w:tcPr>
            <w:tcW w:w="4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7"/>
                <w:szCs w:val="17"/>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40" w:type="dxa"/>
            <w:vAlign w:val="bottom"/>
          </w:tcPr>
          <w:p>
            <w:pPr>
              <w:spacing w:after="0"/>
              <w:rPr>
                <w:sz w:val="17"/>
                <w:szCs w:val="17"/>
                <w:color w:val="auto"/>
              </w:rPr>
            </w:pP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0" w:type="dxa"/>
            <w:vAlign w:val="bottom"/>
          </w:tcPr>
          <w:p>
            <w:pPr>
              <w:spacing w:after="0"/>
              <w:rPr>
                <w:sz w:val="1"/>
                <w:szCs w:val="1"/>
                <w:color w:val="auto"/>
              </w:rPr>
            </w:pPr>
          </w:p>
        </w:tc>
      </w:tr>
      <w:tr>
        <w:trPr>
          <w:trHeight w:val="21"/>
        </w:trPr>
        <w:tc>
          <w:tcPr>
            <w:tcW w:w="3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Company-owned</w:t>
            </w:r>
          </w:p>
        </w:tc>
        <w:tc>
          <w:tcPr>
            <w:tcW w:w="2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84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7,171</w:t>
            </w: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6,711</w:t>
            </w:r>
          </w:p>
        </w:tc>
        <w:tc>
          <w:tcPr>
            <w:tcW w:w="14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Franchisees</w:t>
            </w:r>
          </w:p>
        </w:tc>
        <w:tc>
          <w:tcPr>
            <w:tcW w:w="4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8,917</w:t>
            </w: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8,313</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2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Items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Special Items, along with the reconciliation of the most directly comparable GAAP financial measures to the adjusted financial measures,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0"/>
                <w:szCs w:val="20"/>
                <w:color w:val="auto"/>
              </w:rPr>
            </w:pPr>
          </w:p>
        </w:tc>
        <w:tc>
          <w:tcPr>
            <w:tcW w:w="26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to Date Ended</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Detail of Special Items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Gain from re-measurement of equity interest upon</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w:t>
            </w:r>
            <w:r>
              <w:rPr>
                <w:rFonts w:ascii="Times New Roman" w:cs="Times New Roman" w:eastAsia="Times New Roman" w:hAnsi="Times New Roman"/>
                <w:sz w:val="15"/>
                <w:szCs w:val="15"/>
                <w:color w:val="auto"/>
              </w:rPr>
              <w:t>(a)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Expenses on Special Items</w:t>
            </w:r>
            <w:r>
              <w:rPr>
                <w:rFonts w:ascii="Times New Roman" w:cs="Times New Roman" w:eastAsia="Times New Roman" w:hAnsi="Times New Roman"/>
                <w:sz w:val="15"/>
                <w:szCs w:val="15"/>
                <w:color w:val="auto"/>
              </w:rPr>
              <w:t>(b)</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from the Tax Act</w:t>
            </w:r>
            <w:r>
              <w:rPr>
                <w:rFonts w:ascii="Times New Roman" w:cs="Times New Roman" w:eastAsia="Times New Roman" w:hAnsi="Times New Roman"/>
                <w:sz w:val="15"/>
                <w:szCs w:val="15"/>
                <w:color w:val="auto"/>
              </w:rPr>
              <w:t>(c)</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Special items, net income – including noncontrolling</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 net income – noncontrolling interests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 Net income – Yum China Holdings, Inc.</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90"/>
              <w:spacing w:after="0" w:line="206" w:lineRule="exact"/>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50"/>
              <w:spacing w:after="0" w:line="206" w:lineRule="exact"/>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 Diluted Earnings Per Common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Profit to Adjusted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 Yum China Holdings, Inc.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 Net Income – Yum China Holdings, Inc.</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 Yum China Holdings, Inc.</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EPS to Adjusted EPS</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 Basic Earnings Per Common Share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Basic Earnings Per Common Share</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0.59</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0.58</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ind w:right="90"/>
              <w:spacing w:after="0" w:line="206" w:lineRule="exact"/>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ind w:right="150"/>
              <w:spacing w:after="0" w:line="20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 Diluted Earnings Per Common Share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Diluted Earnings Per Common Share</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0.58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Effective Tax Rate to Adjusted</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 (See Note 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on effective tax rate as a result of Special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Items</w:t>
            </w:r>
            <w:r>
              <w:rPr>
                <w:rFonts w:ascii="Times New Roman" w:cs="Times New Roman" w:eastAsia="Times New Roman" w:hAnsi="Times New Roman"/>
                <w:sz w:val="15"/>
                <w:szCs w:val="15"/>
                <w:color w:val="auto"/>
              </w:rPr>
              <w:t>(b)(c)</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right="20" w:hanging="592"/>
        <w:spacing w:after="0" w:line="282"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acquisition of Wuxi KFC in the first quarter of 2018, the Company recognized a gain of $98 million from the re-measurement of our previously held 47% equity interest at fair value, which was not allocated to any segment for performance reporting purposes. (See Note 2).</w:t>
      </w:r>
    </w:p>
    <w:p>
      <w:pPr>
        <w:spacing w:after="0" w:line="16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expense was determined based upon the nature, as well as the jurisdiction, of each Special Item at the applicable tax rate.</w:t>
      </w:r>
    </w:p>
    <w:p>
      <w:pPr>
        <w:spacing w:after="0" w:line="225"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evaluation of the impact on our transition tax computation based on the final regulations that were released by the U.S. Treasury Department and the IRS and became effective in the first quarter of 2019, and recorded an additional amount of $8 million for the transition tax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along with the reconciliation to Adjusted EBITDA, is presented below.</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6"/>
        </w:trPr>
        <w:tc>
          <w:tcPr>
            <w:tcW w:w="4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4"/>
                <w:szCs w:val="24"/>
                <w:color w:val="auto"/>
              </w:rPr>
            </w:pPr>
          </w:p>
        </w:tc>
        <w:tc>
          <w:tcPr>
            <w:tcW w:w="260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tc>
        <w:tc>
          <w:tcPr>
            <w:tcW w:w="1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18"/>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 Yum China Holdings, Inc.</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634</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 noncontrolling interests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gain</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857</w:t>
            </w: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0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759</w:t>
            </w: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343</w:t>
            </w: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Store impairment charges</w:t>
            </w:r>
          </w:p>
        </w:tc>
        <w:tc>
          <w:tcPr>
            <w:tcW w:w="1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1,125</w:t>
            </w:r>
          </w:p>
        </w:tc>
      </w:tr>
      <w:tr>
        <w:trPr>
          <w:trHeight w:val="20"/>
        </w:trPr>
        <w:tc>
          <w:tcPr>
            <w:tcW w:w="4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KFC</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 to Date Ended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2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 B/(W)</w:t>
            </w: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737"/>
              <w:spacing w:after="0"/>
              <w:rPr>
                <w:sz w:val="20"/>
                <w:szCs w:val="20"/>
                <w:color w:val="auto"/>
              </w:rPr>
            </w:pPr>
            <w:r>
              <w:rPr>
                <w:rFonts w:ascii="Times New Roman" w:cs="Times New Roman" w:eastAsia="Times New Roman" w:hAnsi="Times New Roman"/>
                <w:sz w:val="16"/>
                <w:szCs w:val="16"/>
                <w:b w:val="1"/>
                <w:bCs w:val="1"/>
                <w:color w:val="auto"/>
              </w:rPr>
              <w:t>% B/(W)</w:t>
            </w:r>
          </w:p>
        </w:tc>
      </w:tr>
      <w:tr>
        <w:trPr>
          <w:trHeight w:val="208"/>
        </w:trPr>
        <w:tc>
          <w:tcPr>
            <w:tcW w:w="292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10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9/30/2018</w:t>
            </w:r>
          </w:p>
        </w:tc>
        <w:tc>
          <w:tcPr>
            <w:tcW w:w="100" w:type="dxa"/>
            <w:vAlign w:val="bottom"/>
          </w:tcPr>
          <w:p>
            <w:pPr>
              <w:spacing w:after="0"/>
              <w:rPr>
                <w:sz w:val="18"/>
                <w:szCs w:val="18"/>
                <w:color w:val="auto"/>
              </w:rPr>
            </w:pPr>
          </w:p>
        </w:tc>
        <w:tc>
          <w:tcPr>
            <w:tcW w:w="8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Ex F/X</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8"/>
              </w:rPr>
              <w:t>9/30/2019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8"/>
              </w:rPr>
              <w:t>9/30/2018</w:t>
            </w:r>
          </w:p>
        </w:tc>
        <w:tc>
          <w:tcPr>
            <w:tcW w:w="100" w:type="dxa"/>
            <w:vAlign w:val="bottom"/>
          </w:tcPr>
          <w:p>
            <w:pPr>
              <w:spacing w:after="0"/>
              <w:rPr>
                <w:sz w:val="18"/>
                <w:szCs w:val="18"/>
                <w:color w:val="auto"/>
              </w:rPr>
            </w:pPr>
          </w:p>
        </w:tc>
        <w:tc>
          <w:tcPr>
            <w:tcW w:w="10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Ex F/X</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60" w:type="dxa"/>
            <w:vAlign w:val="bottom"/>
          </w:tcPr>
          <w:p>
            <w:pPr>
              <w:spacing w:after="0"/>
              <w:rPr>
                <w:sz w:val="18"/>
                <w:szCs w:val="18"/>
                <w:color w:val="auto"/>
              </w:rPr>
            </w:pP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34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104</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77"/>
              <w:spacing w:after="0"/>
              <w:rPr>
                <w:sz w:val="20"/>
                <w:szCs w:val="20"/>
                <w:color w:val="auto"/>
              </w:rPr>
            </w:pPr>
            <w:r>
              <w:rPr>
                <w:rFonts w:ascii="Times New Roman" w:cs="Times New Roman" w:eastAsia="Times New Roman" w:hAnsi="Times New Roman"/>
                <w:sz w:val="16"/>
                <w:szCs w:val="16"/>
                <w:color w:val="auto"/>
              </w:rPr>
              <w:t>7</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 franchisees and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260" w:type="dxa"/>
            <w:vAlign w:val="bottom"/>
          </w:tcPr>
          <w:p>
            <w:pPr>
              <w:spacing w:after="0"/>
              <w:rPr>
                <w:sz w:val="18"/>
                <w:szCs w:val="18"/>
                <w:color w:val="auto"/>
              </w:rPr>
            </w:pP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47</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77"/>
              <w:spacing w:after="0"/>
              <w:rPr>
                <w:sz w:val="20"/>
                <w:szCs w:val="20"/>
                <w:color w:val="auto"/>
              </w:rPr>
            </w:pPr>
            <w:r>
              <w:rPr>
                <w:rFonts w:ascii="Times New Roman" w:cs="Times New Roman" w:eastAsia="Times New Roman" w:hAnsi="Times New Roman"/>
                <w:sz w:val="16"/>
                <w:szCs w:val="16"/>
                <w:color w:val="auto"/>
              </w:rPr>
              <w:t>7</w:t>
            </w:r>
          </w:p>
        </w:tc>
      </w:tr>
      <w:tr>
        <w:trPr>
          <w:trHeight w:val="23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0"/>
                <w:szCs w:val="20"/>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NM</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1,501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4,648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4,399</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77"/>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0"/>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Restaurant profit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4"/>
                <w:szCs w:val="24"/>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279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807</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377"/>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Restaurant margin %</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1"/>
              </w:rPr>
              <w:t>ppts.</w:t>
            </w:r>
          </w:p>
        </w:tc>
        <w:tc>
          <w:tcPr>
            <w:tcW w:w="74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color w:val="auto"/>
              </w:rPr>
              <w:t>0.9</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ppts.</w:t>
            </w:r>
          </w:p>
        </w:tc>
        <w:tc>
          <w:tcPr>
            <w:tcW w:w="100" w:type="dxa"/>
            <w:vAlign w:val="bottom"/>
          </w:tcPr>
          <w:p>
            <w:pPr>
              <w:spacing w:after="0"/>
              <w:rPr>
                <w:sz w:val="18"/>
                <w:szCs w:val="18"/>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10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(0.2) ppts.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ppts.</w:t>
            </w: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G&amp;A expenses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44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135</w:t>
            </w:r>
          </w:p>
        </w:tc>
        <w:tc>
          <w:tcPr>
            <w:tcW w:w="88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317"/>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317"/>
              <w:spacing w:after="0"/>
              <w:rPr>
                <w:sz w:val="20"/>
                <w:szCs w:val="20"/>
                <w:color w:val="auto"/>
              </w:rPr>
            </w:pPr>
            <w:r>
              <w:rPr>
                <w:rFonts w:ascii="Times New Roman" w:cs="Times New Roman" w:eastAsia="Times New Roman" w:hAnsi="Times New Roman"/>
                <w:sz w:val="16"/>
                <w:szCs w:val="16"/>
                <w:color w:val="auto"/>
              </w:rPr>
              <w:t>(5)</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Expenses for transactions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 franchisees and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47</w:t>
            </w:r>
          </w:p>
        </w:tc>
        <w:tc>
          <w:tcPr>
            <w:tcW w:w="88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17"/>
              <w:spacing w:after="0"/>
              <w:rPr>
                <w:sz w:val="20"/>
                <w:szCs w:val="20"/>
                <w:color w:val="auto"/>
              </w:rPr>
            </w:pPr>
            <w:r>
              <w:rPr>
                <w:rFonts w:ascii="Times New Roman" w:cs="Times New Roman" w:eastAsia="Times New Roman" w:hAnsi="Times New Roman"/>
                <w:sz w:val="16"/>
                <w:szCs w:val="16"/>
                <w:color w:val="auto"/>
              </w:rPr>
              <w:t>(6)</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expenses, net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auto"/>
              </w:rPr>
              <w:t>NM</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6</w:t>
            </w:r>
          </w:p>
        </w:tc>
        <w:tc>
          <w:tcPr>
            <w:tcW w:w="88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17"/>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color w:val="auto"/>
              </w:rPr>
              <w:t>(42)</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77"/>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264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color w:val="auto"/>
              </w:rPr>
              <w:t>759</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77"/>
              <w:spacing w:after="0"/>
              <w:rPr>
                <w:sz w:val="20"/>
                <w:szCs w:val="20"/>
                <w:color w:val="auto"/>
              </w:rPr>
            </w:pPr>
            <w:r>
              <w:rPr>
                <w:rFonts w:ascii="Times New Roman" w:cs="Times New Roman" w:eastAsia="Times New Roman" w:hAnsi="Times New Roman"/>
                <w:sz w:val="16"/>
                <w:szCs w:val="16"/>
                <w:color w:val="auto"/>
              </w:rPr>
              <w:t>10</w:t>
            </w:r>
          </w:p>
        </w:tc>
      </w:tr>
      <w:tr>
        <w:trPr>
          <w:trHeight w:val="452"/>
        </w:trPr>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w w:val="97"/>
              </w:rPr>
              <w:t>Year to Date Ended</w:t>
            </w:r>
          </w:p>
        </w:tc>
      </w:tr>
      <w:tr>
        <w:trPr>
          <w:trHeight w:val="223"/>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3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1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System Sales Growth</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System Sales Growth, excluding F/X</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Same-Store Sales Growth</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Unit Count</w:t>
            </w:r>
          </w:p>
        </w:tc>
        <w:tc>
          <w:tcPr>
            <w:tcW w:w="5840" w:type="dxa"/>
            <w:vAlign w:val="bottom"/>
          </w:tcPr>
          <w:p>
            <w:pPr>
              <w:spacing w:after="0"/>
              <w:rPr>
                <w:sz w:val="17"/>
                <w:szCs w:val="17"/>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7"/>
                <w:szCs w:val="17"/>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40" w:type="dxa"/>
            <w:vAlign w:val="bottom"/>
          </w:tcPr>
          <w:p>
            <w:pPr>
              <w:spacing w:after="0"/>
              <w:rPr>
                <w:sz w:val="17"/>
                <w:szCs w:val="17"/>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0" w:type="dxa"/>
            <w:vAlign w:val="bottom"/>
          </w:tcPr>
          <w:p>
            <w:pPr>
              <w:spacing w:after="0"/>
              <w:rPr>
                <w:sz w:val="1"/>
                <w:szCs w:val="1"/>
                <w:color w:val="auto"/>
              </w:rPr>
            </w:pPr>
          </w:p>
        </w:tc>
      </w:tr>
      <w:tr>
        <w:trPr>
          <w:trHeight w:val="21"/>
        </w:trPr>
        <w:tc>
          <w:tcPr>
            <w:tcW w:w="6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Company-owned</w:t>
            </w: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660" w:type="dxa"/>
            <w:vAlign w:val="bottom"/>
            <w:gridSpan w:val="2"/>
            <w:vMerge w:val="continue"/>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4,925</w:t>
            </w: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Franchisees</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6,324</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Sales and Restaurant Profit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changes in Company sales and Restaurant profit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Store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Income (Expense)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9/30/2018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Actions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b w:val="1"/>
                <w:bCs w:val="1"/>
                <w:color w:val="auto"/>
              </w:rPr>
              <w:t>F/X</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Company sales</w:t>
            </w:r>
          </w:p>
        </w:tc>
        <w:tc>
          <w:tcPr>
            <w:tcW w:w="22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380" w:type="dxa"/>
            <w:vAlign w:val="bottom"/>
            <w:vMerge w:val="continue"/>
          </w:tcPr>
          <w:p>
            <w:pPr>
              <w:spacing w:after="0"/>
              <w:rPr>
                <w:sz w:val="18"/>
                <w:szCs w:val="18"/>
                <w:color w:val="auto"/>
              </w:rPr>
            </w:pPr>
          </w:p>
        </w:tc>
        <w:tc>
          <w:tcPr>
            <w:tcW w:w="2260" w:type="dxa"/>
            <w:vAlign w:val="bottom"/>
            <w:vMerge w:val="continue"/>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labor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profit</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Year to Date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90"/>
              <w:spacing w:after="0" w:line="201" w:lineRule="exact"/>
              <w:rPr>
                <w:sz w:val="20"/>
                <w:szCs w:val="20"/>
                <w:color w:val="auto"/>
              </w:rPr>
            </w:pPr>
            <w:r>
              <w:rPr>
                <w:rFonts w:ascii="Times New Roman" w:cs="Times New Roman" w:eastAsia="Times New Roman" w:hAnsi="Times New Roman"/>
                <w:sz w:val="18"/>
                <w:szCs w:val="18"/>
                <w:b w:val="1"/>
                <w:bCs w:val="1"/>
                <w:color w:val="auto"/>
              </w:rPr>
              <w:t>Store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Income (Expense)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9/30/2018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Actions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660"/>
              <w:spacing w:after="0" w:line="198" w:lineRule="exact"/>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740"/>
              <w:spacing w:after="0" w:line="198" w:lineRule="exact"/>
              <w:rPr>
                <w:sz w:val="20"/>
                <w:szCs w:val="20"/>
                <w:color w:val="auto"/>
              </w:rPr>
            </w:pPr>
            <w:r>
              <w:rPr>
                <w:rFonts w:ascii="Times New Roman" w:cs="Times New Roman" w:eastAsia="Times New Roman" w:hAnsi="Times New Roman"/>
                <w:sz w:val="18"/>
                <w:szCs w:val="18"/>
                <w:b w:val="1"/>
                <w:bCs w:val="1"/>
                <w:color w:val="auto"/>
              </w:rPr>
              <w:t>F/X</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Company sales</w:t>
            </w:r>
          </w:p>
        </w:tc>
        <w:tc>
          <w:tcPr>
            <w:tcW w:w="22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380" w:type="dxa"/>
            <w:vAlign w:val="bottom"/>
            <w:vMerge w:val="continue"/>
          </w:tcPr>
          <w:p>
            <w:pPr>
              <w:spacing w:after="0"/>
              <w:rPr>
                <w:sz w:val="18"/>
                <w:szCs w:val="18"/>
                <w:color w:val="auto"/>
              </w:rPr>
            </w:pPr>
          </w:p>
        </w:tc>
        <w:tc>
          <w:tcPr>
            <w:tcW w:w="2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labor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profit</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Company sales and Restaurant profit for the quarter, excluding the impact of F/X, was primarily driven by same-store sales growth, net unit growth, labor efficiency and utilities savings, partially offset by higher labor costs mainly due to wage inflation of 5% and commodity inflation of 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 to date increase in Company sales and Restaurant profit, excluding the impact of F/X, was primarily driven by same-store sales growth, net unit growth, lower depreciation expenses and lower advertising expenses, partially offset by commodity inflation of 4%, higher labor costs mainly due to wage inflation of 6% and higher promotion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Fees and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Franchise fees and income for the quarter, excluding the impact of F/X, was primarily driven by net unit growth and same-store sales growth of unconsolidated affiliates and franchisees.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 to date increase in Franchise fees and income, excluding the impact of F/X, was primarily driven by same-store sales growth and net unit growth of unconsolidated affiliates and franchisees, partially offset by the impact of the acquisition of Wuxi KFC.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G&amp;A Expenses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quarter and year to date increase in G&amp;A expenses, excluding the impact of F/X, was primarily driven by higher compensation costs mainly due to merit increases and higher performance-based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quarter and year to date increase in Operating profit, excluding the impact of F/X, was primarily driven by the increase in restaurant profit, partially offset by higher G&amp;A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Pizza Hut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Year to Date Ended</w:t>
            </w: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09"/>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 B/(W)</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 B/(W)</w:t>
            </w: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9/30/2019</w:t>
            </w:r>
          </w:p>
        </w:tc>
        <w:tc>
          <w:tcPr>
            <w:tcW w:w="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9/30/2018</w:t>
            </w:r>
          </w:p>
        </w:tc>
        <w:tc>
          <w:tcPr>
            <w:tcW w:w="10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Ex F/X</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9/30/2019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9/30/2018</w:t>
            </w:r>
          </w:p>
        </w:tc>
        <w:tc>
          <w:tcPr>
            <w:tcW w:w="80" w:type="dxa"/>
            <w:vAlign w:val="bottom"/>
          </w:tcPr>
          <w:p>
            <w:pPr>
              <w:spacing w:after="0"/>
              <w:rPr>
                <w:sz w:val="18"/>
                <w:szCs w:val="18"/>
                <w:color w:val="auto"/>
              </w:rPr>
            </w:pP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 F/X</w:t>
            </w: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1,640</w:t>
            </w:r>
          </w:p>
        </w:tc>
        <w:tc>
          <w:tcPr>
            <w:tcW w:w="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Borders>
              <w:top w:val="single" w:sz="8" w:color="auto"/>
            </w:tcBorders>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tcPr>
          <w:p>
            <w:pPr>
              <w:spacing w:after="0"/>
              <w:rPr>
                <w:sz w:val="18"/>
                <w:szCs w:val="18"/>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3"/>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franchisees and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0"/>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2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1,643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Restaurant profit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193</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Restaurant margin %</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ppts.</w:t>
            </w:r>
          </w:p>
        </w:tc>
        <w:tc>
          <w:tcPr>
            <w:tcW w:w="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(2.4) ppts.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ppts.</w:t>
            </w: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ppts.</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G&amp;A expenses</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80</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tcPr>
          <w:p>
            <w:pPr>
              <w:spacing w:after="0"/>
              <w:rPr>
                <w:sz w:val="18"/>
                <w:szCs w:val="18"/>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Expenses for transactions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3"/>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franchisees and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0"/>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0"/>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expenses, net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36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Pr>
          <w:p>
            <w:pPr>
              <w:spacing w:after="0"/>
              <w:rPr>
                <w:sz w:val="18"/>
                <w:szCs w:val="18"/>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236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5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Pr>
          <w:p>
            <w:pPr>
              <w:spacing w:after="0"/>
              <w:rPr>
                <w:sz w:val="19"/>
                <w:szCs w:val="19"/>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System Sales (Decline) Growth</w:t>
            </w: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 Sales Growth (Decline), excluding F/X</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Same-Store Sales Growth (Decline)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Unit Count</w:t>
            </w:r>
          </w:p>
        </w:tc>
        <w:tc>
          <w:tcPr>
            <w:tcW w:w="2740" w:type="dxa"/>
            <w:vAlign w:val="bottom"/>
          </w:tcPr>
          <w:p>
            <w:pPr>
              <w:spacing w:after="0"/>
              <w:rPr>
                <w:sz w:val="18"/>
                <w:szCs w:val="18"/>
                <w:color w:val="auto"/>
              </w:rPr>
            </w:pPr>
          </w:p>
        </w:tc>
        <w:tc>
          <w:tcPr>
            <w:tcW w:w="45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8"/>
                <w:szCs w:val="18"/>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4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0" w:type="dxa"/>
            <w:vAlign w:val="bottom"/>
          </w:tcPr>
          <w:p>
            <w:pPr>
              <w:spacing w:after="0"/>
              <w:rPr>
                <w:sz w:val="1"/>
                <w:szCs w:val="1"/>
                <w:color w:val="auto"/>
              </w:rPr>
            </w:pPr>
          </w:p>
        </w:tc>
      </w:tr>
      <w:tr>
        <w:trPr>
          <w:trHeight w:val="21"/>
        </w:trPr>
        <w:tc>
          <w:tcPr>
            <w:tcW w:w="3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Company-owned</w:t>
            </w:r>
          </w:p>
        </w:tc>
        <w:tc>
          <w:tcPr>
            <w:tcW w:w="3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56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Franchisees</w:t>
            </w:r>
          </w:p>
        </w:tc>
        <w:tc>
          <w:tcPr>
            <w:tcW w:w="4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2,255</w:t>
            </w: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2,215</w:t>
            </w:r>
          </w:p>
        </w:tc>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10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Sales and Restaurant Profit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changes in Company sales and Restaurant profit were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Store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Income (Expense)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1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Actions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520"/>
              <w:spacing w:after="0" w:line="198" w:lineRule="exact"/>
              <w:rPr>
                <w:sz w:val="20"/>
                <w:szCs w:val="20"/>
                <w:color w:val="auto"/>
              </w:rPr>
            </w:pPr>
            <w:r>
              <w:rPr>
                <w:rFonts w:ascii="Times New Roman" w:cs="Times New Roman" w:eastAsia="Times New Roman" w:hAnsi="Times New Roman"/>
                <w:sz w:val="18"/>
                <w:szCs w:val="18"/>
                <w:b w:val="1"/>
                <w:bCs w:val="1"/>
                <w:color w:val="auto"/>
              </w:rPr>
              <w:t>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b w:val="1"/>
                <w:bCs w:val="1"/>
                <w:color w:val="auto"/>
              </w:rPr>
              <w:t>F/X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Company sales</w:t>
            </w:r>
          </w:p>
        </w:tc>
        <w:tc>
          <w:tcPr>
            <w:tcW w:w="22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380" w:type="dxa"/>
            <w:vAlign w:val="bottom"/>
            <w:vMerge w:val="continue"/>
          </w:tcPr>
          <w:p>
            <w:pPr>
              <w:spacing w:after="0"/>
              <w:rPr>
                <w:sz w:val="18"/>
                <w:szCs w:val="18"/>
                <w:color w:val="auto"/>
              </w:rPr>
            </w:pPr>
          </w:p>
        </w:tc>
        <w:tc>
          <w:tcPr>
            <w:tcW w:w="2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labor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profit</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to Date Ended</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Store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Income (Expense)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Actions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640"/>
              <w:spacing w:after="0" w:line="198" w:lineRule="exact"/>
              <w:rPr>
                <w:sz w:val="20"/>
                <w:szCs w:val="20"/>
                <w:color w:val="auto"/>
              </w:rPr>
            </w:pPr>
            <w:r>
              <w:rPr>
                <w:rFonts w:ascii="Times New Roman" w:cs="Times New Roman" w:eastAsia="Times New Roman" w:hAnsi="Times New Roman"/>
                <w:sz w:val="18"/>
                <w:szCs w:val="18"/>
                <w:b w:val="1"/>
                <w:bCs w:val="1"/>
                <w:color w:val="auto"/>
              </w:rPr>
              <w:t>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740"/>
              <w:spacing w:after="0" w:line="198" w:lineRule="exact"/>
              <w:rPr>
                <w:sz w:val="20"/>
                <w:szCs w:val="20"/>
                <w:color w:val="auto"/>
              </w:rPr>
            </w:pPr>
            <w:r>
              <w:rPr>
                <w:rFonts w:ascii="Times New Roman" w:cs="Times New Roman" w:eastAsia="Times New Roman" w:hAnsi="Times New Roman"/>
                <w:sz w:val="18"/>
                <w:szCs w:val="18"/>
                <w:b w:val="1"/>
                <w:bCs w:val="1"/>
                <w:color w:val="auto"/>
              </w:rPr>
              <w:t>F/X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70"/>
              <w:spacing w:after="0" w:line="198" w:lineRule="exact"/>
              <w:rPr>
                <w:sz w:val="20"/>
                <w:szCs w:val="20"/>
                <w:color w:val="auto"/>
              </w:rPr>
            </w:pPr>
            <w:r>
              <w:rPr>
                <w:rFonts w:ascii="Times New Roman" w:cs="Times New Roman" w:eastAsia="Times New Roman" w:hAnsi="Times New Roman"/>
                <w:sz w:val="18"/>
                <w:szCs w:val="18"/>
                <w:b w:val="1"/>
                <w:bCs w:val="1"/>
                <w:color w:val="auto"/>
              </w:rPr>
              <w:t>9/30/2019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Company sales</w:t>
            </w:r>
          </w:p>
        </w:tc>
        <w:tc>
          <w:tcPr>
            <w:tcW w:w="22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380" w:type="dxa"/>
            <w:vAlign w:val="bottom"/>
            <w:vMerge w:val="continue"/>
          </w:tcPr>
          <w:p>
            <w:pPr>
              <w:spacing w:after="0"/>
              <w:rPr>
                <w:sz w:val="18"/>
                <w:szCs w:val="18"/>
                <w:color w:val="auto"/>
              </w:rPr>
            </w:pPr>
          </w:p>
        </w:tc>
        <w:tc>
          <w:tcPr>
            <w:tcW w:w="2260" w:type="dxa"/>
            <w:vAlign w:val="bottom"/>
            <w:vMerge w:val="continue"/>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labor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profit</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Company sales for the quarter, excluding the impact of F/X, was primarily driven by same-store sales growth and store portfolio actions. The decrease in Restaurant profit for the quarter, excluding the impact of F/X, was primarily driven by higher promotion costs and higher labor costs mainly attributable to wage inflation of 5%, partially offset by Company sales growth and commodity deflation of 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 to date increase in Company sales and Restaurant profit, excluding the impact of F/X, was primarily driven by same-store sales growth, store portfolio actions, labor efficiency, commodity deflation of 2% and utilities savings, partially offset by higher promotion costs and higher labor costs mainly attributable to wage inflation of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G&amp;A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 and year to date increase in G&amp;A expenses, excluding the impact of F/X, was primarily driven by higher compensation costs due to higher performance-based compensation, merit increases and lower government incentive received, partially offset by lower cost allocation associated with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Operating profit for the quarter, excluding the impact of F/X, was primarily driven by the decrease in restaurant profit and higher G&amp;A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 to date increase in Operating profit, excluding the impact of F/X, was primarily driven by the increase in restaurant profit and lower closure and store impairment expenses, net.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Segments reflects the results of East Dawning, Little Sheep, Taco Bell, Daojia, COFFii &amp; JOY and our e-commerce business.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to Date Ended</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Borders>
              <w:bottom w:val="single" w:sz="8" w:color="auto"/>
            </w:tcBorders>
            <w:gridSpan w:val="2"/>
          </w:tcPr>
          <w:p>
            <w:pPr>
              <w:ind w:left="700"/>
              <w:spacing w:after="0" w:line="155" w:lineRule="exact"/>
              <w:rPr>
                <w:sz w:val="20"/>
                <w:szCs w:val="20"/>
                <w:color w:val="auto"/>
              </w:rPr>
            </w:pPr>
            <w:r>
              <w:rPr>
                <w:rFonts w:ascii="Times New Roman" w:cs="Times New Roman" w:eastAsia="Times New Roman" w:hAnsi="Times New Roman"/>
                <w:sz w:val="14"/>
                <w:szCs w:val="14"/>
                <w:b w:val="1"/>
                <w:bCs w:val="1"/>
                <w:color w:val="auto"/>
              </w:rPr>
              <w:t>% B/(W)</w:t>
            </w:r>
          </w:p>
        </w:tc>
        <w:tc>
          <w:tcPr>
            <w:tcW w:w="10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auto"/>
            </w:tcBorders>
            <w:gridSpan w:val="2"/>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 B/(W)</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Company sales</w:t>
            </w:r>
          </w:p>
        </w:tc>
        <w:tc>
          <w:tcPr>
            <w:tcW w:w="100" w:type="dxa"/>
            <w:vAlign w:val="bottom"/>
          </w:tcPr>
          <w:p>
            <w:pPr>
              <w:spacing w:after="0"/>
              <w:rPr>
                <w:sz w:val="13"/>
                <w:szCs w:val="13"/>
                <w:color w:val="auto"/>
              </w:rPr>
            </w:pPr>
          </w:p>
        </w:tc>
        <w:tc>
          <w:tcPr>
            <w:tcW w:w="1000" w:type="dxa"/>
            <w:vAlign w:val="bottom"/>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9/30/2019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9/30/2018</w:t>
            </w:r>
          </w:p>
        </w:tc>
        <w:tc>
          <w:tcPr>
            <w:tcW w:w="60" w:type="dxa"/>
            <w:vAlign w:val="bottom"/>
          </w:tcPr>
          <w:p>
            <w:pPr>
              <w:spacing w:after="0"/>
              <w:rPr>
                <w:sz w:val="13"/>
                <w:szCs w:val="13"/>
                <w:color w:val="auto"/>
              </w:rPr>
            </w:pPr>
          </w:p>
        </w:tc>
        <w:tc>
          <w:tcPr>
            <w:tcW w:w="13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right"/>
              <w:ind w:right="508"/>
              <w:spacing w:after="0" w:line="155" w:lineRule="exact"/>
              <w:rPr>
                <w:sz w:val="20"/>
                <w:szCs w:val="20"/>
                <w:color w:val="auto"/>
              </w:rPr>
            </w:pPr>
            <w:r>
              <w:rPr>
                <w:rFonts w:ascii="Times New Roman" w:cs="Times New Roman" w:eastAsia="Times New Roman" w:hAnsi="Times New Roman"/>
                <w:sz w:val="14"/>
                <w:szCs w:val="14"/>
                <w:b w:val="1"/>
                <w:bCs w:val="1"/>
                <w:color w:val="auto"/>
              </w:rPr>
              <w:t>Ex F/X</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9/30/2019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9/30/2018</w:t>
            </w:r>
          </w:p>
        </w:tc>
        <w:tc>
          <w:tcPr>
            <w:tcW w:w="60" w:type="dxa"/>
            <w:vAlign w:val="bottom"/>
          </w:tcPr>
          <w:p>
            <w:pPr>
              <w:spacing w:after="0"/>
              <w:rPr>
                <w:sz w:val="13"/>
                <w:szCs w:val="13"/>
                <w:color w:val="auto"/>
              </w:rPr>
            </w:pPr>
          </w:p>
        </w:tc>
        <w:tc>
          <w:tcPr>
            <w:tcW w:w="14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tcPr>
          <w:p>
            <w:pPr>
              <w:jc w:val="right"/>
              <w:ind w:right="548"/>
              <w:spacing w:after="0" w:line="155" w:lineRule="exact"/>
              <w:rPr>
                <w:sz w:val="20"/>
                <w:szCs w:val="20"/>
                <w:color w:val="auto"/>
              </w:rPr>
            </w:pPr>
            <w:r>
              <w:rPr>
                <w:rFonts w:ascii="Times New Roman" w:cs="Times New Roman" w:eastAsia="Times New Roman" w:hAnsi="Times New Roman"/>
                <w:sz w:val="14"/>
                <w:szCs w:val="14"/>
                <w:b w:val="1"/>
                <w:bCs w:val="1"/>
                <w:color w:val="auto"/>
                <w:w w:val="98"/>
              </w:rPr>
              <w:t>Ex F/X</w:t>
            </w:r>
          </w:p>
        </w:tc>
        <w:tc>
          <w:tcPr>
            <w:tcW w:w="0" w:type="dxa"/>
            <w:vAlign w:val="bottom"/>
          </w:tcPr>
          <w:p>
            <w:pPr>
              <w:spacing w:after="0"/>
              <w:rPr>
                <w:sz w:val="1"/>
                <w:szCs w:val="1"/>
                <w:color w:val="auto"/>
              </w:rPr>
            </w:pPr>
          </w:p>
        </w:tc>
      </w:tr>
      <w:tr>
        <w:trPr>
          <w:trHeight w:val="146"/>
        </w:trPr>
        <w:tc>
          <w:tcPr>
            <w:tcW w:w="2100" w:type="dxa"/>
            <w:vAlign w:val="bottom"/>
            <w:vMerge w:val="continue"/>
          </w:tcPr>
          <w:p>
            <w:pPr>
              <w:spacing w:after="0"/>
              <w:rPr>
                <w:sz w:val="12"/>
                <w:szCs w:val="12"/>
                <w:color w:val="auto"/>
              </w:rPr>
            </w:pPr>
          </w:p>
        </w:tc>
        <w:tc>
          <w:tcPr>
            <w:tcW w:w="1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208"/>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2"/>
                <w:szCs w:val="12"/>
                <w:color w:val="auto"/>
              </w:rPr>
            </w:pPr>
          </w:p>
        </w:tc>
        <w:tc>
          <w:tcPr>
            <w:tcW w:w="1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ind w:right="128"/>
              <w:spacing w:after="0" w:line="147"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2"/>
                <w:szCs w:val="12"/>
                <w:color w:val="auto"/>
              </w:rPr>
            </w:pPr>
          </w:p>
        </w:tc>
        <w:tc>
          <w:tcPr>
            <w:tcW w:w="1340" w:type="dxa"/>
            <w:vAlign w:val="bottom"/>
            <w:tcBorders>
              <w:top w:val="single" w:sz="8" w:color="auto"/>
            </w:tcBorders>
          </w:tcPr>
          <w:p>
            <w:pPr>
              <w:jc w:val="right"/>
              <w:ind w:right="448"/>
              <w:spacing w:after="0" w:line="147" w:lineRule="exact"/>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2"/>
                <w:szCs w:val="12"/>
                <w:color w:val="auto"/>
              </w:rPr>
            </w:pPr>
          </w:p>
        </w:tc>
        <w:tc>
          <w:tcPr>
            <w:tcW w:w="1080" w:type="dxa"/>
            <w:vAlign w:val="bottom"/>
            <w:tcBorders>
              <w:top w:val="single" w:sz="8" w:color="auto"/>
            </w:tcBorders>
          </w:tcPr>
          <w:p>
            <w:pPr>
              <w:jc w:val="right"/>
              <w:ind w:right="448"/>
              <w:spacing w:after="0" w:line="147" w:lineRule="exact"/>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268"/>
              <w:spacing w:after="0" w:line="147" w:lineRule="exact"/>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248"/>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2"/>
                <w:szCs w:val="12"/>
                <w:color w:val="auto"/>
              </w:rPr>
            </w:pPr>
          </w:p>
        </w:tc>
        <w:tc>
          <w:tcPr>
            <w:tcW w:w="1360" w:type="dxa"/>
            <w:vAlign w:val="bottom"/>
            <w:tcBorders>
              <w:top w:val="single" w:sz="8" w:color="auto"/>
            </w:tcBorders>
          </w:tcPr>
          <w:p>
            <w:pPr>
              <w:jc w:val="right"/>
              <w:ind w:right="448"/>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2"/>
                <w:szCs w:val="12"/>
                <w:color w:val="auto"/>
              </w:rPr>
            </w:pPr>
          </w:p>
        </w:tc>
        <w:tc>
          <w:tcPr>
            <w:tcW w:w="1060" w:type="dxa"/>
            <w:vAlign w:val="bottom"/>
            <w:tcBorders>
              <w:top w:val="single" w:sz="8" w:color="auto"/>
            </w:tcBorders>
          </w:tcPr>
          <w:p>
            <w:pPr>
              <w:jc w:val="right"/>
              <w:ind w:right="488"/>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Franchise fees and income</w:t>
            </w:r>
          </w:p>
        </w:tc>
        <w:tc>
          <w:tcPr>
            <w:tcW w:w="10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w:t>
            </w: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Revenues from transactions</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 franchisees and</w:t>
            </w:r>
          </w:p>
        </w:tc>
        <w:tc>
          <w:tcPr>
            <w:tcW w:w="100" w:type="dxa"/>
            <w:vAlign w:val="bottom"/>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140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18</w:t>
            </w:r>
          </w:p>
        </w:tc>
        <w:tc>
          <w:tcPr>
            <w:tcW w:w="142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2"/>
                <w:szCs w:val="12"/>
                <w:color w:val="auto"/>
              </w:rPr>
            </w:pPr>
          </w:p>
        </w:tc>
        <w:tc>
          <w:tcPr>
            <w:tcW w:w="10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2"/>
        </w:trPr>
        <w:tc>
          <w:tcPr>
            <w:tcW w:w="2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4"/>
                <w:szCs w:val="14"/>
                <w:color w:val="auto"/>
              </w:rPr>
            </w:pP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NM</w:t>
            </w:r>
          </w:p>
        </w:tc>
        <w:tc>
          <w:tcPr>
            <w:tcW w:w="106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56"/>
        </w:trPr>
        <w:tc>
          <w:tcPr>
            <w:tcW w:w="2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30</w:t>
            </w:r>
          </w:p>
        </w:tc>
        <w:tc>
          <w:tcPr>
            <w:tcW w:w="1400" w:type="dxa"/>
            <w:vAlign w:val="bottom"/>
            <w:gridSpan w:val="2"/>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3"/>
                <w:szCs w:val="13"/>
                <w:color w:val="auto"/>
              </w:rPr>
            </w:pPr>
          </w:p>
        </w:tc>
        <w:tc>
          <w:tcPr>
            <w:tcW w:w="1080" w:type="dxa"/>
            <w:vAlign w:val="bottom"/>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rPr>
              <w:t>104</w:t>
            </w:r>
          </w:p>
        </w:tc>
        <w:tc>
          <w:tcPr>
            <w:tcW w:w="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rPr>
              <w:t>71</w:t>
            </w:r>
          </w:p>
        </w:tc>
        <w:tc>
          <w:tcPr>
            <w:tcW w:w="1420" w:type="dxa"/>
            <w:vAlign w:val="bottom"/>
            <w:gridSpan w:val="2"/>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3"/>
                <w:szCs w:val="13"/>
                <w:color w:val="auto"/>
              </w:rPr>
            </w:pPr>
          </w:p>
        </w:tc>
        <w:tc>
          <w:tcPr>
            <w:tcW w:w="1060" w:type="dxa"/>
            <w:vAlign w:val="bottom"/>
          </w:tcPr>
          <w:p>
            <w:pPr>
              <w:jc w:val="right"/>
              <w:ind w:right="488"/>
              <w:spacing w:after="0" w:line="155"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Restaurant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3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NM</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NM</w:t>
            </w:r>
          </w:p>
        </w:tc>
        <w:tc>
          <w:tcPr>
            <w:tcW w:w="106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Restaurant margin %</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6"/>
                <w:szCs w:val="16"/>
                <w:color w:val="auto"/>
              </w:rPr>
            </w:pPr>
          </w:p>
        </w:tc>
        <w:tc>
          <w:tcPr>
            <w:tcW w:w="13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(10.3)  ppts.</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(10.3)  ppts.</w:t>
            </w:r>
          </w:p>
        </w:tc>
        <w:tc>
          <w:tcPr>
            <w:tcW w:w="16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6"/>
                <w:szCs w:val="16"/>
                <w:color w:val="auto"/>
              </w:rPr>
            </w:pPr>
          </w:p>
        </w:tc>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(6.9)  ppts.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ppts.</w:t>
            </w:r>
          </w:p>
        </w:tc>
        <w:tc>
          <w:tcPr>
            <w:tcW w:w="0" w:type="dxa"/>
            <w:vAlign w:val="bottom"/>
          </w:tcPr>
          <w:p>
            <w:pPr>
              <w:spacing w:after="0"/>
              <w:rPr>
                <w:sz w:val="1"/>
                <w:szCs w:val="1"/>
                <w:color w:val="auto"/>
              </w:rPr>
            </w:pPr>
          </w:p>
        </w:tc>
      </w:tr>
      <w:tr>
        <w:trPr>
          <w:trHeight w:val="29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G&amp;A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24"/>
                <w:szCs w:val="24"/>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25</w:t>
            </w: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24"/>
                <w:szCs w:val="24"/>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Expenses for transactions</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 franchisees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140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10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14</w:t>
            </w:r>
          </w:p>
        </w:tc>
        <w:tc>
          <w:tcPr>
            <w:tcW w:w="142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2"/>
                <w:szCs w:val="12"/>
                <w:color w:val="auto"/>
              </w:rPr>
            </w:pPr>
          </w:p>
        </w:tc>
        <w:tc>
          <w:tcPr>
            <w:tcW w:w="106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2"/>
        </w:trPr>
        <w:tc>
          <w:tcPr>
            <w:tcW w:w="2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costs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13</w:t>
            </w:r>
          </w:p>
        </w:tc>
        <w:tc>
          <w:tcPr>
            <w:tcW w:w="140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2"/>
                <w:szCs w:val="12"/>
                <w:color w:val="auto"/>
              </w:rPr>
            </w:pPr>
          </w:p>
        </w:tc>
        <w:tc>
          <w:tcPr>
            <w:tcW w:w="10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24</w:t>
            </w:r>
          </w:p>
        </w:tc>
        <w:tc>
          <w:tcPr>
            <w:tcW w:w="142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(84)</w:t>
            </w:r>
          </w:p>
        </w:tc>
        <w:tc>
          <w:tcPr>
            <w:tcW w:w="40" w:type="dxa"/>
            <w:vAlign w:val="bottom"/>
          </w:tcPr>
          <w:p>
            <w:pPr>
              <w:spacing w:after="0"/>
              <w:rPr>
                <w:sz w:val="12"/>
                <w:szCs w:val="12"/>
                <w:color w:val="auto"/>
              </w:rPr>
            </w:pPr>
          </w:p>
        </w:tc>
        <w:tc>
          <w:tcPr>
            <w:tcW w:w="106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62"/>
        </w:trPr>
        <w:tc>
          <w:tcPr>
            <w:tcW w:w="2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expenses</w:t>
            </w: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Closures and impairment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3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NM</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NM</w:t>
            </w:r>
          </w:p>
        </w:tc>
        <w:tc>
          <w:tcPr>
            <w:tcW w:w="106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2"/>
        </w:trPr>
        <w:tc>
          <w:tcPr>
            <w:tcW w:w="2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expenses, net</w:t>
            </w: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6"/>
                <w:szCs w:val="16"/>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(16)</w:t>
            </w: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23"/>
        </w:trPr>
        <w:tc>
          <w:tcPr>
            <w:tcW w:w="5560" w:type="dxa"/>
            <w:vAlign w:val="bottom"/>
          </w:tcPr>
          <w:p>
            <w:pPr>
              <w:spacing w:after="0"/>
              <w:rPr>
                <w:sz w:val="19"/>
                <w:szCs w:val="19"/>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9/30/2018</w:t>
            </w:r>
          </w:p>
        </w:tc>
      </w:tr>
      <w:tr>
        <w:trPr>
          <w:trHeight w:val="228"/>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Same-Store Sales Decline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quarter and year to date increase in Company sales, excluding the impact of F/X, was primarily driven by higher sales generated from our e-commerce business and the launch of the COFFii &amp; JOY concept.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quarter and year to date increase in Other revenue and Other operating costs and expenses, excluding the impact of F/X, was primarily driven by inter-segment revenue transactions generated from our e-commerce business and Daojia.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Unallocated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Year to Date Ended</w:t>
            </w: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Borders>
              <w:bottom w:val="single" w:sz="8" w:color="auto"/>
            </w:tcBorders>
            <w:gridSpan w:val="2"/>
          </w:tcPr>
          <w:p>
            <w:pPr>
              <w:jc w:val="right"/>
              <w:ind w:right="908"/>
              <w:spacing w:after="0" w:line="155" w:lineRule="exact"/>
              <w:rPr>
                <w:sz w:val="20"/>
                <w:szCs w:val="20"/>
                <w:color w:val="auto"/>
              </w:rPr>
            </w:pPr>
            <w:r>
              <w:rPr>
                <w:rFonts w:ascii="Times New Roman" w:cs="Times New Roman" w:eastAsia="Times New Roman" w:hAnsi="Times New Roman"/>
                <w:sz w:val="14"/>
                <w:szCs w:val="14"/>
                <w:b w:val="1"/>
                <w:bCs w:val="1"/>
                <w:color w:val="auto"/>
              </w:rPr>
              <w:t>% B/(W)</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auto"/>
            </w:tcBorders>
          </w:tcPr>
          <w:p>
            <w:pPr>
              <w:ind w:left="620"/>
              <w:spacing w:after="0" w:line="155" w:lineRule="exact"/>
              <w:rPr>
                <w:sz w:val="20"/>
                <w:szCs w:val="20"/>
                <w:color w:val="auto"/>
              </w:rPr>
            </w:pPr>
            <w:r>
              <w:rPr>
                <w:rFonts w:ascii="Times New Roman" w:cs="Times New Roman" w:eastAsia="Times New Roman" w:hAnsi="Times New Roman"/>
                <w:sz w:val="14"/>
                <w:szCs w:val="14"/>
                <w:b w:val="1"/>
                <w:bCs w:val="1"/>
                <w:color w:val="auto"/>
              </w:rPr>
              <w:t>% B/(W)</w:t>
            </w:r>
          </w:p>
        </w:tc>
        <w:tc>
          <w:tcPr>
            <w:tcW w:w="10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transactions</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9/30/2019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9/30/2018</w:t>
            </w:r>
          </w:p>
        </w:tc>
        <w:tc>
          <w:tcPr>
            <w:tcW w:w="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20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Ex F/X</w:t>
            </w:r>
          </w:p>
        </w:tc>
        <w:tc>
          <w:tcPr>
            <w:tcW w:w="92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9/30/2019</w:t>
            </w: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9/30/2018</w:t>
            </w: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08"/>
              <w:spacing w:after="0" w:line="155"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Borders>
              <w:bottom w:val="single" w:sz="8" w:color="auto"/>
            </w:tcBorders>
          </w:tcPr>
          <w:p>
            <w:pPr>
              <w:jc w:val="right"/>
              <w:ind w:right="448"/>
              <w:spacing w:after="0" w:line="155" w:lineRule="exact"/>
              <w:rPr>
                <w:sz w:val="20"/>
                <w:szCs w:val="20"/>
                <w:color w:val="auto"/>
              </w:rPr>
            </w:pPr>
            <w:r>
              <w:rPr>
                <w:rFonts w:ascii="Times New Roman" w:cs="Times New Roman" w:eastAsia="Times New Roman" w:hAnsi="Times New Roman"/>
                <w:sz w:val="14"/>
                <w:szCs w:val="14"/>
                <w:b w:val="1"/>
                <w:bCs w:val="1"/>
                <w:color w:val="auto"/>
              </w:rPr>
              <w:t>Ex F/X</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 franchisees and</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7</w:t>
            </w:r>
          </w:p>
        </w:tc>
        <w:tc>
          <w:tcPr>
            <w:tcW w:w="11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2"/>
                <w:szCs w:val="12"/>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395</w:t>
            </w:r>
          </w:p>
        </w:tc>
        <w:tc>
          <w:tcPr>
            <w:tcW w:w="60" w:type="dxa"/>
            <w:vAlign w:val="bottom"/>
          </w:tcPr>
          <w:p>
            <w:pPr>
              <w:spacing w:after="0"/>
              <w:rPr>
                <w:sz w:val="12"/>
                <w:szCs w:val="12"/>
                <w:color w:val="auto"/>
              </w:rPr>
            </w:pPr>
          </w:p>
        </w:tc>
        <w:tc>
          <w:tcPr>
            <w:tcW w:w="13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28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NM</w:t>
            </w:r>
          </w:p>
        </w:tc>
        <w:tc>
          <w:tcPr>
            <w:tcW w:w="12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70</w:t>
            </w: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Expenses for transactions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 franchisees and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(7)</w:t>
            </w:r>
          </w:p>
        </w:tc>
        <w:tc>
          <w:tcPr>
            <w:tcW w:w="11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2"/>
                <w:szCs w:val="12"/>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392</w:t>
            </w:r>
          </w:p>
        </w:tc>
        <w:tc>
          <w:tcPr>
            <w:tcW w:w="60" w:type="dxa"/>
            <w:vAlign w:val="bottom"/>
          </w:tcPr>
          <w:p>
            <w:pPr>
              <w:spacing w:after="0"/>
              <w:rPr>
                <w:sz w:val="12"/>
                <w:szCs w:val="12"/>
                <w:color w:val="auto"/>
              </w:rPr>
            </w:pPr>
          </w:p>
        </w:tc>
        <w:tc>
          <w:tcPr>
            <w:tcW w:w="13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(7)</w:t>
            </w:r>
          </w:p>
        </w:tc>
        <w:tc>
          <w:tcPr>
            <w:tcW w:w="108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costs and expenses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NM</w:t>
            </w:r>
          </w:p>
        </w:tc>
        <w:tc>
          <w:tcPr>
            <w:tcW w:w="12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4"/>
                <w:szCs w:val="14"/>
                <w:color w:val="auto"/>
              </w:rPr>
            </w:pPr>
          </w:p>
        </w:tc>
        <w:tc>
          <w:tcPr>
            <w:tcW w:w="13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NM</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Corporate G&amp;A expenses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19</w:t>
            </w:r>
          </w:p>
        </w:tc>
        <w:tc>
          <w:tcPr>
            <w:tcW w:w="11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w:t>
            </w:r>
          </w:p>
        </w:tc>
        <w:tc>
          <w:tcPr>
            <w:tcW w:w="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unallocated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NM</w:t>
            </w:r>
          </w:p>
        </w:tc>
        <w:tc>
          <w:tcPr>
            <w:tcW w:w="12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2"/>
                <w:szCs w:val="12"/>
                <w:color w:val="auto"/>
              </w:rPr>
            </w:pPr>
          </w:p>
        </w:tc>
        <w:tc>
          <w:tcPr>
            <w:tcW w:w="13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(98)</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(losses) (See Note 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6</w:t>
            </w:r>
          </w:p>
        </w:tc>
        <w:tc>
          <w:tcPr>
            <w:tcW w:w="11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Investment gain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NM</w:t>
            </w:r>
          </w:p>
        </w:tc>
        <w:tc>
          <w:tcPr>
            <w:tcW w:w="12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NM</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 (See Note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(28)</w:t>
            </w:r>
          </w:p>
        </w:tc>
        <w:tc>
          <w:tcPr>
            <w:tcW w:w="11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2"/>
                <w:szCs w:val="12"/>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(227)</w:t>
            </w:r>
          </w:p>
        </w:tc>
        <w:tc>
          <w:tcPr>
            <w:tcW w:w="60" w:type="dxa"/>
            <w:vAlign w:val="bottom"/>
          </w:tcPr>
          <w:p>
            <w:pPr>
              <w:spacing w:after="0"/>
              <w:rPr>
                <w:sz w:val="12"/>
                <w:szCs w:val="12"/>
                <w:color w:val="auto"/>
              </w:rPr>
            </w:pPr>
          </w:p>
        </w:tc>
        <w:tc>
          <w:tcPr>
            <w:tcW w:w="13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 (See Note 12)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tcPr>
          <w:p>
            <w:pPr>
              <w:spacing w:after="0"/>
              <w:rPr>
                <w:sz w:val="16"/>
                <w:szCs w:val="16"/>
                <w:color w:val="auto"/>
              </w:rPr>
            </w:pPr>
          </w:p>
        </w:tc>
        <w:tc>
          <w:tcPr>
            <w:tcW w:w="13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(0.1)%</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from Transactions with Franchisees and Unconsolidated Affiliates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Revenues from transactions with franchisees and unconsolidated affiliates for the quarter, excluding the impact of F/X, was mainly driven by system sales growth of franchisees and unconsolidated affiliates.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 to date increase in Revenues from transactions with franchisees and unconsolidated affiliates, excluding the impact of F/X, was mainly driven by system sales growth of franchisees and unconsolidated affiliates and an increase in the selling prices of food and paper products due to commodity inflation, partially offset by the impact from the acquisition of Wuxi KFC.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G&amp;A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Corporate G&amp;A expenses for the quarter and year to date, excluding the impact of F/X, was mainly driven by higher compensation costs and higher government incentives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Unallocated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 to date decrease in Other unallocated income, excluding the impact of F/X, was primarily due to a gain of $98 million recognized from the re-measurement of our previously held equity interest in Wuxi KFC at fair value upon acquisition in the first quarter of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Gain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gain represents the unrealized gain related to our investment in equity securities of Meituan Dianping (“Meituan”). See Note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income tax provision includes tax on our earnings at the Chinese statutory tax rate of 25%, withholding tax on repatriation of earnings outside of China and U.S. corporate income tax, if any. Our effective tax rate was 26.9% and 24.2% for the quarters ended September 30, 2019 and 2018, respectively, and 25.8% and 25.7% for the years to date ended September 30, 2019 and 2018, respectively. The higher effective tax rate for the quarter ended September 30, 2019 was primarily due to additional accrued tax on GILTI. The higher year to date effective tax rate was primarily due to an additional adjustment of $8 million on transition tax pursuant to the Tax Act recorded in the first quarter of 2019 and additional accrued tax on GILTI, offset by non-taxable gain related to the investment in equity securities of Meituan.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Known Events, Trends or Uncertainties Expected to Impact Future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Examination on Transfer Pricing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reviews, examinations and audits by Chinese tax authorities, the IRS and other taxing authorities with respect to income and non-income based taxes. Since 2016, we have been under a national audit on transfer pricing by the STA in China regarding our related party transactions for the period from 2006 to 2015. The information currently requested by tax authorities focuses on our franchise arrangement with YUM. To address the requests, we have submitted information to the extent it is available to the Company. It is reasonably possible that there could be significant developments, including expert review and assessment by the STA, within the next 12 months. The ultimate assessment will depend upon further review of the information provided and ongoing technical and other discussions with the STA and in-charge local tax authorities, and therefore it is not possible to reasonably estimate the potential impact. We will continue to defend our transfer pricing position. However, if the STA prevails in the assessment of additional tax due based on its ruling, the assessed tax, interest and penalties, if any, could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Value-Added Tax (“VAT”)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May 1, 2016, the Chinese government implemented reform to its retail tax structure, which is intended to be a progressive and positive shift to more closely align with a more modern service-based economy. Under this reform, a 6% output VAT replaced the 5% business tax (“BT”) previously applied to certain restaurant sales. VAT was imposed on goods and services at the rates of 17%, 13%, 11% and 6%. Input VAT would be creditable to the aforementioned 6% output VAT. Effective from July 1, 2017, the 13% VAT rate primarily applicable to certain agricultural products was reduced to 11%. Effective from May 1, 2018, the VAT rates of 17% and 11% were lowered to 16% and 10%, respectively. Effective from April 1, 2019, the VAT rates of 16% and 10% were further lowered to 13% and 9%, respectively. These rate changes impact our input VAT on all materials and certain services, mainly including construction, transportation and leasing. However, the impact on our operating results is not expected to be significant.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Entities that are VAT general taxpayers are permitted to offset qualified input VAT paid to suppliers against their output VAT upon receipt of appropriate supplier VAT invoices on an entity-by-entity basis. When the output VAT exceeds the input VAT, the difference is remitted to tax authorities, usually on a monthly basis; whereas when the input VAT exceeds the output VAT, the difference is treated as an input VAT credit asset which can be carried forward indefinitely to offset future net VAT payables. VAT related to purchases and sales which have not been settled at the balance sheet date is disclosed separately as an asset and liability, respectively, on the Condensed Consolidated Balance Sheets. At each balance sheet date, the Company reviews the outstanding balance of any input VAT credit asset for recoverability based on its forecasted operating results. We evaluate the recoverability of the net VAT credit asset based on our estimated operating results and capital spending, which inherently includes significant assumptions that are subject to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an input VAT credit asset of $232 million and payable of $7 million were recorded in Other assets and Accounts payable and other current liabilities, respectively, on the Condensed Consolidated Balance Sheets. The Company has not made an allowance for the recoverability of the input VAT credit asset, as the balance is expected to be utilized to offset against VAT payables more than one year from September 30, 2019. Any input VAT credit asset would be classified as Prepaid expenses and other current assets if the Company expected to use the credit within one year.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benefiting from the retail tax structure reform since it was implemented on May 1, 2016. However, the amount of our expected benefit from this VAT regime depends on a number of factors, some of which are outside of our control. The interpretation and application of the new VAT regime are not settled at some local governmental levels. In addition, the timetable for enacting the prevailing VAT regulations into national VAT law, including ultimate enacted VAT rates, is not clear. As a result, for the foreseeable future, the benefit of this significant and complex VAT reform has the potential to fluctuate from quarter to quarter.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currency of the Company is the US$. Most of the revenues, costs, assets and liabilities of the Company are denominated in Chinese Renminbi (“RMB”). Any significant change in the exchange rate between US$ and RMB may materially affect the Company’s business, results of operations, cash flows and financial condition, depending on the weakening or strengthening of RMB against the US$. See “Item 3. Quantitative and Qualitative Disclosures About Market Risk” for further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years to date ended September 30, 2019 and 2018 were as follows: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$1,045 million in 2019 as compared to $1,173 million in 2018. The decrease was primarily driven by timing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payments for inventory.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cash used in investing activities </w:t>
      </w:r>
      <w:r>
        <w:rPr>
          <w:rFonts w:ascii="Times New Roman" w:cs="Times New Roman" w:eastAsia="Times New Roman" w:hAnsi="Times New Roman"/>
          <w:sz w:val="18"/>
          <w:szCs w:val="18"/>
          <w:color w:val="auto"/>
        </w:rPr>
        <w:t>was $553 million in 2019 as compared to $527 million in 2018. The increase is mainly due to higher cash outflow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short-term investment activities in 2019, lapping cash outflow in 2018 related to the acquisition of Wuxi KFC and the investment in Meituan’s ordinary shares, and offset by lower capital expenditure in 2019.</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used in financing activities </w:t>
      </w:r>
      <w:r>
        <w:rPr>
          <w:rFonts w:ascii="Times New Roman" w:cs="Times New Roman" w:eastAsia="Times New Roman" w:hAnsi="Times New Roman"/>
          <w:sz w:val="18"/>
          <w:szCs w:val="18"/>
          <w:color w:val="auto"/>
        </w:rPr>
        <w:t>was $368 million in 2019 as compared to $318 million in 2018. The increase was primarily driven by an increase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repurchased and cash dividends paid to stockholders in 2019.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we have funded our operations through cash generated from the operation of our Company-owned stores and from our franchise operations and dividend payments from our unconsolidated affiliates.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fund our future operations and capital needs will depend on our ongoing ability to generate cash from operations. We believe our principal uses of cash in the future will be primarily to fund our operations and capital expenditures, distributions to our stockholders and share repurchases as well as any acquisition or investment we may make. We believe that our future cash from operations, together with our access to funds on hand and capital markets, will provide adequate resources to fund these uses of cash and that our existing cash and net cash from operations will be sufficient to fund our operations and anticipated capital expenditures for the next 12 months.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If our cash flows from operations are less than we require, we may need to access the capital markets to obtain financing. Our access to, and the availability of, financing on acceptable terms and conditions in the future or at all will be impacted by many factors, including, but not limited to:</w:t>
      </w:r>
    </w:p>
    <w:p>
      <w:pPr>
        <w:spacing w:after="0" w:line="162" w:lineRule="exact"/>
        <w:rPr>
          <w:sz w:val="20"/>
          <w:szCs w:val="20"/>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the overall capital markets; and</w:t>
      </w:r>
    </w:p>
    <w:p>
      <w:pPr>
        <w:spacing w:after="0" w:line="225" w:lineRule="exact"/>
        <w:rPr>
          <w:rFonts w:ascii="Times New Roman" w:cs="Times New Roman" w:eastAsia="Times New Roman" w:hAnsi="Times New Roman"/>
          <w:sz w:val="18"/>
          <w:szCs w:val="18"/>
          <w:color w:val="auto"/>
        </w:rPr>
      </w:pPr>
    </w:p>
    <w:p>
      <w:pPr>
        <w:ind w:right="2200" w:firstLine="440"/>
        <w:spacing w:after="0" w:line="501" w:lineRule="auto"/>
        <w:tabs>
          <w:tab w:leader="none" w:pos="8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Chinese, U.S. and global economies as well as relations between the Chinese and U.S. governments. There can be no assurance that we will have access to the capital markets on terms acceptable to us or at all.</w:t>
      </w: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our income is subject to the Chinese statutory tax rate of 25%. However, to the extent our cash flows from operations exceed our China cash requirements, the excess cash may be subject to an additional 10% withholding tax levied by the Chinese tax authority, subject to any reduction or exemption set forth in relevant tax treaties or tax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Share Repurchases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authorized an aggregate of $1.4 billion under our share repurchase program. Yum China may repurchase shares under this program from time to time in open market or privately negotiated transactions, including block trades, accelerated share repurchase transactions and the use of Rule 10b5-1 trading plans. For the year to date ended September 30, 2019, the Company repurchased $204 million, or 4.9 million shares, of common stock under the repurchase program. The Company repurchased $167 million, or 4.6 million shares, of common stock under the repurchase program for the year to date ended September 30, 2018.</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quarters to date ended September 30, 2019 and 2018, we paid cash dividends of approximately $45 million and $38 million, respectively, to our stockholders through quarterly dividend payments of $0.12 and $0.10 per share,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29, 2019, the Board of Directors declared a cash dividend of $0.12 per share, payable as of the close of business on December 17, 2019 to stockholders of record as of the close of business on November 26, 2019. The total estimated cash dividend payable is approximately $45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declare and pay any dividends on our stock may be restricted by applicable Chinese laws. The laws, rules and regulations applicable to our Chinese subsidiaries permit payments of dividends only out of their accumulated profits, if any, determined in accordance with applicable Chinese accounting standards and regulations. Under Chinese law, an enterprise incorporated in China is required to set aside at least 10% of its after-tax profits each year, after making up previous years’ accumulated losses, if any, to fund certain statutory reserve funds, until the aggregate amount of such a fund reaches 50% of its registered capital. As a result, our Chinese subsidiaries are restricted in their ability to transfer a portion of their net assets to us in the form of dividends. At the discretion of the Board of Directors, as an enterprise incorporated in China, each of our Chinese subsidiaries may allocate a portion of its after-tax profits based on Chinese accounting standards to staff welfare and bonus funds. These reserve funds and staff welfare and bonus funds are not distributable as cash dividends.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Borrowing Capacity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credit facilities of RMB 2,930 million (approximately $410 million), comprised of onshore credit facilities of RMB1,500 million (approximately $210 million) in aggregate and offshore credit facilities of $200 million in aggregate.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facilities had remaining terms of one year or less as of September 30, 2019. Each credit facility bears interest based on the prevailing rate stipulated by the People’s Bank of China or London Interbank Offered Rate (LIBOR) administered by the ICE Benchmark Administration. Each credit facility contains a cross-default provision whereby our failure to make any payment on a principal amount from any credit facility will constitute a default on other credit facilities. Some of the credit facilities contain covenants including, among other things, limitations on certain additional indebtedness and liens, and certain other transactions specified in the respective agreement. Some of the onshore credit facilities contain sublimits for overdrafts, non-financial bonding, standby letters of credit and guarantees. As of September 30, 2019, we had outstanding bank guarantees of RMB 76 million (approximately $11 million) to secure our lease payment to landlords for certain Company-owned restaurants. The borrowing capacity under the credit facilities was therefore reduced by the same amount, while there were no borrowings outstanding as of September 30,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Guarantees section of Note 14 for discussion of our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for details of recently adopted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 Not Yet Adopted</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(“ASU 2016-13”), which requires measurement and recognition of expected versus incurred credit losses for financial assets held. In November 2018, the FASB issued ASU 2018-19: </w:t>
      </w:r>
      <w:r>
        <w:rPr>
          <w:rFonts w:ascii="Times New Roman" w:cs="Times New Roman" w:eastAsia="Times New Roman" w:hAnsi="Times New Roman"/>
          <w:sz w:val="18"/>
          <w:szCs w:val="18"/>
          <w:i w:val="1"/>
          <w:iCs w:val="1"/>
          <w:color w:val="auto"/>
        </w:rPr>
        <w:t>Codification Improvements to Topic 326, Financial Instruments-Credit Losses</w:t>
      </w:r>
      <w:r>
        <w:rPr>
          <w:rFonts w:ascii="Times New Roman" w:cs="Times New Roman" w:eastAsia="Times New Roman" w:hAnsi="Times New Roman"/>
          <w:sz w:val="18"/>
          <w:szCs w:val="18"/>
          <w:color w:val="auto"/>
        </w:rPr>
        <w:t xml:space="preserve"> to clarify the implementation guidance. ASU 2016-13 is effective for the Company from January 1, 2020, with early adoption permitted. The adoption of this standard may result in a change of our provision policy primarily for accounts receivable, but we do not expect the adoption of this standard to have a material impact on our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Measurement </w:t>
      </w:r>
      <w:r>
        <w:rPr>
          <w:rFonts w:ascii="Times New Roman" w:cs="Times New Roman" w:eastAsia="Times New Roman" w:hAnsi="Times New Roman"/>
          <w:sz w:val="18"/>
          <w:szCs w:val="18"/>
          <w:color w:val="auto"/>
        </w:rPr>
        <w:t>(“ASU 2018-13”), which amended the fair value measurement guidance by modifying the disclosure requirements. ASU 2018-13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the Company from January 1, 2020, with early adoption permitted. We do not expect the adoption of this standard to have a material impact on our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 xml:space="preserve">In August 2018, the FASB issued ASU 2018-15, </w:t>
      </w:r>
      <w:r>
        <w:rPr>
          <w:rFonts w:ascii="Times New Roman" w:cs="Times New Roman" w:eastAsia="Times New Roman" w:hAnsi="Times New Roman"/>
          <w:sz w:val="17"/>
          <w:szCs w:val="17"/>
          <w:i w:val="1"/>
          <w:iCs w:val="1"/>
          <w:color w:val="auto"/>
        </w:rPr>
        <w:t>Intangibles—Goodwill and Other—Internal-Use Software: Customer’s Accounting for Implementation Costs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Incurred in a Cloud Computing Arrangement That Is a Service Contract </w:t>
      </w:r>
      <w:r>
        <w:rPr>
          <w:rFonts w:ascii="Times New Roman" w:cs="Times New Roman" w:eastAsia="Times New Roman" w:hAnsi="Times New Roman"/>
          <w:sz w:val="17"/>
          <w:szCs w:val="17"/>
          <w:color w:val="auto"/>
        </w:rPr>
        <w:t>(“ASU 2018-15”), which aligns the requirements for capitalizing implementation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in a cloud computing arrangement service contract with those for an internal-use software license. ASU 2018-15 is effective for the Company from January 1, 2020, with early adoption permitted. We do not expect the adoption of this standard to have a material impact on our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5" w:name="page46"/>
    <w:bookmarkEnd w:id="45"/>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w:t>
      </w:r>
      <w:r>
        <w:rPr>
          <w:rFonts w:ascii="Times New Roman" w:cs="Times New Roman" w:eastAsia="Times New Roman" w:hAnsi="Times New Roman"/>
          <w:sz w:val="18"/>
          <w:szCs w:val="18"/>
          <w:i w:val="1"/>
          <w:iCs w:val="1"/>
          <w:color w:val="auto"/>
        </w:rPr>
        <w:t>Collaborative Arrangements (Topic 808), Clarifying the Interaction between Topic 808 and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(ASU 2018-18) </w:t>
      </w:r>
      <w:r>
        <w:rPr>
          <w:rFonts w:ascii="Times New Roman" w:cs="Times New Roman" w:eastAsia="Times New Roman" w:hAnsi="Times New Roman"/>
          <w:sz w:val="18"/>
          <w:szCs w:val="18"/>
          <w:color w:val="auto"/>
        </w:rPr>
        <w:t>(“ASU 2018-18”), which clarifies that transactions in a collaborative arrangement should be accounted for under ASC 606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is a customer for a distinct good or service. The amendment also precludes an entity from presenting consideration from a transaction in a collaborative arrangement as revenue if the counterparty is not a customer for that transaction. ASU 2018-18 is effective for the Company from January 1, 2020, with early adoption permitted. We do not expect the adoption of this standard to have a material impact on our financial statements.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can be identified by the fact that they do not relate strictly to historical or current facts. These statements often include words such as “may,” “will,” “estimate,” “intend,” “seek,” “expect,” “project,” “anticipate,” “believe,” “plan,” “could,” “target,” “predict,” “likely,” “should,” “forecast,” “outlook,” “model,” “continue,” “ongoing” or other similar terminology. Forward-looking statements are based on our expectations, estimates, assumptions or projections concerning future results or events as of the date of the filing of this Form 10-Q. Forward-looking statements are neither predictions nor guarantees of future events, circumstances or performance and are inherently subject to known and unknown risks, uncertainties and assumptions that could cause our actual results and events to differ materially from those indicated by those statements. We cannot assure you that any of our assumptions are correct or any of our expectations, estimates or projections will be achieved. Numerous factors could cause our actual results to differ materially from those expressed or implied by forward-looking statements, including, without limitation, the following:</w:t>
      </w:r>
    </w:p>
    <w:p>
      <w:pPr>
        <w:spacing w:after="0" w:line="185" w:lineRule="exact"/>
        <w:rPr>
          <w:sz w:val="20"/>
          <w:szCs w:val="20"/>
          <w:color w:val="auto"/>
        </w:rPr>
      </w:pPr>
    </w:p>
    <w:p>
      <w:pPr>
        <w:jc w:val="both"/>
        <w:ind w:left="880" w:hanging="440"/>
        <w:spacing w:after="0" w:line="253"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business and industry, such as (a) food safety and food-borne illness concerns, (b) significant failure to maintain effective quality control systems for our restaurants, (c) significant liability claims, food contamination complaints from our customers or reports of incidents of food tampering, (d) health concerns arising from outbreaks of viruses or other diseases, (e) the fact that we derive substantially all of our revenue from our operations in China, (f) the fact that the operation of our restaurants is subject to the terms of the master license agreement with YUM, (g) the fact that our success is tied to the success of YUM’s brand strength, marketing campaigns and product innovation, (h) shortages or interruptions in the availability and delivery of food and other supplies, (i) fluctuation of raw materials prices, (j) our inability to attain our target development goals and the potential cannibalization of existing sales by aggressive development, (k) risks associated with leasing real estate, (l) inability to obtain desirable restaurant locations on commercially reasonable terms, (m) labor shortages or increases in labor costs,</w:t>
      </w:r>
    </w:p>
    <w:p>
      <w:pPr>
        <w:spacing w:after="0" w:line="1" w:lineRule="exact"/>
        <w:rPr>
          <w:rFonts w:ascii="Times New Roman" w:cs="Times New Roman" w:eastAsia="Times New Roman" w:hAnsi="Times New Roman"/>
          <w:sz w:val="18"/>
          <w:szCs w:val="18"/>
          <w:color w:val="auto"/>
        </w:rPr>
      </w:pPr>
    </w:p>
    <w:p>
      <w:pPr>
        <w:jc w:val="both"/>
        <w:ind w:left="8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 the fact that our success depends substantially on our corporate reputation and on the value and perception of our brands, (o) the occurrence of security breaches and cyber-attacks, (p) failure to protect the integrity and security of our customer or employee personal, financial or other data or our proprietary or confidential information that is stored in our information systems or by third parties on our behalf, (q) failures or interruptions of service or security breaches in our information technology systems, (r) the fact that our business depends on the performance of, and our long-term relationships with, third-party mobile payment processors, delivery aggregators, internet infrastructure operators and internet service providers, (s) failure to provide timely and reliable delivery services by our restaurants, (t) our growth strategy with respect to COFFii &amp; JOY may not be successful, (u) challenges and risks related to our new e-commerce business; (v) the anticipated benefits of the acquisition of Daojia may not be realized in a timely manner or at all, (w) the Chinese government may determine that the VIE structure of Daojia does not comply with Chinese laws on foreign investment in restricted industries, (x) our inability or failure to recognize, respond to and effectively manage the accelerated impact of social media, (y) litigation and failure to comply with anti-bribery or anti-corruption laws, (z) U.S. federal income taxes, changes in tax rates, disagreements with taxing authorities (including with respect to the transfer pricing audit) and imposition of new taxes, (aa) changes in consumer discretionary spending and general economic conditions, (bb) competition in the retail food industry, (cc) loss or failure to obtain or renew any or all of the approvals, licenses and permits to operate our business, (dd) our inability to adequately protect the intellectual property we own or have the right to use, (ee) YUM’s failure to protect its intellectual property, (ff) seasonality and certain major events in China, (gg) our failure to detect, deter and prevent all instances of fraud or other misconduct committed by our employees, customers or other third parties, (hh) changes in accounting standards and subjective assumptions, estimates and judgments by management related to complex accounting matters, (ii) failure of our insurance policies to provide adequate coverage for claims associated with our business operations, (jj) failure by us to maintain effective disclosure controls and procedures and internal control over financial reporting in accordance with the rules of the SEC and (kk) unforeseeable business interruptions;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7" w:name="page48"/>
    <w:bookmarkEnd w:id="47"/>
    <w:p>
      <w:pPr>
        <w:jc w:val="both"/>
        <w:ind w:left="880" w:hanging="440"/>
        <w:spacing w:after="0" w:line="253"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doing business in China, such as (a) changes in Chinese political policies and economic and social policies or conditions, (b) uncertainties with respect to the interpretation and enforcement of Chinese laws, rules and regulations, (c) changes in trade relations between the United States and China, including the imposition of new or higher taxes on goods imported from the United States, (d) fluctuation in the value of the Chinese Renminbi, (e) limitations on our ability to utilize our cash balances effectively due to governmental control of currency conversion and payments of foreign currency, (f) changes in laws and regulations, (g) reliance on distributions by our operating subsidiaries in China to fund offshore cash requirements, (h) potential unfavorable tax consequences resulting from our classification as a China resident enterprise for Chinese enterprise income tax purposes, (i) uncertainty regarding indirect transfers of equity interests and enhanced scrutiny by Chinese tax authorities, (j) difficulties in effecting service of legal process, enforcing foreign judgments or bringing original actions in China against us, (k) inability to use properties due to defects caused by non-registration of lease agreements related to certain properties, (l) risk in relation to unexpected land acquisitions, building closures or demolitions, (m) potential fines for failure to comply with law and (n) restrictions on our ability to make loans or additional capital contributions to our Chinese subsidiaries due to Chinese regulation of loans to, and direct investment in, Chinese entities by offshore holding companies and governmental control of currency conversion;</w:t>
      </w:r>
    </w:p>
    <w:p>
      <w:pPr>
        <w:spacing w:after="0" w:line="190" w:lineRule="exact"/>
        <w:rPr>
          <w:rFonts w:ascii="Times New Roman" w:cs="Times New Roman" w:eastAsia="Times New Roman" w:hAnsi="Times New Roman"/>
          <w:sz w:val="18"/>
          <w:szCs w:val="18"/>
          <w:color w:val="auto"/>
        </w:rPr>
      </w:pPr>
    </w:p>
    <w:p>
      <w:pPr>
        <w:jc w:val="both"/>
        <w:ind w:left="880" w:hanging="440"/>
        <w:spacing w:after="0" w:line="25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separation and related transactions, such as (a) not achieving all of the anticipated benefits, (b) incurring significant tax liabilities if the distribution does not qualify as a transaction that is generally tax-free for U.S. federal income tax purposes and the Company could be required to indemnify YUM for material taxes and other related amounts pursuant to indemnification obligations under the tax matters agreement, (c) being obligated to indemnify YUM for material taxes and related amounts pursuant to indemnification obligations under the tax matters agreement if YUM is subject to Chinese indirect transfer tax with respect to the distribution, (d) limitations on our ability to engage in strategic transactions as a result of the separation, (e) our inability to satisfy financial reporting and other requirements to which we are subject as an independent publicly traded company, (f) limited experience of our management in managing a public company, (g) inability to access capital markets on acceptable terms, (h) increased administrative and other costs incurred by virtue of our status as an independent public company, (i) limitations on our ability to compete with YUM and other restrictions on our operations contained in the master license agreement, (j) failure by YUM to perform its obligations under the transaction agreements that we entered into with it as part of the separation, (k) potential indemnification liabilities owing to YUM pursuant to the separation and distribution agreement and there being no assurance that the indemnity provided by YUM with respect to certain liabilities in connection with the separation will be sufficient to insure us against the full amount of such liabilities, (l) the possibility that a court would require that we assume responsibility for obligations allocated to YUM under the separation and distribution agreement, (m) potential liabilities due to fraudulent transfer considerations and (n) actual or potential conflicts of interest of certain of our executive officers and directors because of their previous positions at YUM.</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captions “Management’s Discussion and Analysis of Financial Condition and Results of Operations” and “Risk Factors” included in the Company’s Annual Report on Form 10-K for the year ended December 31, 2018) for additional information regarding factors that could affect our financial and other results. You should not place undue reliance on forward-looking statements, which speak only as of the date of the filing of this Form 10-Q. We are not undertaking to update any of these statements, except as required by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foreign currency exchange rates impact the translation of our reported foreign currency denominated earnings, cash flows and net investments in foreign operations, virtually all of which are denominated in RMB. While substantially all of our supply purchases are denominated in RMB, from time to time, we enter into agreements at predetermined exchange rates with third parties to purchase certain amount of goods and services sourced overseas and make payments in the corresponding local currencies when practical, to minimize the related foreign currency exposure with immaterial impact on our financial statements.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substantially all of the Company’s assets are located in China, the Company is exposed to movements in the RMB foreign currency exchange rate. For the quarter ended September 30, 2019, the Company’s Operating profit would have decreased by approximately $29 million if the RMB weakened 10% relative to the US$. This estimated reduction assumes no changes in sales volumes or local currency sales or input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volatility in food costs as a result of market risks associated with commodity prices. Our ability to recover increased costs through higher pricing is, at times, limited by the competitive environment in which we operate. We manage our exposure to this risk primarily through pricing agreements with our vendors.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2018, we invested $74 million in Meituan’s ordinary shares. The equity investment is recorded at fair value, which is measured on a recurring basis and is subject to market price volatility. See Note 6 for further discussion on our investment in Meituan.</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evaluated the effectiveness of the design and operation of its disclosure controls and procedures pursuant to Rules 13a-15(e) and 15d-15(e) under the Securities Exchange Act of 1934 as of the end of the period covered by this report. Based on the evaluation, performed under the supervision and with the participation of the Company’s management, including the Chief Executive Officer (the “CEO”) and the Chief Financial Officer (the “CFO”), the Company’s management, including the CEO and the CFO, concluded that the Company’s disclosure controls and procedures were effective as of the end of the period covered by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with respect to the Company’s internal control over financial reporting during the quarter ended September 30, 2019 that have materially affected, or are reasonably likely to materially affect, internal control over financial reporting.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Information regarding legal proceedings is incorporated by reference from Note 14 to the Company’s Condensed Consolidated Financial Statements set forth in Part I of this report.</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We face a variety of risks that are inherent in our business and our industry, including operational, legal and regulatory risks. Such risks could cause our actual results to differ materially from our forward-looking statements, expectations and historical trends. There have been no material changes from the risk factors disclosed in Part I, Item 1A. “Risk Factors” in our Annual Report on Form 10-K for the year ended December 31, 2018, which was filed with the SEC on February 27, 2019.</w:t>
      </w:r>
    </w:p>
    <w:p>
      <w:pPr>
        <w:spacing w:after="0" w:line="17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2017, we announced that our Board of Directors authorized a $300 million share repurchase program. On October 4, 2017, the Board of Directors increased Yum China’s share repurchase authorization from $300 million to an aggregate of $550 million. On October 30, 2018, the Board of Directors further increased the share repurchase authorization to an aggregate of $1.4 billion. The authorizations do not have an expiration date.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September 30, 2019 with respect to shares of Yum China common stock repurchased by the Company during the quarter then ended: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8"/>
              </w:rPr>
              <w:t>that May Yet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under the</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3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0" w:type="dxa"/>
            <w:vAlign w:val="bottom"/>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20" w:type="dxa"/>
            <w:vAlign w:val="bottom"/>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04"/>
        </w:trPr>
        <w:tc>
          <w:tcPr>
            <w:tcW w:w="20" w:type="dxa"/>
            <w:vAlign w:val="bottom"/>
          </w:tcPr>
          <w:p>
            <w:pPr>
              <w:spacing w:after="0"/>
              <w:rPr>
                <w:sz w:val="17"/>
                <w:szCs w:val="17"/>
                <w:color w:val="auto"/>
              </w:rPr>
            </w:pPr>
          </w:p>
        </w:tc>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7/1/19-7/31/19</w:t>
            </w:r>
          </w:p>
        </w:tc>
        <w:tc>
          <w:tcPr>
            <w:tcW w:w="140" w:type="dxa"/>
            <w:vAlign w:val="bottom"/>
          </w:tcPr>
          <w:p>
            <w:pPr>
              <w:spacing w:after="0"/>
              <w:rPr>
                <w:sz w:val="17"/>
                <w:szCs w:val="17"/>
                <w:color w:val="auto"/>
              </w:rPr>
            </w:pPr>
          </w:p>
        </w:tc>
        <w:tc>
          <w:tcPr>
            <w:tcW w:w="14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495</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44.45</w:t>
            </w:r>
          </w:p>
        </w:tc>
        <w:tc>
          <w:tcPr>
            <w:tcW w:w="140" w:type="dxa"/>
            <w:vAlign w:val="bottom"/>
          </w:tcPr>
          <w:p>
            <w:pPr>
              <w:spacing w:after="0"/>
              <w:rPr>
                <w:sz w:val="17"/>
                <w:szCs w:val="17"/>
                <w:color w:val="auto"/>
              </w:rPr>
            </w:pPr>
          </w:p>
        </w:tc>
        <w:tc>
          <w:tcPr>
            <w:tcW w:w="14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color w:val="auto"/>
              </w:rPr>
              <w:t>798</w:t>
            </w: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8/1/19-8/31/19</w:t>
            </w:r>
          </w:p>
        </w:tc>
        <w:tc>
          <w:tcPr>
            <w:tcW w:w="14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6"/>
                <w:szCs w:val="16"/>
                <w:color w:val="auto"/>
              </w:rPr>
              <w:t>498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44.09</w:t>
            </w:r>
          </w:p>
        </w:tc>
        <w:tc>
          <w:tcPr>
            <w:tcW w:w="14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auto"/>
              </w:rPr>
              <w:t>498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6"/>
                <w:szCs w:val="16"/>
                <w:color w:val="auto"/>
              </w:rPr>
              <w:t>776</w:t>
            </w: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9/1/19-9/30/19</w:t>
            </w:r>
          </w:p>
        </w:tc>
        <w:tc>
          <w:tcPr>
            <w:tcW w:w="140" w:type="dxa"/>
            <w:vAlign w:val="bottom"/>
          </w:tcPr>
          <w:p>
            <w:pPr>
              <w:spacing w:after="0"/>
              <w:rPr>
                <w:sz w:val="18"/>
                <w:szCs w:val="18"/>
                <w:color w:val="auto"/>
              </w:rPr>
            </w:pP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438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45.69</w:t>
            </w:r>
          </w:p>
        </w:tc>
        <w:tc>
          <w:tcPr>
            <w:tcW w:w="140" w:type="dxa"/>
            <w:vAlign w:val="bottom"/>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color w:val="auto"/>
              </w:rPr>
              <w:t>438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6"/>
                <w:szCs w:val="16"/>
                <w:color w:val="auto"/>
              </w:rPr>
              <w:t>756</w:t>
            </w:r>
          </w:p>
        </w:tc>
      </w:tr>
      <w:tr>
        <w:trPr>
          <w:trHeight w:val="213"/>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1,431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44.70</w:t>
            </w:r>
          </w:p>
        </w:tc>
        <w:tc>
          <w:tcPr>
            <w:tcW w:w="140" w:type="dxa"/>
            <w:vAlign w:val="bottom"/>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color w:val="auto"/>
              </w:rPr>
              <w:t>1,431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6"/>
                <w:szCs w:val="16"/>
                <w:color w:val="auto"/>
              </w:rPr>
              <w:t>756</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4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385"/>
        </w:trPr>
        <w:tc>
          <w:tcPr>
            <w:tcW w:w="10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260" w:type="dxa"/>
            <w:vAlign w:val="bottom"/>
            <w:tcBorders>
              <w:top w:val="single" w:sz="8" w:color="auto"/>
              <w:bottom w:val="single" w:sz="8" w:color="0000EE"/>
            </w:tcBorders>
            <w:gridSpan w:val="10"/>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Certificate of Incorporation of Yum China Holdings, Inc. (incorporated by reference to Exhibit 3.1 to Yum China</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Holdings, Inc.’s Current Report on Form 8-K filed on November 1, 2016).</w:t>
              </w:r>
            </w:hyperlink>
          </w:p>
        </w:tc>
        <w:tc>
          <w:tcPr>
            <w:tcW w:w="4900" w:type="dxa"/>
            <w:vAlign w:val="bottom"/>
            <w:gridSpan w:val="4"/>
          </w:tcPr>
          <w:p>
            <w:pPr>
              <w:spacing w:after="0"/>
              <w:rPr>
                <w:sz w:val="17"/>
                <w:szCs w:val="17"/>
                <w:color w:val="auto"/>
              </w:rPr>
            </w:pPr>
          </w:p>
        </w:tc>
      </w:tr>
      <w:tr>
        <w:trPr>
          <w:trHeight w:val="412"/>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Amended and Restated Bylaws of Yum China Holdings, Inc. (incorporated by reference to Exhibit 3.2 to Yum China Holdings, Inc.’s Current</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Report on Form 8-K filed on November 1, 2016).</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Post-Termination Agreement, effective October 16, 2019, by and between Yum China Holdings, Inc. and Jacky Lo (incorporated by reference</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to Exhibit 10.1 to Yum China Holdings, Inc.’s Current Report on Form 8-K filed on September 6, 2019).</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Employment Letter, effective September 16, 2019, by and between Yum China Holdings, Inc. and Andy Yeung (incorporated by reference to</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Exhibit 10.2 to Yum China Holdings, Inc.’s Current Report on Form 8-K filed on September 6, 2019).</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Yum China Holdings, Inc. Change in Control Severance Plan(incorporated by reference to Exhibit 10.1 to Yum China Holdings, Inc.’s</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Current Report on Form 8-K filed on October 2, 2019).</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Certification of the Chief Executive Officer pursuant to Rule 13a-14(a) of Securities Exchange Act of 1934, as adopted pursuant to Section</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302 of the Sarbanes-Oxley Act of 2002.*</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Certification of the Chief Financial Officer pursuant to Rule 13a-14(a) of Securities Exchange Act of 1934, as adopted pursuant to Section</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302 of the Sarbanes-Oxley Act of 2002.*</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260" w:type="dxa"/>
            <w:vAlign w:val="bottom"/>
            <w:gridSpan w:val="10"/>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Certification of the Chief Executive Officer pursuant to 18 U.S.C. Section 1350, as adopted pursuant to Section 906 of the Sarbanes-Oxley</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Act of 2002.*</w:t>
              </w:r>
            </w:hyperlink>
          </w:p>
        </w:tc>
        <w:tc>
          <w:tcPr>
            <w:tcW w:w="92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Certification of the Chief Financial Officer pursuant to 18 U.S.C. Section 1350, as adopted pursuant to Section 906 of the Sarbanes-Oxley Act</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of 2002.*</w:t>
              </w:r>
            </w:hyperlink>
          </w:p>
        </w:tc>
      </w:tr>
      <w:tr>
        <w:trPr>
          <w:trHeight w:val="20"/>
        </w:trPr>
        <w:tc>
          <w:tcPr>
            <w:tcW w:w="116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580" w:type="dxa"/>
            <w:vAlign w:val="bottom"/>
            <w:gridSpan w:val="9"/>
          </w:tcPr>
          <w:p>
            <w:pPr>
              <w:spacing w:after="0" w:line="20" w:lineRule="exact"/>
              <w:rPr>
                <w:sz w:val="1"/>
                <w:szCs w:val="1"/>
                <w:color w:val="auto"/>
              </w:rPr>
            </w:pPr>
          </w:p>
        </w:tc>
      </w:tr>
      <w:tr>
        <w:trPr>
          <w:trHeight w:val="4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Inline XBRL document *</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 *</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 *</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 *</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 *</w:t>
            </w:r>
          </w:p>
        </w:tc>
      </w:tr>
    </w:tbl>
    <w:p>
      <w:pPr>
        <w:spacing w:after="0" w:line="198" w:lineRule="exact"/>
        <w:rPr>
          <w:sz w:val="20"/>
          <w:szCs w:val="20"/>
          <w:color w:val="auto"/>
        </w:rPr>
      </w:pPr>
    </w:p>
    <w:p>
      <w:pPr>
        <w:ind w:left="1160" w:hanging="1152"/>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Yum China Holdings, Inc.</w:t>
            </w:r>
          </w:p>
        </w:tc>
      </w:tr>
      <w:tr>
        <w:trPr>
          <w:trHeight w:val="228"/>
        </w:trPr>
        <w:tc>
          <w:tcPr>
            <w:tcW w:w="496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2019</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Xueling Lu</w:t>
            </w:r>
          </w:p>
        </w:tc>
      </w:tr>
      <w:tr>
        <w:trPr>
          <w:trHeight w:val="228"/>
        </w:trPr>
        <w:tc>
          <w:tcPr>
            <w:tcW w:w="49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Controller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7"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Joey Wat, certify that:</w:t>
      </w:r>
    </w:p>
    <w:p>
      <w:pPr>
        <w:spacing w:after="0" w:line="225" w:lineRule="exact"/>
        <w:rPr>
          <w:sz w:val="20"/>
          <w:szCs w:val="20"/>
          <w:color w:val="auto"/>
        </w:rPr>
      </w:pPr>
    </w:p>
    <w:p>
      <w:pPr>
        <w:ind w:left="1300" w:hanging="86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Yum China Holdings, Inc.;</w:t>
      </w:r>
    </w:p>
    <w:p>
      <w:pPr>
        <w:spacing w:after="0" w:line="225" w:lineRule="exact"/>
        <w:rPr>
          <w:rFonts w:ascii="Times New Roman" w:cs="Times New Roman" w:eastAsia="Times New Roman" w:hAnsi="Times New Roman"/>
          <w:sz w:val="18"/>
          <w:szCs w:val="18"/>
          <w:color w:val="auto"/>
        </w:rPr>
      </w:pPr>
    </w:p>
    <w:p>
      <w:pPr>
        <w:ind w:left="1300" w:right="120" w:hanging="860"/>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360" w:hanging="860"/>
        <w:spacing w:after="0" w:line="313" w:lineRule="auto"/>
        <w:tabs>
          <w:tab w:leader="none" w:pos="1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1300" w:right="20" w:hanging="860"/>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2180" w:right="40" w:hanging="862"/>
        <w:spacing w:after="0" w:line="266" w:lineRule="auto"/>
        <w:tabs>
          <w:tab w:leader="none" w:pos="21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180" w:right="160" w:hanging="862"/>
        <w:spacing w:after="0" w:line="266" w:lineRule="auto"/>
        <w:tabs>
          <w:tab w:leader="none" w:pos="21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180" w:right="240" w:hanging="862"/>
        <w:spacing w:after="0" w:line="266" w:lineRule="auto"/>
        <w:tabs>
          <w:tab w:leader="none" w:pos="21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2180" w:right="280" w:hanging="862"/>
        <w:spacing w:after="0" w:line="266" w:lineRule="auto"/>
        <w:tabs>
          <w:tab w:leader="none" w:pos="21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1300" w:right="320" w:hanging="860"/>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2180" w:right="20" w:hanging="862"/>
        <w:spacing w:after="0" w:line="266" w:lineRule="auto"/>
        <w:tabs>
          <w:tab w:leader="none" w:pos="21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2180" w:right="40" w:hanging="862"/>
        <w:spacing w:after="0" w:line="282" w:lineRule="auto"/>
        <w:tabs>
          <w:tab w:leader="none" w:pos="21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Joey Wat</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Joey Wat</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360"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Andy Yeung, certify that:</w:t>
      </w:r>
    </w:p>
    <w:p>
      <w:pPr>
        <w:spacing w:after="0" w:line="225" w:lineRule="exact"/>
        <w:rPr>
          <w:sz w:val="20"/>
          <w:szCs w:val="20"/>
          <w:color w:val="auto"/>
        </w:rPr>
      </w:pPr>
    </w:p>
    <w:p>
      <w:pPr>
        <w:ind w:left="1300" w:hanging="86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Yum China Holdings, Inc.;</w:t>
      </w:r>
    </w:p>
    <w:p>
      <w:pPr>
        <w:spacing w:after="0" w:line="225" w:lineRule="exact"/>
        <w:rPr>
          <w:rFonts w:ascii="Times New Roman" w:cs="Times New Roman" w:eastAsia="Times New Roman" w:hAnsi="Times New Roman"/>
          <w:sz w:val="18"/>
          <w:szCs w:val="18"/>
          <w:color w:val="auto"/>
        </w:rPr>
      </w:pPr>
    </w:p>
    <w:p>
      <w:pPr>
        <w:ind w:left="1300" w:right="120" w:hanging="860"/>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360" w:hanging="860"/>
        <w:spacing w:after="0" w:line="313" w:lineRule="auto"/>
        <w:tabs>
          <w:tab w:leader="none" w:pos="1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1300" w:right="20" w:hanging="860"/>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2180" w:right="40" w:hanging="862"/>
        <w:spacing w:after="0" w:line="266" w:lineRule="auto"/>
        <w:tabs>
          <w:tab w:leader="none" w:pos="2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180" w:right="160" w:hanging="862"/>
        <w:spacing w:after="0" w:line="266" w:lineRule="auto"/>
        <w:tabs>
          <w:tab w:leader="none" w:pos="2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180" w:right="240" w:hanging="862"/>
        <w:spacing w:after="0" w:line="266" w:lineRule="auto"/>
        <w:tabs>
          <w:tab w:leader="none" w:pos="2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2180" w:right="280" w:hanging="862"/>
        <w:spacing w:after="0" w:line="266" w:lineRule="auto"/>
        <w:tabs>
          <w:tab w:leader="none" w:pos="2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1300" w:right="320" w:hanging="860"/>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2180" w:right="20" w:hanging="862"/>
        <w:spacing w:after="0" w:line="266" w:lineRule="auto"/>
        <w:tabs>
          <w:tab w:leader="none" w:pos="2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2180" w:right="40" w:hanging="862"/>
        <w:spacing w:after="0" w:line="282" w:lineRule="auto"/>
        <w:tabs>
          <w:tab w:leader="none" w:pos="2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Andy Yeung</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Andy Yeung</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360"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Yum China Holdings, Inc. (the “Company”) on Form 10-Q for the quarter ended September 30, 2019, as filed with the Securities and Exchange Commission on the date hereof (the “Periodic Report”), I, Joey Wat,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Joey Wat</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Joey Wat</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Yum China Holdings, Inc. and will be retained by Yum China Holdings, Inc.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Yum China Holdings, Inc. (the “Company”) on Form 10-Q for the quarter ended September 30, 2019, as filed with the Securities and Exchange Commission on the date hereof (the “Periodic Report”), I, Andy Yeung,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Andy Yeung</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Andy Yeung</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Yum China Holdings, Inc. and will be retained by Yum China Holdings, Inc.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4"/>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2"/>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5"/>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2" Type="http://schemas.openxmlformats.org/officeDocument/2006/relationships/image" Target="media/image80.png"/><Relationship Id="rId87" Type="http://schemas.openxmlformats.org/officeDocument/2006/relationships/hyperlink" Target="http://www.sec.gov/Archives/edgar/data/1673358/000104746916016421/a2230169zex-3_1.htm" TargetMode="External"/><Relationship Id="rId88" Type="http://schemas.openxmlformats.org/officeDocument/2006/relationships/hyperlink" Target="http://www.sec.gov/Archives/edgar/data/1673358/000104746916016421/a2230169zex-3_2.htm" TargetMode="External"/><Relationship Id="rId89" Type="http://schemas.openxmlformats.org/officeDocument/2006/relationships/hyperlink" Target="http://www.sec.gov/Archives/edgar/data/1673358/000119312519240071/d800102dex101.htm" TargetMode="External"/><Relationship Id="rId90" Type="http://schemas.openxmlformats.org/officeDocument/2006/relationships/hyperlink" Target="http://www.sec.gov/Archives/edgar/data/1673358/000119312519240071/d800102dex102.htm" TargetMode="External"/><Relationship Id="rId91" Type="http://schemas.openxmlformats.org/officeDocument/2006/relationships/hyperlink" Target="http://www.sec.gov/Archives/edgar/data/1673358/000119312519260334/d81338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2019-12-28T02:07:54Z</dcterms:created>
  <dcterms:modified xsi:type="dcterms:W3CDTF">2019-12-28T02:07:54Z</dcterms:modified>
</cp:coreProperties>
</file>