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154940</wp:posOffset>
            </wp:positionH>
            <wp:positionV relativeFrom="page">
              <wp:posOffset>302895</wp:posOffset>
            </wp:positionV>
            <wp:extent cx="72517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page">
              <wp:posOffset>154940</wp:posOffset>
            </wp:positionH>
            <wp:positionV relativeFrom="page">
              <wp:posOffset>319405</wp:posOffset>
            </wp:positionV>
            <wp:extent cx="7251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700" cy="8255"/>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88900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1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6" w:lineRule="exact"/>
        <w:rPr>
          <w:sz w:val="24"/>
          <w:szCs w:val="24"/>
          <w:color w:val="auto"/>
        </w:rPr>
      </w:pPr>
    </w:p>
    <w:p>
      <w:pPr>
        <w:ind w:left="520" w:hanging="516"/>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08" w:lineRule="exact"/>
        <w:rPr>
          <w:sz w:val="24"/>
          <w:szCs w:val="24"/>
          <w:color w:val="auto"/>
        </w:rPr>
      </w:pPr>
    </w:p>
    <w:p>
      <w:pPr>
        <w:spacing w:after="0"/>
        <w:rPr>
          <w:sz w:val="20"/>
          <w:szCs w:val="20"/>
          <w:color w:val="auto"/>
        </w:rPr>
      </w:pPr>
      <w:r>
        <w:rPr>
          <w:rFonts w:ascii="Arial" w:cs="Arial" w:eastAsia="Arial" w:hAnsi="Arial"/>
          <w:sz w:val="17"/>
          <w:szCs w:val="17"/>
          <w:color w:val="auto"/>
        </w:rPr>
        <w:t>For the quarterly period ended September 30, 2018</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123" w:lineRule="exact"/>
        <w:rPr>
          <w:sz w:val="24"/>
          <w:szCs w:val="24"/>
          <w:color w:val="auto"/>
        </w:rPr>
      </w:pPr>
    </w:p>
    <w:p>
      <w:pPr>
        <w:ind w:left="520" w:hanging="516"/>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2" w:lineRule="exact"/>
        <w:rPr>
          <w:sz w:val="24"/>
          <w:szCs w:val="24"/>
          <w:color w:val="auto"/>
        </w:rPr>
      </w:pPr>
    </w:p>
    <w:p>
      <w:pPr>
        <w:spacing w:after="0"/>
        <w:rPr>
          <w:sz w:val="20"/>
          <w:szCs w:val="20"/>
          <w:color w:val="auto"/>
        </w:rPr>
      </w:pPr>
      <w:r>
        <w:rPr>
          <w:rFonts w:ascii="Arial" w:cs="Arial" w:eastAsia="Arial" w:hAnsi="Arial"/>
          <w:sz w:val="17"/>
          <w:szCs w:val="17"/>
          <w:color w:val="auto"/>
        </w:rPr>
        <w:t>For the transition period from ____________ to _________________</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Commission file number 001-37762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2903220</wp:posOffset>
            </wp:positionH>
            <wp:positionV relativeFrom="paragraph">
              <wp:posOffset>101600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Yum China Holdings,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09" w:lineRule="exact"/>
        <w:rPr>
          <w:sz w:val="24"/>
          <w:szCs w:val="24"/>
          <w:color w:val="auto"/>
        </w:rPr>
      </w:pPr>
    </w:p>
    <w:tbl>
      <w:tblPr>
        <w:tblLayout w:type="fixed"/>
        <w:tblInd w:w="1800" w:type="dxa"/>
        <w:tblCellMar>
          <w:top w:w="0" w:type="dxa"/>
          <w:left w:w="0" w:type="dxa"/>
          <w:bottom w:w="0" w:type="dxa"/>
          <w:right w:w="0" w:type="dxa"/>
        </w:tblCellMar>
      </w:tblPr>
      <w:tr>
        <w:trPr>
          <w:trHeight w:val="214"/>
        </w:trPr>
        <w:tc>
          <w:tcPr>
            <w:tcW w:w="3980" w:type="dxa"/>
            <w:vAlign w:val="bottom"/>
          </w:tcPr>
          <w:p>
            <w:pPr>
              <w:jc w:val="center"/>
              <w:ind w:right="1754"/>
              <w:spacing w:after="0"/>
              <w:rPr>
                <w:sz w:val="20"/>
                <w:szCs w:val="20"/>
                <w:color w:val="auto"/>
              </w:rPr>
            </w:pPr>
            <w:r>
              <w:rPr>
                <w:rFonts w:ascii="Arial" w:cs="Arial" w:eastAsia="Arial" w:hAnsi="Arial"/>
                <w:sz w:val="17"/>
                <w:szCs w:val="17"/>
                <w:b w:val="1"/>
                <w:bCs w:val="1"/>
                <w:color w:val="auto"/>
                <w:w w:val="93"/>
              </w:rPr>
              <w:t>Delaware</w:t>
            </w:r>
          </w:p>
        </w:tc>
        <w:tc>
          <w:tcPr>
            <w:tcW w:w="3840" w:type="dxa"/>
            <w:vAlign w:val="bottom"/>
          </w:tcPr>
          <w:p>
            <w:pPr>
              <w:jc w:val="center"/>
              <w:ind w:left="1754"/>
              <w:spacing w:after="0"/>
              <w:rPr>
                <w:sz w:val="20"/>
                <w:szCs w:val="20"/>
                <w:color w:val="auto"/>
              </w:rPr>
            </w:pPr>
            <w:r>
              <w:rPr>
                <w:rFonts w:ascii="Arial" w:cs="Arial" w:eastAsia="Arial" w:hAnsi="Arial"/>
                <w:sz w:val="17"/>
                <w:szCs w:val="17"/>
                <w:b w:val="1"/>
                <w:bCs w:val="1"/>
                <w:color w:val="auto"/>
                <w:w w:val="92"/>
              </w:rPr>
              <w:t>81-2421743</w:t>
            </w:r>
          </w:p>
        </w:tc>
      </w:tr>
      <w:tr>
        <w:trPr>
          <w:trHeight w:val="208"/>
        </w:trPr>
        <w:tc>
          <w:tcPr>
            <w:tcW w:w="3980" w:type="dxa"/>
            <w:vAlign w:val="bottom"/>
          </w:tcPr>
          <w:p>
            <w:pPr>
              <w:jc w:val="center"/>
              <w:ind w:right="1754"/>
              <w:spacing w:after="0"/>
              <w:rPr>
                <w:sz w:val="20"/>
                <w:szCs w:val="20"/>
                <w:color w:val="auto"/>
              </w:rPr>
            </w:pPr>
            <w:r>
              <w:rPr>
                <w:rFonts w:ascii="Arial" w:cs="Arial" w:eastAsia="Arial" w:hAnsi="Arial"/>
                <w:sz w:val="17"/>
                <w:szCs w:val="17"/>
                <w:color w:val="auto"/>
                <w:w w:val="93"/>
              </w:rPr>
              <w:t>(State or Other Jurisdiction of</w:t>
            </w:r>
          </w:p>
        </w:tc>
        <w:tc>
          <w:tcPr>
            <w:tcW w:w="3840" w:type="dxa"/>
            <w:vAlign w:val="bottom"/>
          </w:tcPr>
          <w:p>
            <w:pPr>
              <w:jc w:val="center"/>
              <w:ind w:left="1774"/>
              <w:spacing w:after="0"/>
              <w:rPr>
                <w:sz w:val="20"/>
                <w:szCs w:val="20"/>
                <w:color w:val="auto"/>
              </w:rPr>
            </w:pPr>
            <w:r>
              <w:rPr>
                <w:rFonts w:ascii="Arial" w:cs="Arial" w:eastAsia="Arial" w:hAnsi="Arial"/>
                <w:sz w:val="17"/>
                <w:szCs w:val="17"/>
                <w:color w:val="auto"/>
                <w:w w:val="94"/>
              </w:rPr>
              <w:t>(I.R.S. Employer</w:t>
            </w:r>
          </w:p>
        </w:tc>
      </w:tr>
      <w:tr>
        <w:trPr>
          <w:trHeight w:val="220"/>
        </w:trPr>
        <w:tc>
          <w:tcPr>
            <w:tcW w:w="3980" w:type="dxa"/>
            <w:vAlign w:val="bottom"/>
          </w:tcPr>
          <w:p>
            <w:pPr>
              <w:jc w:val="center"/>
              <w:ind w:right="1754"/>
              <w:spacing w:after="0"/>
              <w:rPr>
                <w:sz w:val="20"/>
                <w:szCs w:val="20"/>
                <w:color w:val="auto"/>
              </w:rPr>
            </w:pPr>
            <w:r>
              <w:rPr>
                <w:rFonts w:ascii="Arial" w:cs="Arial" w:eastAsia="Arial" w:hAnsi="Arial"/>
                <w:sz w:val="17"/>
                <w:szCs w:val="17"/>
                <w:color w:val="auto"/>
                <w:w w:val="94"/>
              </w:rPr>
              <w:t>Incorporation or Organization)</w:t>
            </w:r>
          </w:p>
        </w:tc>
        <w:tc>
          <w:tcPr>
            <w:tcW w:w="3840" w:type="dxa"/>
            <w:vAlign w:val="bottom"/>
          </w:tcPr>
          <w:p>
            <w:pPr>
              <w:jc w:val="center"/>
              <w:ind w:left="1774"/>
              <w:spacing w:after="0"/>
              <w:rPr>
                <w:sz w:val="20"/>
                <w:szCs w:val="20"/>
                <w:color w:val="auto"/>
              </w:rPr>
            </w:pPr>
            <w:r>
              <w:rPr>
                <w:rFonts w:ascii="Arial" w:cs="Arial" w:eastAsia="Arial" w:hAnsi="Arial"/>
                <w:sz w:val="17"/>
                <w:szCs w:val="17"/>
                <w:color w:val="auto"/>
                <w:w w:val="98"/>
              </w:rPr>
              <w:t>Identification No.)</w:t>
            </w:r>
          </w:p>
        </w:tc>
      </w:tr>
      <w:tr>
        <w:trPr>
          <w:trHeight w:val="306"/>
        </w:trPr>
        <w:tc>
          <w:tcPr>
            <w:tcW w:w="3980" w:type="dxa"/>
            <w:vAlign w:val="bottom"/>
          </w:tcPr>
          <w:p>
            <w:pPr>
              <w:spacing w:after="0"/>
              <w:rPr>
                <w:sz w:val="24"/>
                <w:szCs w:val="24"/>
                <w:color w:val="auto"/>
              </w:rPr>
            </w:pPr>
          </w:p>
        </w:tc>
        <w:tc>
          <w:tcPr>
            <w:tcW w:w="3840" w:type="dxa"/>
            <w:vAlign w:val="bottom"/>
          </w:tcPr>
          <w:p>
            <w:pPr>
              <w:jc w:val="center"/>
              <w:ind w:left="1754"/>
              <w:spacing w:after="0"/>
              <w:rPr>
                <w:sz w:val="20"/>
                <w:szCs w:val="20"/>
                <w:color w:val="auto"/>
              </w:rPr>
            </w:pPr>
            <w:r>
              <w:rPr>
                <w:rFonts w:ascii="Arial" w:cs="Arial" w:eastAsia="Arial" w:hAnsi="Arial"/>
                <w:sz w:val="17"/>
                <w:szCs w:val="17"/>
                <w:b w:val="1"/>
                <w:bCs w:val="1"/>
                <w:color w:val="auto"/>
                <w:w w:val="94"/>
              </w:rPr>
              <w:t>Yum China Building</w:t>
            </w:r>
          </w:p>
        </w:tc>
      </w:tr>
      <w:tr>
        <w:trPr>
          <w:trHeight w:val="208"/>
        </w:trPr>
        <w:tc>
          <w:tcPr>
            <w:tcW w:w="3980" w:type="dxa"/>
            <w:vAlign w:val="bottom"/>
          </w:tcPr>
          <w:p>
            <w:pPr>
              <w:jc w:val="center"/>
              <w:ind w:right="1754"/>
              <w:spacing w:after="0"/>
              <w:rPr>
                <w:sz w:val="20"/>
                <w:szCs w:val="20"/>
                <w:color w:val="auto"/>
              </w:rPr>
            </w:pPr>
            <w:r>
              <w:rPr>
                <w:rFonts w:ascii="Arial" w:cs="Arial" w:eastAsia="Arial" w:hAnsi="Arial"/>
                <w:sz w:val="17"/>
                <w:szCs w:val="17"/>
                <w:b w:val="1"/>
                <w:bCs w:val="1"/>
                <w:color w:val="auto"/>
                <w:w w:val="94"/>
              </w:rPr>
              <w:t>7100 Corporate Drive</w:t>
            </w:r>
          </w:p>
        </w:tc>
        <w:tc>
          <w:tcPr>
            <w:tcW w:w="3840" w:type="dxa"/>
            <w:vAlign w:val="bottom"/>
          </w:tcPr>
          <w:p>
            <w:pPr>
              <w:jc w:val="center"/>
              <w:ind w:left="1754"/>
              <w:spacing w:after="0"/>
              <w:rPr>
                <w:sz w:val="20"/>
                <w:szCs w:val="20"/>
                <w:color w:val="auto"/>
              </w:rPr>
            </w:pPr>
            <w:r>
              <w:rPr>
                <w:rFonts w:ascii="Arial" w:cs="Arial" w:eastAsia="Arial" w:hAnsi="Arial"/>
                <w:sz w:val="17"/>
                <w:szCs w:val="17"/>
                <w:b w:val="1"/>
                <w:bCs w:val="1"/>
                <w:color w:val="auto"/>
                <w:w w:val="93"/>
              </w:rPr>
              <w:t>20 Tian Yao Qiao Road</w:t>
            </w:r>
          </w:p>
        </w:tc>
      </w:tr>
      <w:tr>
        <w:trPr>
          <w:trHeight w:val="208"/>
        </w:trPr>
        <w:tc>
          <w:tcPr>
            <w:tcW w:w="3980" w:type="dxa"/>
            <w:vAlign w:val="bottom"/>
          </w:tcPr>
          <w:p>
            <w:pPr>
              <w:jc w:val="center"/>
              <w:ind w:right="1774"/>
              <w:spacing w:after="0"/>
              <w:rPr>
                <w:sz w:val="20"/>
                <w:szCs w:val="20"/>
                <w:color w:val="auto"/>
              </w:rPr>
            </w:pPr>
            <w:r>
              <w:rPr>
                <w:rFonts w:ascii="Arial" w:cs="Arial" w:eastAsia="Arial" w:hAnsi="Arial"/>
                <w:sz w:val="17"/>
                <w:szCs w:val="17"/>
                <w:b w:val="1"/>
                <w:bCs w:val="1"/>
                <w:color w:val="auto"/>
                <w:w w:val="89"/>
              </w:rPr>
              <w:t>Plano, Texas 75024</w:t>
            </w:r>
          </w:p>
        </w:tc>
        <w:tc>
          <w:tcPr>
            <w:tcW w:w="3840" w:type="dxa"/>
            <w:vAlign w:val="bottom"/>
          </w:tcPr>
          <w:p>
            <w:pPr>
              <w:jc w:val="center"/>
              <w:ind w:left="1774"/>
              <w:spacing w:after="0"/>
              <w:rPr>
                <w:sz w:val="20"/>
                <w:szCs w:val="20"/>
                <w:color w:val="auto"/>
              </w:rPr>
            </w:pPr>
            <w:r>
              <w:rPr>
                <w:rFonts w:ascii="Arial" w:cs="Arial" w:eastAsia="Arial" w:hAnsi="Arial"/>
                <w:sz w:val="17"/>
                <w:szCs w:val="17"/>
                <w:b w:val="1"/>
                <w:bCs w:val="1"/>
                <w:color w:val="auto"/>
                <w:w w:val="91"/>
              </w:rPr>
              <w:t>Shanghai 200030</w:t>
            </w:r>
          </w:p>
        </w:tc>
      </w:tr>
      <w:tr>
        <w:trPr>
          <w:trHeight w:val="226"/>
        </w:trPr>
        <w:tc>
          <w:tcPr>
            <w:tcW w:w="3980" w:type="dxa"/>
            <w:vAlign w:val="bottom"/>
          </w:tcPr>
          <w:p>
            <w:pPr>
              <w:jc w:val="center"/>
              <w:ind w:right="1754"/>
              <w:spacing w:after="0"/>
              <w:rPr>
                <w:sz w:val="20"/>
                <w:szCs w:val="20"/>
                <w:color w:val="auto"/>
              </w:rPr>
            </w:pPr>
            <w:r>
              <w:rPr>
                <w:rFonts w:ascii="Arial" w:cs="Arial" w:eastAsia="Arial" w:hAnsi="Arial"/>
                <w:sz w:val="17"/>
                <w:szCs w:val="17"/>
                <w:b w:val="1"/>
                <w:bCs w:val="1"/>
                <w:color w:val="auto"/>
                <w:w w:val="92"/>
              </w:rPr>
              <w:t>United States of America</w:t>
            </w:r>
          </w:p>
        </w:tc>
        <w:tc>
          <w:tcPr>
            <w:tcW w:w="3840" w:type="dxa"/>
            <w:vAlign w:val="bottom"/>
          </w:tcPr>
          <w:p>
            <w:pPr>
              <w:jc w:val="center"/>
              <w:ind w:left="1754"/>
              <w:spacing w:after="0"/>
              <w:rPr>
                <w:sz w:val="20"/>
                <w:szCs w:val="20"/>
                <w:color w:val="auto"/>
              </w:rPr>
            </w:pPr>
            <w:r>
              <w:rPr>
                <w:rFonts w:ascii="Arial" w:cs="Arial" w:eastAsia="Arial" w:hAnsi="Arial"/>
                <w:sz w:val="17"/>
                <w:szCs w:val="17"/>
                <w:b w:val="1"/>
                <w:bCs w:val="1"/>
                <w:color w:val="auto"/>
                <w:w w:val="91"/>
              </w:rPr>
              <w:t>People’s Republic of China</w:t>
            </w:r>
          </w:p>
        </w:tc>
      </w:tr>
    </w:tbl>
    <w:p>
      <w:pPr>
        <w:ind w:left="3560"/>
        <w:spacing w:after="0"/>
        <w:rPr>
          <w:sz w:val="20"/>
          <w:szCs w:val="20"/>
          <w:color w:val="auto"/>
        </w:rPr>
      </w:pPr>
      <w:r>
        <w:rPr>
          <w:rFonts w:ascii="Arial" w:cs="Arial" w:eastAsia="Arial" w:hAnsi="Arial"/>
          <w:sz w:val="17"/>
          <w:szCs w:val="17"/>
          <w:color w:val="auto"/>
        </w:rPr>
        <w:t>(Address, Including Zip Code, of Principal Executive Offices)</w:t>
      </w:r>
    </w:p>
    <w:p>
      <w:pPr>
        <w:spacing w:after="0" w:line="97" w:lineRule="exact"/>
        <w:rPr>
          <w:sz w:val="24"/>
          <w:szCs w:val="24"/>
          <w:color w:val="auto"/>
        </w:rPr>
      </w:pPr>
    </w:p>
    <w:p>
      <w:pPr>
        <w:ind w:left="5180"/>
        <w:spacing w:after="0"/>
        <w:rPr>
          <w:sz w:val="20"/>
          <w:szCs w:val="20"/>
          <w:color w:val="auto"/>
        </w:rPr>
      </w:pPr>
      <w:r>
        <w:rPr>
          <w:rFonts w:ascii="Arial" w:cs="Arial" w:eastAsia="Arial" w:hAnsi="Arial"/>
          <w:sz w:val="17"/>
          <w:szCs w:val="17"/>
          <w:b w:val="1"/>
          <w:bCs w:val="1"/>
          <w:color w:val="auto"/>
        </w:rPr>
        <w:t>(469) 980-2898</w:t>
      </w:r>
    </w:p>
    <w:p>
      <w:pPr>
        <w:spacing w:after="0" w:line="31" w:lineRule="exact"/>
        <w:rPr>
          <w:sz w:val="24"/>
          <w:szCs w:val="24"/>
          <w:color w:val="auto"/>
        </w:rPr>
      </w:pPr>
    </w:p>
    <w:p>
      <w:pPr>
        <w:ind w:left="3740"/>
        <w:spacing w:after="0"/>
        <w:rPr>
          <w:sz w:val="20"/>
          <w:szCs w:val="20"/>
          <w:color w:val="auto"/>
        </w:rPr>
      </w:pPr>
      <w:r>
        <w:rPr>
          <w:rFonts w:ascii="Arial" w:cs="Arial" w:eastAsia="Arial" w:hAnsi="Arial"/>
          <w:sz w:val="17"/>
          <w:szCs w:val="17"/>
          <w:color w:val="auto"/>
        </w:rPr>
        <w:t>(Registrant’s Telephone Number, Including Area Code)</w:t>
      </w:r>
    </w:p>
    <w:p>
      <w:pPr>
        <w:spacing w:after="0" w:line="110" w:lineRule="exact"/>
        <w:rPr>
          <w:sz w:val="24"/>
          <w:szCs w:val="24"/>
          <w:color w:val="auto"/>
        </w:rPr>
      </w:pPr>
    </w:p>
    <w:p>
      <w:pPr>
        <w:ind w:left="5160"/>
        <w:spacing w:after="0"/>
        <w:rPr>
          <w:sz w:val="20"/>
          <w:szCs w:val="20"/>
          <w:color w:val="auto"/>
        </w:rPr>
      </w:pPr>
      <w:r>
        <w:rPr>
          <w:rFonts w:ascii="Arial" w:cs="Arial" w:eastAsia="Arial" w:hAnsi="Arial"/>
          <w:sz w:val="17"/>
          <w:szCs w:val="17"/>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16" w:lineRule="exact"/>
        <w:rPr>
          <w:sz w:val="24"/>
          <w:szCs w:val="24"/>
          <w:color w:val="auto"/>
        </w:rPr>
      </w:pPr>
    </w:p>
    <w:p>
      <w:pPr>
        <w:jc w:val="both"/>
        <w:ind w:firstLine="518"/>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518"/>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jc w:val="both"/>
        <w:ind w:firstLine="518"/>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19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7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3180"/>
              <w:spacing w:after="0"/>
              <w:rPr>
                <w:sz w:val="20"/>
                <w:szCs w:val="20"/>
                <w:color w:val="auto"/>
              </w:rPr>
            </w:pPr>
            <w:r>
              <w:rPr>
                <w:rFonts w:ascii="Arial" w:cs="Arial" w:eastAsia="Arial" w:hAnsi="Arial"/>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8"/>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7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320" w:type="dxa"/>
            <w:vAlign w:val="bottom"/>
          </w:tcPr>
          <w:p>
            <w:pPr>
              <w:ind w:left="3180"/>
              <w:spacing w:after="0"/>
              <w:rPr>
                <w:sz w:val="20"/>
                <w:szCs w:val="20"/>
                <w:color w:val="auto"/>
              </w:rPr>
            </w:pPr>
            <w:r>
              <w:rPr>
                <w:rFonts w:ascii="Arial" w:cs="Arial" w:eastAsia="Arial" w:hAnsi="Arial"/>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71"/>
        </w:trPr>
        <w:tc>
          <w:tcPr>
            <w:tcW w:w="190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5320" w:type="dxa"/>
            <w:vAlign w:val="bottom"/>
          </w:tcPr>
          <w:p>
            <w:pPr>
              <w:ind w:left="3180"/>
              <w:spacing w:after="0"/>
              <w:rPr>
                <w:sz w:val="20"/>
                <w:szCs w:val="20"/>
                <w:color w:val="auto"/>
              </w:rPr>
            </w:pPr>
            <w:r>
              <w:rPr>
                <w:rFonts w:ascii="Arial" w:cs="Arial" w:eastAsia="Arial" w:hAnsi="Arial"/>
                <w:sz w:val="17"/>
                <w:szCs w:val="17"/>
                <w:color w:val="auto"/>
              </w:rPr>
              <w:t>Emerging growth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73" w:lineRule="exact"/>
        <w:rPr>
          <w:sz w:val="24"/>
          <w:szCs w:val="24"/>
          <w:color w:val="auto"/>
        </w:rPr>
      </w:pPr>
    </w:p>
    <w:p>
      <w:pPr>
        <w:ind w:firstLine="518"/>
        <w:spacing w:after="0" w:line="22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520" w:right="2060"/>
        <w:spacing w:after="0" w:line="28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as of November 2, 2018 was 379,074,892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251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83185</wp:posOffset>
            </wp:positionV>
            <wp:extent cx="7251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70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161290</wp:posOffset>
            </wp:positionV>
            <wp:extent cx="729361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80" w:type="dxa"/>
            <w:vAlign w:val="bottom"/>
            <w:gridSpan w:val="9"/>
          </w:tcPr>
          <w:p>
            <w:pPr>
              <w:jc w:val="center"/>
              <w:ind w:right="2320"/>
              <w:spacing w:after="0"/>
              <w:rPr>
                <w:sz w:val="20"/>
                <w:szCs w:val="20"/>
                <w:color w:val="auto"/>
              </w:rPr>
            </w:pPr>
            <w:r>
              <w:rPr>
                <w:rFonts w:ascii="Arial" w:cs="Arial" w:eastAsia="Arial" w:hAnsi="Arial"/>
                <w:sz w:val="17"/>
                <w:szCs w:val="17"/>
                <w:b w:val="1"/>
                <w:bCs w:val="1"/>
                <w:color w:val="auto"/>
                <w:w w:val="93"/>
              </w:rPr>
              <w:t>Yum China Holdings, Inc.</w:t>
            </w: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5"/>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240" w:type="dxa"/>
            <w:vAlign w:val="bottom"/>
            <w:gridSpan w:val="8"/>
          </w:tcPr>
          <w:p>
            <w:pPr>
              <w:jc w:val="center"/>
              <w:ind w:right="4360"/>
              <w:spacing w:after="0"/>
              <w:rPr>
                <w:sz w:val="20"/>
                <w:szCs w:val="20"/>
                <w:color w:val="auto"/>
              </w:rPr>
            </w:pPr>
            <w:r>
              <w:rPr>
                <w:rFonts w:ascii="Arial" w:cs="Arial" w:eastAsia="Arial" w:hAnsi="Arial"/>
                <w:sz w:val="17"/>
                <w:szCs w:val="17"/>
                <w:b w:val="1"/>
                <w:bCs w:val="1"/>
                <w:color w:val="auto"/>
              </w:rPr>
              <w:t>INDEX</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3"/>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5"/>
              </w:rPr>
              <w:t>Page</w:t>
            </w:r>
          </w:p>
        </w:tc>
        <w:tc>
          <w:tcPr>
            <w:tcW w:w="40" w:type="dxa"/>
            <w:vAlign w:val="bottom"/>
          </w:tcPr>
          <w:p>
            <w:pPr>
              <w:spacing w:after="0"/>
              <w:rPr>
                <w:sz w:val="24"/>
                <w:szCs w:val="24"/>
                <w:color w:val="auto"/>
              </w:rPr>
            </w:pPr>
          </w:p>
        </w:tc>
      </w:tr>
      <w:tr>
        <w:trPr>
          <w:trHeight w:val="220"/>
        </w:trPr>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No.</w:t>
            </w:r>
          </w:p>
        </w:tc>
        <w:tc>
          <w:tcPr>
            <w:tcW w:w="40" w:type="dxa"/>
            <w:vAlign w:val="bottom"/>
          </w:tcPr>
          <w:p>
            <w:pPr>
              <w:spacing w:after="0"/>
              <w:rPr>
                <w:sz w:val="19"/>
                <w:szCs w:val="19"/>
                <w:color w:val="auto"/>
              </w:rPr>
            </w:pPr>
          </w:p>
        </w:tc>
      </w:tr>
      <w:tr>
        <w:trPr>
          <w:trHeight w:val="369"/>
        </w:trPr>
        <w:tc>
          <w:tcPr>
            <w:tcW w:w="920" w:type="dxa"/>
            <w:vAlign w:val="bottom"/>
          </w:tcPr>
          <w:p>
            <w:pPr>
              <w:spacing w:after="0"/>
              <w:rPr>
                <w:sz w:val="20"/>
                <w:szCs w:val="20"/>
                <w:color w:val="auto"/>
              </w:rPr>
            </w:pPr>
            <w:r>
              <w:rPr>
                <w:rFonts w:ascii="Arial" w:cs="Arial" w:eastAsia="Arial" w:hAnsi="Arial"/>
                <w:sz w:val="17"/>
                <w:szCs w:val="17"/>
                <w:color w:val="auto"/>
              </w:rPr>
              <w:t>Part I.</w:t>
            </w:r>
          </w:p>
        </w:tc>
        <w:tc>
          <w:tcPr>
            <w:tcW w:w="1520" w:type="dxa"/>
            <w:vAlign w:val="bottom"/>
            <w:tcBorders>
              <w:bottom w:val="single" w:sz="8" w:color="0000EE"/>
            </w:tcBorders>
            <w:gridSpan w:val="5"/>
          </w:tcPr>
          <w:p>
            <w:pPr>
              <w:spacing w:after="0"/>
              <w:rPr>
                <w:rFonts w:ascii="Arial" w:cs="Arial" w:eastAsia="Arial" w:hAnsi="Arial"/>
                <w:sz w:val="17"/>
                <w:szCs w:val="17"/>
                <w:color w:val="0000EE"/>
                <w:w w:val="95"/>
              </w:rPr>
            </w:pPr>
            <w:hyperlink w:anchor="page3">
              <w:r>
                <w:rPr>
                  <w:rFonts w:ascii="Arial" w:cs="Arial" w:eastAsia="Arial" w:hAnsi="Arial"/>
                  <w:sz w:val="17"/>
                  <w:szCs w:val="17"/>
                  <w:color w:val="0000EE"/>
                  <w:w w:val="95"/>
                </w:rPr>
                <w:t>Financial Information</w:t>
              </w:r>
            </w:hyperlink>
          </w:p>
        </w:tc>
        <w:tc>
          <w:tcPr>
            <w:tcW w:w="8080" w:type="dxa"/>
            <w:vAlign w:val="bottom"/>
            <w:gridSpan w:val="13"/>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2080" w:type="dxa"/>
            <w:vAlign w:val="bottom"/>
            <w:tcBorders>
              <w:bottom w:val="single" w:sz="8" w:color="0000EE"/>
            </w:tcBorders>
            <w:gridSpan w:val="8"/>
          </w:tcPr>
          <w:p>
            <w:pPr>
              <w:spacing w:after="0"/>
              <w:rPr>
                <w:rFonts w:ascii="Arial" w:cs="Arial" w:eastAsia="Arial" w:hAnsi="Arial"/>
                <w:sz w:val="17"/>
                <w:szCs w:val="17"/>
                <w:color w:val="0000EE"/>
                <w:w w:val="91"/>
              </w:rPr>
            </w:pPr>
            <w:hyperlink w:anchor="page3">
              <w:r>
                <w:rPr>
                  <w:rFonts w:ascii="Arial" w:cs="Arial" w:eastAsia="Arial" w:hAnsi="Arial"/>
                  <w:sz w:val="17"/>
                  <w:szCs w:val="17"/>
                  <w:color w:val="0000EE"/>
                  <w:w w:val="91"/>
                </w:rPr>
                <w:t>Item 1 – Financial Statements</w:t>
              </w:r>
            </w:hyperlink>
          </w:p>
        </w:tc>
        <w:tc>
          <w:tcPr>
            <w:tcW w:w="7520" w:type="dxa"/>
            <w:vAlign w:val="bottom"/>
            <w:gridSpan w:val="10"/>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6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Condensed Consolidated Statements of Income – Quarters and Years to Date Ended September 30, 2018 and 2017</w:t>
              </w:r>
            </w:hyperlink>
          </w:p>
        </w:tc>
        <w:tc>
          <w:tcPr>
            <w:tcW w:w="900" w:type="dxa"/>
            <w:vAlign w:val="bottom"/>
          </w:tcPr>
          <w:p>
            <w:pPr>
              <w:jc w:val="center"/>
              <w:spacing w:after="0"/>
              <w:rPr>
                <w:sz w:val="20"/>
                <w:szCs w:val="20"/>
                <w:color w:val="auto"/>
              </w:rPr>
            </w:pPr>
            <w:r>
              <w:rPr>
                <w:rFonts w:ascii="Arial" w:cs="Arial" w:eastAsia="Arial" w:hAnsi="Arial"/>
                <w:sz w:val="17"/>
                <w:szCs w:val="17"/>
                <w:color w:val="auto"/>
                <w:w w:val="84"/>
              </w:rPr>
              <w:t>3</w:t>
            </w:r>
          </w:p>
        </w:tc>
        <w:tc>
          <w:tcPr>
            <w:tcW w:w="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5"/>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60" w:type="dxa"/>
            <w:vAlign w:val="bottom"/>
            <w:gridSpan w:val="17"/>
          </w:tcPr>
          <w:p>
            <w:pPr>
              <w:spacing w:after="0"/>
              <w:rPr>
                <w:rFonts w:ascii="Arial" w:cs="Arial" w:eastAsia="Arial" w:hAnsi="Arial"/>
                <w:sz w:val="17"/>
                <w:szCs w:val="17"/>
                <w:color w:val="0000EE"/>
                <w:w w:val="94"/>
              </w:rPr>
            </w:pPr>
            <w:hyperlink w:anchor="page4">
              <w:r>
                <w:rPr>
                  <w:rFonts w:ascii="Arial" w:cs="Arial" w:eastAsia="Arial" w:hAnsi="Arial"/>
                  <w:sz w:val="17"/>
                  <w:szCs w:val="17"/>
                  <w:color w:val="0000EE"/>
                  <w:w w:val="94"/>
                </w:rPr>
                <w:t>Condensed Consolidated Statements of Comprehensive Income – Quarters and Years to Date Ended September 30, 2018 and</w:t>
              </w:r>
            </w:hyperlink>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8"/>
        </w:trPr>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340" w:type="dxa"/>
            <w:vAlign w:val="bottom"/>
            <w:tcBorders>
              <w:top w:val="single" w:sz="8" w:color="0000EE"/>
              <w:bottom w:val="single" w:sz="8" w:color="0000EE"/>
            </w:tcBorders>
          </w:tcPr>
          <w:p>
            <w:pPr>
              <w:jc w:val="right"/>
              <w:spacing w:after="0" w:line="188" w:lineRule="exact"/>
              <w:rPr>
                <w:rFonts w:ascii="Arial" w:cs="Arial" w:eastAsia="Arial" w:hAnsi="Arial"/>
                <w:sz w:val="17"/>
                <w:szCs w:val="17"/>
                <w:color w:val="0000EE"/>
                <w:w w:val="84"/>
              </w:rPr>
            </w:pPr>
            <w:hyperlink w:anchor="page4">
              <w:r>
                <w:rPr>
                  <w:rFonts w:ascii="Arial" w:cs="Arial" w:eastAsia="Arial" w:hAnsi="Arial"/>
                  <w:sz w:val="17"/>
                  <w:szCs w:val="17"/>
                  <w:color w:val="0000EE"/>
                  <w:w w:val="84"/>
                </w:rPr>
                <w:t>2017</w:t>
              </w:r>
            </w:hyperlink>
          </w:p>
        </w:tc>
        <w:tc>
          <w:tcPr>
            <w:tcW w:w="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4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80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7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center"/>
              <w:spacing w:after="0" w:line="188" w:lineRule="exact"/>
              <w:rPr>
                <w:sz w:val="20"/>
                <w:szCs w:val="20"/>
                <w:color w:val="auto"/>
              </w:rPr>
            </w:pPr>
            <w:r>
              <w:rPr>
                <w:rFonts w:ascii="Arial" w:cs="Arial" w:eastAsia="Arial" w:hAnsi="Arial"/>
                <w:sz w:val="17"/>
                <w:szCs w:val="17"/>
                <w:color w:val="auto"/>
                <w:w w:val="84"/>
              </w:rPr>
              <w:t>4</w:t>
            </w:r>
          </w:p>
        </w:tc>
        <w:tc>
          <w:tcPr>
            <w:tcW w:w="40" w:type="dxa"/>
            <w:vAlign w:val="bottom"/>
          </w:tcPr>
          <w:p>
            <w:pPr>
              <w:spacing w:after="0"/>
              <w:rPr>
                <w:sz w:val="16"/>
                <w:szCs w:val="16"/>
                <w:color w:val="auto"/>
              </w:rPr>
            </w:pPr>
          </w:p>
        </w:tc>
      </w:tr>
      <w:tr>
        <w:trPr>
          <w:trHeight w:val="395"/>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6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Condensed Consolidated Statements of Cash Flows – Years to Date Ended September 30, 2018 and 2017</w:t>
              </w:r>
            </w:hyperlink>
          </w:p>
        </w:tc>
        <w:tc>
          <w:tcPr>
            <w:tcW w:w="900" w:type="dxa"/>
            <w:vAlign w:val="bottom"/>
          </w:tcPr>
          <w:p>
            <w:pPr>
              <w:jc w:val="center"/>
              <w:spacing w:after="0"/>
              <w:rPr>
                <w:sz w:val="20"/>
                <w:szCs w:val="20"/>
                <w:color w:val="auto"/>
              </w:rPr>
            </w:pPr>
            <w:r>
              <w:rPr>
                <w:rFonts w:ascii="Arial" w:cs="Arial" w:eastAsia="Arial" w:hAnsi="Arial"/>
                <w:sz w:val="17"/>
                <w:szCs w:val="17"/>
                <w:color w:val="auto"/>
                <w:w w:val="84"/>
              </w:rPr>
              <w:t>5</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80" w:type="dxa"/>
            <w:vAlign w:val="bottom"/>
            <w:tcBorders>
              <w:top w:val="single" w:sz="8" w:color="0000EE"/>
            </w:tcBorders>
            <w:gridSpan w:val="14"/>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Condensed Consolidated Balance Sheets – September 30, 2018 and December 31, 2017</w:t>
              </w:r>
            </w:hyperlink>
          </w:p>
        </w:tc>
        <w:tc>
          <w:tcPr>
            <w:tcW w:w="198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6</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60" w:type="dxa"/>
            <w:vAlign w:val="bottom"/>
            <w:tcBorders>
              <w:top w:val="single" w:sz="8" w:color="0000EE"/>
            </w:tcBorders>
            <w:gridSpan w:val="12"/>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Condensed Consolidated Financial Statements</w:t>
              </w:r>
            </w:hyperlink>
          </w:p>
        </w:tc>
        <w:tc>
          <w:tcPr>
            <w:tcW w:w="300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84"/>
              </w:rPr>
              <w:t>7</w:t>
            </w:r>
          </w:p>
        </w:tc>
        <w:tc>
          <w:tcPr>
            <w:tcW w:w="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5"/>
        </w:trPr>
        <w:tc>
          <w:tcPr>
            <w:tcW w:w="920" w:type="dxa"/>
            <w:vAlign w:val="bottom"/>
          </w:tcPr>
          <w:p>
            <w:pPr>
              <w:spacing w:after="0"/>
              <w:rPr>
                <w:sz w:val="24"/>
                <w:szCs w:val="24"/>
                <w:color w:val="auto"/>
              </w:rPr>
            </w:pPr>
          </w:p>
        </w:tc>
        <w:tc>
          <w:tcPr>
            <w:tcW w:w="6840" w:type="dxa"/>
            <w:vAlign w:val="bottom"/>
            <w:tcBorders>
              <w:bottom w:val="single" w:sz="8" w:color="0000EE"/>
            </w:tcBorders>
            <w:gridSpan w:val="14"/>
          </w:tcPr>
          <w:p>
            <w:pPr>
              <w:spacing w:after="0"/>
              <w:rPr>
                <w:rFonts w:ascii="Arial" w:cs="Arial" w:eastAsia="Arial" w:hAnsi="Arial"/>
                <w:sz w:val="17"/>
                <w:szCs w:val="17"/>
                <w:color w:val="0000EE"/>
                <w:w w:val="92"/>
              </w:rPr>
            </w:pPr>
            <w:hyperlink w:anchor="page20">
              <w:r>
                <w:rPr>
                  <w:rFonts w:ascii="Arial" w:cs="Arial" w:eastAsia="Arial" w:hAnsi="Arial"/>
                  <w:sz w:val="17"/>
                  <w:szCs w:val="17"/>
                  <w:color w:val="0000EE"/>
                  <w:w w:val="92"/>
                </w:rPr>
                <w:t>Item 2 – Management’s Discussion and Analysis of Financial Condition and Results of Operations</w:t>
              </w:r>
            </w:hyperlink>
          </w:p>
        </w:tc>
        <w:tc>
          <w:tcPr>
            <w:tcW w:w="2760" w:type="dxa"/>
            <w:vAlign w:val="bottom"/>
            <w:gridSpan w:val="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20</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7"/>
                <w:szCs w:val="17"/>
                <w:color w:val="0000EE"/>
              </w:rPr>
            </w:pPr>
            <w:hyperlink w:anchor="page35">
              <w:r>
                <w:rPr>
                  <w:rFonts w:ascii="Arial" w:cs="Arial" w:eastAsia="Arial" w:hAnsi="Arial"/>
                  <w:sz w:val="17"/>
                  <w:szCs w:val="17"/>
                  <w:color w:val="0000EE"/>
                </w:rPr>
                <w:t>Item 3 – Quantitative and Qualitative Disclosures about Market Risk</w:t>
              </w:r>
            </w:hyperlink>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35</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4760" w:type="dxa"/>
            <w:vAlign w:val="bottom"/>
            <w:tcBorders>
              <w:top w:val="single" w:sz="8" w:color="0000EE"/>
            </w:tcBorders>
            <w:gridSpan w:val="11"/>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Item 4 – Controls and Procedures</w:t>
              </w:r>
            </w:hyperlink>
          </w:p>
        </w:tc>
        <w:tc>
          <w:tcPr>
            <w:tcW w:w="4840" w:type="dxa"/>
            <w:vAlign w:val="bottom"/>
            <w:gridSpan w:val="7"/>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36</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0"/>
                <w:szCs w:val="20"/>
                <w:color w:val="auto"/>
              </w:rPr>
            </w:pPr>
            <w:r>
              <w:rPr>
                <w:rFonts w:ascii="Arial" w:cs="Arial" w:eastAsia="Arial" w:hAnsi="Arial"/>
                <w:sz w:val="17"/>
                <w:szCs w:val="17"/>
                <w:color w:val="auto"/>
              </w:rPr>
              <w:t>Part II.</w:t>
            </w:r>
          </w:p>
        </w:tc>
        <w:tc>
          <w:tcPr>
            <w:tcW w:w="2320" w:type="dxa"/>
            <w:vAlign w:val="bottom"/>
            <w:tcBorders>
              <w:top w:val="single" w:sz="8" w:color="0000EE"/>
            </w:tcBorders>
            <w:gridSpan w:val="9"/>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Other Information</w:t>
              </w:r>
            </w:hyperlink>
          </w:p>
        </w:tc>
        <w:tc>
          <w:tcPr>
            <w:tcW w:w="728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5"/>
        </w:trPr>
        <w:tc>
          <w:tcPr>
            <w:tcW w:w="92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Item 1 – Legal Proceedings</w:t>
              </w:r>
            </w:hyperlink>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37</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162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3"/>
              </w:rPr>
            </w:pPr>
            <w:hyperlink w:anchor="page37">
              <w:r>
                <w:rPr>
                  <w:rFonts w:ascii="Arial" w:cs="Arial" w:eastAsia="Arial" w:hAnsi="Arial"/>
                  <w:sz w:val="17"/>
                  <w:szCs w:val="17"/>
                  <w:color w:val="0000EE"/>
                  <w:w w:val="93"/>
                </w:rPr>
                <w:t>Item 1A – Risk Factors</w:t>
              </w:r>
            </w:hyperlink>
          </w:p>
        </w:tc>
        <w:tc>
          <w:tcPr>
            <w:tcW w:w="280" w:type="dxa"/>
            <w:vAlign w:val="bottom"/>
            <w:tcBorders>
              <w:top w:val="single" w:sz="8" w:color="0000EE"/>
            </w:tcBorders>
          </w:tcPr>
          <w:p>
            <w:pPr>
              <w:spacing w:after="0"/>
              <w:rPr>
                <w:sz w:val="24"/>
                <w:szCs w:val="24"/>
                <w:color w:val="auto"/>
              </w:rPr>
            </w:pPr>
          </w:p>
        </w:tc>
        <w:tc>
          <w:tcPr>
            <w:tcW w:w="7700" w:type="dxa"/>
            <w:vAlign w:val="bottom"/>
            <w:gridSpan w:val="11"/>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37</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9600" w:type="dxa"/>
            <w:vAlign w:val="bottom"/>
            <w:gridSpan w:val="18"/>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Item 2 – Unregistered Sales of Equity Securities and Use of Proceeds</w:t>
              </w:r>
            </w:hyperlink>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37</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4800" w:type="dxa"/>
            <w:vAlign w:val="bottom"/>
            <w:tcBorders>
              <w:top w:val="single" w:sz="8" w:color="0000EE"/>
            </w:tcBorders>
            <w:gridSpan w:val="12"/>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Item 6 – Exhibits</w:t>
              </w:r>
            </w:hyperlink>
          </w:p>
        </w:tc>
        <w:tc>
          <w:tcPr>
            <w:tcW w:w="4800" w:type="dxa"/>
            <w:vAlign w:val="bottom"/>
            <w:gridSpan w:val="6"/>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38</w:t>
            </w:r>
          </w:p>
        </w:tc>
        <w:tc>
          <w:tcPr>
            <w:tcW w:w="40" w:type="dxa"/>
            <w:vAlign w:val="bottom"/>
          </w:tcPr>
          <w:p>
            <w:pPr>
              <w:spacing w:after="0"/>
              <w:rPr>
                <w:sz w:val="24"/>
                <w:szCs w:val="24"/>
                <w:color w:val="auto"/>
              </w:rPr>
            </w:pPr>
          </w:p>
        </w:tc>
      </w:tr>
      <w:tr>
        <w:trPr>
          <w:trHeight w:val="395"/>
        </w:trPr>
        <w:tc>
          <w:tcPr>
            <w:tcW w:w="920" w:type="dxa"/>
            <w:vAlign w:val="bottom"/>
          </w:tcPr>
          <w:p>
            <w:pPr>
              <w:spacing w:after="0"/>
              <w:rPr>
                <w:sz w:val="24"/>
                <w:szCs w:val="24"/>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88"/>
              </w:rPr>
            </w:pPr>
            <w:hyperlink w:anchor="page39">
              <w:r>
                <w:rPr>
                  <w:rFonts w:ascii="Arial" w:cs="Arial" w:eastAsia="Arial" w:hAnsi="Arial"/>
                  <w:sz w:val="17"/>
                  <w:szCs w:val="17"/>
                  <w:color w:val="0000EE"/>
                  <w:w w:val="88"/>
                </w:rPr>
                <w:t>Signatures</w:t>
              </w:r>
            </w:hyperlink>
          </w:p>
        </w:tc>
        <w:tc>
          <w:tcPr>
            <w:tcW w:w="520" w:type="dxa"/>
            <w:vAlign w:val="bottom"/>
            <w:tcBorders>
              <w:top w:val="single" w:sz="8" w:color="0000EE"/>
            </w:tcBorders>
            <w:gridSpan w:val="2"/>
          </w:tcPr>
          <w:p>
            <w:pPr>
              <w:spacing w:after="0"/>
              <w:rPr>
                <w:sz w:val="24"/>
                <w:szCs w:val="24"/>
                <w:color w:val="auto"/>
              </w:rPr>
            </w:pPr>
          </w:p>
        </w:tc>
        <w:tc>
          <w:tcPr>
            <w:tcW w:w="8340" w:type="dxa"/>
            <w:vAlign w:val="bottom"/>
            <w:gridSpan w:val="14"/>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4"/>
              </w:rPr>
              <w:t>39</w:t>
            </w:r>
          </w:p>
        </w:tc>
        <w:tc>
          <w:tcPr>
            <w:tcW w:w="40" w:type="dxa"/>
            <w:vAlign w:val="bottom"/>
          </w:tcPr>
          <w:p>
            <w:pPr>
              <w:spacing w:after="0"/>
              <w:rPr>
                <w:sz w:val="24"/>
                <w:szCs w:val="24"/>
                <w:color w:val="auto"/>
              </w:rPr>
            </w:pPr>
          </w:p>
        </w:tc>
      </w:tr>
      <w:tr>
        <w:trPr>
          <w:trHeight w:val="824"/>
        </w:trPr>
        <w:tc>
          <w:tcPr>
            <w:tcW w:w="920" w:type="dxa"/>
            <w:vAlign w:val="bottom"/>
          </w:tcPr>
          <w:p>
            <w:pPr>
              <w:spacing w:after="0"/>
              <w:rPr>
                <w:sz w:val="24"/>
                <w:szCs w:val="24"/>
                <w:color w:val="auto"/>
              </w:rPr>
            </w:pPr>
          </w:p>
        </w:tc>
        <w:tc>
          <w:tcPr>
            <w:tcW w:w="6600" w:type="dxa"/>
            <w:vAlign w:val="bottom"/>
            <w:gridSpan w:val="13"/>
          </w:tcPr>
          <w:p>
            <w:pPr>
              <w:jc w:val="center"/>
              <w:ind w:left="2914"/>
              <w:spacing w:after="0"/>
              <w:rPr>
                <w:sz w:val="20"/>
                <w:szCs w:val="20"/>
                <w:color w:val="auto"/>
              </w:rPr>
            </w:pPr>
            <w:r>
              <w:rPr>
                <w:rFonts w:ascii="Arial" w:cs="Arial" w:eastAsia="Arial" w:hAnsi="Arial"/>
                <w:sz w:val="17"/>
                <w:szCs w:val="17"/>
                <w:color w:val="auto"/>
                <w:w w:val="84"/>
              </w:rPr>
              <w:t>2</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0"/>
        </w:trPr>
        <w:tc>
          <w:tcPr>
            <w:tcW w:w="9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29"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5160" w:type="dxa"/>
            <w:vAlign w:val="bottom"/>
            <w:gridSpan w:val="2"/>
          </w:tcPr>
          <w:p>
            <w:pPr>
              <w:spacing w:after="0"/>
              <w:rPr>
                <w:sz w:val="20"/>
                <w:szCs w:val="20"/>
                <w:color w:val="auto"/>
              </w:rPr>
            </w:pPr>
            <w:r>
              <w:rPr>
                <w:rFonts w:ascii="Arial" w:cs="Arial" w:eastAsia="Arial" w:hAnsi="Arial"/>
                <w:sz w:val="17"/>
                <w:szCs w:val="17"/>
                <w:color w:val="auto"/>
              </w:rPr>
              <w:t>PART I – FINANCIAL INFORMATION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1020" w:type="dxa"/>
            <w:vAlign w:val="bottom"/>
          </w:tcPr>
          <w:p>
            <w:pPr>
              <w:spacing w:after="0"/>
              <w:rPr>
                <w:sz w:val="20"/>
                <w:szCs w:val="20"/>
                <w:color w:val="auto"/>
              </w:rPr>
            </w:pPr>
            <w:r>
              <w:rPr>
                <w:rFonts w:ascii="Arial" w:cs="Arial" w:eastAsia="Arial" w:hAnsi="Arial"/>
                <w:sz w:val="17"/>
                <w:szCs w:val="17"/>
                <w:color w:val="auto"/>
              </w:rPr>
              <w:t>Item 1.</w:t>
            </w:r>
          </w:p>
        </w:tc>
        <w:tc>
          <w:tcPr>
            <w:tcW w:w="4140" w:type="dxa"/>
            <w:vAlign w:val="bottom"/>
          </w:tcPr>
          <w:p>
            <w:pPr>
              <w:spacing w:after="0"/>
              <w:rPr>
                <w:sz w:val="20"/>
                <w:szCs w:val="20"/>
                <w:color w:val="auto"/>
              </w:rPr>
            </w:pPr>
            <w:r>
              <w:rPr>
                <w:rFonts w:ascii="Arial" w:cs="Arial" w:eastAsia="Arial" w:hAnsi="Arial"/>
                <w:sz w:val="17"/>
                <w:szCs w:val="17"/>
                <w:color w:val="auto"/>
              </w:rPr>
              <w:t>Financial Statements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5160" w:type="dxa"/>
            <w:vAlign w:val="bottom"/>
            <w:tcBorders>
              <w:bottom w:val="single" w:sz="8" w:color="auto"/>
            </w:tcBorders>
            <w:gridSpan w:val="2"/>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516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Condensed Consolidated Statements of Income (Unaudited)</w:t>
            </w: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160" w:type="dxa"/>
            <w:vAlign w:val="bottom"/>
            <w:gridSpan w:val="2"/>
          </w:tcPr>
          <w:p>
            <w:pPr>
              <w:spacing w:after="0"/>
              <w:rPr>
                <w:sz w:val="20"/>
                <w:szCs w:val="20"/>
                <w:color w:val="auto"/>
              </w:rPr>
            </w:pPr>
            <w:r>
              <w:rPr>
                <w:rFonts w:ascii="Arial" w:cs="Arial" w:eastAsia="Arial" w:hAnsi="Arial"/>
                <w:sz w:val="17"/>
                <w:szCs w:val="17"/>
                <w:color w:val="auto"/>
              </w:rPr>
              <w:t>Yum China Holdings, Inc.</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60" w:type="dxa"/>
            <w:vAlign w:val="bottom"/>
            <w:gridSpan w:val="2"/>
          </w:tcPr>
          <w:p>
            <w:pPr>
              <w:spacing w:after="0"/>
              <w:rPr>
                <w:sz w:val="20"/>
                <w:szCs w:val="20"/>
                <w:color w:val="auto"/>
              </w:rPr>
            </w:pPr>
            <w:r>
              <w:rPr>
                <w:rFonts w:ascii="Arial" w:cs="Arial" w:eastAsia="Arial" w:hAnsi="Arial"/>
                <w:sz w:val="17"/>
                <w:szCs w:val="17"/>
                <w:color w:val="auto"/>
              </w:rPr>
              <w:t>(in US$ millions, except for per share data)</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10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47"/>
        </w:trPr>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color w:val="auto"/>
              </w:rPr>
              <w:t>Year to Date Ended</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4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9/30/2018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7"/>
              </w:rPr>
              <w:t>9/30/2017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7"/>
              </w:rPr>
              <w:t>9/30/2018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9/30/2017</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7"/>
                <w:szCs w:val="17"/>
                <w:color w:val="auto"/>
              </w:rPr>
              <w:t>Company sales</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2,008</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1,924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5,912</w:t>
            </w:r>
          </w:p>
        </w:tc>
        <w:tc>
          <w:tcPr>
            <w:tcW w:w="1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5,326</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Franchise fees and income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8"/>
        </w:trPr>
        <w:tc>
          <w:tcPr>
            <w:tcW w:w="5160" w:type="dxa"/>
            <w:vAlign w:val="bottom"/>
            <w:gridSpan w:val="2"/>
          </w:tcPr>
          <w:p>
            <w:pPr>
              <w:spacing w:after="0"/>
              <w:rPr>
                <w:sz w:val="20"/>
                <w:szCs w:val="20"/>
                <w:color w:val="auto"/>
              </w:rPr>
            </w:pPr>
            <w:r>
              <w:rPr>
                <w:rFonts w:ascii="Arial" w:cs="Arial" w:eastAsia="Arial" w:hAnsi="Arial"/>
                <w:sz w:val="17"/>
                <w:szCs w:val="17"/>
                <w:color w:val="auto"/>
              </w:rPr>
              <w:t>Revenues from transactions with</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60" w:type="dxa"/>
            <w:vAlign w:val="bottom"/>
            <w:gridSpan w:val="2"/>
          </w:tcPr>
          <w:p>
            <w:pPr>
              <w:ind w:left="140"/>
              <w:spacing w:after="0"/>
              <w:rPr>
                <w:sz w:val="20"/>
                <w:szCs w:val="20"/>
                <w:color w:val="auto"/>
              </w:rPr>
            </w:pPr>
            <w:r>
              <w:rPr>
                <w:rFonts w:ascii="Arial" w:cs="Arial" w:eastAsia="Arial" w:hAnsi="Arial"/>
                <w:sz w:val="17"/>
                <w:szCs w:val="17"/>
                <w:color w:val="auto"/>
              </w:rPr>
              <w:t>franchisees and unconsolidated affiliates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159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461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Other revenues</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4"/>
        </w:trPr>
        <w:tc>
          <w:tcPr>
            <w:tcW w:w="1020" w:type="dxa"/>
            <w:vAlign w:val="bottom"/>
          </w:tcPr>
          <w:p>
            <w:pPr>
              <w:spacing w:after="0"/>
              <w:rPr>
                <w:sz w:val="20"/>
                <w:szCs w:val="20"/>
                <w:color w:val="auto"/>
              </w:rPr>
            </w:pPr>
            <w:r>
              <w:rPr>
                <w:rFonts w:ascii="Arial" w:cs="Arial" w:eastAsia="Arial" w:hAnsi="Arial"/>
                <w:sz w:val="17"/>
                <w:szCs w:val="17"/>
                <w:color w:val="auto"/>
                <w:w w:val="88"/>
              </w:rPr>
              <w:t>Total revenues</w:t>
            </w:r>
          </w:p>
        </w:tc>
        <w:tc>
          <w:tcPr>
            <w:tcW w:w="4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2,212</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2,130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6,501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 Net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Company restaurants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Food and paper</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610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560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1,775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1,529</w:t>
            </w:r>
          </w:p>
        </w:tc>
        <w:tc>
          <w:tcPr>
            <w:tcW w:w="0" w:type="dxa"/>
            <w:vAlign w:val="bottom"/>
          </w:tcPr>
          <w:p>
            <w:pPr>
              <w:spacing w:after="0"/>
              <w:rPr>
                <w:sz w:val="1"/>
                <w:szCs w:val="1"/>
                <w:color w:val="auto"/>
              </w:rPr>
            </w:pPr>
          </w:p>
        </w:tc>
      </w:tr>
      <w:tr>
        <w:trPr>
          <w:trHeight w:val="221"/>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Payroll and employee benefits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430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1,296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1,137</w:t>
            </w:r>
          </w:p>
        </w:tc>
        <w:tc>
          <w:tcPr>
            <w:tcW w:w="0" w:type="dxa"/>
            <w:vAlign w:val="bottom"/>
          </w:tcPr>
          <w:p>
            <w:pPr>
              <w:spacing w:after="0"/>
              <w:rPr>
                <w:sz w:val="1"/>
                <w:szCs w:val="1"/>
                <w:color w:val="auto"/>
              </w:rPr>
            </w:pPr>
          </w:p>
        </w:tc>
      </w:tr>
      <w:tr>
        <w:trPr>
          <w:trHeight w:val="221"/>
        </w:trPr>
        <w:tc>
          <w:tcPr>
            <w:tcW w:w="5160" w:type="dxa"/>
            <w:vAlign w:val="bottom"/>
            <w:gridSpan w:val="2"/>
          </w:tcPr>
          <w:p>
            <w:pPr>
              <w:ind w:left="240"/>
              <w:spacing w:after="0"/>
              <w:rPr>
                <w:sz w:val="20"/>
                <w:szCs w:val="20"/>
                <w:color w:val="auto"/>
              </w:rPr>
            </w:pPr>
            <w:r>
              <w:rPr>
                <w:rFonts w:ascii="Arial" w:cs="Arial" w:eastAsia="Arial" w:hAnsi="Arial"/>
                <w:sz w:val="17"/>
                <w:szCs w:val="17"/>
                <w:color w:val="auto"/>
              </w:rPr>
              <w:t>Occupancy and other operating expenses</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615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614</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1,841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1,683</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7"/>
                <w:szCs w:val="17"/>
                <w:color w:val="auto"/>
              </w:rPr>
              <w:t>Company restaurant expenses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1,655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1,577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4,912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4,349</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General and administrative expenses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334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Franchise expenses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08"/>
        </w:trPr>
        <w:tc>
          <w:tcPr>
            <w:tcW w:w="5160" w:type="dxa"/>
            <w:vAlign w:val="bottom"/>
            <w:gridSpan w:val="2"/>
          </w:tcPr>
          <w:p>
            <w:pPr>
              <w:spacing w:after="0"/>
              <w:rPr>
                <w:sz w:val="20"/>
                <w:szCs w:val="20"/>
                <w:color w:val="auto"/>
              </w:rPr>
            </w:pPr>
            <w:r>
              <w:rPr>
                <w:rFonts w:ascii="Arial" w:cs="Arial" w:eastAsia="Arial" w:hAnsi="Arial"/>
                <w:sz w:val="17"/>
                <w:szCs w:val="17"/>
                <w:color w:val="auto"/>
              </w:rPr>
              <w:t>Expenses for transactions with</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160" w:type="dxa"/>
            <w:vAlign w:val="bottom"/>
            <w:gridSpan w:val="2"/>
          </w:tcPr>
          <w:p>
            <w:pPr>
              <w:ind w:left="140"/>
              <w:spacing w:after="0"/>
              <w:rPr>
                <w:sz w:val="20"/>
                <w:szCs w:val="20"/>
                <w:color w:val="auto"/>
              </w:rPr>
            </w:pPr>
            <w:r>
              <w:rPr>
                <w:rFonts w:ascii="Arial" w:cs="Arial" w:eastAsia="Arial" w:hAnsi="Arial"/>
                <w:sz w:val="17"/>
                <w:szCs w:val="17"/>
                <w:color w:val="auto"/>
              </w:rPr>
              <w:t>franchisees and unconsolidated affiliates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156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454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Other operating costs and expenses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Closures and impairment (income) expenses, net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7"/>
                <w:szCs w:val="17"/>
                <w:color w:val="auto"/>
              </w:rPr>
              <w:t>Total costs and expenses, net</w:t>
            </w:r>
          </w:p>
        </w:tc>
        <w:tc>
          <w:tcPr>
            <w:tcW w:w="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1,943</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1,866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5,644</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5,166</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Operating Profit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269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857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Interest and other income, net</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Income Before Income Taxes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279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885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747</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Income tax provision</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7"/>
                <w:szCs w:val="17"/>
                <w:color w:val="auto"/>
              </w:rPr>
              <w:t>Net income – including noncontrolling interests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212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658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21"/>
        </w:trPr>
        <w:tc>
          <w:tcPr>
            <w:tcW w:w="5160" w:type="dxa"/>
            <w:vAlign w:val="bottom"/>
            <w:gridSpan w:val="2"/>
          </w:tcPr>
          <w:p>
            <w:pPr>
              <w:spacing w:after="0"/>
              <w:rPr>
                <w:sz w:val="20"/>
                <w:szCs w:val="20"/>
                <w:color w:val="auto"/>
              </w:rPr>
            </w:pPr>
            <w:r>
              <w:rPr>
                <w:rFonts w:ascii="Arial" w:cs="Arial" w:eastAsia="Arial" w:hAnsi="Arial"/>
                <w:sz w:val="17"/>
                <w:szCs w:val="17"/>
                <w:color w:val="auto"/>
              </w:rPr>
              <w:t>Net income – noncontrolling interests</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4"/>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Net Income – Yum China Holdings, Inc.</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203</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176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634</w:t>
            </w:r>
          </w:p>
        </w:tc>
        <w:tc>
          <w:tcPr>
            <w:tcW w:w="1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color w:val="auto"/>
              </w:rPr>
              <w:t>Weighted-average common shares outstanding (in millions):</w:t>
            </w: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20" w:type="dxa"/>
            <w:vAlign w:val="bottom"/>
          </w:tcPr>
          <w:p>
            <w:pPr>
              <w:spacing w:after="0"/>
              <w:rPr>
                <w:sz w:val="20"/>
                <w:szCs w:val="20"/>
                <w:color w:val="auto"/>
              </w:rPr>
            </w:pPr>
            <w:r>
              <w:rPr>
                <w:rFonts w:ascii="Arial" w:cs="Arial" w:eastAsia="Arial" w:hAnsi="Arial"/>
                <w:sz w:val="17"/>
                <w:szCs w:val="17"/>
                <w:color w:val="auto"/>
              </w:rPr>
              <w:t>Basic</w:t>
            </w:r>
          </w:p>
        </w:tc>
        <w:tc>
          <w:tcPr>
            <w:tcW w:w="4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384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386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386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15"/>
        </w:trPr>
        <w:tc>
          <w:tcPr>
            <w:tcW w:w="1020" w:type="dxa"/>
            <w:vAlign w:val="bottom"/>
          </w:tcPr>
          <w:p>
            <w:pPr>
              <w:spacing w:after="0"/>
              <w:rPr>
                <w:sz w:val="20"/>
                <w:szCs w:val="20"/>
                <w:color w:val="auto"/>
              </w:rPr>
            </w:pPr>
            <w:r>
              <w:rPr>
                <w:rFonts w:ascii="Arial" w:cs="Arial" w:eastAsia="Arial" w:hAnsi="Arial"/>
                <w:sz w:val="17"/>
                <w:szCs w:val="17"/>
                <w:color w:val="auto"/>
              </w:rPr>
              <w:t>Diluted</w:t>
            </w:r>
          </w:p>
        </w:tc>
        <w:tc>
          <w:tcPr>
            <w:tcW w:w="4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394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398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398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26"/>
        </w:trPr>
        <w:tc>
          <w:tcPr>
            <w:tcW w:w="5160" w:type="dxa"/>
            <w:vAlign w:val="bottom"/>
            <w:gridSpan w:val="2"/>
          </w:tcPr>
          <w:p>
            <w:pPr>
              <w:spacing w:after="0"/>
              <w:rPr>
                <w:sz w:val="20"/>
                <w:szCs w:val="20"/>
                <w:color w:val="auto"/>
              </w:rPr>
            </w:pPr>
            <w:r>
              <w:rPr>
                <w:rFonts w:ascii="Arial" w:cs="Arial" w:eastAsia="Arial" w:hAnsi="Arial"/>
                <w:sz w:val="17"/>
                <w:szCs w:val="17"/>
                <w:b w:val="1"/>
                <w:bCs w:val="1"/>
                <w:color w:val="auto"/>
              </w:rPr>
              <w:t>Basic Earnings Per Common Share</w:t>
            </w:r>
          </w:p>
        </w:tc>
        <w:tc>
          <w:tcPr>
            <w:tcW w:w="7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0.53</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0.46</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1.64</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Diluted Earnings Per Common Share</w:t>
            </w: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6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0.51</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0.44</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1.59</w:t>
            </w:r>
          </w:p>
        </w:tc>
        <w:tc>
          <w:tcPr>
            <w:tcW w:w="1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Cash Dividends Declared Per Common Share</w:t>
            </w: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60" w:type="dxa"/>
            <w:vAlign w:val="bottom"/>
            <w:gridSpan w:val="2"/>
            <w:vMerge w:val="continue"/>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0.10</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0.30</w:t>
            </w:r>
          </w:p>
        </w:tc>
        <w:tc>
          <w:tcPr>
            <w:tcW w:w="1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220980</wp:posOffset>
            </wp:positionV>
            <wp:extent cx="7251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1700" cy="8255"/>
                    </a:xfrm>
                    <a:prstGeom prst="rect">
                      <a:avLst/>
                    </a:prstGeom>
                    <a:noFill/>
                  </pic:spPr>
                </pic:pic>
              </a:graphicData>
            </a:graphic>
          </wp:anchor>
        </w:drawing>
        <w:t>Condensed Consolidated Statements of Comprehensive Income (Unaudited)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Yum China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7"/>
                <w:szCs w:val="17"/>
                <w:color w:val="auto"/>
              </w:rPr>
              <w:t>Quarter Ended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7"/>
                <w:szCs w:val="17"/>
                <w:color w:val="auto"/>
              </w:rPr>
              <w:t>Year to Date Ended</w:t>
            </w:r>
          </w:p>
        </w:tc>
      </w:tr>
      <w:tr>
        <w:trPr>
          <w:trHeight w:val="214"/>
        </w:trPr>
        <w:tc>
          <w:tcPr>
            <w:tcW w:w="5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9/30/2018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7"/>
              </w:rPr>
              <w:t>9/30/2017</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97"/>
              </w:rPr>
              <w:t>9/30/2018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9/30/2017</w:t>
            </w:r>
          </w:p>
        </w:tc>
      </w:tr>
      <w:tr>
        <w:trPr>
          <w:trHeight w:val="434"/>
        </w:trPr>
        <w:tc>
          <w:tcPr>
            <w:tcW w:w="5020" w:type="dxa"/>
            <w:vAlign w:val="bottom"/>
          </w:tcPr>
          <w:p>
            <w:pPr>
              <w:spacing w:after="0"/>
              <w:rPr>
                <w:sz w:val="20"/>
                <w:szCs w:val="20"/>
                <w:color w:val="auto"/>
              </w:rPr>
            </w:pPr>
            <w:r>
              <w:rPr>
                <w:rFonts w:ascii="Arial" w:cs="Arial" w:eastAsia="Arial" w:hAnsi="Arial"/>
                <w:sz w:val="17"/>
                <w:szCs w:val="17"/>
                <w:color w:val="auto"/>
              </w:rPr>
              <w:t>Net income - including noncontrolling interests</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212</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185</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658</w:t>
            </w:r>
          </w:p>
        </w:tc>
        <w:tc>
          <w:tcPr>
            <w:tcW w:w="140" w:type="dxa"/>
            <w:vAlign w:val="bottom"/>
          </w:tcPr>
          <w:p>
            <w:pPr>
              <w:spacing w:after="0"/>
              <w:rPr>
                <w:sz w:val="24"/>
                <w:szCs w:val="24"/>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527</w:t>
            </w: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Other comprehensive income, net of tax of nil:</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Foreign currency translation adjustments</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93</w:t>
            </w:r>
          </w:p>
        </w:tc>
      </w:tr>
      <w:tr>
        <w:trPr>
          <w:trHeight w:val="214"/>
        </w:trPr>
        <w:tc>
          <w:tcPr>
            <w:tcW w:w="5020" w:type="dxa"/>
            <w:vAlign w:val="bottom"/>
          </w:tcPr>
          <w:p>
            <w:pPr>
              <w:spacing w:after="0"/>
              <w:rPr>
                <w:sz w:val="20"/>
                <w:szCs w:val="20"/>
                <w:color w:val="auto"/>
              </w:rPr>
            </w:pPr>
            <w:r>
              <w:rPr>
                <w:rFonts w:ascii="Arial" w:cs="Arial" w:eastAsia="Arial" w:hAnsi="Arial"/>
                <w:sz w:val="17"/>
                <w:szCs w:val="17"/>
                <w:color w:val="auto"/>
              </w:rPr>
              <w:t>Comprehensive income - including noncontrolling interests</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502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620</w:t>
            </w:r>
          </w:p>
        </w:tc>
      </w:tr>
      <w:tr>
        <w:trPr>
          <w:trHeight w:val="221"/>
        </w:trPr>
        <w:tc>
          <w:tcPr>
            <w:tcW w:w="5020" w:type="dxa"/>
            <w:vAlign w:val="bottom"/>
          </w:tcPr>
          <w:p>
            <w:pPr>
              <w:spacing w:after="0"/>
              <w:rPr>
                <w:sz w:val="20"/>
                <w:szCs w:val="20"/>
                <w:color w:val="auto"/>
              </w:rPr>
            </w:pPr>
            <w:r>
              <w:rPr>
                <w:rFonts w:ascii="Arial" w:cs="Arial" w:eastAsia="Arial" w:hAnsi="Arial"/>
                <w:sz w:val="17"/>
                <w:szCs w:val="17"/>
                <w:color w:val="auto"/>
              </w:rPr>
              <w:t>Comprehensive income - noncontrolling interests</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25</w:t>
            </w:r>
          </w:p>
        </w:tc>
      </w:tr>
      <w:tr>
        <w:trPr>
          <w:trHeight w:val="214"/>
        </w:trPr>
        <w:tc>
          <w:tcPr>
            <w:tcW w:w="5020" w:type="dxa"/>
            <w:vAlign w:val="bottom"/>
          </w:tcPr>
          <w:p>
            <w:pPr>
              <w:spacing w:after="0"/>
              <w:rPr>
                <w:sz w:val="20"/>
                <w:szCs w:val="20"/>
                <w:color w:val="auto"/>
              </w:rPr>
            </w:pPr>
            <w:r>
              <w:rPr>
                <w:rFonts w:ascii="Arial" w:cs="Arial" w:eastAsia="Arial" w:hAnsi="Arial"/>
                <w:sz w:val="17"/>
                <w:szCs w:val="17"/>
                <w:b w:val="1"/>
                <w:bCs w:val="1"/>
                <w:color w:val="auto"/>
              </w:rPr>
              <w:t>Comprehensive Income - Yum China Holdings, Inc.</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108</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221</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483</w:t>
            </w:r>
          </w:p>
        </w:tc>
        <w:tc>
          <w:tcPr>
            <w:tcW w:w="1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595</w:t>
            </w:r>
          </w:p>
        </w:tc>
      </w:tr>
      <w:tr>
        <w:trPr>
          <w:trHeight w:val="20"/>
        </w:trPr>
        <w:tc>
          <w:tcPr>
            <w:tcW w:w="5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220980</wp:posOffset>
            </wp:positionV>
            <wp:extent cx="7251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1700" cy="8255"/>
                    </a:xfrm>
                    <a:prstGeom prst="rect">
                      <a:avLst/>
                    </a:prstGeom>
                    <a:noFill/>
                  </pic:spPr>
                </pic:pic>
              </a:graphicData>
            </a:graphic>
          </wp:anchor>
        </w:drawing>
        <w:t>Condensed Consolidated Statements of Cash Flows (Unaudited)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Yum China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251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7"/>
                <w:szCs w:val="17"/>
                <w:color w:val="auto"/>
              </w:rPr>
              <w:t>Year to Date Ended</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9/30/2017</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7"/>
                <w:szCs w:val="17"/>
                <w:b w:val="1"/>
                <w:bCs w:val="1"/>
                <w:color w:val="auto"/>
              </w:rPr>
              <w:t>Cash Flows – Operating Activities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Net income – including noncontrolling interests</w:t>
            </w:r>
          </w:p>
        </w:tc>
        <w:tc>
          <w:tcPr>
            <w:tcW w:w="1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658</w:t>
            </w:r>
          </w:p>
        </w:tc>
        <w:tc>
          <w:tcPr>
            <w:tcW w:w="16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527</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343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Closures and impairment expenses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Gain from re-measurement of equity interest upon acquisition</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(98)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Deferred income taxes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Equity income from investments in unconsolidated affiliates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(52)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Distributions received from unconsolidated affiliates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Changes in accounts receivable</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Changes in inventories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Changes in prepaid expenses and other current assets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Changes in accounts payable and other current liabilities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184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Changes in income taxes payable</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Other, net</w:t>
            </w:r>
          </w:p>
        </w:tc>
        <w:tc>
          <w:tcPr>
            <w:tcW w:w="1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1,173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7"/>
                <w:szCs w:val="17"/>
                <w:b w:val="1"/>
                <w:bCs w:val="1"/>
                <w:color w:val="auto"/>
              </w:rPr>
              <w:t>Cash Flows – Investing Activities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Capital spending</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(359)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Purchases of short-term investments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(513)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(394)</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Maturities of short-term investments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513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Investment in equity securities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Acquisition of business, net of cash acquired</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(91)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Other, net</w:t>
            </w:r>
          </w:p>
        </w:tc>
        <w:tc>
          <w:tcPr>
            <w:tcW w:w="1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(527)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(327)</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7"/>
                <w:szCs w:val="17"/>
                <w:b w:val="1"/>
                <w:bCs w:val="1"/>
                <w:color w:val="auto"/>
              </w:rPr>
              <w:t>Cash Flows – Financing Activities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Payment of capital lease obligation</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Repayment of short-term borrowings assumed from acquisition</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Repurchase of shares of common stock</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(161)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Proceeds from exercise of stock options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Cash dividends paid on common stock</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(115)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Dividends paid to noncontrolling interests</w:t>
            </w:r>
          </w:p>
        </w:tc>
        <w:tc>
          <w:tcPr>
            <w:tcW w:w="1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(29)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tcPr>
          <w:p>
            <w:pPr>
              <w:jc w:val="right"/>
              <w:ind w:right="54"/>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1"/>
        </w:trPr>
        <w:tc>
          <w:tcPr>
            <w:tcW w:w="6100" w:type="dxa"/>
            <w:vAlign w:val="bottom"/>
          </w:tcPr>
          <w:p>
            <w:pPr>
              <w:spacing w:after="0"/>
              <w:rPr>
                <w:sz w:val="20"/>
                <w:szCs w:val="20"/>
                <w:color w:val="auto"/>
              </w:rPr>
            </w:pPr>
            <w:r>
              <w:rPr>
                <w:rFonts w:ascii="Arial" w:cs="Arial" w:eastAsia="Arial" w:hAnsi="Arial"/>
                <w:sz w:val="17"/>
                <w:szCs w:val="17"/>
                <w:color w:val="auto"/>
              </w:rPr>
              <w:t>Other, net</w:t>
            </w:r>
          </w:p>
        </w:tc>
        <w:tc>
          <w:tcPr>
            <w:tcW w:w="1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7"/>
                <w:szCs w:val="17"/>
                <w:b w:val="1"/>
                <w:bCs w:val="1"/>
                <w:color w:val="auto"/>
              </w:rPr>
              <w:t>Net Cash Used in Financing Activities</w:t>
            </w: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(318)</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7"/>
                <w:szCs w:val="17"/>
                <w:b w:val="1"/>
                <w:bCs w:val="1"/>
                <w:color w:val="auto"/>
              </w:rPr>
              <w:t>Effect of Exchange Rates on Cash and Cash Equivalents</w:t>
            </w:r>
          </w:p>
        </w:tc>
        <w:tc>
          <w:tcPr>
            <w:tcW w:w="1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(53)</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8"/>
        </w:trPr>
        <w:tc>
          <w:tcPr>
            <w:tcW w:w="6100" w:type="dxa"/>
            <w:vAlign w:val="bottom"/>
          </w:tcPr>
          <w:p>
            <w:pPr>
              <w:spacing w:after="0"/>
              <w:rPr>
                <w:sz w:val="20"/>
                <w:szCs w:val="20"/>
                <w:color w:val="auto"/>
              </w:rPr>
            </w:pPr>
            <w:r>
              <w:rPr>
                <w:rFonts w:ascii="Arial" w:cs="Arial" w:eastAsia="Arial" w:hAnsi="Arial"/>
                <w:sz w:val="17"/>
                <w:szCs w:val="17"/>
                <w:b w:val="1"/>
                <w:bCs w:val="1"/>
                <w:color w:val="auto"/>
              </w:rPr>
              <w:t>Net Increase in Cash and Cash Equivalents</w:t>
            </w:r>
          </w:p>
        </w:tc>
        <w:tc>
          <w:tcPr>
            <w:tcW w:w="1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275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26"/>
        </w:trPr>
        <w:tc>
          <w:tcPr>
            <w:tcW w:w="6100" w:type="dxa"/>
            <w:vAlign w:val="bottom"/>
          </w:tcPr>
          <w:p>
            <w:pPr>
              <w:spacing w:after="0"/>
              <w:rPr>
                <w:sz w:val="20"/>
                <w:szCs w:val="20"/>
                <w:color w:val="auto"/>
              </w:rPr>
            </w:pPr>
            <w:r>
              <w:rPr>
                <w:rFonts w:ascii="Arial" w:cs="Arial" w:eastAsia="Arial" w:hAnsi="Arial"/>
                <w:sz w:val="17"/>
                <w:szCs w:val="17"/>
                <w:b w:val="1"/>
                <w:bCs w:val="1"/>
                <w:color w:val="auto"/>
              </w:rPr>
              <w:t>Cash and Cash Equivalents - Beginning of Period</w:t>
            </w:r>
          </w:p>
        </w:tc>
        <w:tc>
          <w:tcPr>
            <w:tcW w:w="1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1,059</w:t>
            </w: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885</w:t>
            </w:r>
          </w:p>
        </w:tc>
        <w:tc>
          <w:tcPr>
            <w:tcW w:w="0" w:type="dxa"/>
            <w:vAlign w:val="bottom"/>
          </w:tcPr>
          <w:p>
            <w:pPr>
              <w:spacing w:after="0"/>
              <w:rPr>
                <w:sz w:val="1"/>
                <w:szCs w:val="1"/>
                <w:color w:val="auto"/>
              </w:rPr>
            </w:pPr>
          </w:p>
        </w:tc>
      </w:tr>
      <w:tr>
        <w:trPr>
          <w:trHeight w:val="214"/>
        </w:trPr>
        <w:tc>
          <w:tcPr>
            <w:tcW w:w="6100" w:type="dxa"/>
            <w:vAlign w:val="bottom"/>
          </w:tcPr>
          <w:p>
            <w:pPr>
              <w:spacing w:after="0"/>
              <w:rPr>
                <w:sz w:val="20"/>
                <w:szCs w:val="20"/>
                <w:color w:val="auto"/>
              </w:rPr>
            </w:pPr>
            <w:r>
              <w:rPr>
                <w:rFonts w:ascii="Arial" w:cs="Arial" w:eastAsia="Arial" w:hAnsi="Arial"/>
                <w:sz w:val="17"/>
                <w:szCs w:val="17"/>
                <w:b w:val="1"/>
                <w:bCs w:val="1"/>
                <w:color w:val="auto"/>
              </w:rPr>
              <w:t>Cash and Cash Equivalents - End of Period</w:t>
            </w:r>
          </w:p>
        </w:tc>
        <w:tc>
          <w:tcPr>
            <w:tcW w:w="19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1,334</w:t>
            </w:r>
          </w:p>
        </w:tc>
        <w:tc>
          <w:tcPr>
            <w:tcW w:w="16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1,423</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Cash Flow Data</w:t>
            </w:r>
          </w:p>
        </w:tc>
        <w:tc>
          <w:tcPr>
            <w:tcW w:w="1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10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100" w:type="dxa"/>
            <w:vAlign w:val="bottom"/>
          </w:tcPr>
          <w:p>
            <w:pPr>
              <w:ind w:left="240"/>
              <w:spacing w:after="0"/>
              <w:rPr>
                <w:sz w:val="20"/>
                <w:szCs w:val="20"/>
                <w:color w:val="auto"/>
              </w:rPr>
            </w:pPr>
            <w:r>
              <w:rPr>
                <w:rFonts w:ascii="Arial" w:cs="Arial" w:eastAsia="Arial" w:hAnsi="Arial"/>
                <w:sz w:val="17"/>
                <w:szCs w:val="17"/>
                <w:color w:val="auto"/>
              </w:rPr>
              <w:t>Cash paid for income tax</w:t>
            </w: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157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154940</wp:posOffset>
            </wp:positionH>
            <wp:positionV relativeFrom="page">
              <wp:posOffset>220980</wp:posOffset>
            </wp:positionV>
            <wp:extent cx="72517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700" cy="8255"/>
                    </a:xfrm>
                    <a:prstGeom prst="rect">
                      <a:avLst/>
                    </a:prstGeom>
                    <a:noFill/>
                  </pic:spPr>
                </pic:pic>
              </a:graphicData>
            </a:graphic>
          </wp:anchor>
        </w:drawing>
        <w:t>Condensed Consolidated Balance Sheets (Unaudited)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Yum China Holdings,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 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12/31/2017</w:t>
            </w:r>
          </w:p>
        </w:tc>
        <w:tc>
          <w:tcPr>
            <w:tcW w:w="0" w:type="dxa"/>
            <w:vAlign w:val="bottom"/>
          </w:tcPr>
          <w:p>
            <w:pPr>
              <w:spacing w:after="0"/>
              <w:rPr>
                <w:sz w:val="1"/>
                <w:szCs w:val="1"/>
                <w:color w:val="auto"/>
              </w:rPr>
            </w:pPr>
          </w:p>
        </w:tc>
      </w:tr>
      <w:tr>
        <w:trPr>
          <w:trHeight w:val="208"/>
        </w:trPr>
        <w:tc>
          <w:tcPr>
            <w:tcW w:w="70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0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1,334</w:t>
            </w:r>
          </w:p>
        </w:tc>
        <w:tc>
          <w:tcPr>
            <w:tcW w:w="16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1,059</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Short-term investments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198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Inventories, net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270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14"/>
        </w:trPr>
        <w:tc>
          <w:tcPr>
            <w:tcW w:w="7000" w:type="dxa"/>
            <w:vAlign w:val="bottom"/>
          </w:tcPr>
          <w:p>
            <w:pPr>
              <w:ind w:left="240"/>
              <w:spacing w:after="0"/>
              <w:rPr>
                <w:sz w:val="20"/>
                <w:szCs w:val="20"/>
                <w:color w:val="auto"/>
              </w:rPr>
            </w:pPr>
            <w:r>
              <w:rPr>
                <w:rFonts w:ascii="Arial" w:cs="Arial" w:eastAsia="Arial" w:hAnsi="Arial"/>
                <w:sz w:val="17"/>
                <w:szCs w:val="17"/>
                <w:b w:val="1"/>
                <w:bCs w:val="1"/>
                <w:color w:val="auto"/>
              </w:rPr>
              <w:t>Total Current Assets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2,046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1,802</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1,605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1,691</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Goodwill</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Intangible assets, net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133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Investments in unconsolidated affiliates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Other assets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498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Deferred income taxes</w:t>
            </w: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4"/>
        </w:trPr>
        <w:tc>
          <w:tcPr>
            <w:tcW w:w="7000" w:type="dxa"/>
            <w:vAlign w:val="bottom"/>
          </w:tcPr>
          <w:p>
            <w:pPr>
              <w:ind w:left="240"/>
              <w:spacing w:after="0"/>
              <w:rPr>
                <w:sz w:val="20"/>
                <w:szCs w:val="20"/>
                <w:color w:val="auto"/>
              </w:rPr>
            </w:pPr>
            <w:r>
              <w:rPr>
                <w:rFonts w:ascii="Arial" w:cs="Arial" w:eastAsia="Arial" w:hAnsi="Arial"/>
                <w:sz w:val="17"/>
                <w:szCs w:val="17"/>
                <w:b w:val="1"/>
                <w:bCs w:val="1"/>
                <w:color w:val="auto"/>
              </w:rPr>
              <w:t>Total Assets</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4,691</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4,287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REDEEMABLE NONCONTROLLING INTEREST AND EQUITY</w:t>
            </w: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0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00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Accounts payable and other current liabilities</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1,116</w:t>
            </w:r>
          </w:p>
        </w:tc>
        <w:tc>
          <w:tcPr>
            <w:tcW w:w="16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Income taxes payable</w:t>
            </w: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76</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4"/>
        </w:trPr>
        <w:tc>
          <w:tcPr>
            <w:tcW w:w="7000" w:type="dxa"/>
            <w:vAlign w:val="bottom"/>
          </w:tcPr>
          <w:p>
            <w:pPr>
              <w:ind w:left="240"/>
              <w:spacing w:after="0"/>
              <w:rPr>
                <w:sz w:val="20"/>
                <w:szCs w:val="20"/>
                <w:color w:val="auto"/>
              </w:rPr>
            </w:pPr>
            <w:r>
              <w:rPr>
                <w:rFonts w:ascii="Arial" w:cs="Arial" w:eastAsia="Arial" w:hAnsi="Arial"/>
                <w:sz w:val="17"/>
                <w:szCs w:val="17"/>
                <w:b w:val="1"/>
                <w:bCs w:val="1"/>
                <w:color w:val="auto"/>
              </w:rPr>
              <w:t>Total Current 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1,192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1,024</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Capital lease obligations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Other liabilities</w:t>
            </w: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385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214"/>
        </w:trPr>
        <w:tc>
          <w:tcPr>
            <w:tcW w:w="7000" w:type="dxa"/>
            <w:vAlign w:val="bottom"/>
          </w:tcPr>
          <w:p>
            <w:pPr>
              <w:ind w:left="240"/>
              <w:spacing w:after="0"/>
              <w:rPr>
                <w:sz w:val="20"/>
                <w:szCs w:val="20"/>
                <w:color w:val="auto"/>
              </w:rPr>
            </w:pPr>
            <w:r>
              <w:rPr>
                <w:rFonts w:ascii="Arial" w:cs="Arial" w:eastAsia="Arial" w:hAnsi="Arial"/>
                <w:sz w:val="17"/>
                <w:szCs w:val="17"/>
                <w:b w:val="1"/>
                <w:bCs w:val="1"/>
                <w:color w:val="auto"/>
              </w:rPr>
              <w:t>Total Liabilities</w:t>
            </w:r>
          </w:p>
        </w:tc>
        <w:tc>
          <w:tcPr>
            <w:tcW w:w="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1,603</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1,440</w:t>
            </w:r>
          </w:p>
        </w:tc>
        <w:tc>
          <w:tcPr>
            <w:tcW w:w="0" w:type="dxa"/>
            <w:vAlign w:val="bottom"/>
          </w:tcPr>
          <w:p>
            <w:pPr>
              <w:spacing w:after="0"/>
              <w:rPr>
                <w:sz w:val="1"/>
                <w:szCs w:val="1"/>
                <w:color w:val="auto"/>
              </w:rPr>
            </w:pPr>
          </w:p>
        </w:tc>
      </w:tr>
      <w:tr>
        <w:trPr>
          <w:trHeight w:val="208"/>
        </w:trPr>
        <w:tc>
          <w:tcPr>
            <w:tcW w:w="7000" w:type="dxa"/>
            <w:vAlign w:val="bottom"/>
          </w:tcPr>
          <w:p>
            <w:pPr>
              <w:spacing w:after="0"/>
              <w:rPr>
                <w:sz w:val="20"/>
                <w:szCs w:val="20"/>
                <w:color w:val="auto"/>
              </w:rPr>
            </w:pPr>
            <w:r>
              <w:rPr>
                <w:rFonts w:ascii="Arial" w:cs="Arial" w:eastAsia="Arial" w:hAnsi="Arial"/>
                <w:sz w:val="17"/>
                <w:szCs w:val="17"/>
                <w:b w:val="1"/>
                <w:bCs w:val="1"/>
                <w:color w:val="auto"/>
              </w:rPr>
              <w:t>Redeemable Noncontrolling Interest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6"/>
        </w:trPr>
        <w:tc>
          <w:tcPr>
            <w:tcW w:w="700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000" w:type="dxa"/>
            <w:vAlign w:val="bottom"/>
          </w:tcPr>
          <w:p>
            <w:pPr>
              <w:spacing w:after="0"/>
              <w:rPr>
                <w:sz w:val="20"/>
                <w:szCs w:val="20"/>
                <w:color w:val="auto"/>
              </w:rPr>
            </w:pPr>
            <w:r>
              <w:rPr>
                <w:rFonts w:ascii="Arial" w:cs="Arial" w:eastAsia="Arial" w:hAnsi="Arial"/>
                <w:sz w:val="17"/>
                <w:szCs w:val="17"/>
                <w:color w:val="auto"/>
              </w:rPr>
              <w:t>Common stock, $0.01 par value; 1,000 million shares authorized;</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00" w:type="dxa"/>
            <w:vAlign w:val="bottom"/>
          </w:tcPr>
          <w:p>
            <w:pPr>
              <w:ind w:left="140"/>
              <w:spacing w:after="0"/>
              <w:rPr>
                <w:sz w:val="20"/>
                <w:szCs w:val="20"/>
                <w:color w:val="auto"/>
              </w:rPr>
            </w:pPr>
            <w:r>
              <w:rPr>
                <w:rFonts w:ascii="Arial" w:cs="Arial" w:eastAsia="Arial" w:hAnsi="Arial"/>
                <w:sz w:val="17"/>
                <w:szCs w:val="17"/>
                <w:color w:val="auto"/>
              </w:rPr>
              <w:t>391 million shares and 389 million shares issued at September 30, 2018</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00" w:type="dxa"/>
            <w:vAlign w:val="bottom"/>
          </w:tcPr>
          <w:p>
            <w:pPr>
              <w:ind w:left="140"/>
              <w:spacing w:after="0"/>
              <w:rPr>
                <w:sz w:val="20"/>
                <w:szCs w:val="20"/>
                <w:color w:val="auto"/>
              </w:rPr>
            </w:pPr>
            <w:r>
              <w:rPr>
                <w:rFonts w:ascii="Arial" w:cs="Arial" w:eastAsia="Arial" w:hAnsi="Arial"/>
                <w:sz w:val="17"/>
                <w:szCs w:val="17"/>
                <w:color w:val="auto"/>
              </w:rPr>
              <w:t>and December 31, 2017, respectively; 382 million shares and 385 million shares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00" w:type="dxa"/>
            <w:vAlign w:val="bottom"/>
          </w:tcPr>
          <w:p>
            <w:pPr>
              <w:ind w:left="140"/>
              <w:spacing w:after="0"/>
              <w:rPr>
                <w:sz w:val="20"/>
                <w:szCs w:val="20"/>
                <w:color w:val="auto"/>
              </w:rPr>
            </w:pPr>
            <w:r>
              <w:rPr>
                <w:rFonts w:ascii="Arial" w:cs="Arial" w:eastAsia="Arial" w:hAnsi="Arial"/>
                <w:sz w:val="17"/>
                <w:szCs w:val="17"/>
                <w:color w:val="auto"/>
              </w:rPr>
              <w:t>outstanding at September 30, 2018 and December 31, 2017, respectively</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Treasury stock</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34"/>
              <w:spacing w:after="0"/>
              <w:rPr>
                <w:sz w:val="20"/>
                <w:szCs w:val="20"/>
                <w:color w:val="auto"/>
              </w:rPr>
            </w:pPr>
            <w:r>
              <w:rPr>
                <w:rFonts w:ascii="Arial" w:cs="Arial" w:eastAsia="Arial" w:hAnsi="Arial"/>
                <w:sz w:val="17"/>
                <w:szCs w:val="17"/>
                <w:color w:val="auto"/>
              </w:rPr>
              <w:t>(315)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54"/>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Additional paid-in capital</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2,393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2,375</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Retained earnings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916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Accumulated other comprehensive (loss) income</w:t>
            </w: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214"/>
        </w:trPr>
        <w:tc>
          <w:tcPr>
            <w:tcW w:w="7000" w:type="dxa"/>
            <w:vAlign w:val="bottom"/>
          </w:tcPr>
          <w:p>
            <w:pPr>
              <w:ind w:left="240"/>
              <w:spacing w:after="0"/>
              <w:rPr>
                <w:sz w:val="20"/>
                <w:szCs w:val="20"/>
                <w:color w:val="auto"/>
              </w:rPr>
            </w:pPr>
            <w:r>
              <w:rPr>
                <w:rFonts w:ascii="Arial" w:cs="Arial" w:eastAsia="Arial" w:hAnsi="Arial"/>
                <w:sz w:val="17"/>
                <w:szCs w:val="17"/>
                <w:b w:val="1"/>
                <w:bCs w:val="1"/>
                <w:color w:val="auto"/>
              </w:rPr>
              <w:t>Total Equity – Yum China Holdings, Inc.</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2,984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2,765</w:t>
            </w:r>
          </w:p>
        </w:tc>
        <w:tc>
          <w:tcPr>
            <w:tcW w:w="0" w:type="dxa"/>
            <w:vAlign w:val="bottom"/>
          </w:tcPr>
          <w:p>
            <w:pPr>
              <w:spacing w:after="0"/>
              <w:rPr>
                <w:sz w:val="1"/>
                <w:szCs w:val="1"/>
                <w:color w:val="auto"/>
              </w:rPr>
            </w:pPr>
          </w:p>
        </w:tc>
      </w:tr>
      <w:tr>
        <w:trPr>
          <w:trHeight w:val="221"/>
        </w:trPr>
        <w:tc>
          <w:tcPr>
            <w:tcW w:w="700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99</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14"/>
        </w:trPr>
        <w:tc>
          <w:tcPr>
            <w:tcW w:w="7000" w:type="dxa"/>
            <w:vAlign w:val="bottom"/>
          </w:tcPr>
          <w:p>
            <w:pPr>
              <w:ind w:left="240"/>
              <w:spacing w:after="0"/>
              <w:rPr>
                <w:sz w:val="20"/>
                <w:szCs w:val="20"/>
                <w:color w:val="auto"/>
              </w:rPr>
            </w:pPr>
            <w:r>
              <w:rPr>
                <w:rFonts w:ascii="Arial" w:cs="Arial" w:eastAsia="Arial" w:hAnsi="Arial"/>
                <w:sz w:val="17"/>
                <w:szCs w:val="17"/>
                <w:b w:val="1"/>
                <w:bCs w:val="1"/>
                <w:color w:val="auto"/>
              </w:rPr>
              <w:t>Total Equity</w:t>
            </w:r>
          </w:p>
        </w:tc>
        <w:tc>
          <w:tcPr>
            <w:tcW w:w="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3,083</w:t>
            </w: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2,842</w:t>
            </w:r>
          </w:p>
        </w:tc>
        <w:tc>
          <w:tcPr>
            <w:tcW w:w="0" w:type="dxa"/>
            <w:vAlign w:val="bottom"/>
          </w:tcPr>
          <w:p>
            <w:pPr>
              <w:spacing w:after="0"/>
              <w:rPr>
                <w:sz w:val="1"/>
                <w:szCs w:val="1"/>
                <w:color w:val="auto"/>
              </w:rPr>
            </w:pPr>
          </w:p>
        </w:tc>
      </w:tr>
      <w:tr>
        <w:trPr>
          <w:trHeight w:val="214"/>
        </w:trPr>
        <w:tc>
          <w:tcPr>
            <w:tcW w:w="7000" w:type="dxa"/>
            <w:vAlign w:val="bottom"/>
          </w:tcPr>
          <w:p>
            <w:pPr>
              <w:ind w:left="240"/>
              <w:spacing w:after="0"/>
              <w:rPr>
                <w:sz w:val="20"/>
                <w:szCs w:val="20"/>
                <w:color w:val="auto"/>
              </w:rPr>
            </w:pPr>
            <w:r>
              <w:rPr>
                <w:rFonts w:ascii="Arial" w:cs="Arial" w:eastAsia="Arial" w:hAnsi="Arial"/>
                <w:sz w:val="17"/>
                <w:szCs w:val="17"/>
                <w:b w:val="1"/>
                <w:bCs w:val="1"/>
                <w:color w:val="auto"/>
              </w:rPr>
              <w:t>Total Liabilities, Redeemable Noncontrolling Interest and Equity</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4,691</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4,287</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148590</wp:posOffset>
            </wp:positionV>
            <wp:extent cx="7251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24130</wp:posOffset>
            </wp:positionV>
            <wp:extent cx="7251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(Tabular amounts in US$ millions)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Description of the Business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Yum China Holdings, Inc. (“Yum China” and, together with its subsidiaries, the “Company,” “we,” “us” and “our”) was incorporated in Delaware on April 1, 2016. The Company separated from Yum! Brands, Inc. (“YUM” or the “Parent”) on October 31, 2016 (the “separation”), becoming an independent publicly traded company as a result of a pro rata distribution (the “distribution”) of all outstanding shares of Yum China common stock to shareholders of YUM. On October 31, 2016, YUM’s shareholders of record as of 5:00 p.m. Eastern Time on October 19, 2016 received one share of Yum China common stock for every one share of YUM common stock held as of the record date. Yum China’s common stock began trading “regular way” under the ticker symbol “YUMC” on the New York Stock Exchange on November 1, 2016.</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owns, franchises or has an ownership in entities that own and operate restaurants under the KFC, Pizza Hut, East Dawning, Little Sheep and Taco Bell concepts (collectively, the “Concepts”). In connection with the separation of the Company from YUM, Yum! Restaurants Asia Pte. Ltd., a wholly-owned indirect subsidiary of YUM, and Yum Restaurants Consulting (Shanghai) Company Limited (“YCCL”), a wholly-owned indirect subsidiary of Yum China, entered into a 50-year master license agreement with automatic renewals for additional consecutive renewal terms of 50 years each, subject only to YCCL being in “good standing” and unless YCCL gives notice of its intent not to renew, for the exclusive right to use and sub-license the use of intellectual property owned by YUM and its subsidiaries for the development and operation of the KFC, Pizza Hut and, subject to achieving certain agreed-upon milestones, Taco Bell brands and their related marks and other intellectual property rights for restaurant services in the People’s Republic of China, excluding Hong Kong, Taiwan and Macau (the “PRC” or “China”). In exchange, we pay a license fee to YUM equal to 3% of net system sales from both our Company and franchise restaurants. We own the intellectual property of East Dawning and Little Sheep and pay no license fee related to these Concepts.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owns a controlling interest in the holding company of DAOJIA.com.cn (“Daojia”), an established online food delivery service provider in China.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Basis of Presentation</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connection with our separation from YUM, the direct and indirect equity interests of all of our operating subsidiaries and intermediate holding companies were transferred from YUM to Yum China, when Yum China was still one of YUM’s subsidiaries, through a series of transactions, which were completed in August 2016. The Company separated from YUM on October 31, 2016, becoming an independent publicly traded company as a result of a pro rata distribution of all outstanding shares of Yum China common stock to shareholders of YUM.</w:t>
      </w:r>
    </w:p>
    <w:p>
      <w:pPr>
        <w:spacing w:after="0" w:line="201"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For periods prior to October 31, 2016, the combined financial statements of YUM’s China businesses and operations when Yum China was a wholly-owned subsidiary of YUM are referred to as Condensed Combined Financial Statements. For periods subsequent to October 31, 2016, the consolidated financial statements of the Company as a separate publicly traded company following its separation from YUM are referred to as Condensed Consolidated Financial Statements.</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preparation of the accompanying Condensed Consolidated Financial Statements in conformity with Generally Accepted Accounting Principles in the United States of America (“GAAP”) requires us to make estimates and assumptions that affect reported amounts of assets and liabilities, disclosure of contingent assets and liabilities at the date of the financial statements, and the reported amounts of revenues and expenses during the reporting period. Actual results could differ from these estimates.</w:t>
      </w:r>
    </w:p>
    <w:p>
      <w:pPr>
        <w:spacing w:after="0" w:line="20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We have prepared the Condensed Consolidated Financial Statements in accordance with the rules and regulations of the Securities and Exchange Commission (the “SEC”) for interim financial information. Accordingly, they do not include all of the information and footnotes required by GAAP for complete financial statements. The Condensed Consolidated Financial Statements include all normal and recurring adjustments considered necessary to present fairly our financial position as of September 30, 2018, and the results of our operations and comprehensive income for the quarters and years to date ended September 30, 2018 and 2017, and cash flows for the years to date ended September 30, 2018 and 2017. Our results of operations, comprehensive income and cash flows for these interim periods are not necessarily indicative of the results to be expected for the full year. These statements should be read in conjunction with the Consolidated and Combined Financial Statements and notes thereto defined and included in the Company’s Annual Report on Form 10-K as filed with the SEC on February 27, 2018.</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7" w:name="page8"/>
    <w:bookmarkEnd w:id="7"/>
    <w:p>
      <w:pPr>
        <w:jc w:val="both"/>
        <w:spacing w:after="0" w:line="260" w:lineRule="auto"/>
        <w:rPr>
          <w:sz w:val="20"/>
          <w:szCs w:val="20"/>
          <w:color w:val="auto"/>
        </w:rPr>
      </w:pPr>
      <w:r>
        <w:rPr>
          <w:rFonts w:ascii="Arial" w:cs="Arial" w:eastAsia="Arial" w:hAnsi="Arial"/>
          <w:sz w:val="17"/>
          <w:szCs w:val="17"/>
          <w:color w:val="auto"/>
        </w:rPr>
        <w:t>Through the acquisition of Daojia during the second quarter of 2017, the Company also acquired a variable interest entity (“VIE”) and subsidiaries of the VIE effectively controlled by Daojia. There exists a parent-subsidiary relationship between Daojia and its VIE as a result of certain exclusive agreements that require Daojia to consolidate its VIE and subsidiaries of the VIE because Daojia is the primary beneficiary that possesses the power to direct the activities of the VIE that most significantly impact its economic performance and has the obligation to absorb substantially all of the profits and all of the expected losses of the VIE. The acquired VIE and its subsidiaries were considered immaterial, both individually and in the aggregate. The results of Daojia’s operations have been included in the Company’s Condensed Consolidated Financial Statements since the acquisition date.</w:t>
      </w:r>
    </w:p>
    <w:p>
      <w:pPr>
        <w:spacing w:after="0" w:line="20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first quarter of 2018, the Company completed the acquisition of an additional 36% equity interest in an unconsolidated affiliate that operates KFC stores in Wuxi, China (“Wuxi KFC”), for cash consideration of approximately $98 million, increasing the Company’s equity interest to 83%, allowing the Company to consolidate the entity. The acquisition was considered immaterial. We began consolidating Wuxi KFC upon the completion of acquisition.</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Adopted Accounting Pronouncements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May 2014, the Financial Accounting Standards Board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(“ASC 606”), to provide principles within a single framework for revenue recognition of transactions involving contracts with customers across all industries. The standard allows for either a full retrospective or modified retrospective transition method. In March, April and May 2016, the FASB issued the following amendments to clarify the implementation guidance: ASU No. 2016-04, </w:t>
      </w:r>
      <w:r>
        <w:rPr>
          <w:rFonts w:ascii="Arial" w:cs="Arial" w:eastAsia="Arial" w:hAnsi="Arial"/>
          <w:sz w:val="16"/>
          <w:szCs w:val="16"/>
          <w:i w:val="1"/>
          <w:iCs w:val="1"/>
          <w:color w:val="auto"/>
        </w:rPr>
        <w:t>Liabilities-Extinguishments of liabilities (Subtopic 450-20): Revenue of Breakage for Certain Prepaid Stored-Value</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 (a consensus of the FASB Emerging Issues Task Force)</w:t>
      </w:r>
      <w:r>
        <w:rPr>
          <w:rFonts w:ascii="Arial" w:cs="Arial" w:eastAsia="Arial" w:hAnsi="Arial"/>
          <w:sz w:val="16"/>
          <w:szCs w:val="16"/>
          <w:color w:val="auto"/>
        </w:rPr>
        <w:t>, ASU No. 2016-08,</w:t>
      </w:r>
      <w:r>
        <w:rPr>
          <w:rFonts w:ascii="Arial" w:cs="Arial" w:eastAsia="Arial" w:hAnsi="Arial"/>
          <w:sz w:val="16"/>
          <w:szCs w:val="16"/>
          <w:i w:val="1"/>
          <w:iCs w:val="1"/>
          <w:color w:val="auto"/>
        </w:rPr>
        <w:t xml:space="preserve"> Revenue from Contracts with Customers (Topic 606): Principal versus Agent Considerations (Reporting Revenue Gross versus Net)</w:t>
      </w:r>
      <w:r>
        <w:rPr>
          <w:rFonts w:ascii="Arial" w:cs="Arial" w:eastAsia="Arial" w:hAnsi="Arial"/>
          <w:sz w:val="16"/>
          <w:szCs w:val="16"/>
          <w:color w:val="auto"/>
        </w:rPr>
        <w:t>, ASU No.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and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adopted these standards on January 1, 2018, and applied the full retrospective approach.</w:t>
      </w:r>
    </w:p>
    <w:p>
      <w:pPr>
        <w:spacing w:after="0" w:line="19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new standard did not have an impact on our recognition of revenue from Company-owned restaurants or our recognition of continuing fees from franchisees and unconsolidated affiliates; however, it changed the way we account for upfront fees. Upfront fees, such as initial and renewal fees from franchisees and unconsolidated affiliates, were previously recognized as revenue when we performed substantially all initial services required by the franchise agreement, generally upon the opening of a store or when a renewal agreement with a franchisee became effective. We now recognize the upfront fees from franchisees and unconsolidated affiliates as revenue over the term of each franchise agreement as the franchise rights are accounted for as rights to access our symbolic intellectual property in accordance with the new standard. Any unamortized portion of fees received is accounted for as a contract liability.</w:t>
      </w:r>
    </w:p>
    <w:p>
      <w:pPr>
        <w:spacing w:after="0" w:line="192"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The new standard also had an impact on certain transactions we entered into with franchisees and unconsolidated affiliates, such as sales of food and paper products and advertising services. These transactions were previously either not included or presented on a net basis in our statements of income or cash flows based on industry-specific guidance included in previous accounting guidance, which was superseded by the new standard. Under the new standard, we consider ourselves the principal in these arrangements as we have the ability to control a promised good or service before transferring that good or service to the customer. Therefore, we include such transactions in revenues and expenses on the Condensed Consolidated Statements of Income with no significant impact to Net income.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(“ASU 2016-01”). ASU 2016-01 amends various aspects of the recognition, measurement, presentation and disclosure of financial instruments. Certain equity investments will be measured at fair value with changes recognized in net income. We adopted ASU 2016-01 on January 1, 2018. While the adoption did not have a material impact on our financial statements, the standard requires our equity investment in Meituan Dianping (see Note 9), which was consummated in September 2018, to be re-measured to fair value in each future reporting period with corresponding changes recorded in our Condensed Consolidated Statements of Income.</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(“ASU 2016-15”), which provides clarification regarding how certain cash receipts and cash payments are presented and classified in the statement of cash flows. This update addresses eight specific cash flow issues with the objective of reducing the existing diversity in practice. ASU 2016-15 is effective for annual and interim periods beginning after December 15, 2017, with early adoption permitted. We adopted ASU 2016-15 on January 1, 2018, and such adoption did not have a material impact on our financial statements.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xml:space="preserve"> (“ASU 2016-16”), which requires the recognition of the income tax consequences of an intra-entity transfer of an asset,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 w:name="page9"/>
    <w:bookmarkEnd w:id="8"/>
    <w:p>
      <w:pPr>
        <w:jc w:val="both"/>
        <w:spacing w:after="0" w:line="285" w:lineRule="auto"/>
        <w:rPr>
          <w:sz w:val="20"/>
          <w:szCs w:val="20"/>
          <w:color w:val="auto"/>
        </w:rPr>
      </w:pPr>
      <w:r>
        <w:rPr>
          <w:rFonts w:ascii="Arial" w:cs="Arial" w:eastAsia="Arial" w:hAnsi="Arial"/>
          <w:sz w:val="17"/>
          <w:szCs w:val="17"/>
          <w:color w:val="auto"/>
        </w:rPr>
        <w:t>other than inventory, when the transfer occurs. We adopted ASU 2016-16 on January 1, 2018, and such adoption did not have a material impact on our financial statements.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which requires that entities show the changes in total cash, cash equivalents, restricted cash and restricted cash equivalents in the statement of cash flows. We adopted ASU 2016-18 on January 1, 2018, and such adoption did not have a material impact on our financial statements.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which revises the definition of a business and provides new guidance in evaluating when a set of transferred assets and activities is a business. We adopted ASU 2017-01 on January 1, 2018, and such adoption did not have a material impact on our financial statements.</w:t>
      </w:r>
    </w:p>
    <w:p>
      <w:pPr>
        <w:spacing w:after="0" w:line="19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Certain comparative items in the Condensed Consolidated Financial Statements have been reclassified to conform to the current period’s presentation to facilitate comparison.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fiscal year ends on December 31. Effective at the beginning of fiscal year 2018, the Company changed its fiscal calendar from two months in the first quarter, three months in the second and third quarters and four months in the fourth quarter, to four three-month quarters ending on March 31, June 30, September 30 and December 31 of each year. The change was made to align with how management now measures performance internally and to facilitate the comparability of our results with peers using calendar quarters. Quarterly results of all prior financial periods presented have been recast as if they had been reported under our new fiscal calendar.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 Revenue Recognition</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revenues primarily include Company sales, Franchise fees and income and Revenues from transactions with franchisees and unconsolidated affiliates.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Company Sales</w:t>
      </w:r>
    </w:p>
    <w:p>
      <w:pPr>
        <w:spacing w:after="0" w:line="246"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Revenues from Company-owned restaurants are recognized when a customer takes possession of the food and tenders payment, which is when our obligation to perform is satisfied. The Company presents sales net of sales-related taxes. We recognize revenues from prepaid stored-value products, including gift cards and product vouchers, when they are redeemed by the customer. Prepaid gift cards sold at any given point generally expire over the next 36 months, and product vouchers generally expire over a period of up to 12 months. We recognize breakage revenue, which is the amount of prepaid stored-value products that is not expected to be redeemed, either (1) proportionally in earnings as redemptions occur, in situations where the Company expects to be entitled to a breakage amount, or</w:t>
      </w:r>
    </w:p>
    <w:p>
      <w:pPr>
        <w:spacing w:after="0" w:line="1" w:lineRule="exact"/>
        <w:rPr>
          <w:sz w:val="20"/>
          <w:szCs w:val="20"/>
          <w:color w:val="auto"/>
        </w:rPr>
      </w:pPr>
    </w:p>
    <w:p>
      <w:pPr>
        <w:jc w:val="both"/>
        <w:ind w:firstLine="4"/>
        <w:spacing w:after="0" w:line="262" w:lineRule="auto"/>
        <w:tabs>
          <w:tab w:leader="none" w:pos="251"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when the likelihood of redemption is remote, in situations where the Company does not expect to be entitled to breakage, provided that there is no requirement for remitting balances to government agencies under unclaimed property laws. The Company reviews its breakage estimates at least annually based upon the latest available information regarding redemption and expiration patterns.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Franchise Fees and Income</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Franchise fees and income primarily include upfront fees, such as initial fees and renewal fees, and continuing fees. We have determined that the services we provide in exchange for upfront fees and continuing fees are highly interrelated with the franchise right. We recognize upfront fees received from a franchisee as revenue over the term of the franchise agreement or the renewal agreement because the franchise rights are accounted for as rights to access our symbolic intellectual property in accordance with ASC 606. The franchise agreement term is generally 10 years for KFC and Pizza Hut, and five or 10 years for Little Sheep. We recognize continuing fees, which are based upon a percentage of franchisee sales, as those sales occur.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Revenues from Transactions with Franchisees and Unconsolidated Affiliates</w:t>
      </w:r>
    </w:p>
    <w:p>
      <w:pPr>
        <w:spacing w:after="0" w:line="24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Revenues from transactions with franchisees and unconsolidated affiliates consist primarily of sales of food and paper products, advertising services and other services provided to franchisees and unconsolidated affiliates.</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centrally purchases substantially all food and paper products from suppliers for substantially all of our restaurants, including franchisees and unconsolidated affiliates, and then sells and delivers them to the restaurants. The performance obligation arising from such transactions is considered distinct from the franchise agreement as it is not highly dependent on the franchise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9" w:name="page10"/>
    <w:bookmarkEnd w:id="9"/>
    <w:p>
      <w:pPr>
        <w:jc w:val="both"/>
        <w:ind w:right="40"/>
        <w:spacing w:after="0" w:line="270" w:lineRule="auto"/>
        <w:rPr>
          <w:sz w:val="20"/>
          <w:szCs w:val="20"/>
          <w:color w:val="auto"/>
        </w:rPr>
      </w:pPr>
      <w:r>
        <w:rPr>
          <w:rFonts w:ascii="Arial" w:cs="Arial" w:eastAsia="Arial" w:hAnsi="Arial"/>
          <w:sz w:val="17"/>
          <w:szCs w:val="17"/>
          <w:color w:val="auto"/>
        </w:rPr>
        <w:t>agreement and the customer can benefit from the procurement service on its own. We consider ourselves the principal in this arrangement as we have the ability to control a promised good or service before transferring that good or service to the franchisees and unconsolidated affiliates. Revenue is recognized upon transfer of control over ordered items, generally upon delivery to the franchisees and unconsolidated affiliates.</w:t>
      </w:r>
    </w:p>
    <w:p>
      <w:pPr>
        <w:spacing w:after="0" w:line="197" w:lineRule="exact"/>
        <w:rPr>
          <w:sz w:val="20"/>
          <w:szCs w:val="20"/>
          <w:color w:val="auto"/>
        </w:rPr>
      </w:pPr>
    </w:p>
    <w:p>
      <w:pPr>
        <w:jc w:val="both"/>
        <w:ind w:right="40"/>
        <w:spacing w:after="0" w:line="280" w:lineRule="auto"/>
        <w:rPr>
          <w:sz w:val="20"/>
          <w:szCs w:val="20"/>
          <w:color w:val="auto"/>
        </w:rPr>
      </w:pPr>
      <w:r>
        <w:rPr>
          <w:rFonts w:ascii="Arial" w:cs="Arial" w:eastAsia="Arial" w:hAnsi="Arial"/>
          <w:sz w:val="16"/>
          <w:szCs w:val="16"/>
          <w:color w:val="auto"/>
        </w:rPr>
        <w:t>For advertising services, the Company often engages third parties to provide services and acts as a principal in the transaction based on our responsibilities of defining the nature of the services and administering and directing all marketing and advertising programs in accordance with the provisions of our franchise agreements. The Company collects advertising contributions, which are generally based on certain percentage of sales from substantially all of our restaurants, including franchisees and unconsolidated affiliates. Other services provided to franchisees and unconsolidated affiliates consist primarily of customer support and technology support services. Advertising services and other services provided are highly interrelated to franchise right, so we do not consider them to be individually distinct and therefore account for them under ASC 606 as a single performance obligation and recognize revenue when the related sales occur.</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Loyalty Programs</w:t>
      </w:r>
    </w:p>
    <w:p>
      <w:pPr>
        <w:spacing w:after="0" w:line="220" w:lineRule="exact"/>
        <w:rPr>
          <w:sz w:val="20"/>
          <w:szCs w:val="20"/>
          <w:color w:val="auto"/>
        </w:rPr>
      </w:pPr>
    </w:p>
    <w:p>
      <w:pPr>
        <w:jc w:val="both"/>
        <w:ind w:right="40"/>
        <w:spacing w:after="0" w:line="298" w:lineRule="auto"/>
        <w:rPr>
          <w:sz w:val="20"/>
          <w:szCs w:val="20"/>
          <w:color w:val="auto"/>
        </w:rPr>
      </w:pPr>
      <w:r>
        <w:rPr>
          <w:rFonts w:ascii="Arial" w:cs="Arial" w:eastAsia="Arial" w:hAnsi="Arial"/>
          <w:sz w:val="15"/>
          <w:szCs w:val="15"/>
          <w:color w:val="auto"/>
        </w:rPr>
        <w:t>Each of the Company’s KFC and Pizza Hut reportable segments operates a loyalty program that allows registered members to earn points for each qualifying purchase. Points, which generally expire 18 months after being earned, may be redeemed for future purchases of KFC or Pizza Hut branded products or other products for free or at a discounted price. Points cannot be redeemed or exchanged for cash. The value of points earned by the loyalty program members is recorded as a reduction of revenue at the time the points are earned, based on the percentage of points that are projected to be redeemed, with a corresponding deferred revenue liability included in Accounts payable and other current liabilities on the Condensed Consolidated Balance Sheets and subsequently recognized into revenue when the points are redeemed. The Company estimates the value of the future redemption obligations based on the estimated value of the product for which points are expected to be redeemed and historical redemption patterns, including an estimate of the breakage for points that members will never redeem. The Company reviews its breakage estimates at least annually based upon the latest available information regarding redemption and expiration patterns.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revenue disaggregated by types of arrangements and segments: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7"/>
                <w:szCs w:val="17"/>
                <w:color w:val="auto"/>
                <w:w w:val="92"/>
              </w:rPr>
              <w:t>Corporate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00" w:type="dxa"/>
            <w:vAlign w:val="bottom"/>
            <w:vMerge w:val="restart"/>
          </w:tcPr>
          <w:p>
            <w:pPr>
              <w:spacing w:after="0"/>
              <w:rPr>
                <w:sz w:val="20"/>
                <w:szCs w:val="20"/>
                <w:color w:val="auto"/>
              </w:rPr>
            </w:pPr>
            <w:r>
              <w:rPr>
                <w:rFonts w:ascii="Arial" w:cs="Arial" w:eastAsia="Arial" w:hAnsi="Arial"/>
                <w:sz w:val="17"/>
                <w:szCs w:val="17"/>
                <w:b w:val="1"/>
                <w:bCs w:val="1"/>
                <w:color w:val="auto"/>
              </w:rPr>
              <w:t>Quarter Ended 9/30/2018</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94"/>
              <w:spacing w:after="0"/>
              <w:rPr>
                <w:sz w:val="20"/>
                <w:szCs w:val="20"/>
                <w:color w:val="auto"/>
              </w:rPr>
            </w:pPr>
            <w:r>
              <w:rPr>
                <w:rFonts w:ascii="Arial" w:cs="Arial" w:eastAsia="Arial" w:hAnsi="Arial"/>
                <w:sz w:val="17"/>
                <w:szCs w:val="17"/>
                <w:color w:val="auto"/>
                <w:w w:val="99"/>
              </w:rPr>
              <w:t>All Other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7"/>
                <w:szCs w:val="17"/>
                <w:color w:val="auto"/>
                <w:w w:val="84"/>
              </w:rPr>
              <w:t>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KFC</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93"/>
              </w:rPr>
              <w:t>Pizza Hut</w:t>
            </w:r>
          </w:p>
        </w:tc>
        <w:tc>
          <w:tcPr>
            <w:tcW w:w="12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6"/>
              </w:rPr>
              <w:t>Segments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94"/>
              <w:spacing w:after="0"/>
              <w:rPr>
                <w:sz w:val="20"/>
                <w:szCs w:val="20"/>
                <w:color w:val="auto"/>
              </w:rPr>
            </w:pPr>
            <w:r>
              <w:rPr>
                <w:rFonts w:ascii="Arial" w:cs="Arial" w:eastAsia="Arial" w:hAnsi="Arial"/>
                <w:sz w:val="17"/>
                <w:szCs w:val="17"/>
                <w:color w:val="auto"/>
                <w:w w:val="93"/>
              </w:rPr>
              <w:t>Unallocated</w:t>
            </w:r>
          </w:p>
        </w:tc>
        <w:tc>
          <w:tcPr>
            <w:tcW w:w="1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color w:val="auto"/>
                <w:w w:val="98"/>
              </w:rPr>
              <w:t>Elimination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Arial" w:cs="Arial" w:eastAsia="Arial" w:hAnsi="Arial"/>
                <w:sz w:val="17"/>
                <w:szCs w:val="17"/>
                <w:color w:val="auto"/>
              </w:rPr>
              <w:t>Company sales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1,452</w:t>
            </w:r>
          </w:p>
        </w:tc>
        <w:tc>
          <w:tcPr>
            <w:tcW w:w="2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548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8</w:t>
            </w:r>
          </w:p>
        </w:tc>
        <w:tc>
          <w:tcPr>
            <w:tcW w:w="2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2,008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Franchise fees and income</w:t>
            </w:r>
          </w:p>
        </w:tc>
        <w:tc>
          <w:tcPr>
            <w:tcW w:w="2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20"/>
                <w:szCs w:val="20"/>
                <w:color w:val="auto"/>
              </w:rPr>
            </w:pPr>
            <w:r>
              <w:rPr>
                <w:rFonts w:ascii="Arial" w:cs="Arial" w:eastAsia="Arial" w:hAnsi="Arial"/>
                <w:sz w:val="17"/>
                <w:szCs w:val="17"/>
                <w:color w:val="auto"/>
              </w:rPr>
              <w:t>Revenues from transactions with</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tcPr>
          <w:p>
            <w:pPr>
              <w:ind w:left="140"/>
              <w:spacing w:after="0"/>
              <w:rPr>
                <w:sz w:val="20"/>
                <w:szCs w:val="20"/>
                <w:color w:val="auto"/>
              </w:rPr>
            </w:pPr>
            <w:r>
              <w:rPr>
                <w:rFonts w:ascii="Arial" w:cs="Arial" w:eastAsia="Arial" w:hAnsi="Arial"/>
                <w:sz w:val="17"/>
                <w:szCs w:val="17"/>
                <w:color w:val="auto"/>
              </w:rPr>
              <w:t>franchisees and unconsolidated affiliates</w:t>
            </w:r>
          </w:p>
        </w:tc>
        <w:tc>
          <w:tcPr>
            <w:tcW w:w="2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7"/>
                <w:szCs w:val="17"/>
                <w:color w:val="auto"/>
              </w:rPr>
              <w:t>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159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Other revenues</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gridSpan w:val="2"/>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Arial" w:cs="Arial" w:eastAsia="Arial" w:hAnsi="Arial"/>
                <w:sz w:val="17"/>
                <w:szCs w:val="17"/>
                <w:color w:val="auto"/>
              </w:rPr>
              <w:t>Total revenues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4"/>
              <w:spacing w:after="0"/>
              <w:rPr>
                <w:sz w:val="20"/>
                <w:szCs w:val="20"/>
                <w:color w:val="auto"/>
              </w:rPr>
            </w:pPr>
            <w:r>
              <w:rPr>
                <w:rFonts w:ascii="Arial" w:cs="Arial" w:eastAsia="Arial" w:hAnsi="Arial"/>
                <w:sz w:val="17"/>
                <w:szCs w:val="17"/>
                <w:color w:val="auto"/>
              </w:rPr>
              <w:t>1,502</w:t>
            </w:r>
          </w:p>
        </w:tc>
        <w:tc>
          <w:tcPr>
            <w:tcW w:w="24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4"/>
              <w:spacing w:after="0"/>
              <w:rPr>
                <w:sz w:val="20"/>
                <w:szCs w:val="20"/>
                <w:color w:val="auto"/>
              </w:rPr>
            </w:pPr>
            <w:r>
              <w:rPr>
                <w:rFonts w:ascii="Arial" w:cs="Arial" w:eastAsia="Arial" w:hAnsi="Arial"/>
                <w:sz w:val="17"/>
                <w:szCs w:val="17"/>
                <w:color w:val="auto"/>
              </w:rPr>
              <w:t>550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34"/>
              <w:spacing w:after="0"/>
              <w:rPr>
                <w:sz w:val="20"/>
                <w:szCs w:val="20"/>
                <w:color w:val="auto"/>
              </w:rPr>
            </w:pPr>
            <w:r>
              <w:rPr>
                <w:rFonts w:ascii="Arial" w:cs="Arial" w:eastAsia="Arial" w:hAnsi="Arial"/>
                <w:sz w:val="17"/>
                <w:szCs w:val="17"/>
                <w:color w:val="auto"/>
              </w:rPr>
              <w:t>25</w:t>
            </w:r>
          </w:p>
        </w:tc>
        <w:tc>
          <w:tcPr>
            <w:tcW w:w="2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4"/>
              <w:spacing w:after="0"/>
              <w:rPr>
                <w:sz w:val="20"/>
                <w:szCs w:val="20"/>
                <w:color w:val="auto"/>
              </w:rPr>
            </w:pPr>
            <w:r>
              <w:rPr>
                <w:rFonts w:ascii="Arial" w:cs="Arial" w:eastAsia="Arial" w:hAnsi="Arial"/>
                <w:sz w:val="17"/>
                <w:szCs w:val="17"/>
                <w:color w:val="auto"/>
              </w:rPr>
              <w:t>138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2,212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4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114"/>
              <w:spacing w:after="0"/>
              <w:rPr>
                <w:sz w:val="20"/>
                <w:szCs w:val="20"/>
                <w:color w:val="auto"/>
              </w:rPr>
            </w:pPr>
            <w:r>
              <w:rPr>
                <w:rFonts w:ascii="Arial" w:cs="Arial" w:eastAsia="Arial" w:hAnsi="Arial"/>
                <w:sz w:val="17"/>
                <w:szCs w:val="17"/>
                <w:color w:val="auto"/>
                <w:w w:val="89"/>
              </w:rPr>
              <w:t>Corporate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100" w:type="dxa"/>
            <w:vAlign w:val="bottom"/>
            <w:vMerge w:val="restart"/>
          </w:tcPr>
          <w:p>
            <w:pPr>
              <w:spacing w:after="0"/>
              <w:rPr>
                <w:sz w:val="20"/>
                <w:szCs w:val="20"/>
                <w:color w:val="auto"/>
              </w:rPr>
            </w:pPr>
            <w:r>
              <w:rPr>
                <w:rFonts w:ascii="Arial" w:cs="Arial" w:eastAsia="Arial" w:hAnsi="Arial"/>
                <w:sz w:val="17"/>
                <w:szCs w:val="17"/>
                <w:b w:val="1"/>
                <w:bCs w:val="1"/>
                <w:color w:val="auto"/>
              </w:rPr>
              <w:t>Quarter Ended 9/30/2017</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80"/>
              <w:spacing w:after="0"/>
              <w:rPr>
                <w:sz w:val="20"/>
                <w:szCs w:val="20"/>
                <w:color w:val="auto"/>
              </w:rPr>
            </w:pPr>
            <w:r>
              <w:rPr>
                <w:rFonts w:ascii="Arial" w:cs="Arial" w:eastAsia="Arial" w:hAnsi="Arial"/>
                <w:sz w:val="17"/>
                <w:szCs w:val="17"/>
                <w:color w:val="auto"/>
              </w:rPr>
              <w:t>All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right="114"/>
              <w:spacing w:after="0"/>
              <w:rPr>
                <w:sz w:val="20"/>
                <w:szCs w:val="20"/>
                <w:color w:val="auto"/>
              </w:rPr>
            </w:pPr>
            <w:r>
              <w:rPr>
                <w:rFonts w:ascii="Arial" w:cs="Arial" w:eastAsia="Arial" w:hAnsi="Arial"/>
                <w:sz w:val="17"/>
                <w:szCs w:val="17"/>
                <w:color w:val="auto"/>
                <w:w w:val="84"/>
              </w:rPr>
              <w:t>and</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KFC</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96"/>
              </w:rPr>
              <w:t>Pizza Hut</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color w:val="auto"/>
              </w:rPr>
              <w:t>Segments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2"/>
          </w:tcPr>
          <w:p>
            <w:pPr>
              <w:jc w:val="center"/>
              <w:ind w:right="34"/>
              <w:spacing w:after="0"/>
              <w:rPr>
                <w:sz w:val="20"/>
                <w:szCs w:val="20"/>
                <w:color w:val="auto"/>
              </w:rPr>
            </w:pPr>
            <w:r>
              <w:rPr>
                <w:rFonts w:ascii="Arial" w:cs="Arial" w:eastAsia="Arial" w:hAnsi="Arial"/>
                <w:sz w:val="17"/>
                <w:szCs w:val="17"/>
                <w:color w:val="auto"/>
                <w:w w:val="93"/>
              </w:rPr>
              <w:t>Unallocated</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Total</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Arial" w:cs="Arial" w:eastAsia="Arial" w:hAnsi="Arial"/>
                <w:sz w:val="17"/>
                <w:szCs w:val="17"/>
                <w:color w:val="auto"/>
              </w:rPr>
              <w:t>Company sales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568</w:t>
            </w:r>
          </w:p>
        </w:tc>
        <w:tc>
          <w:tcPr>
            <w:tcW w:w="2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1,924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Franchise fees and income</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00" w:type="dxa"/>
            <w:vAlign w:val="bottom"/>
          </w:tcPr>
          <w:p>
            <w:pPr>
              <w:spacing w:after="0"/>
              <w:rPr>
                <w:sz w:val="20"/>
                <w:szCs w:val="20"/>
                <w:color w:val="auto"/>
              </w:rPr>
            </w:pPr>
            <w:r>
              <w:rPr>
                <w:rFonts w:ascii="Arial" w:cs="Arial" w:eastAsia="Arial" w:hAnsi="Arial"/>
                <w:sz w:val="17"/>
                <w:szCs w:val="17"/>
                <w:color w:val="auto"/>
              </w:rPr>
              <w:t>Revenues from transactions with</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tcPr>
          <w:p>
            <w:pPr>
              <w:ind w:left="140"/>
              <w:spacing w:after="0"/>
              <w:rPr>
                <w:sz w:val="20"/>
                <w:szCs w:val="20"/>
                <w:color w:val="auto"/>
              </w:rPr>
            </w:pPr>
            <w:r>
              <w:rPr>
                <w:rFonts w:ascii="Arial" w:cs="Arial" w:eastAsia="Arial" w:hAnsi="Arial"/>
                <w:sz w:val="17"/>
                <w:szCs w:val="17"/>
                <w:color w:val="auto"/>
              </w:rPr>
              <w:t>franchisees and unconsolidated affiliates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160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100" w:type="dxa"/>
            <w:vAlign w:val="bottom"/>
          </w:tcPr>
          <w:p>
            <w:pPr>
              <w:spacing w:after="0"/>
              <w:rPr>
                <w:sz w:val="20"/>
                <w:szCs w:val="20"/>
                <w:color w:val="auto"/>
              </w:rPr>
            </w:pPr>
            <w:r>
              <w:rPr>
                <w:rFonts w:ascii="Arial" w:cs="Arial" w:eastAsia="Arial" w:hAnsi="Arial"/>
                <w:sz w:val="17"/>
                <w:szCs w:val="17"/>
                <w:color w:val="auto"/>
              </w:rPr>
              <w:t>Other revenues</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Arial" w:cs="Arial" w:eastAsia="Arial" w:hAnsi="Arial"/>
                <w:sz w:val="17"/>
                <w:szCs w:val="17"/>
                <w:color w:val="auto"/>
              </w:rPr>
              <w:t>Total revenues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1,402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569</w:t>
            </w:r>
          </w:p>
        </w:tc>
        <w:tc>
          <w:tcPr>
            <w:tcW w:w="2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136</w:t>
            </w:r>
          </w:p>
        </w:tc>
        <w:tc>
          <w:tcPr>
            <w:tcW w:w="3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34"/>
              <w:spacing w:after="0"/>
              <w:rPr>
                <w:sz w:val="20"/>
                <w:szCs w:val="20"/>
                <w:color w:val="auto"/>
              </w:rPr>
            </w:pPr>
            <w:r>
              <w:rPr>
                <w:rFonts w:ascii="Arial" w:cs="Arial" w:eastAsia="Arial" w:hAnsi="Arial"/>
                <w:sz w:val="17"/>
                <w:szCs w:val="17"/>
                <w:color w:val="auto"/>
              </w:rPr>
              <w:t>2,130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8"/>
        </w:trPr>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534"/>
              <w:spacing w:after="0"/>
              <w:rPr>
                <w:sz w:val="20"/>
                <w:szCs w:val="20"/>
                <w:color w:val="auto"/>
              </w:rPr>
            </w:pPr>
            <w:r>
              <w:rPr>
                <w:rFonts w:ascii="Arial" w:cs="Arial" w:eastAsia="Arial" w:hAnsi="Arial"/>
                <w:sz w:val="17"/>
                <w:szCs w:val="17"/>
                <w:color w:val="auto"/>
              </w:rPr>
              <w:t>10</w:t>
            </w: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335" w:right="1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8"/>
        </w:trPr>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Corporate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860" w:type="dxa"/>
            <w:vAlign w:val="bottom"/>
            <w:vMerge w:val="restart"/>
          </w:tcPr>
          <w:p>
            <w:pPr>
              <w:spacing w:after="0"/>
              <w:rPr>
                <w:sz w:val="20"/>
                <w:szCs w:val="20"/>
                <w:color w:val="auto"/>
              </w:rPr>
            </w:pPr>
            <w:r>
              <w:rPr>
                <w:rFonts w:ascii="Arial" w:cs="Arial" w:eastAsia="Arial" w:hAnsi="Arial"/>
                <w:sz w:val="17"/>
                <w:szCs w:val="17"/>
                <w:b w:val="1"/>
                <w:bCs w:val="1"/>
                <w:color w:val="auto"/>
              </w:rPr>
              <w:t>Year to Date Ended 9/30/2018</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w w:val="96"/>
              </w:rPr>
              <w:t>All Other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7"/>
                <w:szCs w:val="17"/>
                <w:color w:val="auto"/>
                <w:w w:val="84"/>
              </w:rPr>
              <w:t>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7"/>
                <w:szCs w:val="17"/>
                <w:color w:val="auto"/>
              </w:rPr>
              <w:t>KFC</w:t>
            </w:r>
          </w:p>
        </w:tc>
        <w:tc>
          <w:tcPr>
            <w:tcW w:w="100" w:type="dxa"/>
            <w:vAlign w:val="bottom"/>
          </w:tcPr>
          <w:p>
            <w:pPr>
              <w:spacing w:after="0"/>
              <w:rPr>
                <w:sz w:val="19"/>
                <w:szCs w:val="19"/>
                <w:color w:val="auto"/>
              </w:rPr>
            </w:pPr>
          </w:p>
        </w:tc>
        <w:tc>
          <w:tcPr>
            <w:tcW w:w="10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7"/>
                <w:szCs w:val="17"/>
                <w:color w:val="auto"/>
              </w:rPr>
              <w:t>Pizza Hut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w w:val="86"/>
              </w:rPr>
              <w:t>Segments</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3"/>
              </w:rPr>
              <w:t>Unallocated</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color w:val="auto"/>
              </w:rPr>
              <w:t>Elimination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7"/>
                <w:szCs w:val="17"/>
                <w:color w:val="auto"/>
              </w:rPr>
              <w:t>Company sales</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4,248</w:t>
            </w:r>
          </w:p>
        </w:tc>
        <w:tc>
          <w:tcPr>
            <w:tcW w:w="56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14"/>
              <w:spacing w:after="0"/>
              <w:rPr>
                <w:sz w:val="20"/>
                <w:szCs w:val="20"/>
                <w:color w:val="auto"/>
              </w:rPr>
            </w:pPr>
            <w:r>
              <w:rPr>
                <w:rFonts w:ascii="Arial" w:cs="Arial" w:eastAsia="Arial" w:hAnsi="Arial"/>
                <w:sz w:val="17"/>
                <w:szCs w:val="17"/>
                <w:color w:val="auto"/>
                <w:w w:val="98"/>
              </w:rPr>
              <w:t>1,640</w:t>
            </w:r>
          </w:p>
        </w:tc>
        <w:tc>
          <w:tcPr>
            <w:tcW w:w="1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5,912</w:t>
            </w: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7"/>
                <w:szCs w:val="17"/>
                <w:color w:val="auto"/>
              </w:rPr>
              <w:t>Franchise fees and income</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gridSpan w:val="3"/>
          </w:tcPr>
          <w:p>
            <w:pPr>
              <w:jc w:val="right"/>
              <w:ind w:right="1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110</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20"/>
                <w:szCs w:val="20"/>
                <w:color w:val="auto"/>
              </w:rPr>
            </w:pPr>
            <w:r>
              <w:rPr>
                <w:rFonts w:ascii="Arial" w:cs="Arial" w:eastAsia="Arial" w:hAnsi="Arial"/>
                <w:sz w:val="17"/>
                <w:szCs w:val="17"/>
                <w:color w:val="auto"/>
              </w:rPr>
              <w:t>Revenues from transactions with</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140"/>
              <w:spacing w:after="0"/>
              <w:rPr>
                <w:sz w:val="20"/>
                <w:szCs w:val="20"/>
                <w:color w:val="auto"/>
              </w:rPr>
            </w:pPr>
            <w:r>
              <w:rPr>
                <w:rFonts w:ascii="Arial" w:cs="Arial" w:eastAsia="Arial" w:hAnsi="Arial"/>
                <w:sz w:val="17"/>
                <w:szCs w:val="17"/>
                <w:color w:val="auto"/>
              </w:rPr>
              <w:t>franchisees and unconsolidated affiliates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gridSpan w:val="3"/>
          </w:tcPr>
          <w:p>
            <w:pPr>
              <w:jc w:val="right"/>
              <w:ind w:right="14"/>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461</w:t>
            </w: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7"/>
                <w:szCs w:val="17"/>
                <w:color w:val="auto"/>
              </w:rPr>
              <w:t>Other revenues</w:t>
            </w:r>
          </w:p>
        </w:tc>
        <w:tc>
          <w:tcPr>
            <w:tcW w:w="9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18</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7"/>
                <w:szCs w:val="17"/>
                <w:color w:val="auto"/>
              </w:rPr>
              <w:t>Total revenues</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4"/>
              <w:spacing w:after="0"/>
              <w:rPr>
                <w:sz w:val="20"/>
                <w:szCs w:val="20"/>
                <w:color w:val="auto"/>
              </w:rPr>
            </w:pPr>
            <w:r>
              <w:rPr>
                <w:rFonts w:ascii="Arial" w:cs="Arial" w:eastAsia="Arial" w:hAnsi="Arial"/>
                <w:sz w:val="17"/>
                <w:szCs w:val="17"/>
                <w:color w:val="auto"/>
              </w:rPr>
              <w:t>4,400</w:t>
            </w:r>
          </w:p>
        </w:tc>
        <w:tc>
          <w:tcPr>
            <w:tcW w:w="56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right"/>
              <w:ind w:right="14"/>
              <w:spacing w:after="0"/>
              <w:rPr>
                <w:sz w:val="20"/>
                <w:szCs w:val="20"/>
                <w:color w:val="auto"/>
              </w:rPr>
            </w:pPr>
            <w:r>
              <w:rPr>
                <w:rFonts w:ascii="Arial" w:cs="Arial" w:eastAsia="Arial" w:hAnsi="Arial"/>
                <w:sz w:val="17"/>
                <w:szCs w:val="17"/>
                <w:color w:val="auto"/>
                <w:w w:val="98"/>
              </w:rPr>
              <w:t>1,643</w:t>
            </w:r>
          </w:p>
        </w:tc>
        <w:tc>
          <w:tcPr>
            <w:tcW w:w="1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5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399</w:t>
            </w:r>
          </w:p>
        </w:tc>
        <w:tc>
          <w:tcPr>
            <w:tcW w:w="3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c>
          <w:tcPr>
            <w:tcW w:w="28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6,501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jc w:val="center"/>
              <w:ind w:right="320"/>
              <w:spacing w:after="0"/>
              <w:rPr>
                <w:sz w:val="20"/>
                <w:szCs w:val="20"/>
                <w:color w:val="auto"/>
              </w:rPr>
            </w:pPr>
            <w:r>
              <w:rPr>
                <w:rFonts w:ascii="Arial" w:cs="Arial" w:eastAsia="Arial" w:hAnsi="Arial"/>
                <w:sz w:val="17"/>
                <w:szCs w:val="17"/>
                <w:color w:val="auto"/>
                <w:w w:val="89"/>
              </w:rPr>
              <w:t>Corporate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860" w:type="dxa"/>
            <w:vAlign w:val="bottom"/>
            <w:vMerge w:val="restart"/>
          </w:tcPr>
          <w:p>
            <w:pPr>
              <w:spacing w:after="0"/>
              <w:rPr>
                <w:sz w:val="20"/>
                <w:szCs w:val="20"/>
                <w:color w:val="auto"/>
              </w:rPr>
            </w:pPr>
            <w:r>
              <w:rPr>
                <w:rFonts w:ascii="Arial" w:cs="Arial" w:eastAsia="Arial" w:hAnsi="Arial"/>
                <w:sz w:val="17"/>
                <w:szCs w:val="17"/>
                <w:b w:val="1"/>
                <w:bCs w:val="1"/>
                <w:color w:val="auto"/>
              </w:rPr>
              <w:t>Year to Date Ended 9/30/2017</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5"/>
          </w:tcPr>
          <w:p>
            <w:pPr>
              <w:jc w:val="right"/>
              <w:ind w:right="380"/>
              <w:spacing w:after="0"/>
              <w:rPr>
                <w:sz w:val="20"/>
                <w:szCs w:val="20"/>
                <w:color w:val="auto"/>
              </w:rPr>
            </w:pPr>
            <w:r>
              <w:rPr>
                <w:rFonts w:ascii="Arial" w:cs="Arial" w:eastAsia="Arial" w:hAnsi="Arial"/>
                <w:sz w:val="17"/>
                <w:szCs w:val="17"/>
                <w:color w:val="auto"/>
              </w:rPr>
              <w:t>All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560"/>
              <w:spacing w:after="0"/>
              <w:rPr>
                <w:sz w:val="20"/>
                <w:szCs w:val="20"/>
                <w:color w:val="auto"/>
              </w:rPr>
            </w:pPr>
            <w:r>
              <w:rPr>
                <w:rFonts w:ascii="Arial" w:cs="Arial" w:eastAsia="Arial" w:hAnsi="Arial"/>
                <w:sz w:val="17"/>
                <w:szCs w:val="17"/>
                <w:color w:val="auto"/>
                <w:w w:val="84"/>
              </w:rPr>
              <w:t>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6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7"/>
                <w:szCs w:val="17"/>
                <w:color w:val="auto"/>
              </w:rPr>
              <w:t>KFC</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7"/>
                <w:szCs w:val="17"/>
                <w:color w:val="auto"/>
                <w:w w:val="90"/>
              </w:rPr>
              <w:t>Pizza Hut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7"/>
                <w:szCs w:val="17"/>
                <w:color w:val="auto"/>
                <w:w w:val="88"/>
              </w:rPr>
              <w:t>Segments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bottom w:val="single" w:sz="8" w:color="auto"/>
            </w:tcBorders>
            <w:gridSpan w:val="4"/>
          </w:tcPr>
          <w:p>
            <w:pPr>
              <w:jc w:val="center"/>
              <w:ind w:right="34"/>
              <w:spacing w:after="0"/>
              <w:rPr>
                <w:sz w:val="20"/>
                <w:szCs w:val="20"/>
                <w:color w:val="auto"/>
              </w:rPr>
            </w:pPr>
            <w:r>
              <w:rPr>
                <w:rFonts w:ascii="Arial" w:cs="Arial" w:eastAsia="Arial" w:hAnsi="Arial"/>
                <w:sz w:val="17"/>
                <w:szCs w:val="17"/>
                <w:color w:val="auto"/>
                <w:w w:val="93"/>
              </w:rPr>
              <w:t>Unallocated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7"/>
                <w:szCs w:val="17"/>
                <w:color w:val="auto"/>
              </w:rPr>
              <w:t>Company sales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3,705</w:t>
            </w:r>
          </w:p>
        </w:tc>
        <w:tc>
          <w:tcPr>
            <w:tcW w:w="540" w:type="dxa"/>
            <w:vAlign w:val="bottom"/>
            <w:gridSpan w:val="3"/>
          </w:tcPr>
          <w:p>
            <w:pPr>
              <w:jc w:val="right"/>
              <w:ind w:right="15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7"/>
                <w:szCs w:val="17"/>
                <w:color w:val="auto"/>
                <w:w w:val="98"/>
              </w:rPr>
              <w:t>1,592</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5,326</w:t>
            </w: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7"/>
                <w:szCs w:val="17"/>
                <w:color w:val="auto"/>
              </w:rPr>
              <w:t>Franchise fees and income</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8"/>
        </w:trPr>
        <w:tc>
          <w:tcPr>
            <w:tcW w:w="3860" w:type="dxa"/>
            <w:vAlign w:val="bottom"/>
          </w:tcPr>
          <w:p>
            <w:pPr>
              <w:spacing w:after="0"/>
              <w:rPr>
                <w:sz w:val="20"/>
                <w:szCs w:val="20"/>
                <w:color w:val="auto"/>
              </w:rPr>
            </w:pPr>
            <w:r>
              <w:rPr>
                <w:rFonts w:ascii="Arial" w:cs="Arial" w:eastAsia="Arial" w:hAnsi="Arial"/>
                <w:sz w:val="17"/>
                <w:szCs w:val="17"/>
                <w:color w:val="auto"/>
              </w:rPr>
              <w:t>Revenues from transactions with</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140"/>
              <w:spacing w:after="0"/>
              <w:rPr>
                <w:sz w:val="20"/>
                <w:szCs w:val="20"/>
                <w:color w:val="auto"/>
              </w:rPr>
            </w:pPr>
            <w:r>
              <w:rPr>
                <w:rFonts w:ascii="Arial" w:cs="Arial" w:eastAsia="Arial" w:hAnsi="Arial"/>
                <w:sz w:val="17"/>
                <w:szCs w:val="17"/>
                <w:color w:val="auto"/>
              </w:rPr>
              <w:t>franchisees and unconsolidated affiliates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448</w:t>
            </w:r>
          </w:p>
        </w:tc>
        <w:tc>
          <w:tcPr>
            <w:tcW w:w="0" w:type="dxa"/>
            <w:vAlign w:val="bottom"/>
          </w:tcPr>
          <w:p>
            <w:pPr>
              <w:spacing w:after="0"/>
              <w:rPr>
                <w:sz w:val="1"/>
                <w:szCs w:val="1"/>
                <w:color w:val="auto"/>
              </w:rPr>
            </w:pPr>
          </w:p>
        </w:tc>
      </w:tr>
      <w:tr>
        <w:trPr>
          <w:trHeight w:val="221"/>
        </w:trPr>
        <w:tc>
          <w:tcPr>
            <w:tcW w:w="3860" w:type="dxa"/>
            <w:vAlign w:val="bottom"/>
          </w:tcPr>
          <w:p>
            <w:pPr>
              <w:spacing w:after="0"/>
              <w:rPr>
                <w:sz w:val="20"/>
                <w:szCs w:val="20"/>
                <w:color w:val="auto"/>
              </w:rPr>
            </w:pPr>
            <w:r>
              <w:rPr>
                <w:rFonts w:ascii="Arial" w:cs="Arial" w:eastAsia="Arial" w:hAnsi="Arial"/>
                <w:sz w:val="17"/>
                <w:szCs w:val="17"/>
                <w:color w:val="auto"/>
              </w:rPr>
              <w:t>Other revenues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4"/>
        </w:trPr>
        <w:tc>
          <w:tcPr>
            <w:tcW w:w="3860" w:type="dxa"/>
            <w:vAlign w:val="bottom"/>
          </w:tcPr>
          <w:p>
            <w:pPr>
              <w:spacing w:after="0"/>
              <w:rPr>
                <w:sz w:val="20"/>
                <w:szCs w:val="20"/>
                <w:color w:val="auto"/>
              </w:rPr>
            </w:pPr>
            <w:r>
              <w:rPr>
                <w:rFonts w:ascii="Arial" w:cs="Arial" w:eastAsia="Arial" w:hAnsi="Arial"/>
                <w:sz w:val="17"/>
                <w:szCs w:val="17"/>
                <w:color w:val="auto"/>
              </w:rPr>
              <w:t>Total revenues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3,858</w:t>
            </w:r>
          </w:p>
        </w:tc>
        <w:tc>
          <w:tcPr>
            <w:tcW w:w="540" w:type="dxa"/>
            <w:vAlign w:val="bottom"/>
            <w:gridSpan w:val="3"/>
          </w:tcPr>
          <w:p>
            <w:pPr>
              <w:jc w:val="right"/>
              <w:ind w:right="15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4"/>
              <w:spacing w:after="0"/>
              <w:rPr>
                <w:sz w:val="20"/>
                <w:szCs w:val="20"/>
                <w:color w:val="auto"/>
              </w:rPr>
            </w:pPr>
            <w:r>
              <w:rPr>
                <w:rFonts w:ascii="Arial" w:cs="Arial" w:eastAsia="Arial" w:hAnsi="Arial"/>
                <w:sz w:val="17"/>
                <w:szCs w:val="17"/>
                <w:color w:val="auto"/>
                <w:w w:val="98"/>
              </w:rPr>
              <w:t>1,595</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7"/>
                <w:szCs w:val="17"/>
                <w:color w:val="auto"/>
              </w:rPr>
              <w:t>62</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60" w:type="dxa"/>
            <w:vAlign w:val="bottom"/>
          </w:tcPr>
          <w:p>
            <w:pPr>
              <w:spacing w:after="0"/>
              <w:rPr>
                <w:sz w:val="18"/>
                <w:szCs w:val="18"/>
                <w:color w:val="auto"/>
              </w:rPr>
            </w:pPr>
          </w:p>
        </w:tc>
        <w:tc>
          <w:tcPr>
            <w:tcW w:w="880" w:type="dxa"/>
            <w:vAlign w:val="bottom"/>
          </w:tcPr>
          <w:p>
            <w:pPr>
              <w:jc w:val="right"/>
              <w:ind w:right="34"/>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Accounts Receivable</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Accounts receivable mainly consist of trade receivables and royalties from franchisees and unconsolidated affiliates, and are generally due within 30 days of the period in which the corresponding sales occur and are classified as Accounts receivable on the Condensed Consolidated Balance Sheets. Our provision for uncollectible receivable balances is based upon pre-defined aging criteria or upon the occurrence of other events that indicate that we may not collect the balance due. Additionally, we monitor the financial condition of our franchisees and record provisions for estimated losses on receivables when we believe it probable that our franchisees will be unable to make their required payments. While we use the best information available in making our determination, the ultimate recovery of recorded receivables is also dependent upon future economic events and other conditions that may be beyond our control. Trade receivables that are ultimately deemed to be uncollectible, and for which collection efforts have been exhausted, are written off against the allowance for doubtful accounts.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Costs to Obtain Contracts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Costs to obtain contracts represent the portion of upfront license fees that we paid to YUM prior to the separation in relation to initial fees or renewal fees we received from franchisees and unconsolidated affiliates. They meet the requirements to be capitalized as the Company expects to generate future economic benefits from such costs incurred, which allow us to enter into franchise agreements and collect fees. Such costs to obtain contracts are included in Other assets on the Condensed Consolidated Balance Sheets and are amortized over the term of the franchise agreement. Subsequent to the separation, we are no longer required to pay YUM any upfront fees that we receive from franchisees and unconsolidated affiliates. The Company did not incur any impairment losses related to costs to obtain contracts during any of the periods presented. Costs to obtain contracts were $9 million and $12 million at September 30, 2018 and December 31, 2017,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gridSpan w:val="2"/>
          </w:tcPr>
          <w:p>
            <w:pPr>
              <w:spacing w:after="0"/>
              <w:rPr>
                <w:sz w:val="20"/>
                <w:szCs w:val="20"/>
                <w:color w:val="auto"/>
              </w:rPr>
            </w:pPr>
            <w:r>
              <w:rPr>
                <w:rFonts w:ascii="Arial" w:cs="Arial" w:eastAsia="Arial" w:hAnsi="Arial"/>
                <w:sz w:val="17"/>
                <w:szCs w:val="17"/>
                <w:color w:val="auto"/>
              </w:rPr>
              <w:t>Contract Liabilities</w:t>
            </w: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34"/>
        </w:trPr>
        <w:tc>
          <w:tcPr>
            <w:tcW w:w="6780" w:type="dxa"/>
            <w:vAlign w:val="bottom"/>
            <w:gridSpan w:val="2"/>
          </w:tcPr>
          <w:p>
            <w:pPr>
              <w:spacing w:after="0"/>
              <w:rPr>
                <w:sz w:val="20"/>
                <w:szCs w:val="20"/>
                <w:color w:val="auto"/>
              </w:rPr>
            </w:pPr>
            <w:r>
              <w:rPr>
                <w:rFonts w:ascii="Arial" w:cs="Arial" w:eastAsia="Arial" w:hAnsi="Arial"/>
                <w:sz w:val="17"/>
                <w:szCs w:val="17"/>
                <w:color w:val="auto"/>
              </w:rPr>
              <w:t>Contract liabilities at September 30, 2018 and December 31, 2017 were as follows:</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54"/>
        </w:trPr>
        <w:tc>
          <w:tcPr>
            <w:tcW w:w="6780" w:type="dxa"/>
            <w:vAlign w:val="bottom"/>
            <w:gridSpan w:val="2"/>
          </w:tcPr>
          <w:p>
            <w:pPr>
              <w:spacing w:after="0"/>
              <w:rPr>
                <w:sz w:val="20"/>
                <w:szCs w:val="20"/>
                <w:color w:val="auto"/>
              </w:rPr>
            </w:pPr>
            <w:r>
              <w:rPr>
                <w:rFonts w:ascii="Arial" w:cs="Arial" w:eastAsia="Arial" w:hAnsi="Arial"/>
                <w:sz w:val="17"/>
                <w:szCs w:val="17"/>
                <w:color w:val="auto"/>
              </w:rPr>
              <w:t>Contract liabilities</w:t>
            </w:r>
          </w:p>
        </w:tc>
        <w:tc>
          <w:tcPr>
            <w:tcW w:w="1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color w:val="auto"/>
              </w:rPr>
              <w:t>12/31/2017</w:t>
            </w:r>
          </w:p>
        </w:tc>
      </w:tr>
      <w:tr>
        <w:trPr>
          <w:trHeight w:val="214"/>
        </w:trPr>
        <w:tc>
          <w:tcPr>
            <w:tcW w:w="6780" w:type="dxa"/>
            <w:vAlign w:val="bottom"/>
            <w:gridSpan w:val="2"/>
          </w:tcPr>
          <w:p>
            <w:pPr>
              <w:ind w:left="120"/>
              <w:spacing w:after="0"/>
              <w:rPr>
                <w:sz w:val="20"/>
                <w:szCs w:val="20"/>
                <w:color w:val="auto"/>
              </w:rPr>
            </w:pPr>
            <w:r>
              <w:rPr>
                <w:rFonts w:ascii="Arial" w:cs="Arial" w:eastAsia="Arial" w:hAnsi="Arial"/>
                <w:sz w:val="17"/>
                <w:szCs w:val="17"/>
                <w:color w:val="auto"/>
              </w:rPr>
              <w:t>- Deferred revenue related to prepaid stored-value products</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50</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50</w:t>
            </w:r>
          </w:p>
        </w:tc>
      </w:tr>
      <w:tr>
        <w:trPr>
          <w:trHeight w:val="234"/>
        </w:trPr>
        <w:tc>
          <w:tcPr>
            <w:tcW w:w="6780" w:type="dxa"/>
            <w:vAlign w:val="bottom"/>
            <w:gridSpan w:val="2"/>
          </w:tcPr>
          <w:p>
            <w:pPr>
              <w:ind w:left="120"/>
              <w:spacing w:after="0"/>
              <w:rPr>
                <w:sz w:val="20"/>
                <w:szCs w:val="20"/>
                <w:color w:val="auto"/>
              </w:rPr>
            </w:pPr>
            <w:r>
              <w:rPr>
                <w:rFonts w:ascii="Arial" w:cs="Arial" w:eastAsia="Arial" w:hAnsi="Arial"/>
                <w:sz w:val="17"/>
                <w:szCs w:val="17"/>
                <w:color w:val="auto"/>
              </w:rPr>
              <w:t>- Deferred revenue related to customer loyalty programs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16</w:t>
            </w:r>
          </w:p>
        </w:tc>
      </w:tr>
      <w:tr>
        <w:trPr>
          <w:trHeight w:val="234"/>
        </w:trPr>
        <w:tc>
          <w:tcPr>
            <w:tcW w:w="6780" w:type="dxa"/>
            <w:vAlign w:val="bottom"/>
            <w:gridSpan w:val="2"/>
          </w:tcPr>
          <w:p>
            <w:pPr>
              <w:ind w:left="120"/>
              <w:spacing w:after="0"/>
              <w:rPr>
                <w:sz w:val="20"/>
                <w:szCs w:val="20"/>
                <w:color w:val="auto"/>
              </w:rPr>
            </w:pPr>
            <w:r>
              <w:rPr>
                <w:rFonts w:ascii="Arial" w:cs="Arial" w:eastAsia="Arial" w:hAnsi="Arial"/>
                <w:sz w:val="17"/>
                <w:szCs w:val="17"/>
                <w:color w:val="auto"/>
              </w:rPr>
              <w:t>- Deferred revenue related to upfront fees</w:t>
            </w: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39</w:t>
            </w:r>
          </w:p>
        </w:tc>
      </w:tr>
      <w:tr>
        <w:trPr>
          <w:trHeight w:val="227"/>
        </w:trPr>
        <w:tc>
          <w:tcPr>
            <w:tcW w:w="6780" w:type="dxa"/>
            <w:vAlign w:val="bottom"/>
            <w:gridSpan w:val="2"/>
          </w:tcPr>
          <w:p>
            <w:pPr>
              <w:spacing w:after="0"/>
              <w:rPr>
                <w:sz w:val="20"/>
                <w:szCs w:val="20"/>
                <w:color w:val="auto"/>
              </w:rPr>
            </w:pPr>
            <w:r>
              <w:rPr>
                <w:rFonts w:ascii="Arial" w:cs="Arial" w:eastAsia="Arial" w:hAnsi="Arial"/>
                <w:sz w:val="17"/>
                <w:szCs w:val="17"/>
                <w:color w:val="auto"/>
              </w:rPr>
              <w:t>Total</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105</w:t>
            </w:r>
          </w:p>
        </w:tc>
        <w:tc>
          <w:tcPr>
            <w:tcW w:w="16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105</w:t>
            </w:r>
          </w:p>
        </w:tc>
      </w:tr>
      <w:tr>
        <w:trPr>
          <w:trHeight w:val="20"/>
        </w:trPr>
        <w:tc>
          <w:tcPr>
            <w:tcW w:w="13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Contract liabilities consist of deferred revenue related to prepaid stored-value products, customer loyalty programs and upfront fees. Deferred revenue related to prepaid stored-value products and customer loyalty programs is included in Accounts payable and other current liabilities on the Condensed Consolidated Balance Sheets. Deferred revenue related to upfront fees that we expect to recognize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1" w:name="page12"/>
    <w:bookmarkEnd w:id="11"/>
    <w:p>
      <w:pPr>
        <w:jc w:val="both"/>
        <w:spacing w:after="0" w:line="265" w:lineRule="auto"/>
        <w:rPr>
          <w:sz w:val="20"/>
          <w:szCs w:val="20"/>
          <w:color w:val="auto"/>
        </w:rPr>
      </w:pPr>
      <w:r>
        <w:rPr>
          <w:rFonts w:ascii="Arial" w:cs="Arial" w:eastAsia="Arial" w:hAnsi="Arial"/>
          <w:sz w:val="17"/>
          <w:szCs w:val="17"/>
          <w:color w:val="auto"/>
        </w:rPr>
        <w:t>as revenue in the next 12 months is included in Accounts payable and other current liabilities, and the remaining balance is included in Other liabilities on the Condensed Consolidated Balance Sheets. Revenue recognized in the quarter and year to date ended September 30, 2018 that was included in the contract liability balance at the beginning of each period amounted to $21 million and $39 million, respectively. Changes in contract liability balances were not materially impacted by business acquisition, change in estimate of transaction price or any other factors during any of the periods presented.</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has elected, as a practical expedient, not to disclose the value of remaining performance obligations associated with sales-based royalty promised to franchisees in exchange for franchise right and other related services. The remaining duration of the performance obligation is the remaining contractual term of each franchise agreement. We recognize continuing franchisee fees and revenues from advertising services and other services provided to franchisees and unconsolidated affiliates based on certain percentage of sales, as those sales occur.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 Earnings Per Common Share (“EPS”)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components of basic and diluted EPS (in millions, except for per 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5"/>
          </w:tcPr>
          <w:p>
            <w:pPr>
              <w:ind w:left="640"/>
              <w:spacing w:after="0"/>
              <w:rPr>
                <w:sz w:val="20"/>
                <w:szCs w:val="20"/>
                <w:color w:val="auto"/>
              </w:rPr>
            </w:pPr>
            <w:r>
              <w:rPr>
                <w:rFonts w:ascii="Arial" w:cs="Arial" w:eastAsia="Arial" w:hAnsi="Arial"/>
                <w:sz w:val="17"/>
                <w:szCs w:val="17"/>
                <w:color w:val="auto"/>
              </w:rPr>
              <w:t>Quarter Ended</w:t>
            </w:r>
          </w:p>
        </w:tc>
        <w:tc>
          <w:tcPr>
            <w:tcW w:w="180" w:type="dxa"/>
            <w:vAlign w:val="bottom"/>
          </w:tcPr>
          <w:p>
            <w:pPr>
              <w:spacing w:after="0"/>
              <w:rPr>
                <w:sz w:val="19"/>
                <w:szCs w:val="19"/>
                <w:color w:val="auto"/>
              </w:rPr>
            </w:pPr>
          </w:p>
        </w:tc>
        <w:tc>
          <w:tcPr>
            <w:tcW w:w="2560" w:type="dxa"/>
            <w:vAlign w:val="bottom"/>
            <w:gridSpan w:val="5"/>
          </w:tcPr>
          <w:p>
            <w:pPr>
              <w:jc w:val="right"/>
              <w:ind w:right="614"/>
              <w:spacing w:after="0"/>
              <w:rPr>
                <w:sz w:val="20"/>
                <w:szCs w:val="20"/>
                <w:color w:val="auto"/>
              </w:rPr>
            </w:pPr>
            <w:r>
              <w:rPr>
                <w:rFonts w:ascii="Arial" w:cs="Arial" w:eastAsia="Arial" w:hAnsi="Arial"/>
                <w:sz w:val="17"/>
                <w:szCs w:val="17"/>
                <w:color w:val="auto"/>
              </w:rPr>
              <w:t>Year to Date Ended</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9/30/2018</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9/30/2017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9/30/2018</w:t>
            </w: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rPr>
              <w:t>9/30/2017</w:t>
            </w:r>
          </w:p>
        </w:tc>
        <w:tc>
          <w:tcPr>
            <w:tcW w:w="0" w:type="dxa"/>
            <w:vAlign w:val="bottom"/>
          </w:tcPr>
          <w:p>
            <w:pPr>
              <w:spacing w:after="0"/>
              <w:rPr>
                <w:sz w:val="1"/>
                <w:szCs w:val="1"/>
                <w:color w:val="auto"/>
              </w:rPr>
            </w:pPr>
          </w:p>
        </w:tc>
      </w:tr>
      <w:tr>
        <w:trPr>
          <w:trHeight w:val="214"/>
        </w:trPr>
        <w:tc>
          <w:tcPr>
            <w:tcW w:w="5840" w:type="dxa"/>
            <w:vAlign w:val="bottom"/>
          </w:tcPr>
          <w:p>
            <w:pPr>
              <w:spacing w:after="0"/>
              <w:rPr>
                <w:sz w:val="20"/>
                <w:szCs w:val="20"/>
                <w:color w:val="auto"/>
              </w:rPr>
            </w:pPr>
            <w:r>
              <w:rPr>
                <w:rFonts w:ascii="Arial" w:cs="Arial" w:eastAsia="Arial" w:hAnsi="Arial"/>
                <w:sz w:val="17"/>
                <w:szCs w:val="17"/>
                <w:color w:val="auto"/>
              </w:rPr>
              <w:t>Net Income – Yum China Holdings, Inc.</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203</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634</w:t>
            </w:r>
          </w:p>
        </w:tc>
        <w:tc>
          <w:tcPr>
            <w:tcW w:w="3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7"/>
                <w:szCs w:val="17"/>
                <w:color w:val="auto"/>
              </w:rPr>
              <w:t>Weighted-average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40" w:type="dxa"/>
            <w:vAlign w:val="bottom"/>
          </w:tcPr>
          <w:p>
            <w:pPr>
              <w:ind w:left="140"/>
              <w:spacing w:after="0"/>
              <w:rPr>
                <w:sz w:val="20"/>
                <w:szCs w:val="20"/>
                <w:color w:val="auto"/>
              </w:rPr>
            </w:pPr>
            <w:r>
              <w:rPr>
                <w:rFonts w:ascii="Arial" w:cs="Arial" w:eastAsia="Arial" w:hAnsi="Arial"/>
                <w:sz w:val="17"/>
                <w:szCs w:val="17"/>
                <w:color w:val="auto"/>
              </w:rPr>
              <w:t xml:space="preserve">(for basic calculation) </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384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386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 xml:space="preserve">Effect of dilutive share-based employee compensation </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 xml:space="preserve">Effect of dilutive warrants </w:t>
            </w:r>
            <w:r>
              <w:rPr>
                <w:rFonts w:ascii="Arial" w:cs="Arial" w:eastAsia="Arial" w:hAnsi="Arial"/>
                <w:sz w:val="14"/>
                <w:szCs w:val="14"/>
                <w:color w:val="auto"/>
              </w:rPr>
              <w:t>(b)</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840" w:type="dxa"/>
            <w:vAlign w:val="bottom"/>
          </w:tcPr>
          <w:p>
            <w:pPr>
              <w:spacing w:after="0"/>
              <w:rPr>
                <w:sz w:val="20"/>
                <w:szCs w:val="20"/>
                <w:color w:val="auto"/>
              </w:rPr>
            </w:pPr>
            <w:r>
              <w:rPr>
                <w:rFonts w:ascii="Arial" w:cs="Arial" w:eastAsia="Arial" w:hAnsi="Arial"/>
                <w:sz w:val="17"/>
                <w:szCs w:val="17"/>
                <w:color w:val="auto"/>
              </w:rPr>
              <w:t>Weighted-average common and dilutive potential</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40" w:type="dxa"/>
            <w:vAlign w:val="bottom"/>
          </w:tcPr>
          <w:p>
            <w:pPr>
              <w:ind w:left="140"/>
              <w:spacing w:after="0"/>
              <w:rPr>
                <w:sz w:val="20"/>
                <w:szCs w:val="20"/>
                <w:color w:val="auto"/>
              </w:rPr>
            </w:pPr>
            <w:r>
              <w:rPr>
                <w:rFonts w:ascii="Arial" w:cs="Arial" w:eastAsia="Arial" w:hAnsi="Arial"/>
                <w:sz w:val="17"/>
                <w:szCs w:val="17"/>
                <w:color w:val="auto"/>
              </w:rPr>
              <w:t>common shares outstanding (for diluted calculation)</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394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398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397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7"/>
                <w:szCs w:val="17"/>
                <w:color w:val="auto"/>
              </w:rPr>
              <w:t>Basic Earnings Per Common Share</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4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0.53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0.46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1.64</w:t>
            </w:r>
          </w:p>
        </w:tc>
        <w:tc>
          <w:tcPr>
            <w:tcW w:w="10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7"/>
                <w:szCs w:val="17"/>
                <w:color w:val="auto"/>
              </w:rPr>
              <w:t>Diluted Earnings Per Common Share</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40" w:type="dxa"/>
            <w:vAlign w:val="bottom"/>
            <w:vMerge w:val="continue"/>
          </w:tcPr>
          <w:p>
            <w:pPr>
              <w:spacing w:after="0"/>
              <w:rPr>
                <w:sz w:val="17"/>
                <w:szCs w:val="17"/>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0.51</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0.44</w:t>
            </w:r>
          </w:p>
        </w:tc>
        <w:tc>
          <w:tcPr>
            <w:tcW w:w="12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14"/>
              <w:spacing w:after="0"/>
              <w:rPr>
                <w:sz w:val="20"/>
                <w:szCs w:val="20"/>
                <w:color w:val="auto"/>
              </w:rPr>
            </w:pPr>
            <w:r>
              <w:rPr>
                <w:rFonts w:ascii="Arial" w:cs="Arial" w:eastAsia="Arial" w:hAnsi="Arial"/>
                <w:sz w:val="17"/>
                <w:szCs w:val="17"/>
                <w:color w:val="auto"/>
              </w:rPr>
              <w:t>1.59</w:t>
            </w:r>
          </w:p>
        </w:tc>
        <w:tc>
          <w:tcPr>
            <w:tcW w:w="300" w:type="dxa"/>
            <w:vAlign w:val="bottom"/>
            <w:gridSpan w:val="3"/>
          </w:tcPr>
          <w:p>
            <w:pPr>
              <w:jc w:val="right"/>
              <w:ind w:right="10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14"/>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7"/>
                <w:szCs w:val="17"/>
                <w:color w:val="auto"/>
              </w:rPr>
              <w:t>Employee stock options, stock appreciation rights and warrants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840" w:type="dxa"/>
            <w:vAlign w:val="bottom"/>
          </w:tcPr>
          <w:p>
            <w:pPr>
              <w:ind w:left="180"/>
              <w:spacing w:after="0"/>
              <w:rPr>
                <w:sz w:val="20"/>
                <w:szCs w:val="20"/>
                <w:color w:val="auto"/>
              </w:rPr>
            </w:pPr>
            <w:r>
              <w:rPr>
                <w:rFonts w:ascii="Arial" w:cs="Arial" w:eastAsia="Arial" w:hAnsi="Arial"/>
                <w:sz w:val="17"/>
                <w:szCs w:val="17"/>
                <w:color w:val="auto"/>
              </w:rPr>
              <w:t xml:space="preserve">excluded from the diluted EPS computation </w:t>
            </w:r>
            <w:r>
              <w:rPr>
                <w:rFonts w:ascii="Arial" w:cs="Arial" w:eastAsia="Arial" w:hAnsi="Arial"/>
                <w:sz w:val="14"/>
                <w:szCs w:val="14"/>
                <w:color w:val="auto"/>
              </w:rPr>
              <w:t>(c)</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520" w:hanging="516"/>
        <w:spacing w:after="0" w:line="262"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 result of the separation, shares of Yum China common stock were distributed to YUM’s shareholders of record as of October 19, 2016 and included in the calculated weighted-average common shares outstanding. Holders of outstanding YUM equity awards generally received both adjusted YUM awards and Yum China awards, or adjusted awards on shares of common stock of either YUM or Yum China in their entirety. Any subsequent exercise of these awards, whether held by the Company’s employees or YUM’s employees, would increase the number of common shares outstanding. The outstanding equity awards are included in the computation of diluted EPS, if there is dilutive effect.</w:t>
      </w:r>
    </w:p>
    <w:p>
      <w:pPr>
        <w:spacing w:after="0" w:line="217" w:lineRule="exact"/>
        <w:rPr>
          <w:rFonts w:ascii="Arial" w:cs="Arial" w:eastAsia="Arial" w:hAnsi="Arial"/>
          <w:sz w:val="17"/>
          <w:szCs w:val="17"/>
          <w:color w:val="auto"/>
        </w:rPr>
      </w:pPr>
    </w:p>
    <w:p>
      <w:pPr>
        <w:jc w:val="both"/>
        <w:ind w:left="520" w:hanging="516"/>
        <w:spacing w:after="0" w:line="262"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Pursuant to the investment agreements dated September 1, 2016, Yum China issued to strategic investors two tranches of warrants on January 9, 2017, with each tranche providing the right to purchase 8,200,405 shares of Yum China common stock, at an exercise price of $31.40 and $39.25 per share, respectively, subject to customary anti-dilution adjustments. The warrants may be exercised at any time through October 31, 2021. The outstanding warrants are included in the computation of diluted EPS, if there is dilutive effect when the average market price of Yum China common stock for the period exceeds the exercise price of the warrants.</w:t>
      </w:r>
    </w:p>
    <w:p>
      <w:pPr>
        <w:spacing w:after="0" w:line="204" w:lineRule="exact"/>
        <w:rPr>
          <w:rFonts w:ascii="Arial" w:cs="Arial" w:eastAsia="Arial" w:hAnsi="Arial"/>
          <w:sz w:val="17"/>
          <w:szCs w:val="17"/>
          <w:color w:val="auto"/>
        </w:rPr>
      </w:pPr>
    </w:p>
    <w:p>
      <w:pPr>
        <w:ind w:left="520" w:hanging="516"/>
        <w:spacing w:after="0" w:line="285" w:lineRule="auto"/>
        <w:tabs>
          <w:tab w:leader="none" w:pos="5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These outstanding employee stock options, stock appreciation rights and warrants were not included in the computation of diluted EPS because to do so would have been antidilutive for the quarters and years to date presented.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Note 5 – Equity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Equity and Redeemable Noncontrolling Interest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8"/>
          </w:tcPr>
          <w:p>
            <w:pPr>
              <w:ind w:left="560"/>
              <w:spacing w:after="0"/>
              <w:rPr>
                <w:sz w:val="20"/>
                <w:szCs w:val="20"/>
                <w:color w:val="auto"/>
              </w:rPr>
            </w:pPr>
            <w:r>
              <w:rPr>
                <w:rFonts w:ascii="Arial" w:cs="Arial" w:eastAsia="Arial" w:hAnsi="Arial"/>
                <w:sz w:val="12"/>
                <w:szCs w:val="12"/>
                <w:color w:val="auto"/>
              </w:rPr>
              <w:t>Yum China Holdings, Inc.</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2"/>
                <w:szCs w:val="12"/>
                <w:color w:val="auto"/>
                <w:w w:val="92"/>
              </w:rPr>
              <w:t>Accumulated</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3"/>
          </w:tcPr>
          <w:p>
            <w:pPr>
              <w:jc w:val="right"/>
              <w:ind w:right="206"/>
              <w:spacing w:after="0"/>
              <w:rPr>
                <w:sz w:val="20"/>
                <w:szCs w:val="20"/>
                <w:color w:val="auto"/>
              </w:rPr>
            </w:pPr>
            <w:r>
              <w:rPr>
                <w:rFonts w:ascii="Arial" w:cs="Arial" w:eastAsia="Arial" w:hAnsi="Arial"/>
                <w:sz w:val="12"/>
                <w:szCs w:val="12"/>
                <w:color w:val="auto"/>
                <w:w w:val="90"/>
              </w:rPr>
              <w:t>Common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2"/>
                <w:szCs w:val="12"/>
                <w:color w:val="auto"/>
                <w:w w:val="94"/>
              </w:rPr>
              <w:t>Additional</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2"/>
                <w:szCs w:val="12"/>
                <w:color w:val="auto"/>
                <w:w w:val="93"/>
              </w:rPr>
              <w:t>Other</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39"/>
              <w:spacing w:after="0"/>
              <w:rPr>
                <w:sz w:val="20"/>
                <w:szCs w:val="20"/>
                <w:color w:val="auto"/>
              </w:rPr>
            </w:pPr>
            <w:r>
              <w:rPr>
                <w:rFonts w:ascii="Arial" w:cs="Arial" w:eastAsia="Arial" w:hAnsi="Arial"/>
                <w:sz w:val="12"/>
                <w:szCs w:val="12"/>
                <w:color w:val="auto"/>
                <w:w w:val="88"/>
              </w:rPr>
              <w:t>Redeemable</w:t>
            </w: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86"/>
              <w:spacing w:after="0"/>
              <w:rPr>
                <w:sz w:val="20"/>
                <w:szCs w:val="20"/>
                <w:color w:val="auto"/>
              </w:rPr>
            </w:pPr>
            <w:r>
              <w:rPr>
                <w:rFonts w:ascii="Arial" w:cs="Arial" w:eastAsia="Arial" w:hAnsi="Arial"/>
                <w:sz w:val="12"/>
                <w:szCs w:val="12"/>
                <w:color w:val="auto"/>
                <w:w w:val="86"/>
              </w:rPr>
              <w:t>Stock</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Paid-in</w:t>
            </w:r>
          </w:p>
        </w:tc>
        <w:tc>
          <w:tcPr>
            <w:tcW w:w="100" w:type="dxa"/>
            <w:vAlign w:val="bottom"/>
          </w:tcPr>
          <w:p>
            <w:pPr>
              <w:spacing w:after="0"/>
              <w:rPr>
                <w:sz w:val="12"/>
                <w:szCs w:val="12"/>
                <w:color w:val="auto"/>
              </w:rPr>
            </w:pPr>
          </w:p>
        </w:tc>
        <w:tc>
          <w:tcPr>
            <w:tcW w:w="680" w:type="dxa"/>
            <w:vAlign w:val="bottom"/>
          </w:tcPr>
          <w:p>
            <w:pPr>
              <w:jc w:val="right"/>
              <w:ind w:right="159"/>
              <w:spacing w:after="0"/>
              <w:rPr>
                <w:sz w:val="20"/>
                <w:szCs w:val="20"/>
                <w:color w:val="auto"/>
              </w:rPr>
            </w:pPr>
            <w:r>
              <w:rPr>
                <w:rFonts w:ascii="Arial" w:cs="Arial" w:eastAsia="Arial" w:hAnsi="Arial"/>
                <w:sz w:val="12"/>
                <w:szCs w:val="12"/>
                <w:color w:val="auto"/>
                <w:w w:val="91"/>
              </w:rPr>
              <w:t>Retained</w:t>
            </w:r>
          </w:p>
        </w:tc>
        <w:tc>
          <w:tcPr>
            <w:tcW w:w="100" w:type="dxa"/>
            <w:vAlign w:val="bottom"/>
          </w:tcPr>
          <w:p>
            <w:pPr>
              <w:spacing w:after="0"/>
              <w:rPr>
                <w:sz w:val="12"/>
                <w:szCs w:val="12"/>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2"/>
                <w:szCs w:val="12"/>
                <w:color w:val="auto"/>
                <w:w w:val="90"/>
              </w:rPr>
              <w:t>Comprehensive</w:t>
            </w:r>
          </w:p>
        </w:tc>
        <w:tc>
          <w:tcPr>
            <w:tcW w:w="1340" w:type="dxa"/>
            <w:vAlign w:val="bottom"/>
            <w:tcBorders>
              <w:bottom w:val="single" w:sz="8" w:color="auto"/>
            </w:tcBorders>
            <w:gridSpan w:val="4"/>
          </w:tcPr>
          <w:p>
            <w:pPr>
              <w:ind w:left="240"/>
              <w:spacing w:after="0"/>
              <w:rPr>
                <w:sz w:val="20"/>
                <w:szCs w:val="20"/>
                <w:color w:val="auto"/>
              </w:rPr>
            </w:pPr>
            <w:r>
              <w:rPr>
                <w:rFonts w:ascii="Arial" w:cs="Arial" w:eastAsia="Arial" w:hAnsi="Arial"/>
                <w:sz w:val="12"/>
                <w:szCs w:val="12"/>
                <w:color w:val="auto"/>
              </w:rPr>
              <w:t>Treasury Stock</w:t>
            </w:r>
          </w:p>
        </w:tc>
        <w:tc>
          <w:tcPr>
            <w:tcW w:w="960" w:type="dxa"/>
            <w:vAlign w:val="bottom"/>
            <w:gridSpan w:val="3"/>
          </w:tcPr>
          <w:p>
            <w:pPr>
              <w:ind w:left="100"/>
              <w:spacing w:after="0"/>
              <w:rPr>
                <w:sz w:val="20"/>
                <w:szCs w:val="20"/>
                <w:color w:val="auto"/>
              </w:rPr>
            </w:pPr>
            <w:r>
              <w:rPr>
                <w:rFonts w:ascii="Arial" w:cs="Arial" w:eastAsia="Arial" w:hAnsi="Arial"/>
                <w:sz w:val="12"/>
                <w:szCs w:val="12"/>
                <w:color w:val="auto"/>
              </w:rPr>
              <w:t>Noncontrolling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Total</w:t>
            </w:r>
          </w:p>
        </w:tc>
        <w:tc>
          <w:tcPr>
            <w:tcW w:w="900" w:type="dxa"/>
            <w:vAlign w:val="bottom"/>
            <w:gridSpan w:val="2"/>
          </w:tcPr>
          <w:p>
            <w:pPr>
              <w:ind w:left="20"/>
              <w:spacing w:after="0"/>
              <w:rPr>
                <w:sz w:val="20"/>
                <w:szCs w:val="20"/>
                <w:color w:val="auto"/>
              </w:rPr>
            </w:pPr>
            <w:r>
              <w:rPr>
                <w:rFonts w:ascii="Arial" w:cs="Arial" w:eastAsia="Arial" w:hAnsi="Arial"/>
                <w:sz w:val="12"/>
                <w:szCs w:val="12"/>
                <w:color w:val="auto"/>
              </w:rPr>
              <w:t>Noncontrolling</w:t>
            </w:r>
          </w:p>
        </w:tc>
        <w:tc>
          <w:tcPr>
            <w:tcW w:w="0" w:type="dxa"/>
            <w:vAlign w:val="bottom"/>
          </w:tcPr>
          <w:p>
            <w:pPr>
              <w:spacing w:after="0"/>
              <w:rPr>
                <w:sz w:val="1"/>
                <w:szCs w:val="1"/>
                <w:color w:val="auto"/>
              </w:rPr>
            </w:pPr>
          </w:p>
        </w:tc>
      </w:tr>
      <w:tr>
        <w:trPr>
          <w:trHeight w:val="136"/>
        </w:trPr>
        <w:tc>
          <w:tcPr>
            <w:tcW w:w="3100" w:type="dxa"/>
            <w:vAlign w:val="bottom"/>
            <w:vMerge w:val="restart"/>
          </w:tcPr>
          <w:p>
            <w:pPr>
              <w:spacing w:after="0"/>
              <w:rPr>
                <w:sz w:val="20"/>
                <w:szCs w:val="20"/>
                <w:color w:val="auto"/>
              </w:rPr>
            </w:pPr>
            <w:r>
              <w:rPr>
                <w:rFonts w:ascii="Arial" w:cs="Arial" w:eastAsia="Arial" w:hAnsi="Arial"/>
                <w:sz w:val="12"/>
                <w:szCs w:val="12"/>
                <w:b w:val="1"/>
                <w:bCs w:val="1"/>
                <w:color w:val="auto"/>
              </w:rPr>
              <w:t>Balance at December 31, 2017</w:t>
            </w:r>
          </w:p>
        </w:tc>
        <w:tc>
          <w:tcPr>
            <w:tcW w:w="360" w:type="dxa"/>
            <w:vAlign w:val="bottom"/>
          </w:tcPr>
          <w:p>
            <w:pPr>
              <w:jc w:val="right"/>
              <w:spacing w:after="0" w:line="136" w:lineRule="exact"/>
              <w:rPr>
                <w:sz w:val="20"/>
                <w:szCs w:val="20"/>
                <w:color w:val="auto"/>
              </w:rPr>
            </w:pPr>
            <w:r>
              <w:rPr>
                <w:rFonts w:ascii="Arial" w:cs="Arial" w:eastAsia="Arial" w:hAnsi="Arial"/>
                <w:sz w:val="12"/>
                <w:szCs w:val="12"/>
                <w:color w:val="auto"/>
                <w:w w:val="78"/>
              </w:rPr>
              <w:t>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6" w:lineRule="exact"/>
              <w:rPr>
                <w:sz w:val="20"/>
                <w:szCs w:val="20"/>
                <w:color w:val="auto"/>
              </w:rPr>
            </w:pPr>
            <w:r>
              <w:rPr>
                <w:rFonts w:ascii="Arial" w:cs="Arial" w:eastAsia="Arial" w:hAnsi="Arial"/>
                <w:sz w:val="12"/>
                <w:szCs w:val="12"/>
                <w:color w:val="auto"/>
              </w:rPr>
              <w:t>Amount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60"/>
              <w:spacing w:after="0" w:line="136" w:lineRule="exact"/>
              <w:rPr>
                <w:sz w:val="20"/>
                <w:szCs w:val="20"/>
                <w:color w:val="auto"/>
              </w:rPr>
            </w:pPr>
            <w:r>
              <w:rPr>
                <w:rFonts w:ascii="Arial" w:cs="Arial" w:eastAsia="Arial" w:hAnsi="Arial"/>
                <w:sz w:val="12"/>
                <w:szCs w:val="12"/>
                <w:color w:val="auto"/>
                <w:w w:val="90"/>
              </w:rPr>
              <w:t>Capital</w:t>
            </w:r>
          </w:p>
        </w:tc>
        <w:tc>
          <w:tcPr>
            <w:tcW w:w="100" w:type="dxa"/>
            <w:vAlign w:val="bottom"/>
          </w:tcPr>
          <w:p>
            <w:pPr>
              <w:spacing w:after="0"/>
              <w:rPr>
                <w:sz w:val="11"/>
                <w:szCs w:val="11"/>
                <w:color w:val="auto"/>
              </w:rPr>
            </w:pPr>
          </w:p>
        </w:tc>
        <w:tc>
          <w:tcPr>
            <w:tcW w:w="680" w:type="dxa"/>
            <w:vAlign w:val="bottom"/>
          </w:tcPr>
          <w:p>
            <w:pPr>
              <w:jc w:val="right"/>
              <w:ind w:right="159"/>
              <w:spacing w:after="0" w:line="136" w:lineRule="exact"/>
              <w:rPr>
                <w:sz w:val="20"/>
                <w:szCs w:val="20"/>
                <w:color w:val="auto"/>
              </w:rPr>
            </w:pPr>
            <w:r>
              <w:rPr>
                <w:rFonts w:ascii="Arial" w:cs="Arial" w:eastAsia="Arial" w:hAnsi="Arial"/>
                <w:sz w:val="12"/>
                <w:szCs w:val="12"/>
                <w:color w:val="auto"/>
                <w:w w:val="92"/>
              </w:rPr>
              <w:t>Earnings</w:t>
            </w:r>
          </w:p>
        </w:tc>
        <w:tc>
          <w:tcPr>
            <w:tcW w:w="100" w:type="dxa"/>
            <w:vAlign w:val="bottom"/>
          </w:tcPr>
          <w:p>
            <w:pPr>
              <w:spacing w:after="0"/>
              <w:rPr>
                <w:sz w:val="11"/>
                <w:szCs w:val="11"/>
                <w:color w:val="auto"/>
              </w:rPr>
            </w:pPr>
          </w:p>
        </w:tc>
        <w:tc>
          <w:tcPr>
            <w:tcW w:w="980" w:type="dxa"/>
            <w:vAlign w:val="bottom"/>
            <w:gridSpan w:val="3"/>
          </w:tcPr>
          <w:p>
            <w:pPr>
              <w:jc w:val="center"/>
              <w:ind w:right="200"/>
              <w:spacing w:after="0" w:line="136" w:lineRule="exact"/>
              <w:rPr>
                <w:sz w:val="20"/>
                <w:szCs w:val="20"/>
                <w:color w:val="auto"/>
              </w:rPr>
            </w:pPr>
            <w:r>
              <w:rPr>
                <w:rFonts w:ascii="Arial" w:cs="Arial" w:eastAsia="Arial" w:hAnsi="Arial"/>
                <w:sz w:val="12"/>
                <w:szCs w:val="12"/>
                <w:color w:val="auto"/>
                <w:w w:val="92"/>
              </w:rPr>
              <w:t>Income (Loss)</w:t>
            </w:r>
          </w:p>
        </w:tc>
        <w:tc>
          <w:tcPr>
            <w:tcW w:w="460" w:type="dxa"/>
            <w:vAlign w:val="bottom"/>
          </w:tcPr>
          <w:p>
            <w:pPr>
              <w:spacing w:after="0" w:line="136" w:lineRule="exact"/>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99"/>
              <w:spacing w:after="0" w:line="136" w:lineRule="exact"/>
              <w:rPr>
                <w:sz w:val="20"/>
                <w:szCs w:val="20"/>
                <w:color w:val="auto"/>
              </w:rPr>
            </w:pPr>
            <w:r>
              <w:rPr>
                <w:rFonts w:ascii="Arial" w:cs="Arial" w:eastAsia="Arial" w:hAnsi="Arial"/>
                <w:sz w:val="12"/>
                <w:szCs w:val="12"/>
                <w:color w:val="auto"/>
                <w:w w:val="96"/>
              </w:rPr>
              <w:t>Amount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219"/>
              <w:spacing w:after="0" w:line="136" w:lineRule="exact"/>
              <w:rPr>
                <w:sz w:val="20"/>
                <w:szCs w:val="20"/>
                <w:color w:val="auto"/>
              </w:rPr>
            </w:pPr>
            <w:r>
              <w:rPr>
                <w:rFonts w:ascii="Arial" w:cs="Arial" w:eastAsia="Arial" w:hAnsi="Arial"/>
                <w:sz w:val="12"/>
                <w:szCs w:val="12"/>
                <w:color w:val="auto"/>
                <w:w w:val="95"/>
              </w:rPr>
              <w:t>Interests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320"/>
              <w:spacing w:after="0" w:line="136" w:lineRule="exact"/>
              <w:rPr>
                <w:sz w:val="20"/>
                <w:szCs w:val="20"/>
                <w:color w:val="auto"/>
              </w:rPr>
            </w:pPr>
            <w:r>
              <w:rPr>
                <w:rFonts w:ascii="Arial" w:cs="Arial" w:eastAsia="Arial" w:hAnsi="Arial"/>
                <w:sz w:val="12"/>
                <w:szCs w:val="12"/>
                <w:color w:val="auto"/>
                <w:w w:val="95"/>
              </w:rPr>
              <w:t>Equity</w:t>
            </w:r>
          </w:p>
        </w:tc>
        <w:tc>
          <w:tcPr>
            <w:tcW w:w="80" w:type="dxa"/>
            <w:vAlign w:val="bottom"/>
          </w:tcPr>
          <w:p>
            <w:pPr>
              <w:spacing w:after="0"/>
              <w:rPr>
                <w:sz w:val="11"/>
                <w:szCs w:val="11"/>
                <w:color w:val="auto"/>
              </w:rPr>
            </w:pPr>
          </w:p>
        </w:tc>
        <w:tc>
          <w:tcPr>
            <w:tcW w:w="820" w:type="dxa"/>
            <w:vAlign w:val="bottom"/>
          </w:tcPr>
          <w:p>
            <w:pPr>
              <w:jc w:val="right"/>
              <w:ind w:right="259"/>
              <w:spacing w:after="0" w:line="136" w:lineRule="exact"/>
              <w:rPr>
                <w:sz w:val="20"/>
                <w:szCs w:val="20"/>
                <w:color w:val="auto"/>
              </w:rPr>
            </w:pPr>
            <w:r>
              <w:rPr>
                <w:rFonts w:ascii="Arial" w:cs="Arial" w:eastAsia="Arial" w:hAnsi="Arial"/>
                <w:sz w:val="12"/>
                <w:szCs w:val="12"/>
                <w:color w:val="auto"/>
              </w:rPr>
              <w:t>Interest</w:t>
            </w:r>
          </w:p>
        </w:tc>
        <w:tc>
          <w:tcPr>
            <w:tcW w:w="0" w:type="dxa"/>
            <w:vAlign w:val="bottom"/>
          </w:tcPr>
          <w:p>
            <w:pPr>
              <w:spacing w:after="0"/>
              <w:rPr>
                <w:sz w:val="1"/>
                <w:szCs w:val="1"/>
                <w:color w:val="auto"/>
              </w:rPr>
            </w:pPr>
          </w:p>
        </w:tc>
      </w:tr>
      <w:tr>
        <w:trPr>
          <w:trHeight w:val="135"/>
        </w:trPr>
        <w:tc>
          <w:tcPr>
            <w:tcW w:w="3100" w:type="dxa"/>
            <w:vAlign w:val="bottom"/>
            <w:vMerge w:val="continue"/>
          </w:tcPr>
          <w:p>
            <w:pPr>
              <w:spacing w:after="0"/>
              <w:rPr>
                <w:sz w:val="11"/>
                <w:szCs w:val="11"/>
                <w:color w:val="auto"/>
              </w:rPr>
            </w:pPr>
          </w:p>
        </w:tc>
        <w:tc>
          <w:tcPr>
            <w:tcW w:w="36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389</w:t>
            </w: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jc w:val="right"/>
              <w:ind w:right="406"/>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top w:val="single" w:sz="8" w:color="auto"/>
            </w:tcBorders>
          </w:tcPr>
          <w:p>
            <w:pPr>
              <w:jc w:val="right"/>
              <w:ind w:right="39"/>
              <w:spacing w:after="0" w:line="135" w:lineRule="exact"/>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tcPr>
          <w:p>
            <w:pPr>
              <w:jc w:val="right"/>
              <w:ind w:right="59"/>
              <w:spacing w:after="0" w:line="135" w:lineRule="exact"/>
              <w:rPr>
                <w:sz w:val="20"/>
                <w:szCs w:val="20"/>
                <w:color w:val="auto"/>
              </w:rPr>
            </w:pPr>
            <w:r>
              <w:rPr>
                <w:rFonts w:ascii="Arial" w:cs="Arial" w:eastAsia="Arial" w:hAnsi="Arial"/>
                <w:sz w:val="12"/>
                <w:szCs w:val="12"/>
                <w:b w:val="1"/>
                <w:bCs w:val="1"/>
                <w:color w:val="auto"/>
              </w:rPr>
              <w:t>2,375</w:t>
            </w:r>
          </w:p>
        </w:tc>
        <w:tc>
          <w:tcPr>
            <w:tcW w:w="80" w:type="dxa"/>
            <w:vAlign w:val="bottom"/>
          </w:tcPr>
          <w:p>
            <w:pPr>
              <w:spacing w:after="0"/>
              <w:rPr>
                <w:sz w:val="11"/>
                <w:szCs w:val="11"/>
                <w:color w:val="auto"/>
              </w:rPr>
            </w:pPr>
          </w:p>
        </w:tc>
        <w:tc>
          <w:tcPr>
            <w:tcW w:w="10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tcBorders>
          </w:tcPr>
          <w:p>
            <w:pPr>
              <w:jc w:val="right"/>
              <w:ind w:right="39"/>
              <w:spacing w:after="0" w:line="135" w:lineRule="exact"/>
              <w:rPr>
                <w:sz w:val="20"/>
                <w:szCs w:val="20"/>
                <w:color w:val="auto"/>
              </w:rPr>
            </w:pPr>
            <w:r>
              <w:rPr>
                <w:rFonts w:ascii="Arial" w:cs="Arial" w:eastAsia="Arial" w:hAnsi="Arial"/>
                <w:sz w:val="12"/>
                <w:szCs w:val="12"/>
                <w:b w:val="1"/>
                <w:bCs w:val="1"/>
                <w:color w:val="auto"/>
              </w:rPr>
              <w:t>397</w:t>
            </w:r>
          </w:p>
        </w:tc>
        <w:tc>
          <w:tcPr>
            <w:tcW w:w="10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ind w:right="59"/>
              <w:spacing w:after="0" w:line="135" w:lineRule="exact"/>
              <w:rPr>
                <w:sz w:val="20"/>
                <w:szCs w:val="20"/>
                <w:color w:val="auto"/>
              </w:rPr>
            </w:pPr>
            <w:r>
              <w:rPr>
                <w:rFonts w:ascii="Arial" w:cs="Arial" w:eastAsia="Arial" w:hAnsi="Arial"/>
                <w:sz w:val="12"/>
                <w:szCs w:val="12"/>
                <w:b w:val="1"/>
                <w:bCs w:val="1"/>
                <w:color w:val="auto"/>
              </w:rPr>
              <w:t>137</w:t>
            </w:r>
          </w:p>
        </w:tc>
        <w:tc>
          <w:tcPr>
            <w:tcW w:w="100" w:type="dxa"/>
            <w:vAlign w:val="bottom"/>
          </w:tcPr>
          <w:p>
            <w:pPr>
              <w:spacing w:after="0"/>
              <w:rPr>
                <w:sz w:val="11"/>
                <w:szCs w:val="11"/>
                <w:color w:val="auto"/>
              </w:rPr>
            </w:pPr>
          </w:p>
        </w:tc>
        <w:tc>
          <w:tcPr>
            <w:tcW w:w="460" w:type="dxa"/>
            <w:vAlign w:val="bottom"/>
            <w:tcBorders>
              <w:top w:val="single" w:sz="8" w:color="auto"/>
            </w:tcBorders>
          </w:tcPr>
          <w:p>
            <w:pPr>
              <w:ind w:left="240"/>
              <w:spacing w:after="0" w:line="135" w:lineRule="exact"/>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2"/>
                <w:szCs w:val="12"/>
                <w:b w:val="1"/>
                <w:bCs w:val="1"/>
                <w:color w:val="auto"/>
              </w:rPr>
              <w:t>(148)</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line="135" w:lineRule="exact"/>
              <w:rPr>
                <w:sz w:val="20"/>
                <w:szCs w:val="20"/>
                <w:color w:val="auto"/>
              </w:rPr>
            </w:pPr>
            <w:r>
              <w:rPr>
                <w:rFonts w:ascii="Arial" w:cs="Arial" w:eastAsia="Arial" w:hAnsi="Arial"/>
                <w:sz w:val="12"/>
                <w:szCs w:val="12"/>
                <w:b w:val="1"/>
                <w:bCs w:val="1"/>
                <w:color w:val="auto"/>
              </w:rPr>
              <w:t>$</w:t>
            </w:r>
          </w:p>
        </w:tc>
        <w:tc>
          <w:tcPr>
            <w:tcW w:w="740" w:type="dxa"/>
            <w:vAlign w:val="bottom"/>
            <w:tcBorders>
              <w:top w:val="single" w:sz="8" w:color="auto"/>
            </w:tcBorders>
          </w:tcPr>
          <w:p>
            <w:pPr>
              <w:jc w:val="right"/>
              <w:ind w:right="59"/>
              <w:spacing w:after="0" w:line="135" w:lineRule="exact"/>
              <w:rPr>
                <w:sz w:val="20"/>
                <w:szCs w:val="20"/>
                <w:color w:val="auto"/>
              </w:rPr>
            </w:pPr>
            <w:r>
              <w:rPr>
                <w:rFonts w:ascii="Arial" w:cs="Arial" w:eastAsia="Arial" w:hAnsi="Arial"/>
                <w:sz w:val="12"/>
                <w:szCs w:val="12"/>
                <w:b w:val="1"/>
                <w:bCs w:val="1"/>
                <w:color w:val="auto"/>
              </w:rPr>
              <w:t>77</w:t>
            </w:r>
          </w:p>
        </w:tc>
        <w:tc>
          <w:tcPr>
            <w:tcW w:w="100" w:type="dxa"/>
            <w:vAlign w:val="bottom"/>
          </w:tcPr>
          <w:p>
            <w:pPr>
              <w:spacing w:after="0"/>
              <w:rPr>
                <w:sz w:val="11"/>
                <w:szCs w:val="11"/>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ind w:right="59"/>
              <w:spacing w:after="0" w:line="135" w:lineRule="exact"/>
              <w:rPr>
                <w:sz w:val="20"/>
                <w:szCs w:val="20"/>
                <w:color w:val="auto"/>
              </w:rPr>
            </w:pPr>
            <w:r>
              <w:rPr>
                <w:rFonts w:ascii="Arial" w:cs="Arial" w:eastAsia="Arial" w:hAnsi="Arial"/>
                <w:sz w:val="12"/>
                <w:szCs w:val="12"/>
                <w:b w:val="1"/>
                <w:bCs w:val="1"/>
                <w:color w:val="auto"/>
              </w:rPr>
              <w:t>2,842</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line="135" w:lineRule="exact"/>
              <w:rPr>
                <w:sz w:val="20"/>
                <w:szCs w:val="20"/>
                <w:color w:val="auto"/>
              </w:rPr>
            </w:pPr>
            <w:r>
              <w:rPr>
                <w:rFonts w:ascii="Arial" w:cs="Arial" w:eastAsia="Arial" w:hAnsi="Arial"/>
                <w:sz w:val="12"/>
                <w:szCs w:val="12"/>
                <w:b w:val="1"/>
                <w:bCs w:val="1"/>
                <w:color w:val="auto"/>
                <w:w w:val="89"/>
              </w:rPr>
              <w:t>$</w:t>
            </w:r>
          </w:p>
        </w:tc>
        <w:tc>
          <w:tcPr>
            <w:tcW w:w="820" w:type="dxa"/>
            <w:vAlign w:val="bottom"/>
            <w:tcBorders>
              <w:top w:val="single" w:sz="8" w:color="auto"/>
            </w:tcBorders>
          </w:tcPr>
          <w:p>
            <w:pPr>
              <w:jc w:val="right"/>
              <w:ind w:right="59"/>
              <w:spacing w:after="0" w:line="135" w:lineRule="exact"/>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r>
        <w:trPr>
          <w:trHeight w:val="143"/>
        </w:trPr>
        <w:tc>
          <w:tcPr>
            <w:tcW w:w="3100" w:type="dxa"/>
            <w:vAlign w:val="bottom"/>
          </w:tcPr>
          <w:p>
            <w:pPr>
              <w:spacing w:after="0"/>
              <w:rPr>
                <w:sz w:val="20"/>
                <w:szCs w:val="20"/>
                <w:color w:val="auto"/>
              </w:rPr>
            </w:pPr>
            <w:r>
              <w:rPr>
                <w:rFonts w:ascii="Arial" w:cs="Arial" w:eastAsia="Arial" w:hAnsi="Arial"/>
                <w:sz w:val="12"/>
                <w:szCs w:val="12"/>
                <w:color w:val="auto"/>
              </w:rPr>
              <w:t>Net Income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9"/>
              <w:spacing w:after="0"/>
              <w:rPr>
                <w:sz w:val="20"/>
                <w:szCs w:val="20"/>
                <w:color w:val="auto"/>
              </w:rPr>
            </w:pPr>
            <w:r>
              <w:rPr>
                <w:rFonts w:ascii="Arial" w:cs="Arial" w:eastAsia="Arial" w:hAnsi="Arial"/>
                <w:sz w:val="12"/>
                <w:szCs w:val="12"/>
                <w:color w:val="auto"/>
              </w:rPr>
              <w:t>634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658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20"/>
                <w:szCs w:val="20"/>
                <w:color w:val="auto"/>
              </w:rPr>
            </w:pPr>
            <w:r>
              <w:rPr>
                <w:rFonts w:ascii="Arial" w:cs="Arial" w:eastAsia="Arial" w:hAnsi="Arial"/>
                <w:sz w:val="12"/>
                <w:szCs w:val="12"/>
                <w:color w:val="auto"/>
              </w:rPr>
              <w:t>Foreign currency translation adjustments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(151)</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2"/>
                <w:szCs w:val="12"/>
                <w:color w:val="auto"/>
              </w:rPr>
              <w:t>Comprehensive income</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59"/>
              <w:spacing w:after="0" w:line="135" w:lineRule="exact"/>
              <w:rPr>
                <w:sz w:val="20"/>
                <w:szCs w:val="20"/>
                <w:color w:val="auto"/>
              </w:rPr>
            </w:pPr>
            <w:r>
              <w:rPr>
                <w:rFonts w:ascii="Arial" w:cs="Arial" w:eastAsia="Arial" w:hAnsi="Arial"/>
                <w:sz w:val="12"/>
                <w:szCs w:val="12"/>
                <w:color w:val="auto"/>
              </w:rPr>
              <w:t>502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rPr>
                <w:sz w:val="20"/>
                <w:szCs w:val="20"/>
                <w:color w:val="auto"/>
              </w:rPr>
            </w:pPr>
            <w:r>
              <w:rPr>
                <w:rFonts w:ascii="Arial" w:cs="Arial" w:eastAsia="Arial" w:hAnsi="Arial"/>
                <w:sz w:val="12"/>
                <w:szCs w:val="12"/>
                <w:color w:val="auto"/>
              </w:rPr>
              <w:t>Acquisition of business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59"/>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59"/>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00" w:type="dxa"/>
            <w:vAlign w:val="bottom"/>
          </w:tcPr>
          <w:p>
            <w:pPr>
              <w:spacing w:after="0" w:line="130" w:lineRule="exact"/>
              <w:rPr>
                <w:sz w:val="20"/>
                <w:szCs w:val="20"/>
                <w:color w:val="auto"/>
              </w:rPr>
            </w:pPr>
            <w:r>
              <w:rPr>
                <w:rFonts w:ascii="Arial" w:cs="Arial" w:eastAsia="Arial" w:hAnsi="Arial"/>
                <w:sz w:val="12"/>
                <w:szCs w:val="12"/>
                <w:color w:val="auto"/>
              </w:rPr>
              <w:t>Cash dividends declared</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100" w:type="dxa"/>
            <w:vAlign w:val="bottom"/>
          </w:tcPr>
          <w:p>
            <w:pPr>
              <w:ind w:left="100"/>
              <w:spacing w:after="0"/>
              <w:rPr>
                <w:sz w:val="20"/>
                <w:szCs w:val="20"/>
                <w:color w:val="auto"/>
              </w:rPr>
            </w:pPr>
            <w:r>
              <w:rPr>
                <w:rFonts w:ascii="Arial" w:cs="Arial" w:eastAsia="Arial" w:hAnsi="Arial"/>
                <w:sz w:val="12"/>
                <w:szCs w:val="12"/>
                <w:color w:val="auto"/>
              </w:rPr>
              <w:t>($0.30 per common share)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rPr>
                <w:sz w:val="20"/>
                <w:szCs w:val="20"/>
                <w:color w:val="auto"/>
              </w:rPr>
            </w:pPr>
            <w:r>
              <w:rPr>
                <w:rFonts w:ascii="Arial" w:cs="Arial" w:eastAsia="Arial" w:hAnsi="Arial"/>
                <w:sz w:val="12"/>
                <w:szCs w:val="12"/>
                <w:color w:val="auto"/>
              </w:rPr>
              <w:t>Dividends declared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rPr>
                <w:sz w:val="20"/>
                <w:szCs w:val="20"/>
                <w:color w:val="auto"/>
              </w:rPr>
            </w:pPr>
            <w:r>
              <w:rPr>
                <w:rFonts w:ascii="Arial" w:cs="Arial" w:eastAsia="Arial" w:hAnsi="Arial"/>
                <w:sz w:val="12"/>
                <w:szCs w:val="12"/>
                <w:color w:val="auto"/>
              </w:rPr>
              <w:t>Repurchase of shares of common stock</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ind w:left="24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100" w:type="dxa"/>
            <w:vAlign w:val="bottom"/>
          </w:tcPr>
          <w:p>
            <w:pPr>
              <w:spacing w:after="0"/>
              <w:rPr>
                <w:sz w:val="20"/>
                <w:szCs w:val="20"/>
                <w:color w:val="auto"/>
              </w:rPr>
            </w:pPr>
            <w:r>
              <w:rPr>
                <w:rFonts w:ascii="Arial" w:cs="Arial" w:eastAsia="Arial" w:hAnsi="Arial"/>
                <w:sz w:val="12"/>
                <w:szCs w:val="12"/>
                <w:color w:val="auto"/>
              </w:rPr>
              <w:t>Exercise and vesting of share-based awards</w:t>
            </w:r>
          </w:p>
        </w:tc>
        <w:tc>
          <w:tcPr>
            <w:tcW w:w="36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jc w:val="right"/>
              <w:ind w:right="39"/>
              <w:spacing w:after="0"/>
              <w:rPr>
                <w:sz w:val="20"/>
                <w:szCs w:val="20"/>
                <w:color w:val="auto"/>
              </w:rPr>
            </w:pPr>
            <w:r>
              <w:rPr>
                <w:rFonts w:ascii="Arial" w:cs="Arial" w:eastAsia="Arial" w:hAnsi="Arial"/>
                <w:sz w:val="12"/>
                <w:szCs w:val="12"/>
                <w:color w:val="auto"/>
                <w:w w:val="99"/>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tcPr>
          <w:p>
            <w:pPr>
              <w:spacing w:after="0"/>
              <w:rPr>
                <w:sz w:val="20"/>
                <w:szCs w:val="20"/>
                <w:color w:val="auto"/>
              </w:rPr>
            </w:pPr>
            <w:r>
              <w:rPr>
                <w:rFonts w:ascii="Arial" w:cs="Arial" w:eastAsia="Arial" w:hAnsi="Arial"/>
                <w:sz w:val="12"/>
                <w:szCs w:val="12"/>
                <w:color w:val="auto"/>
              </w:rPr>
              <w:t>Share-based compensation</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100" w:type="dxa"/>
            <w:vAlign w:val="bottom"/>
          </w:tcPr>
          <w:p>
            <w:pPr>
              <w:spacing w:after="0" w:line="136" w:lineRule="exact"/>
              <w:rPr>
                <w:sz w:val="20"/>
                <w:szCs w:val="20"/>
                <w:color w:val="auto"/>
              </w:rPr>
            </w:pPr>
            <w:r>
              <w:rPr>
                <w:rFonts w:ascii="Arial" w:cs="Arial" w:eastAsia="Arial" w:hAnsi="Arial"/>
                <w:sz w:val="12"/>
                <w:szCs w:val="12"/>
                <w:b w:val="1"/>
                <w:bCs w:val="1"/>
                <w:color w:val="auto"/>
              </w:rPr>
              <w:t>Balance at September 30, 2018</w:t>
            </w:r>
          </w:p>
        </w:tc>
        <w:tc>
          <w:tcPr>
            <w:tcW w:w="3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391</w:t>
            </w: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ind w:right="406"/>
              <w:spacing w:after="0"/>
              <w:rPr>
                <w:sz w:val="20"/>
                <w:szCs w:val="20"/>
                <w:color w:val="auto"/>
              </w:rPr>
            </w:pPr>
            <w:r>
              <w:rPr>
                <w:rFonts w:ascii="Arial" w:cs="Arial" w:eastAsia="Arial" w:hAnsi="Arial"/>
                <w:sz w:val="10"/>
                <w:szCs w:val="10"/>
                <w:b w:val="1"/>
                <w:bCs w:val="1"/>
                <w:color w:val="auto"/>
                <w:w w:val="71"/>
              </w:rPr>
              <w:t>$</w:t>
            </w:r>
          </w:p>
        </w:tc>
        <w:tc>
          <w:tcPr>
            <w:tcW w:w="240" w:type="dxa"/>
            <w:vAlign w:val="bottom"/>
            <w:tcBorders>
              <w:bottom w:val="single" w:sz="8" w:color="auto"/>
            </w:tcBorders>
          </w:tcPr>
          <w:p>
            <w:pPr>
              <w:jc w:val="right"/>
              <w:ind w:right="39"/>
              <w:spacing w:after="0" w:line="136" w:lineRule="exact"/>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tcPr>
          <w:p>
            <w:pPr>
              <w:jc w:val="right"/>
              <w:ind w:right="59"/>
              <w:spacing w:after="0" w:line="136" w:lineRule="exact"/>
              <w:rPr>
                <w:sz w:val="20"/>
                <w:szCs w:val="20"/>
                <w:color w:val="auto"/>
              </w:rPr>
            </w:pPr>
            <w:r>
              <w:rPr>
                <w:rFonts w:ascii="Arial" w:cs="Arial" w:eastAsia="Arial" w:hAnsi="Arial"/>
                <w:sz w:val="12"/>
                <w:szCs w:val="12"/>
                <w:b w:val="1"/>
                <w:bCs w:val="1"/>
                <w:color w:val="auto"/>
              </w:rPr>
              <w:t>2,393</w:t>
            </w: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tcPr>
          <w:p>
            <w:pPr>
              <w:jc w:val="right"/>
              <w:ind w:right="39"/>
              <w:spacing w:after="0" w:line="136" w:lineRule="exact"/>
              <w:rPr>
                <w:sz w:val="20"/>
                <w:szCs w:val="20"/>
                <w:color w:val="auto"/>
              </w:rPr>
            </w:pPr>
            <w:r>
              <w:rPr>
                <w:rFonts w:ascii="Arial" w:cs="Arial" w:eastAsia="Arial" w:hAnsi="Arial"/>
                <w:sz w:val="12"/>
                <w:szCs w:val="12"/>
                <w:b w:val="1"/>
                <w:bCs w:val="1"/>
                <w:color w:val="auto"/>
              </w:rPr>
              <w:t>916</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(14)</w:t>
            </w:r>
          </w:p>
        </w:tc>
        <w:tc>
          <w:tcPr>
            <w:tcW w:w="100" w:type="dxa"/>
            <w:vAlign w:val="bottom"/>
          </w:tcPr>
          <w:p>
            <w:pPr>
              <w:spacing w:after="0"/>
              <w:rPr>
                <w:sz w:val="11"/>
                <w:szCs w:val="11"/>
                <w:color w:val="auto"/>
              </w:rPr>
            </w:pPr>
          </w:p>
        </w:tc>
        <w:tc>
          <w:tcPr>
            <w:tcW w:w="460" w:type="dxa"/>
            <w:vAlign w:val="bottom"/>
            <w:tcBorders>
              <w:bottom w:val="single" w:sz="8" w:color="auto"/>
            </w:tcBorders>
          </w:tcPr>
          <w:p>
            <w:pPr>
              <w:ind w:left="240"/>
              <w:spacing w:after="0" w:line="136" w:lineRule="exact"/>
              <w:rPr>
                <w:sz w:val="20"/>
                <w:szCs w:val="20"/>
                <w:color w:val="auto"/>
              </w:rPr>
            </w:pPr>
            <w:r>
              <w:rPr>
                <w:rFonts w:ascii="Arial" w:cs="Arial" w:eastAsia="Arial" w:hAnsi="Arial"/>
                <w:sz w:val="12"/>
                <w:szCs w:val="12"/>
                <w:b w:val="1"/>
                <w:bCs w:val="1"/>
                <w:color w:val="auto"/>
              </w:rPr>
              <w:t>(9)</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(315)</w:t>
            </w:r>
          </w:p>
        </w:tc>
        <w:tc>
          <w:tcPr>
            <w:tcW w:w="100" w:type="dxa"/>
            <w:vAlign w:val="bottom"/>
          </w:tcPr>
          <w:p>
            <w:pPr>
              <w:spacing w:after="0"/>
              <w:rPr>
                <w:sz w:val="11"/>
                <w:szCs w:val="11"/>
                <w:color w:val="auto"/>
              </w:rPr>
            </w:pPr>
          </w:p>
        </w:tc>
        <w:tc>
          <w:tcPr>
            <w:tcW w:w="120" w:type="dxa"/>
            <w:vAlign w:val="bottom"/>
            <w:tcBorders>
              <w:bottom w:val="single" w:sz="8" w:color="auto"/>
            </w:tcBorders>
          </w:tcPr>
          <w:p>
            <w:pPr>
              <w:spacing w:after="0" w:line="136" w:lineRule="exact"/>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tcPr>
          <w:p>
            <w:pPr>
              <w:jc w:val="right"/>
              <w:ind w:right="59"/>
              <w:spacing w:after="0" w:line="136" w:lineRule="exact"/>
              <w:rPr>
                <w:sz w:val="20"/>
                <w:szCs w:val="20"/>
                <w:color w:val="auto"/>
              </w:rPr>
            </w:pPr>
            <w:r>
              <w:rPr>
                <w:rFonts w:ascii="Arial" w:cs="Arial" w:eastAsia="Arial" w:hAnsi="Arial"/>
                <w:sz w:val="12"/>
                <w:szCs w:val="12"/>
                <w:b w:val="1"/>
                <w:bCs w:val="1"/>
                <w:color w:val="auto"/>
              </w:rPr>
              <w:t>99</w:t>
            </w:r>
          </w:p>
        </w:tc>
        <w:tc>
          <w:tcPr>
            <w:tcW w:w="100" w:type="dxa"/>
            <w:vAlign w:val="bottom"/>
          </w:tcPr>
          <w:p>
            <w:pPr>
              <w:spacing w:after="0"/>
              <w:rPr>
                <w:sz w:val="11"/>
                <w:szCs w:val="11"/>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auto"/>
            </w:tcBorders>
          </w:tcPr>
          <w:p>
            <w:pPr>
              <w:jc w:val="right"/>
              <w:ind w:right="59"/>
              <w:spacing w:after="0" w:line="136" w:lineRule="exact"/>
              <w:rPr>
                <w:sz w:val="20"/>
                <w:szCs w:val="20"/>
                <w:color w:val="auto"/>
              </w:rPr>
            </w:pPr>
            <w:r>
              <w:rPr>
                <w:rFonts w:ascii="Arial" w:cs="Arial" w:eastAsia="Arial" w:hAnsi="Arial"/>
                <w:sz w:val="12"/>
                <w:szCs w:val="12"/>
                <w:b w:val="1"/>
                <w:bCs w:val="1"/>
                <w:color w:val="auto"/>
              </w:rPr>
              <w:t>3,083</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line="136" w:lineRule="exact"/>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59"/>
              <w:spacing w:after="0" w:line="136" w:lineRule="exact"/>
              <w:rPr>
                <w:sz w:val="20"/>
                <w:szCs w:val="20"/>
                <w:color w:val="auto"/>
              </w:rPr>
            </w:pPr>
            <w:r>
              <w:rPr>
                <w:rFonts w:ascii="Arial" w:cs="Arial" w:eastAsia="Arial" w:hAnsi="Arial"/>
                <w:sz w:val="12"/>
                <w:szCs w:val="12"/>
                <w:b w:val="1"/>
                <w:bCs w:val="1"/>
                <w:color w:val="auto"/>
              </w:rPr>
              <w:t>5</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Share Repurchase Program</w:t>
      </w:r>
    </w:p>
    <w:p>
      <w:pPr>
        <w:spacing w:after="0" w:line="246"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On February 7, 2017, we announced that our Board of Directors authorized a $300 million share repurchase program. On October 4, 2017, the Board of Directors increased Yum China’s existing share repurchase authorization from $300 million to an aggregate of $550 million. Under the authorization, we repurchased shares of Yum China common stock during the years to date ended September 30, 2018 and 2017 as indicated below. All amounts exclude applicable transaction fees.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91"/>
              </w:rPr>
              <w:t>Remaining Dollar</w:t>
            </w:r>
          </w:p>
        </w:tc>
      </w:tr>
      <w:tr>
        <w:trPr>
          <w:trHeight w:val="19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6"/>
              </w:rPr>
              <w:t>Value of Shares</w:t>
            </w:r>
          </w:p>
        </w:tc>
      </w:tr>
      <w:tr>
        <w:trPr>
          <w:trHeight w:val="19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4"/>
          </w:tcPr>
          <w:p>
            <w:pPr>
              <w:jc w:val="center"/>
              <w:ind w:left="1002"/>
              <w:spacing w:after="0"/>
              <w:rPr>
                <w:sz w:val="20"/>
                <w:szCs w:val="20"/>
                <w:color w:val="auto"/>
              </w:rPr>
            </w:pPr>
            <w:r>
              <w:rPr>
                <w:rFonts w:ascii="Arial" w:cs="Arial" w:eastAsia="Arial" w:hAnsi="Arial"/>
                <w:sz w:val="16"/>
                <w:szCs w:val="16"/>
                <w:color w:val="auto"/>
                <w:w w:val="91"/>
              </w:rPr>
              <w:t>Dollar Value of</w:t>
            </w: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6"/>
                <w:szCs w:val="16"/>
                <w:color w:val="auto"/>
                <w:w w:val="88"/>
              </w:rPr>
              <w:t>that may be</w:t>
            </w:r>
          </w:p>
        </w:tc>
      </w:tr>
      <w:tr>
        <w:trPr>
          <w:trHeight w:val="195"/>
        </w:trPr>
        <w:tc>
          <w:tcPr>
            <w:tcW w:w="2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60" w:type="dxa"/>
            <w:vAlign w:val="bottom"/>
            <w:gridSpan w:val="4"/>
          </w:tcPr>
          <w:p>
            <w:pPr>
              <w:jc w:val="center"/>
              <w:ind w:right="182"/>
              <w:spacing w:after="0"/>
              <w:rPr>
                <w:sz w:val="20"/>
                <w:szCs w:val="20"/>
                <w:color w:val="auto"/>
              </w:rPr>
            </w:pPr>
            <w:r>
              <w:rPr>
                <w:rFonts w:ascii="Arial" w:cs="Arial" w:eastAsia="Arial" w:hAnsi="Arial"/>
                <w:sz w:val="16"/>
                <w:szCs w:val="16"/>
                <w:color w:val="auto"/>
                <w:w w:val="83"/>
              </w:rPr>
              <w:t>Shares Repurchased</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40" w:type="dxa"/>
            <w:vAlign w:val="bottom"/>
            <w:gridSpan w:val="6"/>
          </w:tcPr>
          <w:p>
            <w:pPr>
              <w:jc w:val="center"/>
              <w:ind w:right="140"/>
              <w:spacing w:after="0"/>
              <w:rPr>
                <w:sz w:val="20"/>
                <w:szCs w:val="20"/>
                <w:color w:val="auto"/>
              </w:rPr>
            </w:pPr>
            <w:r>
              <w:rPr>
                <w:rFonts w:ascii="Arial" w:cs="Arial" w:eastAsia="Arial" w:hAnsi="Arial"/>
                <w:sz w:val="16"/>
                <w:szCs w:val="16"/>
                <w:color w:val="auto"/>
                <w:w w:val="83"/>
              </w:rPr>
              <w:t>Shares Repurchased</w:t>
            </w:r>
          </w:p>
        </w:tc>
        <w:tc>
          <w:tcPr>
            <w:tcW w:w="1500" w:type="dxa"/>
            <w:vAlign w:val="bottom"/>
          </w:tcPr>
          <w:p>
            <w:pPr>
              <w:jc w:val="center"/>
              <w:spacing w:after="0"/>
              <w:rPr>
                <w:sz w:val="20"/>
                <w:szCs w:val="20"/>
                <w:color w:val="auto"/>
              </w:rPr>
            </w:pPr>
            <w:r>
              <w:rPr>
                <w:rFonts w:ascii="Arial" w:cs="Arial" w:eastAsia="Arial" w:hAnsi="Arial"/>
                <w:sz w:val="16"/>
                <w:szCs w:val="16"/>
                <w:color w:val="auto"/>
                <w:w w:val="84"/>
              </w:rPr>
              <w:t>Repurchased</w:t>
            </w:r>
          </w:p>
        </w:tc>
      </w:tr>
      <w:tr>
        <w:trPr>
          <w:trHeight w:val="202"/>
        </w:trPr>
        <w:tc>
          <w:tcPr>
            <w:tcW w:w="2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Authorization Date</w:t>
            </w:r>
          </w:p>
        </w:tc>
        <w:tc>
          <w:tcPr>
            <w:tcW w:w="16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center"/>
              <w:ind w:right="182"/>
              <w:spacing w:after="0"/>
              <w:rPr>
                <w:sz w:val="20"/>
                <w:szCs w:val="20"/>
                <w:color w:val="auto"/>
              </w:rPr>
            </w:pPr>
            <w:r>
              <w:rPr>
                <w:rFonts w:ascii="Arial" w:cs="Arial" w:eastAsia="Arial" w:hAnsi="Arial"/>
                <w:sz w:val="16"/>
                <w:szCs w:val="16"/>
                <w:color w:val="auto"/>
                <w:w w:val="87"/>
              </w:rPr>
              <w:t>(thousands)</w:t>
            </w:r>
          </w:p>
        </w:tc>
        <w:tc>
          <w:tcPr>
            <w:tcW w:w="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6"/>
                <w:szCs w:val="16"/>
                <w:color w:val="auto"/>
                <w:w w:val="96"/>
              </w:rPr>
              <w:t>(millions)</w:t>
            </w: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(millions)</w:t>
            </w:r>
          </w:p>
        </w:tc>
      </w:tr>
      <w:tr>
        <w:trPr>
          <w:trHeight w:val="201"/>
        </w:trPr>
        <w:tc>
          <w:tcPr>
            <w:tcW w:w="2980" w:type="dxa"/>
            <w:vAlign w:val="bottom"/>
            <w:gridSpan w:val="2"/>
          </w:tcPr>
          <w:p>
            <w:pPr>
              <w:spacing w:after="0"/>
              <w:rPr>
                <w:sz w:val="17"/>
                <w:szCs w:val="17"/>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2018</w:t>
            </w:r>
          </w:p>
        </w:tc>
        <w:tc>
          <w:tcPr>
            <w:tcW w:w="4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2017</w:t>
            </w:r>
          </w:p>
        </w:tc>
        <w:tc>
          <w:tcPr>
            <w:tcW w:w="6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rPr>
              <w:t>2018</w:t>
            </w:r>
          </w:p>
        </w:tc>
        <w:tc>
          <w:tcPr>
            <w:tcW w:w="2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42"/>
              <w:spacing w:after="0"/>
              <w:rPr>
                <w:sz w:val="20"/>
                <w:szCs w:val="20"/>
                <w:color w:val="auto"/>
              </w:rPr>
            </w:pPr>
            <w:r>
              <w:rPr>
                <w:rFonts w:ascii="Arial" w:cs="Arial" w:eastAsia="Arial" w:hAnsi="Arial"/>
                <w:sz w:val="16"/>
                <w:szCs w:val="16"/>
                <w:color w:val="auto"/>
              </w:rPr>
              <w:t>2017</w:t>
            </w:r>
          </w:p>
        </w:tc>
        <w:tc>
          <w:tcPr>
            <w:tcW w:w="140" w:type="dxa"/>
            <w:vAlign w:val="bottom"/>
          </w:tcPr>
          <w:p>
            <w:pPr>
              <w:spacing w:after="0"/>
              <w:rPr>
                <w:sz w:val="17"/>
                <w:szCs w:val="17"/>
                <w:color w:val="auto"/>
              </w:rPr>
            </w:pPr>
          </w:p>
        </w:tc>
        <w:tc>
          <w:tcPr>
            <w:tcW w:w="150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color w:val="auto"/>
              </w:rPr>
              <w:t>2018</w:t>
            </w:r>
          </w:p>
        </w:tc>
      </w:tr>
      <w:tr>
        <w:trPr>
          <w:trHeight w:val="405"/>
        </w:trPr>
        <w:tc>
          <w:tcPr>
            <w:tcW w:w="3880" w:type="dxa"/>
            <w:vAlign w:val="bottom"/>
            <w:gridSpan w:val="3"/>
          </w:tcPr>
          <w:p>
            <w:pPr>
              <w:spacing w:after="0"/>
              <w:rPr>
                <w:sz w:val="20"/>
                <w:szCs w:val="20"/>
                <w:color w:val="auto"/>
              </w:rPr>
            </w:pPr>
            <w:r>
              <w:rPr>
                <w:rFonts w:ascii="Arial" w:cs="Arial" w:eastAsia="Arial" w:hAnsi="Arial"/>
                <w:sz w:val="16"/>
                <w:szCs w:val="16"/>
                <w:color w:val="auto"/>
              </w:rPr>
              <w:t>February 7, 2017</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4,576</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0" w:type="dxa"/>
            <w:vAlign w:val="bottom"/>
          </w:tcPr>
          <w:p>
            <w:pPr>
              <w:jc w:val="right"/>
              <w:ind w:right="142"/>
              <w:spacing w:after="0"/>
              <w:rPr>
                <w:sz w:val="20"/>
                <w:szCs w:val="20"/>
                <w:color w:val="auto"/>
              </w:rPr>
            </w:pPr>
            <w:r>
              <w:rPr>
                <w:rFonts w:ascii="Arial" w:cs="Arial" w:eastAsia="Arial" w:hAnsi="Arial"/>
                <w:sz w:val="16"/>
                <w:szCs w:val="16"/>
                <w:color w:val="auto"/>
                <w:w w:val="99"/>
              </w:rPr>
              <w:t>3,356</w:t>
            </w: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24"/>
                <w:szCs w:val="24"/>
                <w:color w:val="auto"/>
              </w:rPr>
            </w:pP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5</w:t>
            </w:r>
          </w:p>
        </w:tc>
      </w:tr>
      <w:tr>
        <w:trPr>
          <w:trHeight w:val="208"/>
        </w:trPr>
        <w:tc>
          <w:tcPr>
            <w:tcW w:w="3880" w:type="dxa"/>
            <w:vAlign w:val="bottom"/>
            <w:gridSpan w:val="3"/>
          </w:tcPr>
          <w:p>
            <w:pPr>
              <w:spacing w:after="0"/>
              <w:rPr>
                <w:sz w:val="20"/>
                <w:szCs w:val="20"/>
                <w:color w:val="auto"/>
              </w:rPr>
            </w:pPr>
            <w:r>
              <w:rPr>
                <w:rFonts w:ascii="Arial" w:cs="Arial" w:eastAsia="Arial" w:hAnsi="Arial"/>
                <w:sz w:val="16"/>
                <w:szCs w:val="16"/>
                <w:color w:val="auto"/>
              </w:rPr>
              <w:t>October 4, 2017</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250</w:t>
            </w:r>
          </w:p>
        </w:tc>
      </w:tr>
      <w:tr>
        <w:trPr>
          <w:trHeight w:val="214"/>
        </w:trPr>
        <w:tc>
          <w:tcPr>
            <w:tcW w:w="2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198"/>
        </w:trPr>
        <w:tc>
          <w:tcPr>
            <w:tcW w:w="3880" w:type="dxa"/>
            <w:vAlign w:val="bottom"/>
            <w:gridSpan w:val="3"/>
          </w:tcPr>
          <w:p>
            <w:pPr>
              <w:spacing w:after="0"/>
              <w:rPr>
                <w:sz w:val="20"/>
                <w:szCs w:val="20"/>
                <w:color w:val="auto"/>
              </w:rPr>
            </w:pPr>
            <w:r>
              <w:rPr>
                <w:rFonts w:ascii="Arial" w:cs="Arial" w:eastAsia="Arial" w:hAnsi="Arial"/>
                <w:sz w:val="16"/>
                <w:szCs w:val="16"/>
                <w:color w:val="auto"/>
              </w:rPr>
              <w:t>Total</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4,576</w:t>
            </w:r>
          </w:p>
        </w:tc>
        <w:tc>
          <w:tcPr>
            <w:tcW w:w="1280" w:type="dxa"/>
            <w:vAlign w:val="bottom"/>
            <w:gridSpan w:val="3"/>
          </w:tcPr>
          <w:p>
            <w:pPr>
              <w:jc w:val="right"/>
              <w:ind w:right="962"/>
              <w:spacing w:after="0"/>
              <w:rPr>
                <w:sz w:val="20"/>
                <w:szCs w:val="20"/>
                <w:color w:val="auto"/>
              </w:rPr>
            </w:pPr>
            <w:r>
              <w:rPr>
                <w:rFonts w:ascii="Arial" w:cs="Arial" w:eastAsia="Arial" w:hAnsi="Arial"/>
                <w:sz w:val="16"/>
                <w:szCs w:val="16"/>
                <w:color w:val="auto"/>
              </w:rPr>
              <w:t>(a)</w:t>
            </w:r>
          </w:p>
        </w:tc>
        <w:tc>
          <w:tcPr>
            <w:tcW w:w="640" w:type="dxa"/>
            <w:vAlign w:val="bottom"/>
          </w:tcPr>
          <w:p>
            <w:pPr>
              <w:jc w:val="right"/>
              <w:ind w:right="142"/>
              <w:spacing w:after="0"/>
              <w:rPr>
                <w:sz w:val="20"/>
                <w:szCs w:val="20"/>
                <w:color w:val="auto"/>
              </w:rPr>
            </w:pPr>
            <w:r>
              <w:rPr>
                <w:rFonts w:ascii="Arial" w:cs="Arial" w:eastAsia="Arial" w:hAnsi="Arial"/>
                <w:sz w:val="16"/>
                <w:szCs w:val="16"/>
                <w:color w:val="auto"/>
                <w:w w:val="99"/>
              </w:rPr>
              <w:t>3,356</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w:t>
            </w:r>
          </w:p>
        </w:tc>
        <w:tc>
          <w:tcPr>
            <w:tcW w:w="860" w:type="dxa"/>
            <w:vAlign w:val="bottom"/>
            <w:gridSpan w:val="3"/>
          </w:tcPr>
          <w:p>
            <w:pPr>
              <w:ind w:left="100"/>
              <w:spacing w:after="0"/>
              <w:rPr>
                <w:sz w:val="20"/>
                <w:szCs w:val="20"/>
                <w:color w:val="auto"/>
              </w:rPr>
            </w:pPr>
            <w:r>
              <w:rPr>
                <w:rFonts w:ascii="Arial" w:cs="Arial" w:eastAsia="Arial" w:hAnsi="Arial"/>
                <w:sz w:val="16"/>
                <w:szCs w:val="16"/>
                <w:color w:val="auto"/>
              </w:rPr>
              <w:t>(a)</w:t>
            </w:r>
          </w:p>
        </w:tc>
        <w:tc>
          <w:tcPr>
            <w:tcW w:w="1100" w:type="dxa"/>
            <w:vAlign w:val="bottom"/>
          </w:tcPr>
          <w:p>
            <w:pPr>
              <w:jc w:val="right"/>
              <w:ind w:right="142"/>
              <w:spacing w:after="0"/>
              <w:rPr>
                <w:sz w:val="20"/>
                <w:szCs w:val="20"/>
                <w:color w:val="auto"/>
              </w:rPr>
            </w:pPr>
            <w:r>
              <w:rPr>
                <w:rFonts w:ascii="Arial" w:cs="Arial" w:eastAsia="Arial" w:hAnsi="Arial"/>
                <w:sz w:val="16"/>
                <w:szCs w:val="16"/>
                <w:color w:val="auto"/>
              </w:rPr>
              <w:t>128</w:t>
            </w:r>
          </w:p>
        </w:tc>
        <w:tc>
          <w:tcPr>
            <w:tcW w:w="140" w:type="dxa"/>
            <w:vAlign w:val="bottom"/>
          </w:tcPr>
          <w:p>
            <w:pPr>
              <w:spacing w:after="0"/>
              <w:rPr>
                <w:sz w:val="17"/>
                <w:szCs w:val="17"/>
                <w:color w:val="auto"/>
              </w:rPr>
            </w:pPr>
          </w:p>
        </w:tc>
        <w:tc>
          <w:tcPr>
            <w:tcW w:w="1500" w:type="dxa"/>
            <w:vAlign w:val="bottom"/>
          </w:tcPr>
          <w:p>
            <w:pPr>
              <w:jc w:val="right"/>
              <w:ind w:right="82"/>
              <w:spacing w:after="0"/>
              <w:rPr>
                <w:sz w:val="20"/>
                <w:szCs w:val="20"/>
                <w:color w:val="auto"/>
              </w:rPr>
            </w:pPr>
            <w:r>
              <w:rPr>
                <w:rFonts w:ascii="Arial" w:cs="Arial" w:eastAsia="Arial" w:hAnsi="Arial"/>
                <w:sz w:val="16"/>
                <w:szCs w:val="16"/>
                <w:color w:val="auto"/>
              </w:rPr>
              <w:t>255</w:t>
            </w:r>
          </w:p>
        </w:tc>
      </w:tr>
      <w:tr>
        <w:trPr>
          <w:trHeight w:val="20"/>
        </w:trPr>
        <w:tc>
          <w:tcPr>
            <w:tcW w:w="2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820" w:hanging="816"/>
        <w:spacing w:after="0"/>
        <w:tabs>
          <w:tab w:leader="none" w:pos="82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Includes 0.2 million shares repurchased for $6 million with trade dates prior to September 30, 2018 but cash settlement dates subsequent to September</w:t>
      </w:r>
    </w:p>
    <w:p>
      <w:pPr>
        <w:spacing w:after="0" w:line="47"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30, 2018.</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40" w:type="dxa"/>
            <w:vAlign w:val="bottom"/>
          </w:tcPr>
          <w:p>
            <w:pPr>
              <w:spacing w:after="0"/>
              <w:rPr>
                <w:sz w:val="20"/>
                <w:szCs w:val="20"/>
                <w:color w:val="auto"/>
              </w:rPr>
            </w:pPr>
            <w:r>
              <w:rPr>
                <w:rFonts w:ascii="Arial" w:cs="Arial" w:eastAsia="Arial" w:hAnsi="Arial"/>
                <w:sz w:val="17"/>
                <w:szCs w:val="17"/>
                <w:b w:val="1"/>
                <w:bCs w:val="1"/>
                <w:color w:val="auto"/>
              </w:rPr>
              <w:t>Note 6 – Other Income, net</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54"/>
        </w:trPr>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5"/>
          </w:tcPr>
          <w:p>
            <w:pPr>
              <w:ind w:left="640"/>
              <w:spacing w:after="0"/>
              <w:rPr>
                <w:sz w:val="20"/>
                <w:szCs w:val="20"/>
                <w:color w:val="auto"/>
              </w:rPr>
            </w:pPr>
            <w:r>
              <w:rPr>
                <w:rFonts w:ascii="Arial" w:cs="Arial" w:eastAsia="Arial" w:hAnsi="Arial"/>
                <w:sz w:val="17"/>
                <w:szCs w:val="17"/>
                <w:color w:val="auto"/>
              </w:rPr>
              <w:t>Quarter Ended</w:t>
            </w:r>
          </w:p>
        </w:tc>
        <w:tc>
          <w:tcPr>
            <w:tcW w:w="180" w:type="dxa"/>
            <w:vAlign w:val="bottom"/>
          </w:tcPr>
          <w:p>
            <w:pPr>
              <w:spacing w:after="0"/>
              <w:rPr>
                <w:sz w:val="24"/>
                <w:szCs w:val="24"/>
                <w:color w:val="auto"/>
              </w:rPr>
            </w:pPr>
          </w:p>
        </w:tc>
        <w:tc>
          <w:tcPr>
            <w:tcW w:w="2480" w:type="dxa"/>
            <w:vAlign w:val="bottom"/>
            <w:gridSpan w:val="5"/>
          </w:tcPr>
          <w:p>
            <w:pPr>
              <w:jc w:val="right"/>
              <w:ind w:right="534"/>
              <w:spacing w:after="0"/>
              <w:rPr>
                <w:sz w:val="20"/>
                <w:szCs w:val="20"/>
                <w:color w:val="auto"/>
              </w:rPr>
            </w:pPr>
            <w:r>
              <w:rPr>
                <w:rFonts w:ascii="Arial" w:cs="Arial" w:eastAsia="Arial" w:hAnsi="Arial"/>
                <w:sz w:val="17"/>
                <w:szCs w:val="17"/>
                <w:color w:val="auto"/>
              </w:rPr>
              <w:t>Year to Date Ended</w:t>
            </w:r>
          </w:p>
        </w:tc>
        <w:tc>
          <w:tcPr>
            <w:tcW w:w="80" w:type="dxa"/>
            <w:vAlign w:val="bottom"/>
          </w:tcPr>
          <w:p>
            <w:pPr>
              <w:spacing w:after="0"/>
              <w:rPr>
                <w:sz w:val="24"/>
                <w:szCs w:val="24"/>
                <w:color w:val="auto"/>
              </w:rPr>
            </w:pPr>
          </w:p>
        </w:tc>
      </w:tr>
      <w:tr>
        <w:trPr>
          <w:trHeight w:val="214"/>
        </w:trPr>
        <w:tc>
          <w:tcPr>
            <w:tcW w:w="58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9/30/2018</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9/30/2017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9/30/2018</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rPr>
              <w:t>9/30/2017</w:t>
            </w:r>
          </w:p>
        </w:tc>
        <w:tc>
          <w:tcPr>
            <w:tcW w:w="80" w:type="dxa"/>
            <w:vAlign w:val="bottom"/>
            <w:tcBorders>
              <w:top w:val="single" w:sz="8" w:color="auto"/>
              <w:bottom w:val="single" w:sz="8" w:color="auto"/>
            </w:tcBorders>
          </w:tcPr>
          <w:p>
            <w:pPr>
              <w:spacing w:after="0"/>
              <w:rPr>
                <w:sz w:val="18"/>
                <w:szCs w:val="18"/>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7"/>
                <w:szCs w:val="17"/>
                <w:color w:val="auto"/>
              </w:rPr>
              <w:t>Equity income from investments in unconsolidated affiliates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94"/>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18"/>
                <w:szCs w:val="18"/>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Gain from re-measurement of equity interest upon acquisition</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40" w:type="dxa"/>
            <w:vAlign w:val="bottom"/>
          </w:tcPr>
          <w:p>
            <w:pPr>
              <w:jc w:val="right"/>
              <w:ind w:right="34"/>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Foreign exchange changes and other</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r>
      <w:tr>
        <w:trPr>
          <w:trHeight w:val="214"/>
        </w:trPr>
        <w:tc>
          <w:tcPr>
            <w:tcW w:w="5840" w:type="dxa"/>
            <w:vAlign w:val="bottom"/>
          </w:tcPr>
          <w:p>
            <w:pPr>
              <w:spacing w:after="0"/>
              <w:rPr>
                <w:sz w:val="20"/>
                <w:szCs w:val="20"/>
                <w:color w:val="auto"/>
              </w:rPr>
            </w:pPr>
            <w:r>
              <w:rPr>
                <w:rFonts w:ascii="Arial" w:cs="Arial" w:eastAsia="Arial" w:hAnsi="Arial"/>
                <w:sz w:val="17"/>
                <w:szCs w:val="17"/>
                <w:color w:val="auto"/>
              </w:rPr>
              <w:t>Other income, net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hanging="516"/>
        <w:spacing w:after="0" w:line="318"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result of the acquisition of Wuxi KFC in the first quarter of 2018, as disclosed in Note 2, the Company recognized a gain of $98 million from the re-measurement of our previously held 47% equity interest at fair value, which was not allocated to any segment for performance reporting purposes.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6"/>
        </w:trPr>
        <w:tc>
          <w:tcPr>
            <w:tcW w:w="4700" w:type="dxa"/>
            <w:vAlign w:val="bottom"/>
            <w:gridSpan w:val="7"/>
          </w:tcPr>
          <w:p>
            <w:pPr>
              <w:spacing w:after="0"/>
              <w:rPr>
                <w:sz w:val="20"/>
                <w:szCs w:val="20"/>
                <w:color w:val="auto"/>
              </w:rPr>
            </w:pPr>
            <w:r>
              <w:rPr>
                <w:rFonts w:ascii="Arial" w:cs="Arial" w:eastAsia="Arial" w:hAnsi="Arial"/>
                <w:sz w:val="17"/>
                <w:szCs w:val="17"/>
                <w:b w:val="1"/>
                <w:bCs w:val="1"/>
                <w:color w:val="auto"/>
              </w:rPr>
              <w:t>Note 7 – Supplemental Balance Sheet Information</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4700" w:type="dxa"/>
            <w:vAlign w:val="bottom"/>
            <w:gridSpan w:val="7"/>
          </w:tcPr>
          <w:p>
            <w:pPr>
              <w:spacing w:after="0"/>
              <w:rPr>
                <w:sz w:val="20"/>
                <w:szCs w:val="20"/>
                <w:color w:val="auto"/>
              </w:rPr>
            </w:pPr>
            <w:r>
              <w:rPr>
                <w:rFonts w:ascii="Arial" w:cs="Arial" w:eastAsia="Arial" w:hAnsi="Arial"/>
                <w:sz w:val="17"/>
                <w:szCs w:val="17"/>
                <w:color w:val="auto"/>
              </w:rPr>
              <w:t>Accounts Receivable, net</w:t>
            </w: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94"/>
              <w:spacing w:after="0"/>
              <w:rPr>
                <w:sz w:val="20"/>
                <w:szCs w:val="20"/>
                <w:color w:val="auto"/>
              </w:rPr>
            </w:pPr>
            <w:r>
              <w:rPr>
                <w:rFonts w:ascii="Arial" w:cs="Arial" w:eastAsia="Arial" w:hAnsi="Arial"/>
                <w:sz w:val="17"/>
                <w:szCs w:val="17"/>
                <w:color w:val="auto"/>
              </w:rPr>
              <w:t>12/31/2017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7"/>
            <w:vMerge w:val="restart"/>
          </w:tcPr>
          <w:p>
            <w:pPr>
              <w:spacing w:after="0"/>
              <w:rPr>
                <w:sz w:val="20"/>
                <w:szCs w:val="20"/>
                <w:color w:val="auto"/>
              </w:rPr>
            </w:pPr>
            <w:r>
              <w:rPr>
                <w:rFonts w:ascii="Arial" w:cs="Arial" w:eastAsia="Arial" w:hAnsi="Arial"/>
                <w:sz w:val="17"/>
                <w:szCs w:val="17"/>
                <w:color w:val="auto"/>
              </w:rPr>
              <w:t>Accounts receivable, gross</w:t>
            </w: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gridSpan w:val="7"/>
            <w:vMerge w:val="continue"/>
          </w:tcPr>
          <w:p>
            <w:pPr>
              <w:spacing w:after="0"/>
              <w:rPr>
                <w:sz w:val="18"/>
                <w:szCs w:val="18"/>
                <w:color w:val="auto"/>
              </w:rPr>
            </w:pP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67</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Allowance for doubtful accounts</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7"/>
          </w:tcPr>
          <w:p>
            <w:pPr>
              <w:spacing w:after="0"/>
              <w:rPr>
                <w:sz w:val="20"/>
                <w:szCs w:val="20"/>
                <w:color w:val="auto"/>
              </w:rPr>
            </w:pPr>
            <w:r>
              <w:rPr>
                <w:rFonts w:ascii="Arial" w:cs="Arial" w:eastAsia="Arial" w:hAnsi="Arial"/>
                <w:sz w:val="17"/>
                <w:szCs w:val="17"/>
                <w:color w:val="auto"/>
              </w:rPr>
              <w:t>Accounts receivable, net</w:t>
            </w: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65</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00" w:type="dxa"/>
            <w:vAlign w:val="bottom"/>
            <w:gridSpan w:val="7"/>
          </w:tcPr>
          <w:p>
            <w:pPr>
              <w:spacing w:after="0"/>
              <w:rPr>
                <w:sz w:val="20"/>
                <w:szCs w:val="20"/>
                <w:color w:val="auto"/>
              </w:rPr>
            </w:pPr>
            <w:r>
              <w:rPr>
                <w:rFonts w:ascii="Arial" w:cs="Arial" w:eastAsia="Arial" w:hAnsi="Arial"/>
                <w:sz w:val="17"/>
                <w:szCs w:val="17"/>
                <w:color w:val="auto"/>
              </w:rPr>
              <w:t>Prepaid Expenses and Other Current Assets</w:t>
            </w: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94"/>
              <w:spacing w:after="0"/>
              <w:rPr>
                <w:sz w:val="20"/>
                <w:szCs w:val="20"/>
                <w:color w:val="auto"/>
              </w:rPr>
            </w:pPr>
            <w:r>
              <w:rPr>
                <w:rFonts w:ascii="Arial" w:cs="Arial" w:eastAsia="Arial" w:hAnsi="Arial"/>
                <w:sz w:val="17"/>
                <w:szCs w:val="17"/>
                <w:color w:val="auto"/>
              </w:rPr>
              <w:t>12/31/2017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auto"/>
              <w:bottom w:val="single" w:sz="8" w:color="auto"/>
            </w:tcBorders>
            <w:gridSpan w:val="5"/>
            <w:vMerge w:val="restart"/>
          </w:tcPr>
          <w:p>
            <w:pPr>
              <w:spacing w:after="0"/>
              <w:rPr>
                <w:sz w:val="20"/>
                <w:szCs w:val="20"/>
                <w:color w:val="auto"/>
              </w:rPr>
            </w:pPr>
            <w:r>
              <w:rPr>
                <w:rFonts w:ascii="Arial" w:cs="Arial" w:eastAsia="Arial" w:hAnsi="Arial"/>
                <w:sz w:val="17"/>
                <w:szCs w:val="17"/>
                <w:color w:val="auto"/>
              </w:rPr>
              <w:t>Prepaid rent</w:t>
            </w:r>
          </w:p>
        </w:tc>
        <w:tc>
          <w:tcPr>
            <w:tcW w:w="1680" w:type="dxa"/>
            <w:vAlign w:val="bottom"/>
            <w:gridSpan w:val="2"/>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20" w:type="dxa"/>
            <w:vAlign w:val="bottom"/>
            <w:gridSpan w:val="5"/>
            <w:vMerge w:val="continue"/>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41</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Receivables from payment processors and aggregators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Dividends receivable from unconsolidated affiliates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Other prepaid expenses and current assets</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7"/>
          </w:tcPr>
          <w:p>
            <w:pPr>
              <w:spacing w:after="0"/>
              <w:rPr>
                <w:sz w:val="20"/>
                <w:szCs w:val="20"/>
                <w:color w:val="auto"/>
              </w:rPr>
            </w:pPr>
            <w:r>
              <w:rPr>
                <w:rFonts w:ascii="Arial" w:cs="Arial" w:eastAsia="Arial" w:hAnsi="Arial"/>
                <w:sz w:val="17"/>
                <w:szCs w:val="17"/>
                <w:color w:val="auto"/>
              </w:rPr>
              <w:t>Prepaid expenses and other current assets</w:t>
            </w: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179</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00" w:type="dxa"/>
            <w:vAlign w:val="bottom"/>
            <w:gridSpan w:val="7"/>
          </w:tcPr>
          <w:p>
            <w:pPr>
              <w:spacing w:after="0"/>
              <w:rPr>
                <w:sz w:val="20"/>
                <w:szCs w:val="20"/>
                <w:color w:val="auto"/>
              </w:rPr>
            </w:pPr>
            <w:r>
              <w:rPr>
                <w:rFonts w:ascii="Arial" w:cs="Arial" w:eastAsia="Arial" w:hAnsi="Arial"/>
                <w:sz w:val="17"/>
                <w:szCs w:val="17"/>
                <w:color w:val="auto"/>
              </w:rPr>
              <w:t>Property, Plant and Equipment</w:t>
            </w: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94"/>
              <w:spacing w:after="0"/>
              <w:rPr>
                <w:sz w:val="20"/>
                <w:szCs w:val="20"/>
                <w:color w:val="auto"/>
              </w:rPr>
            </w:pPr>
            <w:r>
              <w:rPr>
                <w:rFonts w:ascii="Arial" w:cs="Arial" w:eastAsia="Arial" w:hAnsi="Arial"/>
                <w:sz w:val="17"/>
                <w:szCs w:val="17"/>
                <w:color w:val="auto"/>
              </w:rPr>
              <w:t>12/31/2017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auto"/>
              <w:bottom w:val="single" w:sz="8" w:color="auto"/>
            </w:tcBorders>
            <w:gridSpan w:val="4"/>
            <w:vMerge w:val="restart"/>
          </w:tcPr>
          <w:p>
            <w:pPr>
              <w:spacing w:after="0"/>
              <w:rPr>
                <w:sz w:val="20"/>
                <w:szCs w:val="20"/>
                <w:color w:val="auto"/>
              </w:rPr>
            </w:pPr>
            <w:r>
              <w:rPr>
                <w:rFonts w:ascii="Arial" w:cs="Arial" w:eastAsia="Arial" w:hAnsi="Arial"/>
                <w:sz w:val="17"/>
                <w:szCs w:val="17"/>
                <w:color w:val="auto"/>
                <w:w w:val="98"/>
              </w:rPr>
              <w:t>Buildings and improvements</w:t>
            </w:r>
          </w:p>
        </w:tc>
        <w:tc>
          <w:tcPr>
            <w:tcW w:w="2580" w:type="dxa"/>
            <w:vAlign w:val="bottom"/>
            <w:gridSpan w:val="3"/>
            <w:vMerge w:val="restart"/>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120" w:type="dxa"/>
            <w:vAlign w:val="bottom"/>
            <w:gridSpan w:val="4"/>
            <w:vMerge w:val="continue"/>
          </w:tcPr>
          <w:p>
            <w:pPr>
              <w:spacing w:after="0"/>
              <w:rPr>
                <w:sz w:val="18"/>
                <w:szCs w:val="18"/>
                <w:color w:val="auto"/>
              </w:rPr>
            </w:pPr>
          </w:p>
        </w:tc>
        <w:tc>
          <w:tcPr>
            <w:tcW w:w="2580" w:type="dxa"/>
            <w:vAlign w:val="bottom"/>
            <w:gridSpan w:val="3"/>
            <w:vMerge w:val="continue"/>
          </w:tcPr>
          <w:p>
            <w:pPr>
              <w:spacing w:after="0"/>
              <w:rPr>
                <w:sz w:val="18"/>
                <w:szCs w:val="18"/>
                <w:color w:val="auto"/>
              </w:rPr>
            </w:pP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2,145</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Capital leases, primarily buildings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Machinery, equipment and construction in progress</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1,175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7"/>
          </w:tcPr>
          <w:p>
            <w:pPr>
              <w:spacing w:after="0"/>
              <w:rPr>
                <w:sz w:val="20"/>
                <w:szCs w:val="20"/>
                <w:color w:val="auto"/>
              </w:rPr>
            </w:pPr>
            <w:r>
              <w:rPr>
                <w:rFonts w:ascii="Arial" w:cs="Arial" w:eastAsia="Arial" w:hAnsi="Arial"/>
                <w:sz w:val="17"/>
                <w:szCs w:val="17"/>
                <w:color w:val="auto"/>
              </w:rPr>
              <w:t>Property, plant and equipment, gross</w:t>
            </w:r>
          </w:p>
        </w:tc>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3,347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3,416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Accumulated depreciation</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(1,742)</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(1,725)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7"/>
          </w:tcPr>
          <w:p>
            <w:pPr>
              <w:spacing w:after="0"/>
              <w:rPr>
                <w:sz w:val="20"/>
                <w:szCs w:val="20"/>
                <w:color w:val="auto"/>
              </w:rPr>
            </w:pPr>
            <w:r>
              <w:rPr>
                <w:rFonts w:ascii="Arial" w:cs="Arial" w:eastAsia="Arial" w:hAnsi="Arial"/>
                <w:sz w:val="17"/>
                <w:szCs w:val="17"/>
                <w:color w:val="auto"/>
              </w:rPr>
              <w:t>Property, plant and equipment, net</w:t>
            </w: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1,605</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1,691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Other Assets</w:t>
            </w:r>
          </w:p>
        </w:tc>
        <w:tc>
          <w:tcPr>
            <w:tcW w:w="3800" w:type="dxa"/>
            <w:vAlign w:val="bottom"/>
            <w:gridSpan w:val="6"/>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94"/>
              <w:spacing w:after="0"/>
              <w:rPr>
                <w:sz w:val="20"/>
                <w:szCs w:val="20"/>
                <w:color w:val="auto"/>
              </w:rPr>
            </w:pPr>
            <w:r>
              <w:rPr>
                <w:rFonts w:ascii="Arial" w:cs="Arial" w:eastAsia="Arial" w:hAnsi="Arial"/>
                <w:sz w:val="17"/>
                <w:szCs w:val="17"/>
                <w:color w:val="auto"/>
              </w:rPr>
              <w:t>12/31/2017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gridSpan w:val="7"/>
            <w:vMerge w:val="restart"/>
          </w:tcPr>
          <w:p>
            <w:pPr>
              <w:spacing w:after="0"/>
              <w:rPr>
                <w:sz w:val="20"/>
                <w:szCs w:val="20"/>
                <w:color w:val="auto"/>
              </w:rPr>
            </w:pPr>
            <w:r>
              <w:rPr>
                <w:rFonts w:ascii="Arial" w:cs="Arial" w:eastAsia="Arial" w:hAnsi="Arial"/>
                <w:sz w:val="17"/>
                <w:szCs w:val="17"/>
                <w:color w:val="auto"/>
              </w:rPr>
              <w:t>Land use right</w:t>
            </w: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gridSpan w:val="7"/>
            <w:vMerge w:val="continue"/>
          </w:tcPr>
          <w:p>
            <w:pPr>
              <w:spacing w:after="0"/>
              <w:rPr>
                <w:sz w:val="18"/>
                <w:szCs w:val="18"/>
                <w:color w:val="auto"/>
              </w:rPr>
            </w:pP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140</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VAT assets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205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Costs to obtain contracts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Long-term deposits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61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Investment in equity securities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74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Others</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7"/>
          </w:tcPr>
          <w:p>
            <w:pPr>
              <w:spacing w:after="0"/>
              <w:rPr>
                <w:sz w:val="20"/>
                <w:szCs w:val="20"/>
                <w:color w:val="auto"/>
              </w:rPr>
            </w:pPr>
            <w:r>
              <w:rPr>
                <w:rFonts w:ascii="Arial" w:cs="Arial" w:eastAsia="Arial" w:hAnsi="Arial"/>
                <w:sz w:val="17"/>
                <w:szCs w:val="17"/>
                <w:color w:val="auto"/>
              </w:rPr>
              <w:t>Other Assets</w:t>
            </w: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498</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385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30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93"/>
              </w:rPr>
              <w:t>Accounts Payable and Other Current Liabilities</w:t>
            </w:r>
          </w:p>
        </w:tc>
        <w:tc>
          <w:tcPr>
            <w:tcW w:w="14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94"/>
              <w:spacing w:after="0"/>
              <w:rPr>
                <w:sz w:val="20"/>
                <w:szCs w:val="20"/>
                <w:color w:val="auto"/>
              </w:rPr>
            </w:pPr>
            <w:r>
              <w:rPr>
                <w:rFonts w:ascii="Arial" w:cs="Arial" w:eastAsia="Arial" w:hAnsi="Arial"/>
                <w:sz w:val="17"/>
                <w:szCs w:val="17"/>
                <w:color w:val="auto"/>
              </w:rPr>
              <w:t>12/31/2017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gridSpan w:val="7"/>
            <w:vMerge w:val="restart"/>
          </w:tcPr>
          <w:p>
            <w:pPr>
              <w:spacing w:after="0"/>
              <w:rPr>
                <w:sz w:val="20"/>
                <w:szCs w:val="20"/>
                <w:color w:val="auto"/>
              </w:rPr>
            </w:pPr>
            <w:r>
              <w:rPr>
                <w:rFonts w:ascii="Arial" w:cs="Arial" w:eastAsia="Arial" w:hAnsi="Arial"/>
                <w:sz w:val="17"/>
                <w:szCs w:val="17"/>
                <w:color w:val="auto"/>
              </w:rPr>
              <w:t>Accounts payable</w:t>
            </w: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gridSpan w:val="7"/>
            <w:vMerge w:val="continue"/>
          </w:tcPr>
          <w:p>
            <w:pPr>
              <w:spacing w:after="0"/>
              <w:rPr>
                <w:sz w:val="18"/>
                <w:szCs w:val="18"/>
                <w:color w:val="auto"/>
              </w:rPr>
            </w:pP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551</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Accrued capital expenditures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115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Accrued compensation and benefits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183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Accrued marketing expenses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78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Contract liabilities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74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Other current liabilities</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115</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700" w:type="dxa"/>
            <w:vAlign w:val="bottom"/>
            <w:gridSpan w:val="7"/>
          </w:tcPr>
          <w:p>
            <w:pPr>
              <w:spacing w:after="0"/>
              <w:rPr>
                <w:sz w:val="20"/>
                <w:szCs w:val="20"/>
                <w:color w:val="auto"/>
              </w:rPr>
            </w:pPr>
            <w:r>
              <w:rPr>
                <w:rFonts w:ascii="Arial" w:cs="Arial" w:eastAsia="Arial" w:hAnsi="Arial"/>
                <w:sz w:val="17"/>
                <w:szCs w:val="17"/>
                <w:color w:val="auto"/>
              </w:rPr>
              <w:t>Accounts payable and other current liabilities</w:t>
            </w: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1,116</w:t>
            </w:r>
          </w:p>
        </w:tc>
        <w:tc>
          <w:tcPr>
            <w:tcW w:w="16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985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700" w:type="dxa"/>
            <w:vAlign w:val="bottom"/>
            <w:gridSpan w:val="7"/>
          </w:tcPr>
          <w:p>
            <w:pPr>
              <w:spacing w:after="0"/>
              <w:rPr>
                <w:sz w:val="20"/>
                <w:szCs w:val="20"/>
                <w:color w:val="auto"/>
              </w:rPr>
            </w:pPr>
            <w:r>
              <w:rPr>
                <w:rFonts w:ascii="Arial" w:cs="Arial" w:eastAsia="Arial" w:hAnsi="Arial"/>
                <w:sz w:val="17"/>
                <w:szCs w:val="17"/>
                <w:color w:val="auto"/>
              </w:rPr>
              <w:t>Other Liabilities</w:t>
            </w:r>
          </w:p>
        </w:tc>
        <w:tc>
          <w:tcPr>
            <w:tcW w:w="3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434"/>
              <w:spacing w:after="0"/>
              <w:rPr>
                <w:sz w:val="20"/>
                <w:szCs w:val="20"/>
                <w:color w:val="auto"/>
              </w:rPr>
            </w:pPr>
            <w:r>
              <w:rPr>
                <w:rFonts w:ascii="Arial" w:cs="Arial" w:eastAsia="Arial" w:hAnsi="Arial"/>
                <w:sz w:val="17"/>
                <w:szCs w:val="17"/>
                <w:color w:val="auto"/>
              </w:rPr>
              <w:t>9/30/2018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jc w:val="right"/>
              <w:ind w:right="394"/>
              <w:spacing w:after="0"/>
              <w:rPr>
                <w:sz w:val="20"/>
                <w:szCs w:val="20"/>
                <w:color w:val="auto"/>
              </w:rPr>
            </w:pPr>
            <w:r>
              <w:rPr>
                <w:rFonts w:ascii="Arial" w:cs="Arial" w:eastAsia="Arial" w:hAnsi="Arial"/>
                <w:sz w:val="17"/>
                <w:szCs w:val="17"/>
                <w:color w:val="auto"/>
              </w:rPr>
              <w:t>12/31/2017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00" w:type="dxa"/>
            <w:vAlign w:val="bottom"/>
            <w:gridSpan w:val="7"/>
            <w:vMerge w:val="restart"/>
          </w:tcPr>
          <w:p>
            <w:pPr>
              <w:spacing w:after="0"/>
              <w:rPr>
                <w:sz w:val="20"/>
                <w:szCs w:val="20"/>
                <w:color w:val="auto"/>
              </w:rPr>
            </w:pPr>
            <w:r>
              <w:rPr>
                <w:rFonts w:ascii="Arial" w:cs="Arial" w:eastAsia="Arial" w:hAnsi="Arial"/>
                <w:sz w:val="17"/>
                <w:szCs w:val="17"/>
                <w:color w:val="auto"/>
              </w:rPr>
              <w:t>Deferred escalating minimum rent</w:t>
            </w: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700" w:type="dxa"/>
            <w:vAlign w:val="bottom"/>
            <w:gridSpan w:val="7"/>
            <w:vMerge w:val="continue"/>
          </w:tcPr>
          <w:p>
            <w:pPr>
              <w:spacing w:after="0"/>
              <w:rPr>
                <w:sz w:val="18"/>
                <w:szCs w:val="18"/>
                <w:color w:val="auto"/>
              </w:rPr>
            </w:pP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148</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Contract liabilities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Accrued income tax payable</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97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Deferred income tax liabilities</w:t>
            </w:r>
          </w:p>
        </w:tc>
        <w:tc>
          <w:tcPr>
            <w:tcW w:w="3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gridSpan w:val="7"/>
          </w:tcPr>
          <w:p>
            <w:pPr>
              <w:spacing w:after="0"/>
              <w:rPr>
                <w:sz w:val="20"/>
                <w:szCs w:val="20"/>
                <w:color w:val="auto"/>
              </w:rPr>
            </w:pPr>
            <w:r>
              <w:rPr>
                <w:rFonts w:ascii="Arial" w:cs="Arial" w:eastAsia="Arial" w:hAnsi="Arial"/>
                <w:sz w:val="17"/>
                <w:szCs w:val="17"/>
                <w:color w:val="auto"/>
              </w:rPr>
              <w:t>Other noncurrent liabilities</w:t>
            </w:r>
          </w:p>
        </w:tc>
        <w:tc>
          <w:tcPr>
            <w:tcW w:w="3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43</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00" w:type="dxa"/>
            <w:vAlign w:val="bottom"/>
            <w:gridSpan w:val="7"/>
          </w:tcPr>
          <w:p>
            <w:pPr>
              <w:spacing w:after="0"/>
              <w:rPr>
                <w:sz w:val="20"/>
                <w:szCs w:val="20"/>
                <w:color w:val="auto"/>
              </w:rPr>
            </w:pPr>
            <w:r>
              <w:rPr>
                <w:rFonts w:ascii="Arial" w:cs="Arial" w:eastAsia="Arial" w:hAnsi="Arial"/>
                <w:sz w:val="17"/>
                <w:szCs w:val="17"/>
                <w:color w:val="auto"/>
              </w:rPr>
              <w:t>Other liabilities</w:t>
            </w:r>
          </w:p>
        </w:tc>
        <w:tc>
          <w:tcPr>
            <w:tcW w:w="3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4"/>
              <w:spacing w:after="0"/>
              <w:rPr>
                <w:sz w:val="20"/>
                <w:szCs w:val="20"/>
                <w:color w:val="auto"/>
              </w:rPr>
            </w:pPr>
            <w:r>
              <w:rPr>
                <w:rFonts w:ascii="Arial" w:cs="Arial" w:eastAsia="Arial" w:hAnsi="Arial"/>
                <w:sz w:val="17"/>
                <w:szCs w:val="17"/>
                <w:color w:val="auto"/>
              </w:rPr>
              <w:t>385</w:t>
            </w:r>
          </w:p>
        </w:tc>
        <w:tc>
          <w:tcPr>
            <w:tcW w:w="16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ind w:right="114"/>
              <w:spacing w:after="0"/>
              <w:rPr>
                <w:sz w:val="20"/>
                <w:szCs w:val="20"/>
                <w:color w:val="auto"/>
              </w:rPr>
            </w:pPr>
            <w:r>
              <w:rPr>
                <w:rFonts w:ascii="Arial" w:cs="Arial" w:eastAsia="Arial" w:hAnsi="Arial"/>
                <w:sz w:val="17"/>
                <w:szCs w:val="17"/>
                <w:color w:val="auto"/>
              </w:rPr>
              <w:t>388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00" w:type="dxa"/>
            <w:vAlign w:val="bottom"/>
            <w:vMerge w:val="restart"/>
          </w:tcPr>
          <w:p>
            <w:pPr>
              <w:jc w:val="right"/>
              <w:ind w:right="1914"/>
              <w:spacing w:after="0"/>
              <w:rPr>
                <w:sz w:val="20"/>
                <w:szCs w:val="20"/>
                <w:color w:val="auto"/>
              </w:rPr>
            </w:pPr>
            <w:r>
              <w:rPr>
                <w:rFonts w:ascii="Arial" w:cs="Arial" w:eastAsia="Arial" w:hAnsi="Arial"/>
                <w:sz w:val="17"/>
                <w:szCs w:val="17"/>
                <w:color w:val="auto"/>
              </w:rPr>
              <w:t>14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9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36" w:right="1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6"/>
        </w:trPr>
        <w:tc>
          <w:tcPr>
            <w:tcW w:w="5140" w:type="dxa"/>
            <w:vAlign w:val="bottom"/>
          </w:tcPr>
          <w:p>
            <w:pPr>
              <w:spacing w:after="0"/>
              <w:rPr>
                <w:sz w:val="20"/>
                <w:szCs w:val="20"/>
                <w:color w:val="auto"/>
              </w:rPr>
            </w:pPr>
            <w:r>
              <w:rPr>
                <w:rFonts w:ascii="Arial" w:cs="Arial" w:eastAsia="Arial" w:hAnsi="Arial"/>
                <w:sz w:val="17"/>
                <w:szCs w:val="17"/>
                <w:b w:val="1"/>
                <w:bCs w:val="1"/>
                <w:color w:val="auto"/>
              </w:rPr>
              <w:t>Note 8 – Goodwill and Intangible Assets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5"/>
        </w:trPr>
        <w:tc>
          <w:tcPr>
            <w:tcW w:w="5140" w:type="dxa"/>
            <w:vAlign w:val="bottom"/>
          </w:tcPr>
          <w:p>
            <w:pPr>
              <w:spacing w:after="0"/>
              <w:rPr>
                <w:sz w:val="20"/>
                <w:szCs w:val="20"/>
                <w:color w:val="auto"/>
              </w:rPr>
            </w:pPr>
            <w:r>
              <w:rPr>
                <w:rFonts w:ascii="Arial" w:cs="Arial" w:eastAsia="Arial" w:hAnsi="Arial"/>
                <w:sz w:val="17"/>
                <w:szCs w:val="17"/>
                <w:color w:val="auto"/>
              </w:rPr>
              <w:t>The changes in the carrying amount of goodwill are as follows:</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2"/>
        </w:trPr>
        <w:tc>
          <w:tcPr>
            <w:tcW w:w="5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494"/>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274"/>
              <w:spacing w:after="0"/>
              <w:rPr>
                <w:sz w:val="20"/>
                <w:szCs w:val="20"/>
                <w:color w:val="auto"/>
              </w:rPr>
            </w:pPr>
            <w:r>
              <w:rPr>
                <w:rFonts w:ascii="Arial" w:cs="Arial" w:eastAsia="Arial" w:hAnsi="Arial"/>
                <w:sz w:val="17"/>
                <w:szCs w:val="17"/>
                <w:color w:val="auto"/>
              </w:rPr>
              <w:t>All Other</w:t>
            </w:r>
          </w:p>
        </w:tc>
      </w:tr>
      <w:tr>
        <w:trPr>
          <w:trHeight w:val="220"/>
        </w:trPr>
        <w:tc>
          <w:tcPr>
            <w:tcW w:w="5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34"/>
              <w:spacing w:after="0"/>
              <w:rPr>
                <w:sz w:val="20"/>
                <w:szCs w:val="20"/>
                <w:color w:val="auto"/>
              </w:rPr>
            </w:pPr>
            <w:r>
              <w:rPr>
                <w:rFonts w:ascii="Arial" w:cs="Arial" w:eastAsia="Arial" w:hAnsi="Arial"/>
                <w:sz w:val="17"/>
                <w:szCs w:val="17"/>
                <w:color w:val="auto"/>
              </w:rPr>
              <w:t>Company</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7"/>
                <w:szCs w:val="17"/>
                <w:color w:val="auto"/>
              </w:rPr>
              <w:t>KFC</w:t>
            </w: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7"/>
                <w:szCs w:val="17"/>
                <w:color w:val="auto"/>
              </w:rPr>
              <w:t>Pizza Hut</w:t>
            </w:r>
          </w:p>
        </w:tc>
        <w:tc>
          <w:tcPr>
            <w:tcW w:w="160" w:type="dxa"/>
            <w:vAlign w:val="bottom"/>
          </w:tcPr>
          <w:p>
            <w:pPr>
              <w:spacing w:after="0"/>
              <w:rPr>
                <w:sz w:val="19"/>
                <w:szCs w:val="19"/>
                <w:color w:val="auto"/>
              </w:rPr>
            </w:pPr>
          </w:p>
        </w:tc>
        <w:tc>
          <w:tcPr>
            <w:tcW w:w="1100" w:type="dxa"/>
            <w:vAlign w:val="bottom"/>
          </w:tcPr>
          <w:p>
            <w:pPr>
              <w:jc w:val="right"/>
              <w:ind w:right="274"/>
              <w:spacing w:after="0"/>
              <w:rPr>
                <w:sz w:val="20"/>
                <w:szCs w:val="20"/>
                <w:color w:val="auto"/>
              </w:rPr>
            </w:pPr>
            <w:r>
              <w:rPr>
                <w:rFonts w:ascii="Arial" w:cs="Arial" w:eastAsia="Arial" w:hAnsi="Arial"/>
                <w:sz w:val="17"/>
                <w:szCs w:val="17"/>
                <w:color w:val="auto"/>
                <w:w w:val="94"/>
              </w:rPr>
              <w:t>Segments</w:t>
            </w:r>
          </w:p>
        </w:tc>
      </w:tr>
      <w:tr>
        <w:trPr>
          <w:trHeight w:val="214"/>
        </w:trPr>
        <w:tc>
          <w:tcPr>
            <w:tcW w:w="5140" w:type="dxa"/>
            <w:vAlign w:val="bottom"/>
          </w:tcPr>
          <w:p>
            <w:pPr>
              <w:spacing w:after="0"/>
              <w:rPr>
                <w:sz w:val="20"/>
                <w:szCs w:val="20"/>
                <w:color w:val="auto"/>
              </w:rPr>
            </w:pPr>
            <w:r>
              <w:rPr>
                <w:rFonts w:ascii="Arial" w:cs="Arial" w:eastAsia="Arial" w:hAnsi="Arial"/>
                <w:sz w:val="17"/>
                <w:szCs w:val="17"/>
                <w:color w:val="auto"/>
              </w:rPr>
              <w:t>Balance as of December 31, 2017</w:t>
            </w: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0"/>
        </w:trPr>
        <w:tc>
          <w:tcPr>
            <w:tcW w:w="5140" w:type="dxa"/>
            <w:vAlign w:val="bottom"/>
          </w:tcPr>
          <w:p>
            <w:pPr>
              <w:ind w:left="240"/>
              <w:spacing w:after="0"/>
              <w:rPr>
                <w:sz w:val="20"/>
                <w:szCs w:val="20"/>
                <w:color w:val="auto"/>
              </w:rPr>
            </w:pPr>
            <w:r>
              <w:rPr>
                <w:rFonts w:ascii="Arial" w:cs="Arial" w:eastAsia="Arial" w:hAnsi="Arial"/>
                <w:sz w:val="17"/>
                <w:szCs w:val="17"/>
                <w:color w:val="auto"/>
              </w:rPr>
              <w:t>Goodwill, gross</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490</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391</w:t>
            </w:r>
          </w:p>
        </w:tc>
      </w:tr>
      <w:tr>
        <w:trPr>
          <w:trHeight w:val="221"/>
        </w:trPr>
        <w:tc>
          <w:tcPr>
            <w:tcW w:w="5140" w:type="dxa"/>
            <w:vAlign w:val="bottom"/>
          </w:tcPr>
          <w:p>
            <w:pPr>
              <w:ind w:left="240"/>
              <w:spacing w:after="0"/>
              <w:rPr>
                <w:sz w:val="20"/>
                <w:szCs w:val="20"/>
                <w:color w:val="auto"/>
              </w:rPr>
            </w:pPr>
            <w:r>
              <w:rPr>
                <w:rFonts w:ascii="Arial" w:cs="Arial" w:eastAsia="Arial" w:hAnsi="Arial"/>
                <w:sz w:val="17"/>
                <w:szCs w:val="17"/>
                <w:color w:val="auto"/>
              </w:rPr>
              <w:t>Accumulated impairment losses</w:t>
            </w:r>
            <w:r>
              <w:rPr>
                <w:rFonts w:ascii="Arial" w:cs="Arial" w:eastAsia="Arial" w:hAnsi="Arial"/>
                <w:sz w:val="14"/>
                <w:szCs w:val="14"/>
                <w:color w:val="auto"/>
              </w:rPr>
              <w:t>(a)</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(382)</w:t>
            </w:r>
          </w:p>
        </w:tc>
      </w:tr>
      <w:tr>
        <w:trPr>
          <w:trHeight w:val="213"/>
        </w:trPr>
        <w:tc>
          <w:tcPr>
            <w:tcW w:w="5140" w:type="dxa"/>
            <w:vAlign w:val="bottom"/>
          </w:tcPr>
          <w:p>
            <w:pPr>
              <w:ind w:left="240"/>
              <w:spacing w:after="0"/>
              <w:rPr>
                <w:sz w:val="20"/>
                <w:szCs w:val="20"/>
                <w:color w:val="auto"/>
              </w:rPr>
            </w:pPr>
            <w:r>
              <w:rPr>
                <w:rFonts w:ascii="Arial" w:cs="Arial" w:eastAsia="Arial" w:hAnsi="Arial"/>
                <w:sz w:val="17"/>
                <w:szCs w:val="17"/>
                <w:color w:val="auto"/>
              </w:rPr>
              <w:t>Goodwill, net</w:t>
            </w:r>
          </w:p>
        </w:tc>
        <w:tc>
          <w:tcPr>
            <w:tcW w:w="7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108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9</w:t>
            </w:r>
          </w:p>
        </w:tc>
      </w:tr>
      <w:tr>
        <w:trPr>
          <w:trHeight w:val="221"/>
        </w:trPr>
        <w:tc>
          <w:tcPr>
            <w:tcW w:w="5140" w:type="dxa"/>
            <w:vAlign w:val="bottom"/>
          </w:tcPr>
          <w:p>
            <w:pPr>
              <w:ind w:left="240"/>
              <w:spacing w:after="0"/>
              <w:rPr>
                <w:sz w:val="20"/>
                <w:szCs w:val="20"/>
                <w:color w:val="auto"/>
              </w:rPr>
            </w:pPr>
            <w:r>
              <w:rPr>
                <w:rFonts w:ascii="Arial" w:cs="Arial" w:eastAsia="Arial" w:hAnsi="Arial"/>
                <w:sz w:val="17"/>
                <w:szCs w:val="17"/>
                <w:color w:val="auto"/>
              </w:rPr>
              <w:t>Goodwill acquired</w:t>
            </w:r>
            <w:r>
              <w:rPr>
                <w:rFonts w:ascii="Arial" w:cs="Arial" w:eastAsia="Arial" w:hAnsi="Arial"/>
                <w:sz w:val="14"/>
                <w:szCs w:val="14"/>
                <w:color w:val="auto"/>
              </w:rPr>
              <w:t>(b)</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221"/>
        </w:trPr>
        <w:tc>
          <w:tcPr>
            <w:tcW w:w="5140" w:type="dxa"/>
            <w:vAlign w:val="bottom"/>
          </w:tcPr>
          <w:p>
            <w:pPr>
              <w:ind w:left="240"/>
              <w:spacing w:after="0"/>
              <w:rPr>
                <w:sz w:val="20"/>
                <w:szCs w:val="20"/>
                <w:color w:val="auto"/>
              </w:rPr>
            </w:pPr>
            <w:r>
              <w:rPr>
                <w:rFonts w:ascii="Arial" w:cs="Arial" w:eastAsia="Arial" w:hAnsi="Arial"/>
                <w:sz w:val="17"/>
                <w:szCs w:val="17"/>
                <w:color w:val="auto"/>
              </w:rPr>
              <w:t>Effect of currency translation adjustment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w:t>
            </w:r>
          </w:p>
        </w:tc>
      </w:tr>
      <w:tr>
        <w:trPr>
          <w:trHeight w:val="221"/>
        </w:trPr>
        <w:tc>
          <w:tcPr>
            <w:tcW w:w="5140" w:type="dxa"/>
            <w:vAlign w:val="bottom"/>
          </w:tcPr>
          <w:p>
            <w:pPr>
              <w:spacing w:after="0"/>
              <w:rPr>
                <w:sz w:val="20"/>
                <w:szCs w:val="20"/>
                <w:color w:val="auto"/>
              </w:rPr>
            </w:pPr>
            <w:r>
              <w:rPr>
                <w:rFonts w:ascii="Arial" w:cs="Arial" w:eastAsia="Arial" w:hAnsi="Arial"/>
                <w:sz w:val="17"/>
                <w:szCs w:val="17"/>
                <w:color w:val="auto"/>
              </w:rPr>
              <w:t>Balance as of September 30, 2018</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0"/>
        </w:trPr>
        <w:tc>
          <w:tcPr>
            <w:tcW w:w="5140" w:type="dxa"/>
            <w:vAlign w:val="bottom"/>
          </w:tcPr>
          <w:p>
            <w:pPr>
              <w:ind w:left="240"/>
              <w:spacing w:after="0"/>
              <w:rPr>
                <w:sz w:val="20"/>
                <w:szCs w:val="20"/>
                <w:color w:val="auto"/>
              </w:rPr>
            </w:pPr>
            <w:r>
              <w:rPr>
                <w:rFonts w:ascii="Arial" w:cs="Arial" w:eastAsia="Arial" w:hAnsi="Arial"/>
                <w:sz w:val="17"/>
                <w:szCs w:val="17"/>
                <w:color w:val="auto"/>
              </w:rPr>
              <w:t>Goodwill, gross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648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391</w:t>
            </w:r>
          </w:p>
        </w:tc>
      </w:tr>
      <w:tr>
        <w:trPr>
          <w:trHeight w:val="221"/>
        </w:trPr>
        <w:tc>
          <w:tcPr>
            <w:tcW w:w="5140" w:type="dxa"/>
            <w:vAlign w:val="bottom"/>
          </w:tcPr>
          <w:p>
            <w:pPr>
              <w:ind w:left="240"/>
              <w:spacing w:after="0"/>
              <w:rPr>
                <w:sz w:val="20"/>
                <w:szCs w:val="20"/>
                <w:color w:val="auto"/>
              </w:rPr>
            </w:pPr>
            <w:r>
              <w:rPr>
                <w:rFonts w:ascii="Arial" w:cs="Arial" w:eastAsia="Arial" w:hAnsi="Arial"/>
                <w:sz w:val="17"/>
                <w:szCs w:val="17"/>
                <w:color w:val="auto"/>
              </w:rPr>
              <w:t>Accumulated impairment losses</w:t>
            </w:r>
            <w:r>
              <w:rPr>
                <w:rFonts w:ascii="Arial" w:cs="Arial" w:eastAsia="Arial" w:hAnsi="Arial"/>
                <w:sz w:val="14"/>
                <w:szCs w:val="14"/>
                <w:color w:val="auto"/>
              </w:rPr>
              <w:t>(a)</w:t>
            </w:r>
          </w:p>
        </w:tc>
        <w:tc>
          <w:tcPr>
            <w:tcW w:w="7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w:t>
            </w:r>
          </w:p>
        </w:tc>
      </w:tr>
      <w:tr>
        <w:trPr>
          <w:trHeight w:val="214"/>
        </w:trPr>
        <w:tc>
          <w:tcPr>
            <w:tcW w:w="5140" w:type="dxa"/>
            <w:vAlign w:val="bottom"/>
          </w:tcPr>
          <w:p>
            <w:pPr>
              <w:ind w:left="240"/>
              <w:spacing w:after="0"/>
              <w:rPr>
                <w:sz w:val="20"/>
                <w:szCs w:val="20"/>
                <w:color w:val="auto"/>
              </w:rPr>
            </w:pPr>
            <w:r>
              <w:rPr>
                <w:rFonts w:ascii="Arial" w:cs="Arial" w:eastAsia="Arial" w:hAnsi="Arial"/>
                <w:sz w:val="17"/>
                <w:szCs w:val="17"/>
                <w:color w:val="auto"/>
              </w:rPr>
              <w:t>Goodwill, net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266</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4"/>
              <w:spacing w:after="0"/>
              <w:rPr>
                <w:sz w:val="20"/>
                <w:szCs w:val="20"/>
                <w:color w:val="auto"/>
              </w:rPr>
            </w:pPr>
            <w:r>
              <w:rPr>
                <w:rFonts w:ascii="Arial" w:cs="Arial" w:eastAsia="Arial" w:hAnsi="Arial"/>
                <w:sz w:val="17"/>
                <w:szCs w:val="17"/>
                <w:color w:val="auto"/>
              </w:rPr>
              <w:t>239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9</w:t>
            </w:r>
          </w:p>
        </w:tc>
      </w:tr>
      <w:tr>
        <w:trPr>
          <w:trHeight w:val="20"/>
        </w:trPr>
        <w:tc>
          <w:tcPr>
            <w:tcW w:w="5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20" w:hanging="516"/>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Accumulated impairment losses represent Little Sheep goodwill impairment.</w:t>
      </w:r>
    </w:p>
    <w:p>
      <w:pPr>
        <w:spacing w:after="0" w:line="219" w:lineRule="exact"/>
        <w:rPr>
          <w:rFonts w:ascii="Arial" w:cs="Arial" w:eastAsia="Arial" w:hAnsi="Arial"/>
          <w:sz w:val="17"/>
          <w:szCs w:val="17"/>
          <w:color w:val="auto"/>
        </w:rPr>
      </w:pPr>
    </w:p>
    <w:p>
      <w:pPr>
        <w:ind w:left="520" w:hanging="516"/>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Goodwill acquired in connection with the acquisition of Wuxi KFC.</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as of September 30, 2018 and December 31, 2017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color w:val="auto"/>
                <w:w w:val="92"/>
              </w:rPr>
              <w:t>9/30/2018</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4"/>
              <w:spacing w:after="0"/>
              <w:rPr>
                <w:sz w:val="20"/>
                <w:szCs w:val="20"/>
                <w:color w:val="auto"/>
              </w:rPr>
            </w:pPr>
            <w:r>
              <w:rPr>
                <w:rFonts w:ascii="Arial" w:cs="Arial" w:eastAsia="Arial" w:hAnsi="Arial"/>
                <w:sz w:val="17"/>
                <w:szCs w:val="17"/>
                <w:color w:val="auto"/>
                <w:w w:val="93"/>
              </w:rPr>
              <w:t>12/31/2017</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060" w:type="dxa"/>
            <w:vAlign w:val="bottom"/>
          </w:tcPr>
          <w:p>
            <w:pPr>
              <w:spacing w:after="0"/>
              <w:rPr>
                <w:sz w:val="17"/>
                <w:szCs w:val="17"/>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7"/>
                <w:szCs w:val="17"/>
                <w:color w:val="auto"/>
                <w:w w:val="92"/>
              </w:rPr>
              <w:t>Gross Carrying</w:t>
            </w: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3"/>
              </w:rPr>
              <w:t>Accumulated</w:t>
            </w: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6"/>
              </w:rPr>
              <w:t>Net Carrying</w:t>
            </w:r>
          </w:p>
        </w:tc>
        <w:tc>
          <w:tcPr>
            <w:tcW w:w="1420" w:type="dxa"/>
            <w:vAlign w:val="bottom"/>
            <w:gridSpan w:val="3"/>
          </w:tcPr>
          <w:p>
            <w:pPr>
              <w:jc w:val="center"/>
              <w:ind w:right="240"/>
              <w:spacing w:after="0"/>
              <w:rPr>
                <w:sz w:val="20"/>
                <w:szCs w:val="20"/>
                <w:color w:val="auto"/>
              </w:rPr>
            </w:pPr>
            <w:r>
              <w:rPr>
                <w:rFonts w:ascii="Arial" w:cs="Arial" w:eastAsia="Arial" w:hAnsi="Arial"/>
                <w:sz w:val="17"/>
                <w:szCs w:val="17"/>
                <w:color w:val="auto"/>
                <w:w w:val="92"/>
              </w:rPr>
              <w:t>Gross Carrying</w:t>
            </w: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3"/>
              </w:rPr>
              <w:t>Accumulated</w:t>
            </w:r>
          </w:p>
        </w:tc>
        <w:tc>
          <w:tcPr>
            <w:tcW w:w="120" w:type="dxa"/>
            <w:vAlign w:val="bottom"/>
          </w:tcPr>
          <w:p>
            <w:pPr>
              <w:spacing w:after="0"/>
              <w:rPr>
                <w:sz w:val="17"/>
                <w:szCs w:val="17"/>
                <w:color w:val="auto"/>
              </w:rPr>
            </w:pPr>
          </w:p>
        </w:tc>
        <w:tc>
          <w:tcPr>
            <w:tcW w:w="1220" w:type="dxa"/>
            <w:vAlign w:val="bottom"/>
          </w:tcPr>
          <w:p>
            <w:pPr>
              <w:jc w:val="right"/>
              <w:ind w:right="194"/>
              <w:spacing w:after="0"/>
              <w:rPr>
                <w:sz w:val="20"/>
                <w:szCs w:val="20"/>
                <w:color w:val="auto"/>
              </w:rPr>
            </w:pPr>
            <w:r>
              <w:rPr>
                <w:rFonts w:ascii="Arial" w:cs="Arial" w:eastAsia="Arial" w:hAnsi="Arial"/>
                <w:sz w:val="17"/>
                <w:szCs w:val="17"/>
                <w:color w:val="auto"/>
                <w:w w:val="96"/>
              </w:rPr>
              <w:t>Net Carrying</w:t>
            </w:r>
          </w:p>
        </w:tc>
        <w:tc>
          <w:tcPr>
            <w:tcW w:w="0" w:type="dxa"/>
            <w:vAlign w:val="bottom"/>
          </w:tcPr>
          <w:p>
            <w:pPr>
              <w:spacing w:after="0"/>
              <w:rPr>
                <w:sz w:val="1"/>
                <w:szCs w:val="1"/>
                <w:color w:val="auto"/>
              </w:rPr>
            </w:pPr>
          </w:p>
        </w:tc>
      </w:tr>
      <w:tr>
        <w:trPr>
          <w:trHeight w:val="220"/>
        </w:trPr>
        <w:tc>
          <w:tcPr>
            <w:tcW w:w="3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color w:val="auto"/>
                <w:w w:val="95"/>
              </w:rPr>
              <w:t>Amount</w:t>
            </w: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7"/>
              </w:rPr>
              <w:t>Amortization</w:t>
            </w: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5"/>
              </w:rPr>
              <w:t>Amount</w:t>
            </w:r>
          </w:p>
        </w:tc>
        <w:tc>
          <w:tcPr>
            <w:tcW w:w="200" w:type="dxa"/>
            <w:vAlign w:val="bottom"/>
          </w:tcPr>
          <w:p>
            <w:pPr>
              <w:spacing w:after="0"/>
              <w:rPr>
                <w:sz w:val="19"/>
                <w:szCs w:val="19"/>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7"/>
                <w:szCs w:val="17"/>
                <w:color w:val="auto"/>
                <w:w w:val="98"/>
              </w:rPr>
              <w:t>Amount</w:t>
            </w:r>
          </w:p>
        </w:tc>
        <w:tc>
          <w:tcPr>
            <w:tcW w:w="10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color w:val="auto"/>
                <w:w w:val="97"/>
              </w:rPr>
              <w:t>Amortization</w:t>
            </w:r>
          </w:p>
        </w:tc>
        <w:tc>
          <w:tcPr>
            <w:tcW w:w="120" w:type="dxa"/>
            <w:vAlign w:val="bottom"/>
          </w:tcPr>
          <w:p>
            <w:pPr>
              <w:spacing w:after="0"/>
              <w:rPr>
                <w:sz w:val="19"/>
                <w:szCs w:val="19"/>
                <w:color w:val="auto"/>
              </w:rPr>
            </w:pPr>
          </w:p>
        </w:tc>
        <w:tc>
          <w:tcPr>
            <w:tcW w:w="1220" w:type="dxa"/>
            <w:vAlign w:val="bottom"/>
          </w:tcPr>
          <w:p>
            <w:pPr>
              <w:jc w:val="right"/>
              <w:ind w:right="354"/>
              <w:spacing w:after="0"/>
              <w:rPr>
                <w:sz w:val="20"/>
                <w:szCs w:val="20"/>
                <w:color w:val="auto"/>
              </w:rPr>
            </w:pPr>
            <w:r>
              <w:rPr>
                <w:rFonts w:ascii="Arial" w:cs="Arial" w:eastAsia="Arial" w:hAnsi="Arial"/>
                <w:sz w:val="17"/>
                <w:szCs w:val="17"/>
                <w:color w:val="auto"/>
              </w:rPr>
              <w:t>Amount</w:t>
            </w:r>
          </w:p>
        </w:tc>
        <w:tc>
          <w:tcPr>
            <w:tcW w:w="0" w:type="dxa"/>
            <w:vAlign w:val="bottom"/>
          </w:tcPr>
          <w:p>
            <w:pPr>
              <w:spacing w:after="0"/>
              <w:rPr>
                <w:sz w:val="1"/>
                <w:szCs w:val="1"/>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7"/>
                <w:szCs w:val="17"/>
                <w:color w:val="auto"/>
              </w:rPr>
              <w:t>Definite-lived intangible assets</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60" w:type="dxa"/>
            <w:vAlign w:val="bottom"/>
          </w:tcPr>
          <w:p>
            <w:pPr>
              <w:ind w:left="240"/>
              <w:spacing w:after="0"/>
              <w:rPr>
                <w:sz w:val="20"/>
                <w:szCs w:val="20"/>
                <w:color w:val="auto"/>
              </w:rPr>
            </w:pPr>
            <w:r>
              <w:rPr>
                <w:rFonts w:ascii="Arial" w:cs="Arial" w:eastAsia="Arial" w:hAnsi="Arial"/>
                <w:sz w:val="17"/>
                <w:szCs w:val="17"/>
                <w:color w:val="auto"/>
              </w:rPr>
              <w:t>Reacquired franchise rights</w:t>
            </w:r>
            <w:r>
              <w:rPr>
                <w:rFonts w:ascii="Arial" w:cs="Arial" w:eastAsia="Arial" w:hAnsi="Arial"/>
                <w:sz w:val="14"/>
                <w:szCs w:val="14"/>
                <w:color w:val="auto"/>
              </w:rPr>
              <w:t>(c)</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1"/>
        </w:trPr>
        <w:tc>
          <w:tcPr>
            <w:tcW w:w="3060" w:type="dxa"/>
            <w:vAlign w:val="bottom"/>
          </w:tcPr>
          <w:p>
            <w:pPr>
              <w:ind w:left="240"/>
              <w:spacing w:after="0"/>
              <w:rPr>
                <w:sz w:val="20"/>
                <w:szCs w:val="20"/>
                <w:color w:val="auto"/>
              </w:rPr>
            </w:pPr>
            <w:r>
              <w:rPr>
                <w:rFonts w:ascii="Arial" w:cs="Arial" w:eastAsia="Arial" w:hAnsi="Arial"/>
                <w:sz w:val="17"/>
                <w:szCs w:val="17"/>
                <w:color w:val="auto"/>
              </w:rPr>
              <w:t>Daojia platform</w:t>
            </w:r>
          </w:p>
        </w:tc>
        <w:tc>
          <w:tcPr>
            <w:tcW w:w="18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1"/>
        </w:trPr>
        <w:tc>
          <w:tcPr>
            <w:tcW w:w="3060" w:type="dxa"/>
            <w:vAlign w:val="bottom"/>
          </w:tcPr>
          <w:p>
            <w:pPr>
              <w:ind w:left="240"/>
              <w:spacing w:after="0"/>
              <w:rPr>
                <w:sz w:val="20"/>
                <w:szCs w:val="20"/>
                <w:color w:val="auto"/>
              </w:rPr>
            </w:pPr>
            <w:r>
              <w:rPr>
                <w:rFonts w:ascii="Arial" w:cs="Arial" w:eastAsia="Arial" w:hAnsi="Arial"/>
                <w:sz w:val="17"/>
                <w:szCs w:val="17"/>
                <w:color w:val="auto"/>
              </w:rPr>
              <w:t>Customer-related assets</w:t>
            </w:r>
          </w:p>
        </w:tc>
        <w:tc>
          <w:tcPr>
            <w:tcW w:w="18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1"/>
        </w:trPr>
        <w:tc>
          <w:tcPr>
            <w:tcW w:w="3060" w:type="dxa"/>
            <w:vAlign w:val="bottom"/>
          </w:tcPr>
          <w:p>
            <w:pPr>
              <w:ind w:left="240"/>
              <w:spacing w:after="0"/>
              <w:rPr>
                <w:sz w:val="20"/>
                <w:szCs w:val="20"/>
                <w:color w:val="auto"/>
              </w:rPr>
            </w:pPr>
            <w:r>
              <w:rPr>
                <w:rFonts w:ascii="Arial" w:cs="Arial" w:eastAsia="Arial" w:hAnsi="Arial"/>
                <w:sz w:val="17"/>
                <w:szCs w:val="17"/>
                <w:color w:val="auto"/>
              </w:rPr>
              <w:t>Other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20"/>
                <w:szCs w:val="20"/>
                <w:color w:val="auto"/>
              </w:rPr>
            </w:pPr>
            <w:r>
              <w:rPr>
                <w:rFonts w:ascii="Arial" w:cs="Arial" w:eastAsia="Arial" w:hAnsi="Arial"/>
                <w:sz w:val="17"/>
                <w:szCs w:val="17"/>
                <w:color w:val="auto"/>
              </w:rPr>
              <w:t>Indefinite-lived intangible assets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60" w:type="dxa"/>
            <w:vAlign w:val="bottom"/>
          </w:tcPr>
          <w:p>
            <w:pPr>
              <w:ind w:left="240"/>
              <w:spacing w:after="0"/>
              <w:rPr>
                <w:sz w:val="20"/>
                <w:szCs w:val="20"/>
                <w:color w:val="auto"/>
              </w:rPr>
            </w:pPr>
            <w:r>
              <w:rPr>
                <w:rFonts w:ascii="Arial" w:cs="Arial" w:eastAsia="Arial" w:hAnsi="Arial"/>
                <w:sz w:val="17"/>
                <w:szCs w:val="17"/>
                <w:color w:val="auto"/>
              </w:rPr>
              <w:t>Little Sheep trademark</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200" w:type="dxa"/>
            <w:vAlign w:val="bottom"/>
          </w:tcPr>
          <w:p>
            <w:pPr>
              <w:jc w:val="right"/>
              <w:ind w:right="42"/>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56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ind w:right="34"/>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1"/>
        </w:trPr>
        <w:tc>
          <w:tcPr>
            <w:tcW w:w="3060" w:type="dxa"/>
            <w:vAlign w:val="bottom"/>
            <w:vMerge w:val="restart"/>
          </w:tcPr>
          <w:p>
            <w:pPr>
              <w:spacing w:after="0"/>
              <w:rPr>
                <w:sz w:val="20"/>
                <w:szCs w:val="20"/>
                <w:color w:val="auto"/>
              </w:rPr>
            </w:pPr>
            <w:r>
              <w:rPr>
                <w:rFonts w:ascii="Arial" w:cs="Arial" w:eastAsia="Arial" w:hAnsi="Arial"/>
                <w:sz w:val="17"/>
                <w:szCs w:val="17"/>
                <w:color w:val="auto"/>
              </w:rPr>
              <w:t>Total intangible assets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060" w:type="dxa"/>
            <w:vAlign w:val="bottom"/>
            <w:vMerge w:val="continue"/>
          </w:tcPr>
          <w:p>
            <w:pPr>
              <w:spacing w:after="0"/>
              <w:rPr>
                <w:sz w:val="18"/>
                <w:szCs w:val="18"/>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248</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hanging="516"/>
        <w:spacing w:after="0" w:line="285" w:lineRule="auto"/>
        <w:tabs>
          <w:tab w:leader="none" w:pos="5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 in gross carrying amount of reacquired franchise rights during the year to date ended September 30, 2018 primarily resulted from the acquisition of Wuxi KFC.</w:t>
      </w:r>
    </w:p>
    <w:p>
      <w:pPr>
        <w:spacing w:after="0" w:line="18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Amortization expense of definite-lived intangible assets was $7 million and $4 million for the quarters ended September 30, 2018 and 2017, respectively, and $20 million and $10 million for the years to date ended September 30, 2018 and 2017, respectively. As of September 30, 2018, expected amortization expense for the unamortized definite-lived intangible assets is approximately $7 million for the remainder of 2018, $19 million in 2019, $15 million in 2020, $15 million in 2021 and $14 million in 2022.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 Fair Value Measurements</w:t>
      </w:r>
    </w:p>
    <w:p>
      <w:pPr>
        <w:spacing w:after="0" w:line="22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Company’s financial assets and liabilities primarily consist of cash and cash equivalents, short-term investments, accounts receivable and accounts payable, and the carrying values of these assets and liabilities approximate their fair value in general. Cash equivalents primarily consist of money market funds, fixed income debt securities and time deposits with original maturities not exceeding three months from the time of purchase. Short-term investments primarily consist of time deposits and fixed income debt securities with original maturities over three months but less than one year from the time of purchase.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17"/>
          <w:szCs w:val="17"/>
          <w:color w:val="auto"/>
        </w:rPr>
        <w:t>The Company subscribed for 8.4 million, or less than 1%, of the ordinary shares of Meituan Dianping (“Meituan”), an e-commerce platform for services in China, for a total consideration of approximately $74 million, when it launched initial public offering on the Hong Kong Stock Exchange in September 2018. The Company accounted for the equity securities at fair value with subsequent fair value changes recorded in our Condensed Consolidated Statement of Income. The fair value of the investment in Meituan is determined based on the closing market price for the shares at the end of each reporting period. The related unrealized loss recognized during the period was immaterial, and was included in Interest and other income, net.</w:t>
      </w:r>
    </w:p>
    <w:p>
      <w:pPr>
        <w:spacing w:after="0" w:line="17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classifies its cash equivalents, short term investments and investment in equity securities within Level 1 or Level 2 in the fair value hierarchy because it uses quoted market prices or alternative pricing sources and models utilizing market observable inputs to determine their fair value, respectively. The following table is a summary of our assets measured or disclosed at fair value on a recurring basis and the level within the fair value hierarchy in which the measurement falls. No transfers among the levels within the fair value hierarchy occurred during the quarter and year to date ended September 30,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gridSpan w:val="9"/>
          </w:tcPr>
          <w:p>
            <w:pPr>
              <w:jc w:val="center"/>
              <w:ind w:left="74"/>
              <w:spacing w:after="0"/>
              <w:rPr>
                <w:sz w:val="20"/>
                <w:szCs w:val="20"/>
                <w:color w:val="auto"/>
              </w:rPr>
            </w:pPr>
            <w:r>
              <w:rPr>
                <w:rFonts w:ascii="Arial" w:cs="Arial" w:eastAsia="Arial" w:hAnsi="Arial"/>
                <w:sz w:val="17"/>
                <w:szCs w:val="17"/>
                <w:color w:val="auto"/>
                <w:w w:val="91"/>
              </w:rPr>
              <w:t>Fair Value Measurement or Disclosure at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7"/>
                <w:szCs w:val="17"/>
                <w:color w:val="auto"/>
                <w:w w:val="90"/>
              </w:rPr>
              <w:t>September 30, 2018</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right"/>
              <w:ind w:right="754"/>
              <w:spacing w:after="0"/>
              <w:rPr>
                <w:sz w:val="20"/>
                <w:szCs w:val="20"/>
                <w:color w:val="auto"/>
              </w:rPr>
            </w:pPr>
            <w:r>
              <w:rPr>
                <w:rFonts w:ascii="Arial" w:cs="Arial" w:eastAsia="Arial" w:hAnsi="Arial"/>
                <w:sz w:val="17"/>
                <w:szCs w:val="17"/>
                <w:color w:val="auto"/>
              </w:rPr>
              <w:t>Balance at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w w:val="98"/>
              </w:rPr>
              <w:t>September 30, 2018</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color w:val="auto"/>
              </w:rPr>
              <w:t>Level 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Level 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Level 3</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7"/>
                <w:szCs w:val="17"/>
                <w:color w:val="auto"/>
              </w:rPr>
              <w:t>Cash equivalents: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20"/>
              <w:spacing w:after="0"/>
              <w:rPr>
                <w:sz w:val="20"/>
                <w:szCs w:val="20"/>
                <w:color w:val="auto"/>
              </w:rPr>
            </w:pPr>
            <w:r>
              <w:rPr>
                <w:rFonts w:ascii="Arial" w:cs="Arial" w:eastAsia="Arial" w:hAnsi="Arial"/>
                <w:sz w:val="17"/>
                <w:szCs w:val="17"/>
                <w:color w:val="auto"/>
              </w:rPr>
              <w:t>Time deposits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677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677</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20"/>
              <w:spacing w:after="0"/>
              <w:rPr>
                <w:sz w:val="20"/>
                <w:szCs w:val="20"/>
                <w:color w:val="auto"/>
              </w:rPr>
            </w:pPr>
            <w:r>
              <w:rPr>
                <w:rFonts w:ascii="Arial" w:cs="Arial" w:eastAsia="Arial" w:hAnsi="Arial"/>
                <w:sz w:val="17"/>
                <w:szCs w:val="17"/>
                <w:color w:val="auto"/>
              </w:rPr>
              <w:t>Money market funds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242</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242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20"/>
              <w:spacing w:after="0"/>
              <w:rPr>
                <w:sz w:val="20"/>
                <w:szCs w:val="20"/>
                <w:color w:val="auto"/>
              </w:rPr>
            </w:pPr>
            <w:r>
              <w:rPr>
                <w:rFonts w:ascii="Arial" w:cs="Arial" w:eastAsia="Arial" w:hAnsi="Arial"/>
                <w:sz w:val="17"/>
                <w:szCs w:val="17"/>
                <w:color w:val="auto"/>
              </w:rPr>
              <w:t>Fixed income debt securities</w:t>
            </w:r>
            <w:r>
              <w:rPr>
                <w:rFonts w:ascii="Arial" w:cs="Arial" w:eastAsia="Arial" w:hAnsi="Arial"/>
                <w:sz w:val="14"/>
                <w:szCs w:val="14"/>
                <w:color w:val="auto"/>
              </w:rPr>
              <w:t>(a)</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29</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7"/>
                <w:szCs w:val="17"/>
                <w:color w:val="auto"/>
              </w:rPr>
              <w:t>Total cash equivalents</w:t>
            </w:r>
          </w:p>
        </w:tc>
        <w:tc>
          <w:tcPr>
            <w:tcW w:w="10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948</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271</w:t>
            </w: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677</w:t>
            </w:r>
          </w:p>
        </w:tc>
        <w:tc>
          <w:tcPr>
            <w:tcW w:w="320" w:type="dxa"/>
            <w:vAlign w:val="bottom"/>
          </w:tcPr>
          <w:p>
            <w:pPr>
              <w:spacing w:after="0"/>
              <w:rPr>
                <w:sz w:val="18"/>
                <w:szCs w:val="18"/>
                <w:color w:val="auto"/>
              </w:rPr>
            </w:pPr>
          </w:p>
        </w:tc>
        <w:tc>
          <w:tcPr>
            <w:tcW w:w="800" w:type="dxa"/>
            <w:vAlign w:val="bottom"/>
            <w:gridSpan w:val="2"/>
          </w:tcPr>
          <w:p>
            <w:pPr>
              <w:jc w:val="right"/>
              <w:ind w:right="634"/>
              <w:spacing w:after="0"/>
              <w:rPr>
                <w:sz w:val="20"/>
                <w:szCs w:val="20"/>
                <w:color w:val="auto"/>
              </w:rPr>
            </w:pPr>
            <w:r>
              <w:rPr>
                <w:rFonts w:ascii="Arial" w:cs="Arial" w:eastAsia="Arial" w:hAnsi="Arial"/>
                <w:sz w:val="15"/>
                <w:szCs w:val="15"/>
                <w:color w:val="auto"/>
                <w:w w:val="71"/>
              </w:rPr>
              <w:t>$</w:t>
            </w:r>
          </w:p>
        </w:tc>
        <w:tc>
          <w:tcPr>
            <w:tcW w:w="30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7"/>
                <w:szCs w:val="17"/>
                <w:color w:val="auto"/>
              </w:rPr>
              <w:t>Short-term investments:</w:t>
            </w:r>
          </w:p>
        </w:tc>
        <w:tc>
          <w:tcPr>
            <w:tcW w:w="1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20"/>
              <w:spacing w:after="0"/>
              <w:rPr>
                <w:sz w:val="20"/>
                <w:szCs w:val="20"/>
                <w:color w:val="auto"/>
              </w:rPr>
            </w:pPr>
            <w:r>
              <w:rPr>
                <w:rFonts w:ascii="Arial" w:cs="Arial" w:eastAsia="Arial" w:hAnsi="Arial"/>
                <w:sz w:val="17"/>
                <w:szCs w:val="17"/>
                <w:color w:val="auto"/>
              </w:rPr>
              <w:t>Time deposits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184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184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20"/>
              <w:spacing w:after="0"/>
              <w:rPr>
                <w:sz w:val="20"/>
                <w:szCs w:val="20"/>
                <w:color w:val="auto"/>
              </w:rPr>
            </w:pPr>
            <w:r>
              <w:rPr>
                <w:rFonts w:ascii="Arial" w:cs="Arial" w:eastAsia="Arial" w:hAnsi="Arial"/>
                <w:sz w:val="17"/>
                <w:szCs w:val="17"/>
                <w:color w:val="auto"/>
              </w:rPr>
              <w:t>Other investments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7"/>
                <w:szCs w:val="17"/>
                <w:color w:val="auto"/>
              </w:rPr>
              <w:t>Total short-term investments</w:t>
            </w:r>
          </w:p>
        </w:tc>
        <w:tc>
          <w:tcPr>
            <w:tcW w:w="10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198</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198</w:t>
            </w:r>
          </w:p>
        </w:tc>
        <w:tc>
          <w:tcPr>
            <w:tcW w:w="320" w:type="dxa"/>
            <w:vAlign w:val="bottom"/>
          </w:tcPr>
          <w:p>
            <w:pPr>
              <w:spacing w:after="0"/>
              <w:rPr>
                <w:sz w:val="18"/>
                <w:szCs w:val="18"/>
                <w:color w:val="auto"/>
              </w:rPr>
            </w:pPr>
          </w:p>
        </w:tc>
        <w:tc>
          <w:tcPr>
            <w:tcW w:w="800" w:type="dxa"/>
            <w:vAlign w:val="bottom"/>
            <w:gridSpan w:val="2"/>
          </w:tcPr>
          <w:p>
            <w:pPr>
              <w:jc w:val="right"/>
              <w:ind w:right="634"/>
              <w:spacing w:after="0"/>
              <w:rPr>
                <w:sz w:val="20"/>
                <w:szCs w:val="20"/>
                <w:color w:val="auto"/>
              </w:rPr>
            </w:pPr>
            <w:r>
              <w:rPr>
                <w:rFonts w:ascii="Arial" w:cs="Arial" w:eastAsia="Arial" w:hAnsi="Arial"/>
                <w:sz w:val="15"/>
                <w:szCs w:val="15"/>
                <w:color w:val="auto"/>
                <w:w w:val="71"/>
              </w:rPr>
              <w:t>$</w:t>
            </w:r>
          </w:p>
        </w:tc>
        <w:tc>
          <w:tcPr>
            <w:tcW w:w="30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7"/>
                <w:szCs w:val="17"/>
                <w:color w:val="auto"/>
              </w:rPr>
              <w:t>Other assets:</w:t>
            </w:r>
          </w:p>
        </w:tc>
        <w:tc>
          <w:tcPr>
            <w:tcW w:w="1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180"/>
              <w:spacing w:after="0"/>
              <w:rPr>
                <w:sz w:val="20"/>
                <w:szCs w:val="20"/>
                <w:color w:val="auto"/>
              </w:rPr>
            </w:pPr>
            <w:r>
              <w:rPr>
                <w:rFonts w:ascii="Arial" w:cs="Arial" w:eastAsia="Arial" w:hAnsi="Arial"/>
                <w:sz w:val="17"/>
                <w:szCs w:val="17"/>
                <w:color w:val="auto"/>
              </w:rPr>
              <w:t>Equity securities</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74</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0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vMerge w:val="continue"/>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40" w:type="dxa"/>
            <w:vAlign w:val="bottom"/>
          </w:tcPr>
          <w:p>
            <w:pPr>
              <w:jc w:val="right"/>
              <w:ind w:right="14"/>
              <w:spacing w:after="0"/>
              <w:rPr>
                <w:sz w:val="20"/>
                <w:szCs w:val="20"/>
                <w:color w:val="auto"/>
              </w:rPr>
            </w:pPr>
            <w:r>
              <w:rPr>
                <w:rFonts w:ascii="Arial" w:cs="Arial" w:eastAsia="Arial" w:hAnsi="Arial"/>
                <w:sz w:val="17"/>
                <w:szCs w:val="17"/>
                <w:color w:val="auto"/>
              </w:rPr>
              <w:t>1,220</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4"/>
              <w:spacing w:after="0"/>
              <w:rPr>
                <w:sz w:val="20"/>
                <w:szCs w:val="20"/>
                <w:color w:val="auto"/>
              </w:rPr>
            </w:pPr>
            <w:r>
              <w:rPr>
                <w:rFonts w:ascii="Arial" w:cs="Arial" w:eastAsia="Arial" w:hAnsi="Arial"/>
                <w:sz w:val="17"/>
                <w:szCs w:val="17"/>
                <w:color w:val="auto"/>
              </w:rPr>
              <w:t>345</w:t>
            </w:r>
          </w:p>
        </w:tc>
        <w:tc>
          <w:tcPr>
            <w:tcW w:w="480" w:type="dxa"/>
            <w:vAlign w:val="bottom"/>
            <w:gridSpan w:val="3"/>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875</w:t>
            </w:r>
          </w:p>
        </w:tc>
        <w:tc>
          <w:tcPr>
            <w:tcW w:w="320" w:type="dxa"/>
            <w:vAlign w:val="bottom"/>
          </w:tcPr>
          <w:p>
            <w:pPr>
              <w:spacing w:after="0"/>
              <w:rPr>
                <w:sz w:val="18"/>
                <w:szCs w:val="18"/>
                <w:color w:val="auto"/>
              </w:rPr>
            </w:pPr>
          </w:p>
        </w:tc>
        <w:tc>
          <w:tcPr>
            <w:tcW w:w="800" w:type="dxa"/>
            <w:vAlign w:val="bottom"/>
            <w:gridSpan w:val="2"/>
          </w:tcPr>
          <w:p>
            <w:pPr>
              <w:jc w:val="right"/>
              <w:ind w:right="634"/>
              <w:spacing w:after="0"/>
              <w:rPr>
                <w:sz w:val="20"/>
                <w:szCs w:val="20"/>
                <w:color w:val="auto"/>
              </w:rPr>
            </w:pPr>
            <w:r>
              <w:rPr>
                <w:rFonts w:ascii="Arial" w:cs="Arial" w:eastAsia="Arial" w:hAnsi="Arial"/>
                <w:sz w:val="15"/>
                <w:szCs w:val="15"/>
                <w:color w:val="auto"/>
                <w:w w:val="71"/>
              </w:rPr>
              <w:t>$</w:t>
            </w:r>
          </w:p>
        </w:tc>
        <w:tc>
          <w:tcPr>
            <w:tcW w:w="300" w:type="dxa"/>
            <w:vAlign w:val="bottom"/>
          </w:tcPr>
          <w:p>
            <w:pPr>
              <w:ind w:left="100"/>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gridSpan w:val="9"/>
          </w:tcPr>
          <w:p>
            <w:pPr>
              <w:jc w:val="center"/>
              <w:ind w:left="114"/>
              <w:spacing w:after="0"/>
              <w:rPr>
                <w:sz w:val="20"/>
                <w:szCs w:val="20"/>
                <w:color w:val="auto"/>
              </w:rPr>
            </w:pPr>
            <w:r>
              <w:rPr>
                <w:rFonts w:ascii="Arial" w:cs="Arial" w:eastAsia="Arial" w:hAnsi="Arial"/>
                <w:sz w:val="17"/>
                <w:szCs w:val="17"/>
                <w:color w:val="auto"/>
                <w:w w:val="91"/>
              </w:rPr>
              <w:t>Fair Value Measurement or Disclosure at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color w:val="auto"/>
                <w:w w:val="91"/>
              </w:rPr>
              <w:t>December 31, 2017</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right"/>
              <w:ind w:right="714"/>
              <w:spacing w:after="0"/>
              <w:rPr>
                <w:sz w:val="20"/>
                <w:szCs w:val="20"/>
                <w:color w:val="auto"/>
              </w:rPr>
            </w:pPr>
            <w:r>
              <w:rPr>
                <w:rFonts w:ascii="Arial" w:cs="Arial" w:eastAsia="Arial" w:hAnsi="Arial"/>
                <w:sz w:val="17"/>
                <w:szCs w:val="17"/>
                <w:color w:val="auto"/>
              </w:rPr>
              <w:t>Balance at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40" w:type="dxa"/>
            <w:vAlign w:val="bottom"/>
          </w:tcPr>
          <w:p>
            <w:pPr>
              <w:jc w:val="right"/>
              <w:ind w:right="414"/>
              <w:spacing w:after="0"/>
              <w:rPr>
                <w:sz w:val="20"/>
                <w:szCs w:val="20"/>
                <w:color w:val="auto"/>
              </w:rPr>
            </w:pPr>
            <w:r>
              <w:rPr>
                <w:rFonts w:ascii="Arial" w:cs="Arial" w:eastAsia="Arial" w:hAnsi="Arial"/>
                <w:sz w:val="17"/>
                <w:szCs w:val="17"/>
                <w:color w:val="auto"/>
              </w:rPr>
              <w:t>December 31, 2017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394"/>
              <w:spacing w:after="0"/>
              <w:rPr>
                <w:sz w:val="20"/>
                <w:szCs w:val="20"/>
                <w:color w:val="auto"/>
              </w:rPr>
            </w:pPr>
            <w:r>
              <w:rPr>
                <w:rFonts w:ascii="Arial" w:cs="Arial" w:eastAsia="Arial" w:hAnsi="Arial"/>
                <w:sz w:val="17"/>
                <w:szCs w:val="17"/>
                <w:color w:val="auto"/>
              </w:rPr>
              <w:t>Level 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7"/>
                <w:szCs w:val="17"/>
                <w:color w:val="auto"/>
              </w:rPr>
              <w:t>Level 2</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Arial" w:cs="Arial" w:eastAsia="Arial" w:hAnsi="Arial"/>
                <w:sz w:val="17"/>
                <w:szCs w:val="17"/>
                <w:color w:val="auto"/>
                <w:w w:val="98"/>
              </w:rPr>
              <w:t>Level 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7"/>
                <w:szCs w:val="17"/>
                <w:color w:val="auto"/>
              </w:rPr>
              <w:t>Cash equivalents:</w:t>
            </w:r>
          </w:p>
        </w:tc>
        <w:tc>
          <w:tcPr>
            <w:tcW w:w="1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20"/>
              <w:spacing w:after="0"/>
              <w:rPr>
                <w:sz w:val="20"/>
                <w:szCs w:val="20"/>
                <w:color w:val="auto"/>
              </w:rPr>
            </w:pPr>
            <w:r>
              <w:rPr>
                <w:rFonts w:ascii="Arial" w:cs="Arial" w:eastAsia="Arial" w:hAnsi="Arial"/>
                <w:sz w:val="17"/>
                <w:szCs w:val="17"/>
                <w:color w:val="auto"/>
              </w:rPr>
              <w:t>Time deposits</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635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635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20"/>
              <w:spacing w:after="0"/>
              <w:rPr>
                <w:sz w:val="20"/>
                <w:szCs w:val="20"/>
                <w:color w:val="auto"/>
              </w:rPr>
            </w:pPr>
            <w:r>
              <w:rPr>
                <w:rFonts w:ascii="Arial" w:cs="Arial" w:eastAsia="Arial" w:hAnsi="Arial"/>
                <w:sz w:val="17"/>
                <w:szCs w:val="17"/>
                <w:color w:val="auto"/>
              </w:rPr>
              <w:t>Money market funds</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93</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7"/>
                <w:szCs w:val="17"/>
                <w:color w:val="auto"/>
              </w:rPr>
              <w:t>Total cash equivalents</w:t>
            </w: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vMerge w:val="continue"/>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728</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93</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635</w:t>
            </w:r>
          </w:p>
        </w:tc>
        <w:tc>
          <w:tcPr>
            <w:tcW w:w="140" w:type="dxa"/>
            <w:vAlign w:val="bottom"/>
          </w:tcPr>
          <w:p>
            <w:pPr>
              <w:spacing w:after="0"/>
              <w:rPr>
                <w:sz w:val="18"/>
                <w:szCs w:val="18"/>
                <w:color w:val="auto"/>
              </w:rPr>
            </w:pPr>
          </w:p>
        </w:tc>
        <w:tc>
          <w:tcPr>
            <w:tcW w:w="320" w:type="dxa"/>
            <w:vAlign w:val="bottom"/>
          </w:tcPr>
          <w:p>
            <w:pPr>
              <w:jc w:val="right"/>
              <w:ind w:right="253"/>
              <w:spacing w:after="0"/>
              <w:rPr>
                <w:sz w:val="20"/>
                <w:szCs w:val="20"/>
                <w:color w:val="auto"/>
              </w:rPr>
            </w:pPr>
            <w:r>
              <w:rPr>
                <w:rFonts w:ascii="Arial" w:cs="Arial" w:eastAsia="Arial" w:hAnsi="Arial"/>
                <w:sz w:val="5"/>
                <w:szCs w:val="5"/>
                <w:color w:val="auto"/>
                <w:w w:val="70"/>
              </w:rPr>
              <w: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20"/>
                <w:szCs w:val="20"/>
                <w:color w:val="auto"/>
              </w:rPr>
            </w:pPr>
            <w:r>
              <w:rPr>
                <w:rFonts w:ascii="Arial" w:cs="Arial" w:eastAsia="Arial" w:hAnsi="Arial"/>
                <w:sz w:val="17"/>
                <w:szCs w:val="17"/>
                <w:color w:val="auto"/>
              </w:rPr>
              <w:t>Short-term investments:</w:t>
            </w:r>
          </w:p>
        </w:tc>
        <w:tc>
          <w:tcPr>
            <w:tcW w:w="10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20"/>
              <w:spacing w:after="0"/>
              <w:rPr>
                <w:sz w:val="20"/>
                <w:szCs w:val="20"/>
                <w:color w:val="auto"/>
              </w:rPr>
            </w:pPr>
            <w:r>
              <w:rPr>
                <w:rFonts w:ascii="Arial" w:cs="Arial" w:eastAsia="Arial" w:hAnsi="Arial"/>
                <w:sz w:val="17"/>
                <w:szCs w:val="17"/>
                <w:color w:val="auto"/>
              </w:rPr>
              <w:t>Time deposits</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143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143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340" w:type="dxa"/>
            <w:vAlign w:val="bottom"/>
          </w:tcPr>
          <w:p>
            <w:pPr>
              <w:ind w:left="220"/>
              <w:spacing w:after="0"/>
              <w:rPr>
                <w:sz w:val="20"/>
                <w:szCs w:val="20"/>
                <w:color w:val="auto"/>
              </w:rPr>
            </w:pPr>
            <w:r>
              <w:rPr>
                <w:rFonts w:ascii="Arial" w:cs="Arial" w:eastAsia="Arial" w:hAnsi="Arial"/>
                <w:sz w:val="17"/>
                <w:szCs w:val="17"/>
                <w:color w:val="auto"/>
              </w:rPr>
              <w:t>Fixed income debt securities</w:t>
            </w:r>
            <w:r>
              <w:rPr>
                <w:rFonts w:ascii="Arial" w:cs="Arial" w:eastAsia="Arial" w:hAnsi="Arial"/>
                <w:sz w:val="14"/>
                <w:szCs w:val="14"/>
                <w:color w:val="auto"/>
              </w:rPr>
              <w:t>(a)</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62</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7"/>
                <w:szCs w:val="17"/>
                <w:color w:val="auto"/>
              </w:rPr>
              <w:t>Total short-term investments</w:t>
            </w: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vMerge w:val="continue"/>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205</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62</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143</w:t>
            </w:r>
          </w:p>
        </w:tc>
        <w:tc>
          <w:tcPr>
            <w:tcW w:w="140" w:type="dxa"/>
            <w:vAlign w:val="bottom"/>
          </w:tcPr>
          <w:p>
            <w:pPr>
              <w:spacing w:after="0"/>
              <w:rPr>
                <w:sz w:val="18"/>
                <w:szCs w:val="18"/>
                <w:color w:val="auto"/>
              </w:rPr>
            </w:pPr>
          </w:p>
        </w:tc>
        <w:tc>
          <w:tcPr>
            <w:tcW w:w="320" w:type="dxa"/>
            <w:vAlign w:val="bottom"/>
          </w:tcPr>
          <w:p>
            <w:pPr>
              <w:jc w:val="right"/>
              <w:ind w:right="253"/>
              <w:spacing w:after="0"/>
              <w:rPr>
                <w:sz w:val="20"/>
                <w:szCs w:val="20"/>
                <w:color w:val="auto"/>
              </w:rPr>
            </w:pPr>
            <w:r>
              <w:rPr>
                <w:rFonts w:ascii="Arial" w:cs="Arial" w:eastAsia="Arial" w:hAnsi="Arial"/>
                <w:sz w:val="5"/>
                <w:szCs w:val="5"/>
                <w:color w:val="auto"/>
                <w:w w:val="70"/>
              </w:rPr>
              <w: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340" w:type="dxa"/>
            <w:vAlign w:val="bottom"/>
            <w:vMerge w:val="continue"/>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40" w:type="dxa"/>
            <w:vAlign w:val="bottom"/>
          </w:tcPr>
          <w:p>
            <w:pPr>
              <w:jc w:val="right"/>
              <w:spacing w:after="0"/>
              <w:rPr>
                <w:sz w:val="20"/>
                <w:szCs w:val="20"/>
                <w:color w:val="auto"/>
              </w:rPr>
            </w:pPr>
            <w:r>
              <w:rPr>
                <w:rFonts w:ascii="Arial" w:cs="Arial" w:eastAsia="Arial" w:hAnsi="Arial"/>
                <w:sz w:val="17"/>
                <w:szCs w:val="17"/>
                <w:color w:val="auto"/>
              </w:rPr>
              <w:t>933</w:t>
            </w: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155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20" w:type="dxa"/>
            <w:vAlign w:val="bottom"/>
          </w:tcPr>
          <w:p>
            <w:pPr>
              <w:jc w:val="right"/>
              <w:ind w:right="34"/>
              <w:spacing w:after="0"/>
              <w:rPr>
                <w:sz w:val="20"/>
                <w:szCs w:val="20"/>
                <w:color w:val="auto"/>
              </w:rPr>
            </w:pPr>
            <w:r>
              <w:rPr>
                <w:rFonts w:ascii="Arial" w:cs="Arial" w:eastAsia="Arial" w:hAnsi="Arial"/>
                <w:sz w:val="17"/>
                <w:szCs w:val="17"/>
                <w:color w:val="auto"/>
              </w:rPr>
              <w:t>778</w:t>
            </w:r>
          </w:p>
        </w:tc>
        <w:tc>
          <w:tcPr>
            <w:tcW w:w="140" w:type="dxa"/>
            <w:vAlign w:val="bottom"/>
          </w:tcPr>
          <w:p>
            <w:pPr>
              <w:spacing w:after="0"/>
              <w:rPr>
                <w:sz w:val="18"/>
                <w:szCs w:val="18"/>
                <w:color w:val="auto"/>
              </w:rPr>
            </w:pPr>
          </w:p>
        </w:tc>
        <w:tc>
          <w:tcPr>
            <w:tcW w:w="320" w:type="dxa"/>
            <w:vAlign w:val="bottom"/>
          </w:tcPr>
          <w:p>
            <w:pPr>
              <w:jc w:val="right"/>
              <w:ind w:right="253"/>
              <w:spacing w:after="0"/>
              <w:rPr>
                <w:sz w:val="20"/>
                <w:szCs w:val="20"/>
                <w:color w:val="auto"/>
              </w:rPr>
            </w:pPr>
            <w:r>
              <w:rPr>
                <w:rFonts w:ascii="Arial" w:cs="Arial" w:eastAsia="Arial" w:hAnsi="Arial"/>
                <w:sz w:val="5"/>
                <w:szCs w:val="5"/>
                <w:color w:val="auto"/>
                <w:w w:val="70"/>
              </w:rPr>
              <w:t>$</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right="5660" w:firstLine="4"/>
        <w:spacing w:after="0" w:line="509" w:lineRule="auto"/>
        <w:tabs>
          <w:tab w:leader="none" w:pos="571"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Classified as held-to-maturity investments and measured at amortized cost. </w:t>
      </w:r>
      <w:r>
        <w:rPr>
          <w:rFonts w:ascii="Arial" w:cs="Arial" w:eastAsia="Arial" w:hAnsi="Arial"/>
          <w:sz w:val="17"/>
          <w:szCs w:val="17"/>
          <w:u w:val="single" w:color="auto"/>
          <w:color w:val="auto"/>
        </w:rPr>
        <w:t>Non-recurring fair value measurements</w:t>
      </w:r>
    </w:p>
    <w:p>
      <w:pPr>
        <w:spacing w:after="0" w:line="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addition, certain of the Company’s assets, such as property, plant and equipment, goodwill and intangible assets, are measured at fair value on a non-recurring basis, if determined to be impaired.</w:t>
      </w:r>
    </w:p>
    <w:p>
      <w:pPr>
        <w:spacing w:after="0" w:line="15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During the quarter and year to date ended September 30, 2018, we recorded restaurant-level impairment (Level 3) of nil and $13 million, respectively. During the quarter and year to date ended September 30, 2017, we recorded restaurant-level impairment (Level 3) of $2 million and $20 million, respectively. The remaining net book value of the assets measured at fair value as of September 30, 2018, subsequent to these impairments, was not significant.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6"/>
        </w:trPr>
        <w:tc>
          <w:tcPr>
            <w:tcW w:w="3720" w:type="dxa"/>
            <w:vAlign w:val="bottom"/>
          </w:tcPr>
          <w:p>
            <w:pPr>
              <w:spacing w:after="0"/>
              <w:rPr>
                <w:sz w:val="20"/>
                <w:szCs w:val="20"/>
                <w:color w:val="auto"/>
              </w:rPr>
            </w:pPr>
            <w:r>
              <w:rPr>
                <w:rFonts w:ascii="Arial" w:cs="Arial" w:eastAsia="Arial" w:hAnsi="Arial"/>
                <w:sz w:val="17"/>
                <w:szCs w:val="17"/>
                <w:b w:val="1"/>
                <w:bCs w:val="1"/>
                <w:color w:val="auto"/>
              </w:rPr>
              <w:t>Note 10 – Income Taxes</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54"/>
        </w:trPr>
        <w:tc>
          <w:tcPr>
            <w:tcW w:w="3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7"/>
                <w:szCs w:val="17"/>
                <w:color w:val="auto"/>
              </w:rPr>
              <w:t>Quarter Ended</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color w:val="auto"/>
              </w:rPr>
              <w:t>Year to Date Ended</w:t>
            </w:r>
          </w:p>
        </w:tc>
      </w:tr>
      <w:tr>
        <w:trPr>
          <w:trHeight w:val="214"/>
        </w:trPr>
        <w:tc>
          <w:tcPr>
            <w:tcW w:w="37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9/30/2018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9/30/2017</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9/30/2018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9/30/2017</w:t>
            </w:r>
          </w:p>
        </w:tc>
      </w:tr>
      <w:tr>
        <w:trPr>
          <w:trHeight w:val="214"/>
        </w:trPr>
        <w:tc>
          <w:tcPr>
            <w:tcW w:w="3720" w:type="dxa"/>
            <w:vAlign w:val="bottom"/>
          </w:tcPr>
          <w:p>
            <w:pPr>
              <w:spacing w:after="0"/>
              <w:rPr>
                <w:sz w:val="20"/>
                <w:szCs w:val="20"/>
                <w:color w:val="auto"/>
              </w:rPr>
            </w:pPr>
            <w:r>
              <w:rPr>
                <w:rFonts w:ascii="Arial" w:cs="Arial" w:eastAsia="Arial" w:hAnsi="Arial"/>
                <w:sz w:val="17"/>
                <w:szCs w:val="17"/>
                <w:color w:val="auto"/>
              </w:rPr>
              <w:t>Income tax provision</w:t>
            </w:r>
          </w:p>
        </w:tc>
        <w:tc>
          <w:tcPr>
            <w:tcW w:w="21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4"/>
              <w:spacing w:after="0"/>
              <w:rPr>
                <w:sz w:val="20"/>
                <w:szCs w:val="20"/>
                <w:color w:val="auto"/>
              </w:rPr>
            </w:pPr>
            <w:r>
              <w:rPr>
                <w:rFonts w:ascii="Arial" w:cs="Arial" w:eastAsia="Arial" w:hAnsi="Arial"/>
                <w:sz w:val="17"/>
                <w:szCs w:val="17"/>
                <w:color w:val="auto"/>
              </w:rPr>
              <w:t>67</w:t>
            </w:r>
          </w:p>
        </w:tc>
        <w:tc>
          <w:tcPr>
            <w:tcW w:w="12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74"/>
              <w:spacing w:after="0"/>
              <w:rPr>
                <w:sz w:val="20"/>
                <w:szCs w:val="20"/>
                <w:color w:val="auto"/>
              </w:rPr>
            </w:pPr>
            <w:r>
              <w:rPr>
                <w:rFonts w:ascii="Arial" w:cs="Arial" w:eastAsia="Arial" w:hAnsi="Arial"/>
                <w:sz w:val="17"/>
                <w:szCs w:val="17"/>
                <w:color w:val="auto"/>
              </w:rPr>
              <w:t>87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4"/>
              <w:spacing w:after="0"/>
              <w:rPr>
                <w:sz w:val="20"/>
                <w:szCs w:val="20"/>
                <w:color w:val="auto"/>
              </w:rPr>
            </w:pPr>
            <w:r>
              <w:rPr>
                <w:rFonts w:ascii="Arial" w:cs="Arial" w:eastAsia="Arial" w:hAnsi="Arial"/>
                <w:sz w:val="17"/>
                <w:szCs w:val="17"/>
                <w:color w:val="auto"/>
              </w:rPr>
              <w:t>227</w:t>
            </w:r>
          </w:p>
        </w:tc>
        <w:tc>
          <w:tcPr>
            <w:tcW w:w="3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4"/>
              <w:spacing w:after="0"/>
              <w:rPr>
                <w:sz w:val="20"/>
                <w:szCs w:val="20"/>
                <w:color w:val="auto"/>
              </w:rPr>
            </w:pPr>
            <w:r>
              <w:rPr>
                <w:rFonts w:ascii="Arial" w:cs="Arial" w:eastAsia="Arial" w:hAnsi="Arial"/>
                <w:sz w:val="17"/>
                <w:szCs w:val="17"/>
                <w:color w:val="auto"/>
              </w:rPr>
              <w:t>220</w:t>
            </w:r>
          </w:p>
        </w:tc>
      </w:tr>
      <w:tr>
        <w:trPr>
          <w:trHeight w:val="221"/>
        </w:trPr>
        <w:tc>
          <w:tcPr>
            <w:tcW w:w="3720" w:type="dxa"/>
            <w:vAlign w:val="bottom"/>
          </w:tcPr>
          <w:p>
            <w:pPr>
              <w:spacing w:after="0"/>
              <w:rPr>
                <w:sz w:val="20"/>
                <w:szCs w:val="20"/>
                <w:color w:val="auto"/>
              </w:rPr>
            </w:pPr>
            <w:r>
              <w:rPr>
                <w:rFonts w:ascii="Arial" w:cs="Arial" w:eastAsia="Arial" w:hAnsi="Arial"/>
                <w:sz w:val="17"/>
                <w:szCs w:val="17"/>
                <w:color w:val="auto"/>
              </w:rPr>
              <w:t>Effective tax rate</w:t>
            </w: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14"/>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29.4%</w:t>
            </w:r>
          </w:p>
        </w:tc>
      </w:tr>
    </w:tbl>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lower effective tax rate for the quarter ended September 30, 2018 was primarily due to a true up of the tax on Global Intangible Low Taxed Income (“GILTI”) earned by certain foreign subsidiaries and less estimated repatriation of current year earnings outside of China. The lower year-to-date effective tax rate was primarily due to less estimated repatriation of current year earnings outside of China.</w:t>
      </w:r>
    </w:p>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In December 2017, the U.S. enacted the </w:t>
      </w:r>
      <w:r>
        <w:rPr>
          <w:rFonts w:ascii="Arial" w:cs="Arial" w:eastAsia="Arial" w:hAnsi="Arial"/>
          <w:sz w:val="17"/>
          <w:szCs w:val="17"/>
          <w:i w:val="1"/>
          <w:iCs w:val="1"/>
          <w:color w:val="auto"/>
        </w:rPr>
        <w:t>Tax Cuts and Jobs Act</w:t>
      </w:r>
      <w:r>
        <w:rPr>
          <w:rFonts w:ascii="Arial" w:cs="Arial" w:eastAsia="Arial" w:hAnsi="Arial"/>
          <w:sz w:val="17"/>
          <w:szCs w:val="17"/>
          <w:color w:val="auto"/>
        </w:rPr>
        <w:t xml:space="preserve"> (the “Tax Act”), which included a broad range of tax reforms, including, but not limited to, the establishment of a flat corporate income tax rate of 21%, the elimination or reduction of certain business deductions and the imposition of tax on deemed repatriation of accumulated undistributed foreign earnings. The Tax Act impacted Yum China in two material aspects: (1) all of the foreign-source dividends received by Yum China from its foreign subsidiaries will be exempted from taxation starting from the tax year beginning after December 31, 2017 and (2) Yum China recorded additional income tax expense in the fourth quarter of 2017, including an estimated one-time transition tax on its deemed repatriation of accumulated undistributed foreign earnings and additional tax related to revaluation of certain deferred tax assets.</w:t>
      </w:r>
    </w:p>
    <w:p>
      <w:pPr>
        <w:spacing w:after="0" w:line="20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Tax Act requires a U.S. shareholder to be subject to tax on GILTI earned by certain foreign subsidiaries. We have elected the option to account for current year GILTI tax as a period cost as incurred, and therefore included it as part of the estimated annual effective tax rate.</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we collect and prepare necessary data, and interpret the Tax Act and any additional guidance issued by the U.S. Treasury Department, the Internal Revenue Service (“IRS”), and other standard-setting bodies, we may make adjustments to the provisional amounts. We continue to expect to complete our analysis within the measurement period not exceeding one year from the enactment date.</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–Segment Reporting</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We have two reportable segments: KFC and Pizza Hut. We also have four operating segments, East Dawning, Little Sheep, Taco Bell and Daojia, which are combined and referred to as All Other Segments, as these operating segments are insignificant both individually and in the aggregate.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w w:val="89"/>
              </w:rPr>
              <w:t>Quarter Ended 9/30/2018</w:t>
            </w: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6"/>
                <w:szCs w:val="16"/>
                <w:color w:val="auto"/>
              </w:rPr>
            </w:pPr>
          </w:p>
        </w:tc>
        <w:tc>
          <w:tcPr>
            <w:tcW w:w="880" w:type="dxa"/>
            <w:vAlign w:val="bottom"/>
            <w:vMerge w:val="restart"/>
          </w:tcPr>
          <w:p>
            <w:pPr>
              <w:jc w:val="right"/>
              <w:ind w:right="342"/>
              <w:spacing w:after="0"/>
              <w:rPr>
                <w:sz w:val="20"/>
                <w:szCs w:val="20"/>
                <w:color w:val="auto"/>
              </w:rPr>
            </w:pPr>
            <w:r>
              <w:rPr>
                <w:rFonts w:ascii="Arial" w:cs="Arial" w:eastAsia="Arial" w:hAnsi="Arial"/>
                <w:sz w:val="16"/>
                <w:szCs w:val="16"/>
                <w:color w:val="auto"/>
              </w:rPr>
              <w:t>KFC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202"/>
              <w:spacing w:after="0"/>
              <w:rPr>
                <w:sz w:val="20"/>
                <w:szCs w:val="20"/>
                <w:color w:val="auto"/>
              </w:rPr>
            </w:pPr>
            <w:r>
              <w:rPr>
                <w:rFonts w:ascii="Arial" w:cs="Arial" w:eastAsia="Arial" w:hAnsi="Arial"/>
                <w:sz w:val="16"/>
                <w:szCs w:val="16"/>
                <w:color w:val="auto"/>
                <w:w w:val="99"/>
              </w:rPr>
              <w:t>Pizza Hut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All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auto"/>
              </w:rPr>
              <w:t>Corporate and</w:t>
            </w:r>
          </w:p>
        </w:tc>
        <w:tc>
          <w:tcPr>
            <w:tcW w:w="180" w:type="dxa"/>
            <w:vAlign w:val="bottom"/>
          </w:tcPr>
          <w:p>
            <w:pPr>
              <w:spacing w:after="0"/>
              <w:rPr>
                <w:sz w:val="16"/>
                <w:szCs w:val="16"/>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6"/>
                <w:szCs w:val="16"/>
                <w:color w:val="auto"/>
              </w:rPr>
              <w:t>Combined</w:t>
            </w:r>
          </w:p>
        </w:tc>
        <w:tc>
          <w:tcPr>
            <w:tcW w:w="120" w:type="dxa"/>
            <w:vAlign w:val="bottom"/>
          </w:tcPr>
          <w:p>
            <w:pPr>
              <w:spacing w:after="0"/>
              <w:rPr>
                <w:sz w:val="16"/>
                <w:szCs w:val="16"/>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Elimination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102"/>
              <w:spacing w:after="0"/>
              <w:rPr>
                <w:sz w:val="20"/>
                <w:szCs w:val="20"/>
                <w:color w:val="auto"/>
              </w:rPr>
            </w:pPr>
            <w:r>
              <w:rPr>
                <w:rFonts w:ascii="Arial" w:cs="Arial" w:eastAsia="Arial" w:hAnsi="Arial"/>
                <w:sz w:val="16"/>
                <w:szCs w:val="16"/>
                <w:color w:val="auto"/>
                <w:w w:val="92"/>
              </w:rPr>
              <w:t>Consolidated</w:t>
            </w:r>
          </w:p>
        </w:tc>
        <w:tc>
          <w:tcPr>
            <w:tcW w:w="0" w:type="dxa"/>
            <w:vAlign w:val="bottom"/>
          </w:tcPr>
          <w:p>
            <w:pPr>
              <w:spacing w:after="0"/>
              <w:rPr>
                <w:sz w:val="1"/>
                <w:szCs w:val="1"/>
                <w:color w:val="auto"/>
              </w:rPr>
            </w:pPr>
          </w:p>
        </w:tc>
      </w:tr>
      <w:tr>
        <w:trPr>
          <w:trHeight w:val="96"/>
        </w:trPr>
        <w:tc>
          <w:tcPr>
            <w:tcW w:w="2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right"/>
              <w:ind w:right="62"/>
              <w:spacing w:after="0"/>
              <w:rPr>
                <w:sz w:val="20"/>
                <w:szCs w:val="20"/>
                <w:color w:val="auto"/>
              </w:rPr>
            </w:pPr>
            <w:r>
              <w:rPr>
                <w:rFonts w:ascii="Arial" w:cs="Arial" w:eastAsia="Arial" w:hAnsi="Arial"/>
                <w:sz w:val="16"/>
                <w:szCs w:val="16"/>
                <w:color w:val="auto"/>
                <w:w w:val="94"/>
              </w:rPr>
              <w:t>Segments</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ind w:left="20"/>
              <w:spacing w:after="0" w:line="205" w:lineRule="exact"/>
              <w:rPr>
                <w:sz w:val="20"/>
                <w:szCs w:val="20"/>
                <w:color w:val="auto"/>
              </w:rPr>
            </w:pPr>
            <w:r>
              <w:rPr>
                <w:rFonts w:ascii="Arial" w:cs="Arial" w:eastAsia="Arial" w:hAnsi="Arial"/>
                <w:sz w:val="14"/>
                <w:szCs w:val="14"/>
                <w:color w:val="auto"/>
              </w:rPr>
              <w:t>Unallocated</w:t>
            </w:r>
            <w:r>
              <w:rPr>
                <w:rFonts w:ascii="Arial" w:cs="Arial" w:eastAsia="Arial" w:hAnsi="Arial"/>
                <w:sz w:val="23"/>
                <w:szCs w:val="23"/>
                <w:color w:val="auto"/>
                <w:vertAlign w:val="superscript"/>
              </w:rPr>
              <w:t>(a)</w:t>
            </w:r>
          </w:p>
        </w:tc>
        <w:tc>
          <w:tcPr>
            <w:tcW w:w="18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720" w:type="dxa"/>
            <w:vAlign w:val="bottom"/>
          </w:tcPr>
          <w:p>
            <w:pPr>
              <w:spacing w:after="0"/>
              <w:rPr>
                <w:sz w:val="20"/>
                <w:szCs w:val="20"/>
                <w:color w:val="auto"/>
              </w:rPr>
            </w:pPr>
            <w:r>
              <w:rPr>
                <w:rFonts w:ascii="Arial" w:cs="Arial" w:eastAsia="Arial" w:hAnsi="Arial"/>
                <w:sz w:val="16"/>
                <w:szCs w:val="16"/>
                <w:color w:val="auto"/>
              </w:rPr>
              <w:t>Revenue from external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20" w:type="dxa"/>
            <w:vAlign w:val="bottom"/>
          </w:tcPr>
          <w:p>
            <w:pPr>
              <w:ind w:left="160"/>
              <w:spacing w:after="0"/>
              <w:rPr>
                <w:sz w:val="20"/>
                <w:szCs w:val="20"/>
                <w:color w:val="auto"/>
              </w:rPr>
            </w:pPr>
            <w:r>
              <w:rPr>
                <w:rFonts w:ascii="Arial" w:cs="Arial" w:eastAsia="Arial" w:hAnsi="Arial"/>
                <w:sz w:val="16"/>
                <w:szCs w:val="16"/>
                <w:color w:val="auto"/>
              </w:rPr>
              <w:t>customers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1,502</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550</w:t>
            </w:r>
          </w:p>
        </w:tc>
        <w:tc>
          <w:tcPr>
            <w:tcW w:w="2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2,212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08"/>
        </w:trPr>
        <w:tc>
          <w:tcPr>
            <w:tcW w:w="2720" w:type="dxa"/>
            <w:vAlign w:val="bottom"/>
          </w:tcPr>
          <w:p>
            <w:pPr>
              <w:spacing w:after="0"/>
              <w:rPr>
                <w:sz w:val="20"/>
                <w:szCs w:val="20"/>
                <w:color w:val="auto"/>
              </w:rPr>
            </w:pPr>
            <w:r>
              <w:rPr>
                <w:rFonts w:ascii="Arial" w:cs="Arial" w:eastAsia="Arial" w:hAnsi="Arial"/>
                <w:sz w:val="16"/>
                <w:szCs w:val="16"/>
                <w:color w:val="auto"/>
              </w:rPr>
              <w:t>Inter-segment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1,502</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2,215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color w:val="auto"/>
                <w:w w:val="89"/>
              </w:rPr>
              <w:t>Quarter Ended 9/30/2017</w:t>
            </w: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6"/>
                <w:szCs w:val="16"/>
                <w:color w:val="auto"/>
              </w:rPr>
            </w:pPr>
          </w:p>
        </w:tc>
        <w:tc>
          <w:tcPr>
            <w:tcW w:w="880" w:type="dxa"/>
            <w:vAlign w:val="bottom"/>
            <w:vMerge w:val="restart"/>
          </w:tcPr>
          <w:p>
            <w:pPr>
              <w:jc w:val="right"/>
              <w:ind w:right="342"/>
              <w:spacing w:after="0"/>
              <w:rPr>
                <w:sz w:val="20"/>
                <w:szCs w:val="20"/>
                <w:color w:val="auto"/>
              </w:rPr>
            </w:pPr>
            <w:r>
              <w:rPr>
                <w:rFonts w:ascii="Arial" w:cs="Arial" w:eastAsia="Arial" w:hAnsi="Arial"/>
                <w:sz w:val="16"/>
                <w:szCs w:val="16"/>
                <w:color w:val="auto"/>
              </w:rPr>
              <w:t>KFC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202"/>
              <w:spacing w:after="0"/>
              <w:rPr>
                <w:sz w:val="20"/>
                <w:szCs w:val="20"/>
                <w:color w:val="auto"/>
              </w:rPr>
            </w:pPr>
            <w:r>
              <w:rPr>
                <w:rFonts w:ascii="Arial" w:cs="Arial" w:eastAsia="Arial" w:hAnsi="Arial"/>
                <w:sz w:val="16"/>
                <w:szCs w:val="16"/>
                <w:color w:val="auto"/>
                <w:w w:val="99"/>
              </w:rPr>
              <w:t>Pizza Hut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All Other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auto"/>
              </w:rPr>
              <w:t>Corporate and</w:t>
            </w:r>
          </w:p>
        </w:tc>
        <w:tc>
          <w:tcPr>
            <w:tcW w:w="180" w:type="dxa"/>
            <w:vAlign w:val="bottom"/>
          </w:tcPr>
          <w:p>
            <w:pPr>
              <w:spacing w:after="0"/>
              <w:rPr>
                <w:sz w:val="16"/>
                <w:szCs w:val="16"/>
                <w:color w:val="auto"/>
              </w:rPr>
            </w:pPr>
          </w:p>
        </w:tc>
        <w:tc>
          <w:tcPr>
            <w:tcW w:w="1080" w:type="dxa"/>
            <w:vAlign w:val="bottom"/>
            <w:gridSpan w:val="3"/>
            <w:vMerge w:val="restart"/>
          </w:tcPr>
          <w:p>
            <w:pPr>
              <w:ind w:left="60"/>
              <w:spacing w:after="0"/>
              <w:rPr>
                <w:sz w:val="20"/>
                <w:szCs w:val="20"/>
                <w:color w:val="auto"/>
              </w:rPr>
            </w:pPr>
            <w:r>
              <w:rPr>
                <w:rFonts w:ascii="Arial" w:cs="Arial" w:eastAsia="Arial" w:hAnsi="Arial"/>
                <w:sz w:val="16"/>
                <w:szCs w:val="16"/>
                <w:color w:val="auto"/>
              </w:rPr>
              <w:t>Combined</w:t>
            </w:r>
          </w:p>
        </w:tc>
        <w:tc>
          <w:tcPr>
            <w:tcW w:w="120" w:type="dxa"/>
            <w:vAlign w:val="bottom"/>
          </w:tcPr>
          <w:p>
            <w:pPr>
              <w:spacing w:after="0"/>
              <w:rPr>
                <w:sz w:val="16"/>
                <w:szCs w:val="16"/>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Elimination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102"/>
              <w:spacing w:after="0"/>
              <w:rPr>
                <w:sz w:val="20"/>
                <w:szCs w:val="20"/>
                <w:color w:val="auto"/>
              </w:rPr>
            </w:pPr>
            <w:r>
              <w:rPr>
                <w:rFonts w:ascii="Arial" w:cs="Arial" w:eastAsia="Arial" w:hAnsi="Arial"/>
                <w:sz w:val="16"/>
                <w:szCs w:val="16"/>
                <w:color w:val="auto"/>
                <w:w w:val="92"/>
              </w:rPr>
              <w:t>Consolidated</w:t>
            </w:r>
          </w:p>
        </w:tc>
        <w:tc>
          <w:tcPr>
            <w:tcW w:w="0" w:type="dxa"/>
            <w:vAlign w:val="bottom"/>
          </w:tcPr>
          <w:p>
            <w:pPr>
              <w:spacing w:after="0"/>
              <w:rPr>
                <w:sz w:val="1"/>
                <w:szCs w:val="1"/>
                <w:color w:val="auto"/>
              </w:rPr>
            </w:pPr>
          </w:p>
        </w:tc>
      </w:tr>
      <w:tr>
        <w:trPr>
          <w:trHeight w:val="96"/>
        </w:trPr>
        <w:tc>
          <w:tcPr>
            <w:tcW w:w="2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vMerge w:val="restart"/>
          </w:tcPr>
          <w:p>
            <w:pPr>
              <w:jc w:val="right"/>
              <w:ind w:right="62"/>
              <w:spacing w:after="0"/>
              <w:rPr>
                <w:sz w:val="20"/>
                <w:szCs w:val="20"/>
                <w:color w:val="auto"/>
              </w:rPr>
            </w:pPr>
            <w:r>
              <w:rPr>
                <w:rFonts w:ascii="Arial" w:cs="Arial" w:eastAsia="Arial" w:hAnsi="Arial"/>
                <w:sz w:val="16"/>
                <w:szCs w:val="16"/>
                <w:color w:val="auto"/>
                <w:w w:val="94"/>
              </w:rPr>
              <w:t>Segments</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2"/>
            <w:vMerge w:val="restart"/>
          </w:tcPr>
          <w:p>
            <w:pPr>
              <w:ind w:left="20"/>
              <w:spacing w:after="0" w:line="205" w:lineRule="exact"/>
              <w:rPr>
                <w:sz w:val="20"/>
                <w:szCs w:val="20"/>
                <w:color w:val="auto"/>
              </w:rPr>
            </w:pPr>
            <w:r>
              <w:rPr>
                <w:rFonts w:ascii="Arial" w:cs="Arial" w:eastAsia="Arial" w:hAnsi="Arial"/>
                <w:sz w:val="14"/>
                <w:szCs w:val="14"/>
                <w:color w:val="auto"/>
              </w:rPr>
              <w:t>Unallocated</w:t>
            </w:r>
            <w:r>
              <w:rPr>
                <w:rFonts w:ascii="Arial" w:cs="Arial" w:eastAsia="Arial" w:hAnsi="Arial"/>
                <w:sz w:val="23"/>
                <w:szCs w:val="23"/>
                <w:color w:val="auto"/>
                <w:vertAlign w:val="superscript"/>
              </w:rPr>
              <w:t>(a)</w:t>
            </w:r>
          </w:p>
        </w:tc>
        <w:tc>
          <w:tcPr>
            <w:tcW w:w="180" w:type="dxa"/>
            <w:vAlign w:val="bottom"/>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720" w:type="dxa"/>
            <w:vAlign w:val="bottom"/>
          </w:tcPr>
          <w:p>
            <w:pPr>
              <w:spacing w:after="0"/>
              <w:rPr>
                <w:sz w:val="20"/>
                <w:szCs w:val="20"/>
                <w:color w:val="auto"/>
              </w:rPr>
            </w:pPr>
            <w:r>
              <w:rPr>
                <w:rFonts w:ascii="Arial" w:cs="Arial" w:eastAsia="Arial" w:hAnsi="Arial"/>
                <w:sz w:val="16"/>
                <w:szCs w:val="16"/>
                <w:color w:val="auto"/>
              </w:rPr>
              <w:t>Revenue from external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20" w:type="dxa"/>
            <w:vAlign w:val="bottom"/>
          </w:tcPr>
          <w:p>
            <w:pPr>
              <w:ind w:left="160"/>
              <w:spacing w:after="0"/>
              <w:rPr>
                <w:sz w:val="20"/>
                <w:szCs w:val="20"/>
                <w:color w:val="auto"/>
              </w:rPr>
            </w:pPr>
            <w:r>
              <w:rPr>
                <w:rFonts w:ascii="Arial" w:cs="Arial" w:eastAsia="Arial" w:hAnsi="Arial"/>
                <w:sz w:val="16"/>
                <w:szCs w:val="16"/>
                <w:color w:val="auto"/>
              </w:rPr>
              <w:t>customers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1,402</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569</w:t>
            </w:r>
          </w:p>
        </w:tc>
        <w:tc>
          <w:tcPr>
            <w:tcW w:w="2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2,130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208"/>
        </w:trPr>
        <w:tc>
          <w:tcPr>
            <w:tcW w:w="2720" w:type="dxa"/>
            <w:vAlign w:val="bottom"/>
          </w:tcPr>
          <w:p>
            <w:pPr>
              <w:spacing w:after="0"/>
              <w:rPr>
                <w:sz w:val="20"/>
                <w:szCs w:val="20"/>
                <w:color w:val="auto"/>
              </w:rPr>
            </w:pPr>
            <w:r>
              <w:rPr>
                <w:rFonts w:ascii="Arial" w:cs="Arial" w:eastAsia="Arial" w:hAnsi="Arial"/>
                <w:sz w:val="16"/>
                <w:szCs w:val="16"/>
                <w:color w:val="auto"/>
              </w:rPr>
              <w:t>Inter-segment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1,402</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569</w:t>
            </w:r>
          </w:p>
        </w:tc>
        <w:tc>
          <w:tcPr>
            <w:tcW w:w="2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2,130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2,130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9"/>
        </w:trPr>
        <w:tc>
          <w:tcPr>
            <w:tcW w:w="27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9"/>
          </w:tcPr>
          <w:p>
            <w:pPr>
              <w:ind w:left="740"/>
              <w:spacing w:after="0"/>
              <w:rPr>
                <w:sz w:val="20"/>
                <w:szCs w:val="20"/>
                <w:color w:val="auto"/>
              </w:rPr>
            </w:pPr>
            <w:r>
              <w:rPr>
                <w:rFonts w:ascii="Arial" w:cs="Arial" w:eastAsia="Arial" w:hAnsi="Arial"/>
                <w:sz w:val="16"/>
                <w:szCs w:val="16"/>
                <w:color w:val="auto"/>
              </w:rPr>
              <w:t>Year to Date Ended 9/30/2018</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6"/>
                <w:szCs w:val="16"/>
                <w:color w:val="auto"/>
              </w:rPr>
            </w:pPr>
          </w:p>
        </w:tc>
        <w:tc>
          <w:tcPr>
            <w:tcW w:w="880" w:type="dxa"/>
            <w:vAlign w:val="bottom"/>
            <w:vMerge w:val="restart"/>
          </w:tcPr>
          <w:p>
            <w:pPr>
              <w:jc w:val="right"/>
              <w:ind w:right="342"/>
              <w:spacing w:after="0"/>
              <w:rPr>
                <w:sz w:val="20"/>
                <w:szCs w:val="20"/>
                <w:color w:val="auto"/>
              </w:rPr>
            </w:pPr>
            <w:r>
              <w:rPr>
                <w:rFonts w:ascii="Arial" w:cs="Arial" w:eastAsia="Arial" w:hAnsi="Arial"/>
                <w:sz w:val="16"/>
                <w:szCs w:val="16"/>
                <w:color w:val="auto"/>
              </w:rPr>
              <w:t>KFC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202"/>
              <w:spacing w:after="0"/>
              <w:rPr>
                <w:sz w:val="20"/>
                <w:szCs w:val="20"/>
                <w:color w:val="auto"/>
              </w:rPr>
            </w:pPr>
            <w:r>
              <w:rPr>
                <w:rFonts w:ascii="Arial" w:cs="Arial" w:eastAsia="Arial" w:hAnsi="Arial"/>
                <w:sz w:val="16"/>
                <w:szCs w:val="16"/>
                <w:color w:val="auto"/>
                <w:w w:val="99"/>
              </w:rPr>
              <w:t>Pizza Hut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auto"/>
              </w:rPr>
              <w:t>Corporate and</w:t>
            </w:r>
          </w:p>
        </w:tc>
        <w:tc>
          <w:tcPr>
            <w:tcW w:w="160" w:type="dxa"/>
            <w:vAlign w:val="bottom"/>
          </w:tcPr>
          <w:p>
            <w:pPr>
              <w:spacing w:after="0"/>
              <w:rPr>
                <w:sz w:val="16"/>
                <w:szCs w:val="16"/>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6"/>
                <w:szCs w:val="16"/>
                <w:color w:val="auto"/>
              </w:rPr>
              <w:t>Combined</w:t>
            </w:r>
          </w:p>
        </w:tc>
        <w:tc>
          <w:tcPr>
            <w:tcW w:w="120" w:type="dxa"/>
            <w:vAlign w:val="bottom"/>
          </w:tcPr>
          <w:p>
            <w:pPr>
              <w:spacing w:after="0"/>
              <w:rPr>
                <w:sz w:val="16"/>
                <w:szCs w:val="16"/>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Elimination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102"/>
              <w:spacing w:after="0"/>
              <w:rPr>
                <w:sz w:val="20"/>
                <w:szCs w:val="20"/>
                <w:color w:val="auto"/>
              </w:rPr>
            </w:pPr>
            <w:r>
              <w:rPr>
                <w:rFonts w:ascii="Arial" w:cs="Arial" w:eastAsia="Arial" w:hAnsi="Arial"/>
                <w:sz w:val="16"/>
                <w:szCs w:val="16"/>
                <w:color w:val="auto"/>
                <w:w w:val="92"/>
              </w:rPr>
              <w:t>Consolidated</w:t>
            </w:r>
          </w:p>
        </w:tc>
        <w:tc>
          <w:tcPr>
            <w:tcW w:w="0" w:type="dxa"/>
            <w:vAlign w:val="bottom"/>
          </w:tcPr>
          <w:p>
            <w:pPr>
              <w:spacing w:after="0"/>
              <w:rPr>
                <w:sz w:val="1"/>
                <w:szCs w:val="1"/>
                <w:color w:val="auto"/>
              </w:rPr>
            </w:pPr>
          </w:p>
        </w:tc>
      </w:tr>
      <w:tr>
        <w:trPr>
          <w:trHeight w:val="96"/>
        </w:trPr>
        <w:tc>
          <w:tcPr>
            <w:tcW w:w="2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color w:val="auto"/>
              </w:rPr>
              <w:t>Segments</w:t>
            </w:r>
          </w:p>
        </w:tc>
        <w:tc>
          <w:tcPr>
            <w:tcW w:w="100" w:type="dxa"/>
            <w:vAlign w:val="bottom"/>
          </w:tcPr>
          <w:p>
            <w:pPr>
              <w:spacing w:after="0"/>
              <w:rPr>
                <w:sz w:val="8"/>
                <w:szCs w:val="8"/>
                <w:color w:val="auto"/>
              </w:rPr>
            </w:pPr>
          </w:p>
        </w:tc>
        <w:tc>
          <w:tcPr>
            <w:tcW w:w="1160" w:type="dxa"/>
            <w:vAlign w:val="bottom"/>
            <w:gridSpan w:val="2"/>
            <w:vMerge w:val="restart"/>
          </w:tcPr>
          <w:p>
            <w:pPr>
              <w:ind w:left="20"/>
              <w:spacing w:after="0" w:line="205" w:lineRule="exact"/>
              <w:rPr>
                <w:sz w:val="20"/>
                <w:szCs w:val="20"/>
                <w:color w:val="auto"/>
              </w:rPr>
            </w:pPr>
            <w:r>
              <w:rPr>
                <w:rFonts w:ascii="Arial" w:cs="Arial" w:eastAsia="Arial" w:hAnsi="Arial"/>
                <w:sz w:val="14"/>
                <w:szCs w:val="14"/>
                <w:color w:val="auto"/>
              </w:rPr>
              <w:t>Unallocated</w:t>
            </w:r>
            <w:r>
              <w:rPr>
                <w:rFonts w:ascii="Arial" w:cs="Arial" w:eastAsia="Arial" w:hAnsi="Arial"/>
                <w:sz w:val="23"/>
                <w:szCs w:val="23"/>
                <w:color w:val="auto"/>
                <w:vertAlign w:val="superscript"/>
              </w:rPr>
              <w:t>(a)</w:t>
            </w:r>
          </w:p>
        </w:tc>
        <w:tc>
          <w:tcPr>
            <w:tcW w:w="16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720" w:type="dxa"/>
            <w:vAlign w:val="bottom"/>
          </w:tcPr>
          <w:p>
            <w:pPr>
              <w:spacing w:after="0"/>
              <w:rPr>
                <w:sz w:val="20"/>
                <w:szCs w:val="20"/>
                <w:color w:val="auto"/>
              </w:rPr>
            </w:pPr>
            <w:r>
              <w:rPr>
                <w:rFonts w:ascii="Arial" w:cs="Arial" w:eastAsia="Arial" w:hAnsi="Arial"/>
                <w:sz w:val="16"/>
                <w:szCs w:val="16"/>
                <w:color w:val="auto"/>
              </w:rPr>
              <w:t>Revenue from external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20" w:type="dxa"/>
            <w:vAlign w:val="bottom"/>
          </w:tcPr>
          <w:p>
            <w:pPr>
              <w:ind w:left="160"/>
              <w:spacing w:after="0"/>
              <w:rPr>
                <w:sz w:val="20"/>
                <w:szCs w:val="20"/>
                <w:color w:val="auto"/>
              </w:rPr>
            </w:pPr>
            <w:r>
              <w:rPr>
                <w:rFonts w:ascii="Arial" w:cs="Arial" w:eastAsia="Arial" w:hAnsi="Arial"/>
                <w:sz w:val="16"/>
                <w:szCs w:val="16"/>
                <w:color w:val="auto"/>
              </w:rPr>
              <w:t>customers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4,400</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1,643</w:t>
            </w:r>
          </w:p>
        </w:tc>
        <w:tc>
          <w:tcPr>
            <w:tcW w:w="2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6,501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6,501</w:t>
            </w:r>
          </w:p>
        </w:tc>
        <w:tc>
          <w:tcPr>
            <w:tcW w:w="0" w:type="dxa"/>
            <w:vAlign w:val="bottom"/>
          </w:tcPr>
          <w:p>
            <w:pPr>
              <w:spacing w:after="0"/>
              <w:rPr>
                <w:sz w:val="1"/>
                <w:szCs w:val="1"/>
                <w:color w:val="auto"/>
              </w:rPr>
            </w:pPr>
          </w:p>
        </w:tc>
      </w:tr>
      <w:tr>
        <w:trPr>
          <w:trHeight w:val="208"/>
        </w:trPr>
        <w:tc>
          <w:tcPr>
            <w:tcW w:w="2720" w:type="dxa"/>
            <w:vAlign w:val="bottom"/>
          </w:tcPr>
          <w:p>
            <w:pPr>
              <w:spacing w:after="0"/>
              <w:rPr>
                <w:sz w:val="20"/>
                <w:szCs w:val="20"/>
                <w:color w:val="auto"/>
              </w:rPr>
            </w:pPr>
            <w:r>
              <w:rPr>
                <w:rFonts w:ascii="Arial" w:cs="Arial" w:eastAsia="Arial" w:hAnsi="Arial"/>
                <w:sz w:val="16"/>
                <w:szCs w:val="16"/>
                <w:color w:val="auto"/>
              </w:rPr>
              <w:t>Inter-segment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4,400</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7"/>
                <w:szCs w:val="17"/>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6,505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6,501</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9"/>
          </w:tcPr>
          <w:p>
            <w:pPr>
              <w:ind w:left="740"/>
              <w:spacing w:after="0"/>
              <w:rPr>
                <w:sz w:val="20"/>
                <w:szCs w:val="20"/>
                <w:color w:val="auto"/>
              </w:rPr>
            </w:pPr>
            <w:r>
              <w:rPr>
                <w:rFonts w:ascii="Arial" w:cs="Arial" w:eastAsia="Arial" w:hAnsi="Arial"/>
                <w:sz w:val="16"/>
                <w:szCs w:val="16"/>
                <w:color w:val="auto"/>
              </w:rPr>
              <w:t>Year to Date Ended 9/30/2017</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6"/>
                <w:szCs w:val="16"/>
                <w:color w:val="auto"/>
              </w:rPr>
            </w:pPr>
          </w:p>
        </w:tc>
        <w:tc>
          <w:tcPr>
            <w:tcW w:w="880" w:type="dxa"/>
            <w:vAlign w:val="bottom"/>
            <w:vMerge w:val="restart"/>
          </w:tcPr>
          <w:p>
            <w:pPr>
              <w:jc w:val="right"/>
              <w:ind w:right="342"/>
              <w:spacing w:after="0"/>
              <w:rPr>
                <w:sz w:val="20"/>
                <w:szCs w:val="20"/>
                <w:color w:val="auto"/>
              </w:rPr>
            </w:pPr>
            <w:r>
              <w:rPr>
                <w:rFonts w:ascii="Arial" w:cs="Arial" w:eastAsia="Arial" w:hAnsi="Arial"/>
                <w:sz w:val="16"/>
                <w:szCs w:val="16"/>
                <w:color w:val="auto"/>
              </w:rPr>
              <w:t>KFC</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202"/>
              <w:spacing w:after="0"/>
              <w:rPr>
                <w:sz w:val="20"/>
                <w:szCs w:val="20"/>
                <w:color w:val="auto"/>
              </w:rPr>
            </w:pPr>
            <w:r>
              <w:rPr>
                <w:rFonts w:ascii="Arial" w:cs="Arial" w:eastAsia="Arial" w:hAnsi="Arial"/>
                <w:sz w:val="16"/>
                <w:szCs w:val="16"/>
                <w:color w:val="auto"/>
                <w:w w:val="99"/>
              </w:rPr>
              <w:t>Pizza Hut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All Other</w:t>
            </w:r>
          </w:p>
        </w:tc>
        <w:tc>
          <w:tcPr>
            <w:tcW w:w="100" w:type="dxa"/>
            <w:vAlign w:val="bottom"/>
          </w:tcPr>
          <w:p>
            <w:pPr>
              <w:spacing w:after="0"/>
              <w:rPr>
                <w:sz w:val="16"/>
                <w:szCs w:val="16"/>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auto"/>
              </w:rPr>
              <w:t>Corporate and</w:t>
            </w:r>
          </w:p>
        </w:tc>
        <w:tc>
          <w:tcPr>
            <w:tcW w:w="160" w:type="dxa"/>
            <w:vAlign w:val="bottom"/>
          </w:tcPr>
          <w:p>
            <w:pPr>
              <w:spacing w:after="0"/>
              <w:rPr>
                <w:sz w:val="16"/>
                <w:szCs w:val="16"/>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6"/>
                <w:szCs w:val="16"/>
                <w:color w:val="auto"/>
              </w:rPr>
              <w:t>Combined</w:t>
            </w:r>
          </w:p>
        </w:tc>
        <w:tc>
          <w:tcPr>
            <w:tcW w:w="120" w:type="dxa"/>
            <w:vAlign w:val="bottom"/>
          </w:tcPr>
          <w:p>
            <w:pPr>
              <w:spacing w:after="0"/>
              <w:rPr>
                <w:sz w:val="16"/>
                <w:szCs w:val="16"/>
                <w:color w:val="auto"/>
              </w:rPr>
            </w:pPr>
          </w:p>
        </w:tc>
        <w:tc>
          <w:tcPr>
            <w:tcW w:w="1020" w:type="dxa"/>
            <w:vAlign w:val="bottom"/>
            <w:vMerge w:val="restart"/>
          </w:tcPr>
          <w:p>
            <w:pPr>
              <w:jc w:val="right"/>
              <w:ind w:right="142"/>
              <w:spacing w:after="0"/>
              <w:rPr>
                <w:sz w:val="20"/>
                <w:szCs w:val="20"/>
                <w:color w:val="auto"/>
              </w:rPr>
            </w:pPr>
            <w:r>
              <w:rPr>
                <w:rFonts w:ascii="Arial" w:cs="Arial" w:eastAsia="Arial" w:hAnsi="Arial"/>
                <w:sz w:val="16"/>
                <w:szCs w:val="16"/>
                <w:color w:val="auto"/>
                <w:w w:val="99"/>
              </w:rPr>
              <w:t>Elimination</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right"/>
              <w:ind w:right="102"/>
              <w:spacing w:after="0"/>
              <w:rPr>
                <w:sz w:val="20"/>
                <w:szCs w:val="20"/>
                <w:color w:val="auto"/>
              </w:rPr>
            </w:pPr>
            <w:r>
              <w:rPr>
                <w:rFonts w:ascii="Arial" w:cs="Arial" w:eastAsia="Arial" w:hAnsi="Arial"/>
                <w:sz w:val="16"/>
                <w:szCs w:val="16"/>
                <w:color w:val="auto"/>
                <w:w w:val="92"/>
              </w:rPr>
              <w:t>Consolidated</w:t>
            </w:r>
          </w:p>
        </w:tc>
        <w:tc>
          <w:tcPr>
            <w:tcW w:w="0" w:type="dxa"/>
            <w:vAlign w:val="bottom"/>
          </w:tcPr>
          <w:p>
            <w:pPr>
              <w:spacing w:after="0"/>
              <w:rPr>
                <w:sz w:val="1"/>
                <w:szCs w:val="1"/>
                <w:color w:val="auto"/>
              </w:rPr>
            </w:pPr>
          </w:p>
        </w:tc>
      </w:tr>
      <w:tr>
        <w:trPr>
          <w:trHeight w:val="96"/>
        </w:trPr>
        <w:tc>
          <w:tcPr>
            <w:tcW w:w="2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6"/>
                <w:szCs w:val="16"/>
                <w:color w:val="auto"/>
              </w:rPr>
              <w:t>Segments</w:t>
            </w:r>
          </w:p>
        </w:tc>
        <w:tc>
          <w:tcPr>
            <w:tcW w:w="100" w:type="dxa"/>
            <w:vAlign w:val="bottom"/>
          </w:tcPr>
          <w:p>
            <w:pPr>
              <w:spacing w:after="0"/>
              <w:rPr>
                <w:sz w:val="8"/>
                <w:szCs w:val="8"/>
                <w:color w:val="auto"/>
              </w:rPr>
            </w:pPr>
          </w:p>
        </w:tc>
        <w:tc>
          <w:tcPr>
            <w:tcW w:w="1160" w:type="dxa"/>
            <w:vAlign w:val="bottom"/>
            <w:gridSpan w:val="2"/>
            <w:vMerge w:val="restart"/>
          </w:tcPr>
          <w:p>
            <w:pPr>
              <w:ind w:left="20"/>
              <w:spacing w:after="0" w:line="205" w:lineRule="exact"/>
              <w:rPr>
                <w:sz w:val="20"/>
                <w:szCs w:val="20"/>
                <w:color w:val="auto"/>
              </w:rPr>
            </w:pPr>
            <w:r>
              <w:rPr>
                <w:rFonts w:ascii="Arial" w:cs="Arial" w:eastAsia="Arial" w:hAnsi="Arial"/>
                <w:sz w:val="14"/>
                <w:szCs w:val="14"/>
                <w:color w:val="auto"/>
              </w:rPr>
              <w:t>Unallocated</w:t>
            </w:r>
            <w:r>
              <w:rPr>
                <w:rFonts w:ascii="Arial" w:cs="Arial" w:eastAsia="Arial" w:hAnsi="Arial"/>
                <w:sz w:val="23"/>
                <w:szCs w:val="23"/>
                <w:color w:val="auto"/>
                <w:vertAlign w:val="superscript"/>
              </w:rPr>
              <w:t>(a)</w:t>
            </w:r>
          </w:p>
        </w:tc>
        <w:tc>
          <w:tcPr>
            <w:tcW w:w="160" w:type="dxa"/>
            <w:vAlign w:val="bottom"/>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720" w:type="dxa"/>
            <w:vAlign w:val="bottom"/>
          </w:tcPr>
          <w:p>
            <w:pPr>
              <w:spacing w:after="0"/>
              <w:rPr>
                <w:sz w:val="20"/>
                <w:szCs w:val="20"/>
                <w:color w:val="auto"/>
              </w:rPr>
            </w:pPr>
            <w:r>
              <w:rPr>
                <w:rFonts w:ascii="Arial" w:cs="Arial" w:eastAsia="Arial" w:hAnsi="Arial"/>
                <w:sz w:val="16"/>
                <w:szCs w:val="16"/>
                <w:color w:val="auto"/>
              </w:rPr>
              <w:t>Revenue from external</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720" w:type="dxa"/>
            <w:vAlign w:val="bottom"/>
          </w:tcPr>
          <w:p>
            <w:pPr>
              <w:ind w:left="160"/>
              <w:spacing w:after="0"/>
              <w:rPr>
                <w:sz w:val="20"/>
                <w:szCs w:val="20"/>
                <w:color w:val="auto"/>
              </w:rPr>
            </w:pPr>
            <w:r>
              <w:rPr>
                <w:rFonts w:ascii="Arial" w:cs="Arial" w:eastAsia="Arial" w:hAnsi="Arial"/>
                <w:sz w:val="16"/>
                <w:szCs w:val="16"/>
                <w:color w:val="auto"/>
              </w:rPr>
              <w:t>customers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3,858</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1,595</w:t>
            </w:r>
          </w:p>
        </w:tc>
        <w:tc>
          <w:tcPr>
            <w:tcW w:w="2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5,897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08"/>
        </w:trPr>
        <w:tc>
          <w:tcPr>
            <w:tcW w:w="2720" w:type="dxa"/>
            <w:vAlign w:val="bottom"/>
          </w:tcPr>
          <w:p>
            <w:pPr>
              <w:spacing w:after="0"/>
              <w:rPr>
                <w:sz w:val="20"/>
                <w:szCs w:val="20"/>
                <w:color w:val="auto"/>
              </w:rPr>
            </w:pPr>
            <w:r>
              <w:rPr>
                <w:rFonts w:ascii="Arial" w:cs="Arial" w:eastAsia="Arial" w:hAnsi="Arial"/>
                <w:sz w:val="16"/>
                <w:szCs w:val="16"/>
                <w:color w:val="auto"/>
              </w:rPr>
              <w:t>Inter-segment revenue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2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82"/>
              <w:spacing w:after="0"/>
              <w:rPr>
                <w:sz w:val="20"/>
                <w:szCs w:val="20"/>
                <w:color w:val="auto"/>
              </w:rPr>
            </w:pPr>
            <w:r>
              <w:rPr>
                <w:rFonts w:ascii="Arial" w:cs="Arial" w:eastAsia="Arial" w:hAnsi="Arial"/>
                <w:sz w:val="16"/>
                <w:szCs w:val="16"/>
                <w:color w:val="auto"/>
              </w:rPr>
              <w:t>3,858</w:t>
            </w:r>
          </w:p>
        </w:tc>
        <w:tc>
          <w:tcPr>
            <w:tcW w:w="2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02"/>
              <w:spacing w:after="0"/>
              <w:rPr>
                <w:sz w:val="20"/>
                <w:szCs w:val="20"/>
                <w:color w:val="auto"/>
              </w:rPr>
            </w:pPr>
            <w:r>
              <w:rPr>
                <w:rFonts w:ascii="Arial" w:cs="Arial" w:eastAsia="Arial" w:hAnsi="Arial"/>
                <w:sz w:val="16"/>
                <w:szCs w:val="16"/>
                <w:color w:val="auto"/>
              </w:rPr>
              <w:t>1,595</w:t>
            </w:r>
          </w:p>
        </w:tc>
        <w:tc>
          <w:tcPr>
            <w:tcW w:w="28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2"/>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5,897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22"/>
              <w:spacing w:after="0"/>
              <w:rPr>
                <w:sz w:val="20"/>
                <w:szCs w:val="20"/>
                <w:color w:val="auto"/>
              </w:rPr>
            </w:pPr>
            <w:r>
              <w:rPr>
                <w:rFonts w:ascii="Arial" w:cs="Arial" w:eastAsia="Arial" w:hAnsi="Arial"/>
                <w:sz w:val="16"/>
                <w:szCs w:val="16"/>
                <w:color w:val="auto"/>
              </w:rPr>
              <w:t>5,897</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40" w:type="dxa"/>
            <w:vAlign w:val="bottom"/>
            <w:gridSpan w:val="6"/>
          </w:tcPr>
          <w:p>
            <w:pPr>
              <w:ind w:left="640"/>
              <w:spacing w:after="0"/>
              <w:rPr>
                <w:sz w:val="20"/>
                <w:szCs w:val="20"/>
                <w:color w:val="auto"/>
              </w:rPr>
            </w:pPr>
            <w:r>
              <w:rPr>
                <w:rFonts w:ascii="Arial" w:cs="Arial" w:eastAsia="Arial" w:hAnsi="Arial"/>
                <w:sz w:val="17"/>
                <w:szCs w:val="17"/>
                <w:color w:val="auto"/>
              </w:rPr>
              <w:t>Quarter Ended</w:t>
            </w:r>
          </w:p>
        </w:tc>
        <w:tc>
          <w:tcPr>
            <w:tcW w:w="280" w:type="dxa"/>
            <w:vAlign w:val="bottom"/>
          </w:tcPr>
          <w:p>
            <w:pPr>
              <w:spacing w:after="0"/>
              <w:rPr>
                <w:sz w:val="19"/>
                <w:szCs w:val="19"/>
                <w:color w:val="auto"/>
              </w:rPr>
            </w:pPr>
          </w:p>
        </w:tc>
        <w:tc>
          <w:tcPr>
            <w:tcW w:w="1940" w:type="dxa"/>
            <w:vAlign w:val="bottom"/>
            <w:gridSpan w:val="7"/>
          </w:tcPr>
          <w:p>
            <w:pPr>
              <w:ind w:left="400"/>
              <w:spacing w:after="0"/>
              <w:rPr>
                <w:sz w:val="20"/>
                <w:szCs w:val="20"/>
                <w:color w:val="auto"/>
              </w:rPr>
            </w:pPr>
            <w:r>
              <w:rPr>
                <w:rFonts w:ascii="Arial" w:cs="Arial" w:eastAsia="Arial" w:hAnsi="Arial"/>
                <w:sz w:val="17"/>
                <w:szCs w:val="17"/>
                <w:color w:val="auto"/>
              </w:rPr>
              <w:t>Year to Date Ended</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5840" w:type="dxa"/>
            <w:vAlign w:val="bottom"/>
          </w:tcPr>
          <w:p>
            <w:pPr>
              <w:spacing w:after="0"/>
              <w:rPr>
                <w:sz w:val="20"/>
                <w:szCs w:val="20"/>
                <w:color w:val="auto"/>
              </w:rPr>
            </w:pPr>
            <w:r>
              <w:rPr>
                <w:rFonts w:ascii="Arial" w:cs="Arial" w:eastAsia="Arial" w:hAnsi="Arial"/>
                <w:sz w:val="17"/>
                <w:szCs w:val="17"/>
                <w:b w:val="1"/>
                <w:bCs w:val="1"/>
                <w:color w:val="auto"/>
              </w:rPr>
              <w:t>Operating Profit</w:t>
            </w: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rPr>
              <w:t>9/30/2018</w:t>
            </w: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214"/>
              <w:spacing w:after="0"/>
              <w:rPr>
                <w:sz w:val="20"/>
                <w:szCs w:val="20"/>
                <w:color w:val="auto"/>
              </w:rPr>
            </w:pPr>
            <w:r>
              <w:rPr>
                <w:rFonts w:ascii="Arial" w:cs="Arial" w:eastAsia="Arial" w:hAnsi="Arial"/>
                <w:sz w:val="17"/>
                <w:szCs w:val="17"/>
                <w:color w:val="auto"/>
              </w:rPr>
              <w:t>9/30/2017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w w:val="89"/>
              </w:rPr>
              <w:t>9/30/2018</w:t>
            </w:r>
          </w:p>
        </w:tc>
        <w:tc>
          <w:tcPr>
            <w:tcW w:w="30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154"/>
              <w:spacing w:after="0"/>
              <w:rPr>
                <w:sz w:val="20"/>
                <w:szCs w:val="20"/>
                <w:color w:val="auto"/>
              </w:rPr>
            </w:pPr>
            <w:r>
              <w:rPr>
                <w:rFonts w:ascii="Arial" w:cs="Arial" w:eastAsia="Arial" w:hAnsi="Arial"/>
                <w:sz w:val="17"/>
                <w:szCs w:val="17"/>
                <w:color w:val="auto"/>
              </w:rPr>
              <w:t>9/30/2017</w:t>
            </w:r>
          </w:p>
        </w:tc>
        <w:tc>
          <w:tcPr>
            <w:tcW w:w="80" w:type="dxa"/>
            <w:vAlign w:val="bottom"/>
            <w:tcBorders>
              <w:top w:val="single" w:sz="8" w:color="auto"/>
              <w:bottom w:val="single" w:sz="8" w:color="auto"/>
            </w:tcBorders>
          </w:tcPr>
          <w:p>
            <w:pPr>
              <w:spacing w:after="0"/>
              <w:rPr>
                <w:sz w:val="18"/>
                <w:szCs w:val="18"/>
                <w:color w:val="auto"/>
              </w:rPr>
            </w:pPr>
          </w:p>
        </w:tc>
      </w:tr>
      <w:tr>
        <w:trPr>
          <w:trHeight w:val="214"/>
        </w:trPr>
        <w:tc>
          <w:tcPr>
            <w:tcW w:w="5840" w:type="dxa"/>
            <w:vAlign w:val="bottom"/>
          </w:tcPr>
          <w:p>
            <w:pPr>
              <w:spacing w:after="0"/>
              <w:rPr>
                <w:sz w:val="20"/>
                <w:szCs w:val="20"/>
                <w:color w:val="auto"/>
              </w:rPr>
            </w:pPr>
            <w:r>
              <w:rPr>
                <w:rFonts w:ascii="Arial" w:cs="Arial" w:eastAsia="Arial" w:hAnsi="Arial"/>
                <w:sz w:val="17"/>
                <w:szCs w:val="17"/>
                <w:color w:val="auto"/>
              </w:rPr>
              <w:t>KFC</w:t>
            </w:r>
            <w:r>
              <w:rPr>
                <w:rFonts w:ascii="Arial" w:cs="Arial" w:eastAsia="Arial" w:hAnsi="Arial"/>
                <w:sz w:val="14"/>
                <w:szCs w:val="14"/>
                <w:color w:val="auto"/>
              </w:rPr>
              <w:t>(b)</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264</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256</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759</w:t>
            </w:r>
          </w:p>
        </w:tc>
        <w:tc>
          <w:tcPr>
            <w:tcW w:w="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683</w:t>
            </w:r>
          </w:p>
        </w:tc>
        <w:tc>
          <w:tcPr>
            <w:tcW w:w="80" w:type="dxa"/>
            <w:vAlign w:val="bottom"/>
          </w:tcPr>
          <w:p>
            <w:pPr>
              <w:spacing w:after="0"/>
              <w:rPr>
                <w:sz w:val="18"/>
                <w:szCs w:val="18"/>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Pizza Hut</w:t>
            </w:r>
          </w:p>
        </w:tc>
        <w:tc>
          <w:tcPr>
            <w:tcW w:w="20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107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173</w:t>
            </w:r>
          </w:p>
        </w:tc>
        <w:tc>
          <w:tcPr>
            <w:tcW w:w="80" w:type="dxa"/>
            <w:vAlign w:val="bottom"/>
          </w:tcPr>
          <w:p>
            <w:pPr>
              <w:spacing w:after="0"/>
              <w:rPr>
                <w:sz w:val="19"/>
                <w:szCs w:val="19"/>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All Other Segments</w:t>
            </w:r>
          </w:p>
        </w:tc>
        <w:tc>
          <w:tcPr>
            <w:tcW w:w="20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7"/>
                <w:szCs w:val="17"/>
                <w:color w:val="auto"/>
              </w:rPr>
              <w:t>(17)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7"/>
                <w:szCs w:val="17"/>
                <w:color w:val="auto"/>
              </w:rPr>
              <w:t>Unallocated revenues from transactions with</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840" w:type="dxa"/>
            <w:vAlign w:val="bottom"/>
          </w:tcPr>
          <w:p>
            <w:pPr>
              <w:ind w:left="140"/>
              <w:spacing w:after="0"/>
              <w:rPr>
                <w:sz w:val="20"/>
                <w:szCs w:val="20"/>
                <w:color w:val="auto"/>
              </w:rPr>
            </w:pPr>
            <w:r>
              <w:rPr>
                <w:rFonts w:ascii="Arial" w:cs="Arial" w:eastAsia="Arial" w:hAnsi="Arial"/>
                <w:sz w:val="17"/>
                <w:szCs w:val="17"/>
                <w:color w:val="auto"/>
              </w:rPr>
              <w:t>franchisees and unconsolidated affiliates</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395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382</w:t>
            </w:r>
          </w:p>
        </w:tc>
        <w:tc>
          <w:tcPr>
            <w:tcW w:w="80" w:type="dxa"/>
            <w:vAlign w:val="bottom"/>
          </w:tcPr>
          <w:p>
            <w:pPr>
              <w:spacing w:after="0"/>
              <w:rPr>
                <w:sz w:val="19"/>
                <w:szCs w:val="19"/>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Unallocated Other revenues</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7"/>
        </w:trPr>
        <w:tc>
          <w:tcPr>
            <w:tcW w:w="5840" w:type="dxa"/>
            <w:vAlign w:val="bottom"/>
          </w:tcPr>
          <w:p>
            <w:pPr>
              <w:spacing w:after="0"/>
              <w:rPr>
                <w:sz w:val="20"/>
                <w:szCs w:val="20"/>
                <w:color w:val="auto"/>
              </w:rPr>
            </w:pPr>
            <w:r>
              <w:rPr>
                <w:rFonts w:ascii="Arial" w:cs="Arial" w:eastAsia="Arial" w:hAnsi="Arial"/>
                <w:sz w:val="17"/>
                <w:szCs w:val="17"/>
                <w:color w:val="auto"/>
              </w:rPr>
              <w:t>Unallocated expenses from transactions with</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1"/>
        </w:trPr>
        <w:tc>
          <w:tcPr>
            <w:tcW w:w="5840" w:type="dxa"/>
            <w:vAlign w:val="bottom"/>
          </w:tcPr>
          <w:p>
            <w:pPr>
              <w:ind w:left="140"/>
              <w:spacing w:after="0"/>
              <w:rPr>
                <w:sz w:val="20"/>
                <w:szCs w:val="20"/>
                <w:color w:val="auto"/>
              </w:rPr>
            </w:pPr>
            <w:r>
              <w:rPr>
                <w:rFonts w:ascii="Arial" w:cs="Arial" w:eastAsia="Arial" w:hAnsi="Arial"/>
                <w:sz w:val="17"/>
                <w:szCs w:val="17"/>
                <w:color w:val="auto"/>
              </w:rPr>
              <w:t>franchisees and unconsolidated affiliates</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7"/>
                <w:szCs w:val="17"/>
                <w:color w:val="auto"/>
              </w:rPr>
              <w:t>(392)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5"/>
              </w:rPr>
              <w:t>(379)</w:t>
            </w:r>
          </w:p>
        </w:tc>
        <w:tc>
          <w:tcPr>
            <w:tcW w:w="80" w:type="dxa"/>
            <w:vAlign w:val="bottom"/>
          </w:tcPr>
          <w:p>
            <w:pPr>
              <w:spacing w:after="0"/>
              <w:rPr>
                <w:sz w:val="19"/>
                <w:szCs w:val="19"/>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Unallocated Other operating costs and expenses</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Unallocated and corporate G&amp;A expenses</w:t>
            </w:r>
            <w:r>
              <w:rPr>
                <w:rFonts w:ascii="Arial" w:cs="Arial" w:eastAsia="Arial" w:hAnsi="Arial"/>
                <w:sz w:val="14"/>
                <w:szCs w:val="14"/>
                <w:color w:val="auto"/>
              </w:rPr>
              <w:t>(a)</w:t>
            </w:r>
          </w:p>
        </w:tc>
        <w:tc>
          <w:tcPr>
            <w:tcW w:w="20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34"/>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7"/>
                <w:szCs w:val="17"/>
                <w:color w:val="auto"/>
              </w:rPr>
              <w:t>(94)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5"/>
              </w:rPr>
              <w:t>(124)</w:t>
            </w:r>
          </w:p>
        </w:tc>
        <w:tc>
          <w:tcPr>
            <w:tcW w:w="80" w:type="dxa"/>
            <w:vAlign w:val="bottom"/>
          </w:tcPr>
          <w:p>
            <w:pPr>
              <w:spacing w:after="0"/>
              <w:rPr>
                <w:sz w:val="19"/>
                <w:szCs w:val="19"/>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Unallocated Other income (loss)</w:t>
            </w:r>
            <w:r>
              <w:rPr>
                <w:rFonts w:ascii="Arial" w:cs="Arial" w:eastAsia="Arial" w:hAnsi="Arial"/>
                <w:sz w:val="14"/>
                <w:szCs w:val="14"/>
                <w:color w:val="auto"/>
              </w:rPr>
              <w:t>(a)(c)</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98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r>
      <w:tr>
        <w:trPr>
          <w:trHeight w:val="213"/>
        </w:trPr>
        <w:tc>
          <w:tcPr>
            <w:tcW w:w="5840" w:type="dxa"/>
            <w:vAlign w:val="bottom"/>
          </w:tcPr>
          <w:p>
            <w:pPr>
              <w:spacing w:after="0"/>
              <w:rPr>
                <w:sz w:val="20"/>
                <w:szCs w:val="20"/>
                <w:color w:val="auto"/>
              </w:rPr>
            </w:pPr>
            <w:r>
              <w:rPr>
                <w:rFonts w:ascii="Arial" w:cs="Arial" w:eastAsia="Arial" w:hAnsi="Arial"/>
                <w:sz w:val="17"/>
                <w:szCs w:val="17"/>
                <w:color w:val="auto"/>
              </w:rPr>
              <w:t>Operating Profit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264</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857</w:t>
            </w:r>
          </w:p>
        </w:tc>
        <w:tc>
          <w:tcPr>
            <w:tcW w:w="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731</w:t>
            </w:r>
          </w:p>
        </w:tc>
        <w:tc>
          <w:tcPr>
            <w:tcW w:w="80" w:type="dxa"/>
            <w:vAlign w:val="bottom"/>
          </w:tcPr>
          <w:p>
            <w:pPr>
              <w:spacing w:after="0"/>
              <w:rPr>
                <w:sz w:val="18"/>
                <w:szCs w:val="18"/>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Interest and other income, net</w:t>
            </w:r>
            <w:r>
              <w:rPr>
                <w:rFonts w:ascii="Arial" w:cs="Arial" w:eastAsia="Arial" w:hAnsi="Arial"/>
                <w:sz w:val="14"/>
                <w:szCs w:val="14"/>
                <w:color w:val="auto"/>
              </w:rPr>
              <w:t>(a)</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94"/>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16</w:t>
            </w:r>
          </w:p>
        </w:tc>
        <w:tc>
          <w:tcPr>
            <w:tcW w:w="80" w:type="dxa"/>
            <w:vAlign w:val="bottom"/>
            <w:tcBorders>
              <w:bottom w:val="single" w:sz="8" w:color="auto"/>
            </w:tcBorders>
          </w:tcPr>
          <w:p>
            <w:pPr>
              <w:spacing w:after="0"/>
              <w:rPr>
                <w:sz w:val="19"/>
                <w:szCs w:val="19"/>
                <w:color w:val="auto"/>
              </w:rPr>
            </w:pPr>
          </w:p>
        </w:tc>
      </w:tr>
      <w:tr>
        <w:trPr>
          <w:trHeight w:val="214"/>
        </w:trPr>
        <w:tc>
          <w:tcPr>
            <w:tcW w:w="584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94"/>
              <w:spacing w:after="0"/>
              <w:rPr>
                <w:sz w:val="20"/>
                <w:szCs w:val="20"/>
                <w:color w:val="auto"/>
              </w:rPr>
            </w:pPr>
            <w:r>
              <w:rPr>
                <w:rFonts w:ascii="Arial" w:cs="Arial" w:eastAsia="Arial" w:hAnsi="Arial"/>
                <w:sz w:val="17"/>
                <w:szCs w:val="17"/>
                <w:color w:val="auto"/>
              </w:rPr>
              <w:t>272</w:t>
            </w:r>
          </w:p>
        </w:tc>
        <w:tc>
          <w:tcPr>
            <w:tcW w:w="12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885</w:t>
            </w:r>
          </w:p>
        </w:tc>
        <w:tc>
          <w:tcPr>
            <w:tcW w:w="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747</w:t>
            </w: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r>
        <w:trPr>
          <w:trHeight w:val="433"/>
        </w:trPr>
        <w:tc>
          <w:tcPr>
            <w:tcW w:w="5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5"/>
          </w:tcPr>
          <w:p>
            <w:pPr>
              <w:ind w:left="160"/>
              <w:spacing w:after="0"/>
              <w:rPr>
                <w:sz w:val="20"/>
                <w:szCs w:val="20"/>
                <w:color w:val="auto"/>
              </w:rPr>
            </w:pPr>
            <w:r>
              <w:rPr>
                <w:rFonts w:ascii="Arial" w:cs="Arial" w:eastAsia="Arial" w:hAnsi="Arial"/>
                <w:sz w:val="17"/>
                <w:szCs w:val="17"/>
                <w:color w:val="auto"/>
                <w:w w:val="96"/>
              </w:rPr>
              <w:t>Total Assets</w:t>
            </w: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14"/>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9/30/2018</w:t>
            </w: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color w:val="auto"/>
                <w:w w:val="91"/>
              </w:rPr>
              <w:t>12/31/2017</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214"/>
        </w:trPr>
        <w:tc>
          <w:tcPr>
            <w:tcW w:w="5840" w:type="dxa"/>
            <w:vAlign w:val="bottom"/>
          </w:tcPr>
          <w:p>
            <w:pPr>
              <w:spacing w:after="0"/>
              <w:rPr>
                <w:sz w:val="20"/>
                <w:szCs w:val="20"/>
                <w:color w:val="auto"/>
              </w:rPr>
            </w:pPr>
            <w:r>
              <w:rPr>
                <w:rFonts w:ascii="Arial" w:cs="Arial" w:eastAsia="Arial" w:hAnsi="Arial"/>
                <w:sz w:val="17"/>
                <w:szCs w:val="17"/>
                <w:color w:val="auto"/>
              </w:rPr>
              <w:t>KFC</w:t>
            </w:r>
            <w:r>
              <w:rPr>
                <w:rFonts w:ascii="Arial" w:cs="Arial" w:eastAsia="Arial" w:hAnsi="Arial"/>
                <w:sz w:val="14"/>
                <w:szCs w:val="14"/>
                <w:color w:val="auto"/>
              </w:rPr>
              <w:t>(d)</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9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1,716</w:t>
            </w: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9"/>
              </w:rPr>
              <w:t>1,544</w:t>
            </w:r>
          </w:p>
        </w:tc>
        <w:tc>
          <w:tcPr>
            <w:tcW w:w="80" w:type="dxa"/>
            <w:vAlign w:val="bottom"/>
          </w:tcPr>
          <w:p>
            <w:pPr>
              <w:spacing w:after="0"/>
              <w:rPr>
                <w:sz w:val="18"/>
                <w:szCs w:val="18"/>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Pizza Hut</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668</w:t>
            </w:r>
          </w:p>
        </w:tc>
        <w:tc>
          <w:tcPr>
            <w:tcW w:w="80" w:type="dxa"/>
            <w:vAlign w:val="bottom"/>
          </w:tcPr>
          <w:p>
            <w:pPr>
              <w:spacing w:after="0"/>
              <w:rPr>
                <w:sz w:val="19"/>
                <w:szCs w:val="19"/>
                <w:color w:val="auto"/>
              </w:rPr>
            </w:pPr>
          </w:p>
        </w:tc>
      </w:tr>
      <w:tr>
        <w:trPr>
          <w:trHeight w:val="220"/>
        </w:trPr>
        <w:tc>
          <w:tcPr>
            <w:tcW w:w="5840" w:type="dxa"/>
            <w:vAlign w:val="bottom"/>
          </w:tcPr>
          <w:p>
            <w:pPr>
              <w:spacing w:after="0"/>
              <w:rPr>
                <w:sz w:val="20"/>
                <w:szCs w:val="20"/>
                <w:color w:val="auto"/>
              </w:rPr>
            </w:pPr>
            <w:r>
              <w:rPr>
                <w:rFonts w:ascii="Arial" w:cs="Arial" w:eastAsia="Arial" w:hAnsi="Arial"/>
                <w:sz w:val="17"/>
                <w:szCs w:val="17"/>
                <w:color w:val="auto"/>
              </w:rPr>
              <w:t>All Other Segments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139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144</w:t>
            </w:r>
          </w:p>
        </w:tc>
        <w:tc>
          <w:tcPr>
            <w:tcW w:w="80" w:type="dxa"/>
            <w:vAlign w:val="bottom"/>
          </w:tcPr>
          <w:p>
            <w:pPr>
              <w:spacing w:after="0"/>
              <w:rPr>
                <w:sz w:val="19"/>
                <w:szCs w:val="19"/>
                <w:color w:val="auto"/>
              </w:rPr>
            </w:pPr>
          </w:p>
        </w:tc>
      </w:tr>
      <w:tr>
        <w:trPr>
          <w:trHeight w:val="221"/>
        </w:trPr>
        <w:tc>
          <w:tcPr>
            <w:tcW w:w="5840" w:type="dxa"/>
            <w:vAlign w:val="bottom"/>
          </w:tcPr>
          <w:p>
            <w:pPr>
              <w:spacing w:after="0"/>
              <w:rPr>
                <w:sz w:val="20"/>
                <w:szCs w:val="20"/>
                <w:color w:val="auto"/>
              </w:rPr>
            </w:pPr>
            <w:r>
              <w:rPr>
                <w:rFonts w:ascii="Arial" w:cs="Arial" w:eastAsia="Arial" w:hAnsi="Arial"/>
                <w:sz w:val="17"/>
                <w:szCs w:val="17"/>
                <w:color w:val="auto"/>
              </w:rPr>
              <w:t>Corporate and Unallocated</w:t>
            </w:r>
            <w:r>
              <w:rPr>
                <w:rFonts w:ascii="Arial" w:cs="Arial" w:eastAsia="Arial" w:hAnsi="Arial"/>
                <w:sz w:val="14"/>
                <w:szCs w:val="14"/>
                <w:color w:val="auto"/>
              </w:rPr>
              <w:t>(e)</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2,256</w:t>
            </w: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9"/>
              </w:rPr>
              <w:t>1,931</w:t>
            </w:r>
          </w:p>
        </w:tc>
        <w:tc>
          <w:tcPr>
            <w:tcW w:w="80" w:type="dxa"/>
            <w:vAlign w:val="bottom"/>
            <w:tcBorders>
              <w:bottom w:val="single" w:sz="8" w:color="auto"/>
            </w:tcBorders>
          </w:tcPr>
          <w:p>
            <w:pPr>
              <w:spacing w:after="0"/>
              <w:rPr>
                <w:sz w:val="19"/>
                <w:szCs w:val="19"/>
                <w:color w:val="auto"/>
              </w:rPr>
            </w:pPr>
          </w:p>
        </w:tc>
      </w:tr>
      <w:tr>
        <w:trPr>
          <w:trHeight w:val="214"/>
        </w:trPr>
        <w:tc>
          <w:tcPr>
            <w:tcW w:w="5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9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4,691</w:t>
            </w:r>
          </w:p>
        </w:tc>
        <w:tc>
          <w:tcPr>
            <w:tcW w:w="5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89"/>
              </w:rPr>
              <w:t>4,287</w:t>
            </w:r>
          </w:p>
        </w:tc>
        <w:tc>
          <w:tcPr>
            <w:tcW w:w="8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20" w:hanging="51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Amounts have not been allocated to any segment for performance reporting purposes.</w:t>
      </w:r>
    </w:p>
    <w:p>
      <w:pPr>
        <w:spacing w:after="0" w:line="245" w:lineRule="exact"/>
        <w:rPr>
          <w:rFonts w:ascii="Arial" w:cs="Arial" w:eastAsia="Arial" w:hAnsi="Arial"/>
          <w:sz w:val="17"/>
          <w:szCs w:val="17"/>
          <w:color w:val="auto"/>
        </w:rPr>
      </w:pPr>
    </w:p>
    <w:p>
      <w:pPr>
        <w:ind w:left="520" w:hanging="516"/>
        <w:spacing w:after="0" w:line="285"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equity income from investments in unconsolidated affiliates of $17 million and $19 million for the quarters ended September 30, 2018 and 2017, respectively, and $52 million and $54 million for the years to date ended September 30, 2018 and 2017, respectively.</w:t>
      </w:r>
    </w:p>
    <w:p>
      <w:pPr>
        <w:spacing w:after="0" w:line="184" w:lineRule="exact"/>
        <w:rPr>
          <w:rFonts w:ascii="Arial" w:cs="Arial" w:eastAsia="Arial" w:hAnsi="Arial"/>
          <w:sz w:val="17"/>
          <w:szCs w:val="17"/>
          <w:color w:val="auto"/>
        </w:rPr>
      </w:pPr>
    </w:p>
    <w:p>
      <w:pPr>
        <w:ind w:left="520" w:hanging="51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Primarily includes gain from re-measurement of previously held equity interest in connection with the acquisition of Wuxi KFC. See Note 2.</w:t>
      </w:r>
    </w:p>
    <w:p>
      <w:pPr>
        <w:spacing w:after="0" w:line="219" w:lineRule="exact"/>
        <w:rPr>
          <w:rFonts w:ascii="Arial" w:cs="Arial" w:eastAsia="Arial" w:hAnsi="Arial"/>
          <w:sz w:val="17"/>
          <w:szCs w:val="17"/>
          <w:color w:val="auto"/>
        </w:rPr>
      </w:pPr>
    </w:p>
    <w:p>
      <w:pPr>
        <w:ind w:left="520" w:hanging="51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Includes investments in unconsolidated affiliates.</w:t>
      </w:r>
    </w:p>
    <w:p>
      <w:pPr>
        <w:spacing w:after="0" w:line="245" w:lineRule="exact"/>
        <w:rPr>
          <w:rFonts w:ascii="Arial" w:cs="Arial" w:eastAsia="Arial" w:hAnsi="Arial"/>
          <w:sz w:val="17"/>
          <w:szCs w:val="17"/>
          <w:color w:val="auto"/>
        </w:rPr>
      </w:pPr>
    </w:p>
    <w:p>
      <w:pPr>
        <w:ind w:left="520" w:hanging="51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Primarily includes cash and cash equivalents, short-term investments, inventories and investment in equity securities that are centrally managed.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97"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Note 12 –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Indemnification of China Tax on Indirect Transfers of Assets</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February 2015, the Chinese State Administration of Taxation (“SAT”) issued Bulletin 7 on Income arising from Indirect Transfers of Assets by Non-Resident Enterprises. Pursuant to Bulletin 7, an “indirect transfer” of Chinese taxable assets, including equity interests in a Chinese resident enterprise, by a non-resident enterprise, may be recharacterized and treated as a direct transfer of Chinese taxable assets, if such arrangement does not have reasonable commercial purpose and the transferor has avoided payment of Chinese enterprise income tax. As a result, gains derived from such an indirect transfer may be subject to Chinese enterprise income tax at a rate of 10%.</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YUM concluded and we concurred that it is more likely than not that YUM will not be subject to this tax with respect to the distribution. However, given how recently Bulletin 7 was promulgated, there are significant uncertainties regarding what constitutes a reasonable commercial purpose, how the safe harbor provisions for group restructurings are to be interpreted and how the taxing authorities will ultimately view the distribution. As a result, YUM’s position could be challenged by Chinese tax authorities resulting in a 10% tax assessed on the difference between the fair market value and the tax basis of the separated China business. As YUM’s tax basis in the China business is minimal, the amount of such tax could be significant.</w:t>
      </w:r>
    </w:p>
    <w:p>
      <w:pPr>
        <w:spacing w:after="0" w:line="20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Any tax liability arising from the application of Bulletin 7 to the distribution is expected to be settled in accordance with the tax matters agreement between the Company and YUM. Pursuant to the tax matters agreement, to the extent any Chinese indirect transfer tax pursuant to Bulletin 7 is imposed, such tax and related losses will be allocated between YUM and the Company in proportion to their respective share of the combined market capitalization of YUM and the Company during the 30 trading days after the separation. Such a settlement could be significant and have a material adverse effect on our results of operations and our financial condition. At the inception of the tax indemnity being provided to YUM, the fair value of the non-contingent obligation to stand ready to perform was insignificant and the liability for the contingent obligation to make payment was not probable or estimable.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Guarantees</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From time to time we have guaranteed certain lines of credit and loans of franchisees and unconsolidated affiliates. As of September 30, 2018, we have provided guarantees of approximately $1 million on behalf of franchisees and no guarantees were outstanding for unconsolidated affiliates.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Legal Proceedings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From time to time, the Company is subject to various lawsuits covering a variety of allegations. The Company believes that the ultimate liability, if any, in excess of amounts already provided for these matters in the Condensed Consolidated Financial Statements, is not likely to have a material adverse effect on the Company’s results of operations, financial condition or cash flows. Matters faced by the Company from time to time include, but are not limited to, claims from landlords, employees, customers and others related to operational, contractual or employment issues.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 Subsequent Events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October 30, 2018, the Company announced that the Board of Directors authorized an increase in Yum China’s existing share repurchase authorization from $550 million to an aggregate of $1.4 billion. The authorization does not have an expiration date.</w:t>
      </w:r>
    </w:p>
    <w:p>
      <w:pPr>
        <w:spacing w:after="0" w:line="15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30, 2018, the Company announced that the Board of Directors declared a cash dividend of $0.12 per share, payable as of the close of business on December 18, 2018 to stockholders of record as of the close of business on November 27, 2018. The total estimated cash dividend payable is approximately $46 million.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19" w:name="page20"/>
    <w:bookmarkEnd w:id="19"/>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References to the Company throughout this Management’s Discussion and Analysis of Financial Condition and Results of Operations (this “MD&amp;A”) are made using the first person notations of “we,” “us” or “our.” This MD&amp;A contains forward-looking statements, including statements with respect to the retail tax structure reform and the potential effects thereof, our growth plans, future capital resources to fund our operations and anticipated capital expenditures, share repurchases, our ability to pay dividends and the impact of new accounting pronouncements not yet adopted. See “Cautionary Note Regarding Forward-Looking Statements” at the end of this Item 2 for information regarding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2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Yum China Holdings, Inc. is the largest restaurant company in China, with over 8,300 restaurants as of September 30, 2018. Our growing restaurant base consists of China’s leading restaurant brands and concepts, primarily KFC, Pizza Hut, East Dawning, Little Sheep and Taco Bell. Following our separation from YUM, we have obtained the exclusive right to operate and sub-license the KFC, Pizza Hut and, subject to achieving certain agreed-upon milestones, Taco Bell brands in China, excluding Hong Kong, Taiwan and Macau (the “PRC” or “China”), and we own the marks of East Dawning and Little Sheep outright. We were the first major global restaurant brand when we entered China in 1987 and we have developed deep operating experience in the market. We have since grown to become one of China’s largest restaurant developers with locations in over 1,200 cities as of September 30, 2018.</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KFC is the leading Quick-Service Restaurant (“QSR”) brand in the PRC in terms of system sales and number of restaurants. As of September 30, 2018, KFC operated 5,800 restaurants in over 1,200 cities across China. Measured by number of restaurants, we believe KFC has a two-to-one lead over the nearest Western QSR competitor in China, and KFC has continued to grow in both large and small cities. During the first quarter of 2018, the Company completed the acquisition of an additional 36% interest in an unconsolidated affiliate that operates KFC stores in Wuxi, China (“Wuxi KFC”), increasing the equity interest to 83% and allowing the Company to consolidate the entity.</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During the second quarter of 2017, we integrated the business of Pizza Hut Casual Dining and Pizza Hut Home Service as Pizza Hut. Segment financial information for prior periods has been recast to align with this change in segment reporting. After the integration, Pizza Hut continues to be the leading Casual Dining Restaurant (“CDR”) brand in China as measured by system sales and number of restaurants. We believe Pizza Hut has a four-to-one lead in terms of number of restaurants over its nearest Western CDR competitor in China. As of September 30, 2018, Pizza Hut operated over 2,200 restaurants in over 500 cities.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Separation from YUM</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separated from YUM on October 31, 2016, becoming an independent publicly traded company as a result of a pro rata distribution of all outstanding shares of Yum China common stock to shareholders of YUM. On October 31, 2016, YUM’s shareholders of record as of 5:00 p.m. Eastern Time on October 19, 2016 received one share of Yum China common stock for every one share of YUM common stock held as of the record date. Yum China’s common stock began trading “regular way” under the ticker symbol “YUMC” on the New York Stock Exchange on November 1, 2016.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Overview</w:t>
      </w:r>
    </w:p>
    <w:p>
      <w:pPr>
        <w:spacing w:after="0" w:line="22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We intend for this MD&amp;A to provide the reader with information that will assist in understanding our results of operations, including metrics that management uses to assess the Company’s performance. Throughout this MD&amp;A, we discuss the following performance metrics:</w:t>
      </w:r>
    </w:p>
    <w:p>
      <w:pPr>
        <w:spacing w:after="0" w:line="159" w:lineRule="exact"/>
        <w:rPr>
          <w:sz w:val="20"/>
          <w:szCs w:val="20"/>
          <w:color w:val="auto"/>
        </w:rPr>
      </w:pPr>
    </w:p>
    <w:p>
      <w:pPr>
        <w:jc w:val="both"/>
        <w:ind w:left="760" w:hanging="380"/>
        <w:spacing w:after="0" w:line="270"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provides certain percentage changes excluding the impact of foreign currency translation (“F/X”). These amounts are derived by translating current year results at prior year average exchange rates. We believe the elimination of the F/X impact provides better year-to-year comparability without the distortion of foreign currency fluctuations.</w:t>
      </w:r>
    </w:p>
    <w:p>
      <w:pPr>
        <w:spacing w:after="0" w:line="170" w:lineRule="exact"/>
        <w:rPr>
          <w:rFonts w:ascii="Arial" w:cs="Arial" w:eastAsia="Arial" w:hAnsi="Arial"/>
          <w:sz w:val="17"/>
          <w:szCs w:val="17"/>
          <w:color w:val="auto"/>
        </w:rPr>
      </w:pPr>
    </w:p>
    <w:p>
      <w:pPr>
        <w:jc w:val="both"/>
        <w:ind w:left="760" w:hanging="380"/>
        <w:spacing w:after="0" w:line="302"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System sales growth reflects the results of all restaurants regardless of ownership, including Company-owned, franchise and unconsolidated affiliate restaurants that operate our Concepts, except for non-Company-owned restaurants for which we do not receive a sales-based royalty. Sales of franchise and unconsolidated affiliate restaurants typically generate ongoing franchise fees for the Company at a rate of approximately 6% of system sales. Franchise and unconsolidated affiliate restaurant sales are not included in Company sales on the Condensed Consolidated Statements of Income; however, the franchise fees are included in the Company’s revenues. We believe system sales growth is useful to investors as a significant indicator of the overall strength of our business as it incorporates all of our revenue drivers, Company and franchise same-store sales as well as net unit growth.</w:t>
      </w:r>
    </w:p>
    <w:p>
      <w:pPr>
        <w:spacing w:after="0" w:line="151" w:lineRule="exact"/>
        <w:rPr>
          <w:rFonts w:ascii="Arial" w:cs="Arial" w:eastAsia="Arial" w:hAnsi="Arial"/>
          <w:sz w:val="15"/>
          <w:szCs w:val="15"/>
          <w:color w:val="auto"/>
        </w:rPr>
      </w:pPr>
    </w:p>
    <w:p>
      <w:pPr>
        <w:jc w:val="both"/>
        <w:ind w:left="760" w:hanging="380"/>
        <w:spacing w:after="0" w:line="282"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Effective January 1, 2018, the Company revised its definition of same-store sales growth to represent the estimated percentage change in sales of food of all restaurants in the Company system that have been open prior to the first day of our prior fiscal year. We refer to these as our “base” stores. Previously, same-store sales growth represented the estimated percentage change in sales of all restaurants in the Company system that have been open for one year or more, and the base stores changed on a rolling basis from month to month. This revision was made to align with how management measures performance internally and focuses on trends of a more stable base of stores. Prior periods have been adjusted accordingly.</w:t>
      </w:r>
    </w:p>
    <w:p>
      <w:pPr>
        <w:spacing w:after="0" w:line="164" w:lineRule="exact"/>
        <w:rPr>
          <w:rFonts w:ascii="Arial" w:cs="Arial" w:eastAsia="Arial" w:hAnsi="Arial"/>
          <w:sz w:val="16"/>
          <w:szCs w:val="16"/>
          <w:color w:val="auto"/>
        </w:rPr>
      </w:pPr>
    </w:p>
    <w:p>
      <w:pPr>
        <w:jc w:val="both"/>
        <w:ind w:left="760" w:hanging="380"/>
        <w:spacing w:after="0" w:line="311" w:lineRule="auto"/>
        <w:tabs>
          <w:tab w:leader="none" w:pos="7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Company Restaurant profit (“Restaurant profit”) is defined as Company sales less expenses incurred directly by our Company-owned restaurants in generating Company sales. Company restaurant margin percentage is defined as Restaurant profit divided by Company sales. Within the Company sales and Restaurant profit analysis, Store Portfolio Actions represent the net impact of new unit openings, acquisitions, refranchising and store closures, and Other primarily represents the impact of same-store sales as well as the impact of changes in restaurant operating costs such as inflation/deflation.</w:t>
      </w:r>
    </w:p>
    <w:p>
      <w:pPr>
        <w:spacing w:after="0" w:line="144" w:lineRule="exact"/>
        <w:rPr>
          <w:rFonts w:ascii="Arial" w:cs="Arial" w:eastAsia="Arial" w:hAnsi="Arial"/>
          <w:sz w:val="15"/>
          <w:szCs w:val="15"/>
          <w:color w:val="auto"/>
        </w:rPr>
      </w:pPr>
    </w:p>
    <w:p>
      <w:pPr>
        <w:jc w:val="both"/>
        <w:ind w:left="760" w:hanging="380"/>
        <w:spacing w:after="0" w:line="275" w:lineRule="auto"/>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addition to the results provided in accordance with GAAP throughout this MD&amp;A, the Company provides measures adjusted for Special Items, which include Adjusted Operating Profit, Adjusted Diluted Earnings Per Common Share, Adjusted Effective Tax Rate and Adjusted EBITDA, which we define as net income including noncontrolling interests adjusted for income tax, interest and other income, net, depreciation, amortization and other items, including store impairment charges. The Special Item for the year to date ended September 30, 2018 represents a gain recognized from the re-measurement of our previously held equity interest in Wuxi KFC at fair value upon acquisition, as described in Note 2. The Special Item for the quarter and year to date ended September 30, 2017 represents income from the reversal of contingent consideration. The Company excludes impact from Special Items for the purpose of evaluating performance internally. Special Items are not included in any of our segment results. In addition, the Company provides Adjusted EBITDA because we believe that investors and analysts may find it useful in measuring operating performance without regard to items such as income tax, interest and other income, net, depreciation, amortization and other items, including store impairment charges. These adjusted measures are not intended to replace the presentation of our financial results in accordance with GAAP. Rather, the Company believes that the presentation of these adjusted measures provides additional information to investors to facilitate the comparison of past and present results, excluding those items that the Company does not believe are indicative of our ongoing operations due to their nature.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Note references in this MD&amp;A refer to the Notes to the Condensed Consolidated Financial Statements. Tabular amounts are displayed in millions of U.S. dollars except percentages and per share and unit count amounts, or as otherwise specifically identified. Percentages may not recompute due to rounding. References to quarters are references to the Company’s fiscal quarters.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at the beginning of fiscal 2018, the Company changed its fiscal calendar from two months in the first quarter, three months in the second and third quarters and four months in the fourth quarter, to four three-month quarters ending on March 31, June 30, September 30 and December 31 of each year. Prior periods have been recast as if they had been reported under the new fiscal calendar.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Quarters and years to date ended September 30, 2018 and 2017</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w:t>
      </w:r>
    </w:p>
    <w:p>
      <w:pPr>
        <w:spacing w:after="0" w:line="220" w:lineRule="exact"/>
        <w:rPr>
          <w:sz w:val="20"/>
          <w:szCs w:val="20"/>
          <w:color w:val="auto"/>
        </w:rPr>
      </w:pPr>
    </w:p>
    <w:p>
      <w:pPr>
        <w:ind w:right="20"/>
        <w:spacing w:after="0" w:line="318" w:lineRule="auto"/>
        <w:rPr>
          <w:sz w:val="20"/>
          <w:szCs w:val="20"/>
          <w:color w:val="auto"/>
        </w:rPr>
      </w:pPr>
      <w:r>
        <w:rPr>
          <w:rFonts w:ascii="Arial" w:cs="Arial" w:eastAsia="Arial" w:hAnsi="Arial"/>
          <w:sz w:val="16"/>
          <w:szCs w:val="16"/>
          <w:color w:val="auto"/>
        </w:rPr>
        <w:t>The Company has two reportable segments: KFC and Pizza Hut. Our remaining operating segments, including the operations of East Dawning, Little Sheep, Taco Bell and Daojia, are combined and referred to as All Other Segments, as these operating segments are insignificant both individually and in the aggregate.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Quarterly highlights:</w:t>
      </w:r>
    </w:p>
    <w:p>
      <w:pPr>
        <w:spacing w:after="0" w:line="25"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380" w:type="dxa"/>
            <w:vAlign w:val="bottom"/>
            <w:tcBorders>
              <w:top w:val="single" w:sz="8" w:color="auto"/>
              <w:left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color w:val="auto"/>
              </w:rPr>
              <w:t>% Change</w:t>
            </w:r>
          </w:p>
        </w:tc>
        <w:tc>
          <w:tcPr>
            <w:tcW w:w="18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right w:val="single" w:sz="8" w:color="auto"/>
            </w:tcBorders>
          </w:tcPr>
          <w:p>
            <w:pPr>
              <w:spacing w:after="0"/>
              <w:rPr>
                <w:sz w:val="18"/>
                <w:szCs w:val="18"/>
                <w:color w:val="auto"/>
              </w:rPr>
            </w:pPr>
          </w:p>
        </w:tc>
      </w:tr>
      <w:tr>
        <w:trPr>
          <w:trHeight w:val="201"/>
        </w:trPr>
        <w:tc>
          <w:tcPr>
            <w:tcW w:w="2380" w:type="dxa"/>
            <w:vAlign w:val="bottom"/>
            <w:tcBorders>
              <w:lef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660" w:type="dxa"/>
            <w:vAlign w:val="bottom"/>
          </w:tcPr>
          <w:p>
            <w:pPr>
              <w:jc w:val="right"/>
              <w:ind w:right="294"/>
              <w:spacing w:after="0"/>
              <w:rPr>
                <w:sz w:val="20"/>
                <w:szCs w:val="20"/>
                <w:color w:val="auto"/>
              </w:rPr>
            </w:pPr>
            <w:r>
              <w:rPr>
                <w:rFonts w:ascii="Arial" w:cs="Arial" w:eastAsia="Arial" w:hAnsi="Arial"/>
                <w:sz w:val="17"/>
                <w:szCs w:val="17"/>
                <w:color w:val="auto"/>
              </w:rPr>
              <w:t>System Sales</w:t>
            </w:r>
            <w:r>
              <w:rPr>
                <w:rFonts w:ascii="Arial" w:cs="Arial" w:eastAsia="Arial" w:hAnsi="Arial"/>
                <w:sz w:val="14"/>
                <w:szCs w:val="14"/>
                <w:color w:val="auto"/>
              </w:rPr>
              <w:t>(a)</w:t>
            </w:r>
          </w:p>
        </w:tc>
        <w:tc>
          <w:tcPr>
            <w:tcW w:w="1940" w:type="dxa"/>
            <w:vAlign w:val="bottom"/>
          </w:tcPr>
          <w:p>
            <w:pPr>
              <w:jc w:val="right"/>
              <w:ind w:right="314"/>
              <w:spacing w:after="0"/>
              <w:rPr>
                <w:sz w:val="20"/>
                <w:szCs w:val="20"/>
                <w:color w:val="auto"/>
              </w:rPr>
            </w:pPr>
            <w:r>
              <w:rPr>
                <w:rFonts w:ascii="Arial" w:cs="Arial" w:eastAsia="Arial" w:hAnsi="Arial"/>
                <w:sz w:val="17"/>
                <w:szCs w:val="17"/>
                <w:color w:val="auto"/>
                <w:w w:val="98"/>
              </w:rPr>
              <w:t>Same-Store Sales</w:t>
            </w:r>
            <w:r>
              <w:rPr>
                <w:rFonts w:ascii="Arial" w:cs="Arial" w:eastAsia="Arial" w:hAnsi="Arial"/>
                <w:sz w:val="14"/>
                <w:szCs w:val="14"/>
                <w:color w:val="auto"/>
                <w:w w:val="98"/>
              </w:rPr>
              <w:t>(a)</w:t>
            </w:r>
          </w:p>
        </w:tc>
        <w:tc>
          <w:tcPr>
            <w:tcW w:w="1820" w:type="dxa"/>
            <w:vAlign w:val="bottom"/>
          </w:tcPr>
          <w:p>
            <w:pPr>
              <w:jc w:val="right"/>
              <w:ind w:right="454"/>
              <w:spacing w:after="0"/>
              <w:rPr>
                <w:sz w:val="20"/>
                <w:szCs w:val="20"/>
                <w:color w:val="auto"/>
              </w:rPr>
            </w:pPr>
            <w:r>
              <w:rPr>
                <w:rFonts w:ascii="Arial" w:cs="Arial" w:eastAsia="Arial" w:hAnsi="Arial"/>
                <w:sz w:val="17"/>
                <w:szCs w:val="17"/>
                <w:color w:val="auto"/>
              </w:rPr>
              <w:t>Net New Units</w:t>
            </w:r>
          </w:p>
        </w:tc>
        <w:tc>
          <w:tcPr>
            <w:tcW w:w="1820" w:type="dxa"/>
            <w:vAlign w:val="bottom"/>
          </w:tcPr>
          <w:p>
            <w:pPr>
              <w:jc w:val="right"/>
              <w:ind w:right="494"/>
              <w:spacing w:after="0"/>
              <w:rPr>
                <w:sz w:val="20"/>
                <w:szCs w:val="20"/>
                <w:color w:val="auto"/>
              </w:rPr>
            </w:pPr>
            <w:r>
              <w:rPr>
                <w:rFonts w:ascii="Arial" w:cs="Arial" w:eastAsia="Arial" w:hAnsi="Arial"/>
                <w:sz w:val="17"/>
                <w:szCs w:val="17"/>
                <w:color w:val="auto"/>
              </w:rPr>
              <w:t>Operating Profit</w:t>
            </w:r>
          </w:p>
        </w:tc>
        <w:tc>
          <w:tcPr>
            <w:tcW w:w="1580" w:type="dxa"/>
            <w:vAlign w:val="bottom"/>
            <w:tcBorders>
              <w:right w:val="single" w:sz="8" w:color="auto"/>
            </w:tcBorders>
          </w:tcPr>
          <w:p>
            <w:pPr>
              <w:jc w:val="right"/>
              <w:ind w:right="214"/>
              <w:spacing w:after="0"/>
              <w:rPr>
                <w:sz w:val="20"/>
                <w:szCs w:val="20"/>
                <w:color w:val="auto"/>
              </w:rPr>
            </w:pPr>
            <w:r>
              <w:rPr>
                <w:rFonts w:ascii="Arial" w:cs="Arial" w:eastAsia="Arial" w:hAnsi="Arial"/>
                <w:sz w:val="17"/>
                <w:szCs w:val="17"/>
                <w:color w:val="auto"/>
              </w:rPr>
              <w:t>Operating Profit</w:t>
            </w:r>
          </w:p>
        </w:tc>
      </w:tr>
      <w:tr>
        <w:trPr>
          <w:trHeight w:val="220"/>
        </w:trPr>
        <w:tc>
          <w:tcPr>
            <w:tcW w:w="2380" w:type="dxa"/>
            <w:vAlign w:val="bottom"/>
            <w:tcBorders>
              <w:lef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694"/>
              <w:spacing w:after="0"/>
              <w:rPr>
                <w:sz w:val="20"/>
                <w:szCs w:val="20"/>
                <w:color w:val="auto"/>
              </w:rPr>
            </w:pPr>
            <w:r>
              <w:rPr>
                <w:rFonts w:ascii="Arial" w:cs="Arial" w:eastAsia="Arial" w:hAnsi="Arial"/>
                <w:sz w:val="17"/>
                <w:szCs w:val="17"/>
                <w:color w:val="auto"/>
              </w:rPr>
              <w:t>(Reported)</w:t>
            </w:r>
          </w:p>
        </w:tc>
        <w:tc>
          <w:tcPr>
            <w:tcW w:w="1580" w:type="dxa"/>
            <w:vAlign w:val="bottom"/>
            <w:tcBorders>
              <w:bottom w:val="single" w:sz="8" w:color="auto"/>
              <w:right w:val="single" w:sz="8" w:color="auto"/>
            </w:tcBorders>
          </w:tcPr>
          <w:p>
            <w:pPr>
              <w:jc w:val="right"/>
              <w:ind w:right="474"/>
              <w:spacing w:after="0"/>
              <w:rPr>
                <w:sz w:val="20"/>
                <w:szCs w:val="20"/>
                <w:color w:val="auto"/>
              </w:rPr>
            </w:pPr>
            <w:r>
              <w:rPr>
                <w:rFonts w:ascii="Arial" w:cs="Arial" w:eastAsia="Arial" w:hAnsi="Arial"/>
                <w:sz w:val="17"/>
                <w:szCs w:val="17"/>
                <w:color w:val="auto"/>
              </w:rPr>
              <w:t>(Ex F/X)</w:t>
            </w:r>
          </w:p>
        </w:tc>
      </w:tr>
      <w:tr>
        <w:trPr>
          <w:trHeight w:val="214"/>
        </w:trPr>
        <w:tc>
          <w:tcPr>
            <w:tcW w:w="26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KFC</w:t>
            </w:r>
          </w:p>
        </w:tc>
        <w:tc>
          <w:tcPr>
            <w:tcW w:w="1660" w:type="dxa"/>
            <w:vAlign w:val="bottom"/>
          </w:tcPr>
          <w:p>
            <w:pPr>
              <w:jc w:val="right"/>
              <w:ind w:right="94"/>
              <w:spacing w:after="0"/>
              <w:rPr>
                <w:sz w:val="20"/>
                <w:szCs w:val="20"/>
                <w:color w:val="auto"/>
              </w:rPr>
            </w:pPr>
            <w:r>
              <w:rPr>
                <w:rFonts w:ascii="Arial" w:cs="Arial" w:eastAsia="Arial" w:hAnsi="Arial"/>
                <w:sz w:val="17"/>
                <w:szCs w:val="17"/>
                <w:color w:val="auto"/>
              </w:rPr>
              <w:t>+6</w:t>
            </w:r>
          </w:p>
        </w:tc>
        <w:tc>
          <w:tcPr>
            <w:tcW w:w="1940" w:type="dxa"/>
            <w:vAlign w:val="bottom"/>
          </w:tcPr>
          <w:p>
            <w:pPr>
              <w:jc w:val="right"/>
              <w:ind w:right="254"/>
              <w:spacing w:after="0"/>
              <w:rPr>
                <w:sz w:val="20"/>
                <w:szCs w:val="20"/>
                <w:color w:val="auto"/>
              </w:rPr>
            </w:pPr>
            <w:r>
              <w:rPr>
                <w:rFonts w:ascii="Arial" w:cs="Arial" w:eastAsia="Arial" w:hAnsi="Arial"/>
                <w:sz w:val="17"/>
                <w:szCs w:val="17"/>
                <w:color w:val="auto"/>
              </w:rPr>
              <w:t>+1</w:t>
            </w:r>
          </w:p>
        </w:tc>
        <w:tc>
          <w:tcPr>
            <w:tcW w:w="1820" w:type="dxa"/>
            <w:vAlign w:val="bottom"/>
          </w:tcPr>
          <w:p>
            <w:pPr>
              <w:jc w:val="right"/>
              <w:ind w:right="154"/>
              <w:spacing w:after="0"/>
              <w:rPr>
                <w:sz w:val="20"/>
                <w:szCs w:val="20"/>
                <w:color w:val="auto"/>
              </w:rPr>
            </w:pPr>
            <w:r>
              <w:rPr>
                <w:rFonts w:ascii="Arial" w:cs="Arial" w:eastAsia="Arial" w:hAnsi="Arial"/>
                <w:sz w:val="17"/>
                <w:szCs w:val="17"/>
                <w:color w:val="auto"/>
              </w:rPr>
              <w:t>+8</w:t>
            </w:r>
          </w:p>
        </w:tc>
        <w:tc>
          <w:tcPr>
            <w:tcW w:w="1820" w:type="dxa"/>
            <w:vAlign w:val="bottom"/>
          </w:tcPr>
          <w:p>
            <w:pPr>
              <w:jc w:val="right"/>
              <w:ind w:right="314"/>
              <w:spacing w:after="0"/>
              <w:rPr>
                <w:sz w:val="20"/>
                <w:szCs w:val="20"/>
                <w:color w:val="auto"/>
              </w:rPr>
            </w:pPr>
            <w:r>
              <w:rPr>
                <w:rFonts w:ascii="Arial" w:cs="Arial" w:eastAsia="Arial" w:hAnsi="Arial"/>
                <w:sz w:val="17"/>
                <w:szCs w:val="17"/>
                <w:color w:val="auto"/>
              </w:rPr>
              <w:t>+3</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26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Pizza Hut</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(2)</w:t>
            </w:r>
          </w:p>
        </w:tc>
        <w:tc>
          <w:tcPr>
            <w:tcW w:w="1940" w:type="dxa"/>
            <w:vAlign w:val="bottom"/>
          </w:tcPr>
          <w:p>
            <w:pPr>
              <w:jc w:val="right"/>
              <w:ind w:right="174"/>
              <w:spacing w:after="0"/>
              <w:rPr>
                <w:sz w:val="20"/>
                <w:szCs w:val="20"/>
                <w:color w:val="auto"/>
              </w:rPr>
            </w:pPr>
            <w:r>
              <w:rPr>
                <w:rFonts w:ascii="Arial" w:cs="Arial" w:eastAsia="Arial" w:hAnsi="Arial"/>
                <w:sz w:val="17"/>
                <w:szCs w:val="17"/>
                <w:color w:val="auto"/>
              </w:rPr>
              <w:t>(5)</w:t>
            </w:r>
          </w:p>
        </w:tc>
        <w:tc>
          <w:tcPr>
            <w:tcW w:w="182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1820" w:type="dxa"/>
            <w:vAlign w:val="bottom"/>
          </w:tcPr>
          <w:p>
            <w:pPr>
              <w:jc w:val="right"/>
              <w:ind w:right="314"/>
              <w:spacing w:after="0"/>
              <w:rPr>
                <w:sz w:val="20"/>
                <w:szCs w:val="20"/>
                <w:color w:val="auto"/>
              </w:rPr>
            </w:pPr>
            <w:r>
              <w:rPr>
                <w:rFonts w:ascii="Arial" w:cs="Arial" w:eastAsia="Arial" w:hAnsi="Arial"/>
                <w:sz w:val="17"/>
                <w:szCs w:val="17"/>
                <w:color w:val="auto"/>
              </w:rPr>
              <w:t>—</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21"/>
        </w:trPr>
        <w:tc>
          <w:tcPr>
            <w:tcW w:w="262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All Other Segments</w:t>
            </w:r>
            <w:r>
              <w:rPr>
                <w:rFonts w:ascii="Arial" w:cs="Arial" w:eastAsia="Arial" w:hAnsi="Arial"/>
                <w:sz w:val="14"/>
                <w:szCs w:val="14"/>
                <w:color w:val="auto"/>
              </w:rPr>
              <w:t>(b)</w:t>
            </w:r>
          </w:p>
        </w:tc>
        <w:tc>
          <w:tcPr>
            <w:tcW w:w="1660" w:type="dxa"/>
            <w:vAlign w:val="bottom"/>
          </w:tcPr>
          <w:p>
            <w:pPr>
              <w:jc w:val="right"/>
              <w:ind w:right="14"/>
              <w:spacing w:after="0"/>
              <w:rPr>
                <w:sz w:val="20"/>
                <w:szCs w:val="20"/>
                <w:color w:val="auto"/>
              </w:rPr>
            </w:pPr>
            <w:r>
              <w:rPr>
                <w:rFonts w:ascii="Arial" w:cs="Arial" w:eastAsia="Arial" w:hAnsi="Arial"/>
                <w:sz w:val="17"/>
                <w:szCs w:val="17"/>
                <w:color w:val="auto"/>
              </w:rPr>
              <w:t>(9)</w:t>
            </w:r>
          </w:p>
        </w:tc>
        <w:tc>
          <w:tcPr>
            <w:tcW w:w="1940" w:type="dxa"/>
            <w:vAlign w:val="bottom"/>
          </w:tcPr>
          <w:p>
            <w:pPr>
              <w:jc w:val="right"/>
              <w:ind w:right="174"/>
              <w:spacing w:after="0"/>
              <w:rPr>
                <w:sz w:val="20"/>
                <w:szCs w:val="20"/>
                <w:color w:val="auto"/>
              </w:rPr>
            </w:pPr>
            <w:r>
              <w:rPr>
                <w:rFonts w:ascii="Arial" w:cs="Arial" w:eastAsia="Arial" w:hAnsi="Arial"/>
                <w:sz w:val="17"/>
                <w:szCs w:val="17"/>
                <w:color w:val="auto"/>
              </w:rPr>
              <w:t>(5)</w:t>
            </w:r>
          </w:p>
        </w:tc>
        <w:tc>
          <w:tcPr>
            <w:tcW w:w="1820" w:type="dxa"/>
            <w:vAlign w:val="bottom"/>
          </w:tcPr>
          <w:p>
            <w:pPr>
              <w:jc w:val="right"/>
              <w:ind w:right="154"/>
              <w:spacing w:after="0"/>
              <w:rPr>
                <w:sz w:val="20"/>
                <w:szCs w:val="20"/>
                <w:color w:val="auto"/>
              </w:rPr>
            </w:pPr>
            <w:r>
              <w:rPr>
                <w:rFonts w:ascii="Arial" w:cs="Arial" w:eastAsia="Arial" w:hAnsi="Arial"/>
                <w:sz w:val="17"/>
                <w:szCs w:val="17"/>
                <w:color w:val="auto"/>
              </w:rPr>
              <w:t>+11</w:t>
            </w:r>
          </w:p>
        </w:tc>
        <w:tc>
          <w:tcPr>
            <w:tcW w:w="1820" w:type="dxa"/>
            <w:vAlign w:val="bottom"/>
          </w:tcPr>
          <w:p>
            <w:pPr>
              <w:jc w:val="right"/>
              <w:ind w:right="314"/>
              <w:spacing w:after="0"/>
              <w:rPr>
                <w:sz w:val="20"/>
                <w:szCs w:val="20"/>
                <w:color w:val="auto"/>
              </w:rPr>
            </w:pPr>
            <w:r>
              <w:rPr>
                <w:rFonts w:ascii="Arial" w:cs="Arial" w:eastAsia="Arial" w:hAnsi="Arial"/>
                <w:sz w:val="17"/>
                <w:szCs w:val="17"/>
                <w:color w:val="auto"/>
              </w:rPr>
              <w:t>+28</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21"/>
        </w:trPr>
        <w:tc>
          <w:tcPr>
            <w:tcW w:w="262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7"/>
                <w:szCs w:val="17"/>
                <w:color w:val="auto"/>
              </w:rPr>
              <w:t>Total</w:t>
            </w:r>
          </w:p>
        </w:tc>
        <w:tc>
          <w:tcPr>
            <w:tcW w:w="16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+4</w:t>
            </w:r>
          </w:p>
        </w:tc>
        <w:tc>
          <w:tcPr>
            <w:tcW w:w="19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w:t>
            </w:r>
          </w:p>
        </w:tc>
        <w:tc>
          <w:tcPr>
            <w:tcW w:w="1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w:t>
            </w:r>
          </w:p>
        </w:tc>
        <w:tc>
          <w:tcPr>
            <w:tcW w:w="18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w:t>
            </w:r>
          </w:p>
        </w:tc>
        <w:tc>
          <w:tcPr>
            <w:tcW w:w="15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447"/>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Year to date highlights:</w:t>
            </w:r>
          </w:p>
        </w:tc>
        <w:tc>
          <w:tcPr>
            <w:tcW w:w="1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14"/>
        </w:trPr>
        <w:tc>
          <w:tcPr>
            <w:tcW w:w="2380" w:type="dxa"/>
            <w:vAlign w:val="bottom"/>
            <w:tcBorders>
              <w:left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rPr>
              <w:t>% Change</w:t>
            </w:r>
          </w:p>
        </w:tc>
        <w:tc>
          <w:tcPr>
            <w:tcW w:w="182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r>
        <w:trPr>
          <w:trHeight w:val="201"/>
        </w:trPr>
        <w:tc>
          <w:tcPr>
            <w:tcW w:w="2380" w:type="dxa"/>
            <w:vAlign w:val="bottom"/>
            <w:tcBorders>
              <w:left w:val="single" w:sz="8" w:color="auto"/>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jc w:val="right"/>
              <w:ind w:right="474"/>
              <w:spacing w:after="0"/>
              <w:rPr>
                <w:sz w:val="20"/>
                <w:szCs w:val="20"/>
                <w:color w:val="auto"/>
              </w:rPr>
            </w:pPr>
            <w:r>
              <w:rPr>
                <w:rFonts w:ascii="Arial" w:cs="Arial" w:eastAsia="Arial" w:hAnsi="Arial"/>
                <w:sz w:val="17"/>
                <w:szCs w:val="17"/>
                <w:color w:val="auto"/>
                <w:w w:val="89"/>
              </w:rPr>
              <w:t>System Sales</w:t>
            </w:r>
            <w:r>
              <w:rPr>
                <w:rFonts w:ascii="Arial" w:cs="Arial" w:eastAsia="Arial" w:hAnsi="Arial"/>
                <w:sz w:val="14"/>
                <w:szCs w:val="14"/>
                <w:color w:val="auto"/>
                <w:w w:val="89"/>
              </w:rPr>
              <w:t>(a)</w:t>
            </w:r>
          </w:p>
        </w:tc>
        <w:tc>
          <w:tcPr>
            <w:tcW w:w="1940" w:type="dxa"/>
            <w:vAlign w:val="bottom"/>
          </w:tcPr>
          <w:p>
            <w:pPr>
              <w:jc w:val="right"/>
              <w:ind w:right="354"/>
              <w:spacing w:after="0"/>
              <w:rPr>
                <w:sz w:val="20"/>
                <w:szCs w:val="20"/>
                <w:color w:val="auto"/>
              </w:rPr>
            </w:pPr>
            <w:r>
              <w:rPr>
                <w:rFonts w:ascii="Arial" w:cs="Arial" w:eastAsia="Arial" w:hAnsi="Arial"/>
                <w:sz w:val="17"/>
                <w:szCs w:val="17"/>
                <w:color w:val="auto"/>
                <w:w w:val="95"/>
              </w:rPr>
              <w:t>Same-Store Sales</w:t>
            </w:r>
            <w:r>
              <w:rPr>
                <w:rFonts w:ascii="Arial" w:cs="Arial" w:eastAsia="Arial" w:hAnsi="Arial"/>
                <w:sz w:val="14"/>
                <w:szCs w:val="14"/>
                <w:color w:val="auto"/>
                <w:w w:val="95"/>
              </w:rPr>
              <w:t>(a)</w:t>
            </w:r>
          </w:p>
        </w:tc>
        <w:tc>
          <w:tcPr>
            <w:tcW w:w="1820" w:type="dxa"/>
            <w:vAlign w:val="bottom"/>
          </w:tcPr>
          <w:p>
            <w:pPr>
              <w:jc w:val="right"/>
              <w:ind w:right="374"/>
              <w:spacing w:after="0"/>
              <w:rPr>
                <w:sz w:val="20"/>
                <w:szCs w:val="20"/>
                <w:color w:val="auto"/>
              </w:rPr>
            </w:pPr>
            <w:r>
              <w:rPr>
                <w:rFonts w:ascii="Arial" w:cs="Arial" w:eastAsia="Arial" w:hAnsi="Arial"/>
                <w:sz w:val="17"/>
                <w:szCs w:val="17"/>
                <w:color w:val="auto"/>
              </w:rPr>
              <w:t>Net New Units</w:t>
            </w:r>
          </w:p>
        </w:tc>
        <w:tc>
          <w:tcPr>
            <w:tcW w:w="1820" w:type="dxa"/>
            <w:vAlign w:val="bottom"/>
          </w:tcPr>
          <w:p>
            <w:pPr>
              <w:jc w:val="right"/>
              <w:ind w:right="334"/>
              <w:spacing w:after="0"/>
              <w:rPr>
                <w:sz w:val="20"/>
                <w:szCs w:val="20"/>
                <w:color w:val="auto"/>
              </w:rPr>
            </w:pPr>
            <w:r>
              <w:rPr>
                <w:rFonts w:ascii="Arial" w:cs="Arial" w:eastAsia="Arial" w:hAnsi="Arial"/>
                <w:sz w:val="17"/>
                <w:szCs w:val="17"/>
                <w:color w:val="auto"/>
              </w:rPr>
              <w:t>Operating Profit</w:t>
            </w:r>
          </w:p>
        </w:tc>
        <w:tc>
          <w:tcPr>
            <w:tcW w:w="1580" w:type="dxa"/>
            <w:vAlign w:val="bottom"/>
            <w:tcBorders>
              <w:right w:val="single" w:sz="8" w:color="auto"/>
            </w:tcBorders>
          </w:tcPr>
          <w:p>
            <w:pPr>
              <w:jc w:val="right"/>
              <w:ind w:right="174"/>
              <w:spacing w:after="0"/>
              <w:rPr>
                <w:sz w:val="20"/>
                <w:szCs w:val="20"/>
                <w:color w:val="auto"/>
              </w:rPr>
            </w:pPr>
            <w:r>
              <w:rPr>
                <w:rFonts w:ascii="Arial" w:cs="Arial" w:eastAsia="Arial" w:hAnsi="Arial"/>
                <w:sz w:val="17"/>
                <w:szCs w:val="17"/>
                <w:color w:val="auto"/>
              </w:rPr>
              <w:t>Operating Profit</w:t>
            </w:r>
          </w:p>
        </w:tc>
      </w:tr>
      <w:tr>
        <w:trPr>
          <w:trHeight w:val="220"/>
        </w:trPr>
        <w:tc>
          <w:tcPr>
            <w:tcW w:w="2380" w:type="dxa"/>
            <w:vAlign w:val="bottom"/>
            <w:tcBorders>
              <w:left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534"/>
              <w:spacing w:after="0"/>
              <w:rPr>
                <w:sz w:val="20"/>
                <w:szCs w:val="20"/>
                <w:color w:val="auto"/>
              </w:rPr>
            </w:pPr>
            <w:r>
              <w:rPr>
                <w:rFonts w:ascii="Arial" w:cs="Arial" w:eastAsia="Arial" w:hAnsi="Arial"/>
                <w:sz w:val="17"/>
                <w:szCs w:val="17"/>
                <w:color w:val="auto"/>
              </w:rPr>
              <w:t>(Reported)</w:t>
            </w:r>
          </w:p>
        </w:tc>
        <w:tc>
          <w:tcPr>
            <w:tcW w:w="1580" w:type="dxa"/>
            <w:vAlign w:val="bottom"/>
            <w:tcBorders>
              <w:bottom w:val="single" w:sz="8" w:color="auto"/>
              <w:right w:val="single" w:sz="8" w:color="auto"/>
            </w:tcBorders>
          </w:tcPr>
          <w:p>
            <w:pPr>
              <w:jc w:val="right"/>
              <w:ind w:right="434"/>
              <w:spacing w:after="0"/>
              <w:rPr>
                <w:sz w:val="20"/>
                <w:szCs w:val="20"/>
                <w:color w:val="auto"/>
              </w:rPr>
            </w:pPr>
            <w:r>
              <w:rPr>
                <w:rFonts w:ascii="Arial" w:cs="Arial" w:eastAsia="Arial" w:hAnsi="Arial"/>
                <w:sz w:val="17"/>
                <w:szCs w:val="17"/>
                <w:color w:val="auto"/>
              </w:rPr>
              <w:t>(Ex F/X)</w:t>
            </w:r>
          </w:p>
        </w:tc>
      </w:tr>
      <w:tr>
        <w:trPr>
          <w:trHeight w:val="214"/>
        </w:trPr>
        <w:tc>
          <w:tcPr>
            <w:tcW w:w="2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KFC</w:t>
            </w:r>
          </w:p>
        </w:tc>
        <w:tc>
          <w:tcPr>
            <w:tcW w:w="240" w:type="dxa"/>
            <w:vAlign w:val="bottom"/>
          </w:tcPr>
          <w:p>
            <w:pPr>
              <w:spacing w:after="0"/>
              <w:rPr>
                <w:sz w:val="18"/>
                <w:szCs w:val="18"/>
                <w:color w:val="auto"/>
              </w:rPr>
            </w:pPr>
          </w:p>
        </w:tc>
        <w:tc>
          <w:tcPr>
            <w:tcW w:w="1660" w:type="dxa"/>
            <w:vAlign w:val="bottom"/>
          </w:tcPr>
          <w:p>
            <w:pPr>
              <w:jc w:val="right"/>
              <w:ind w:right="214"/>
              <w:spacing w:after="0"/>
              <w:rPr>
                <w:sz w:val="20"/>
                <w:szCs w:val="20"/>
                <w:color w:val="auto"/>
              </w:rPr>
            </w:pPr>
            <w:r>
              <w:rPr>
                <w:rFonts w:ascii="Arial" w:cs="Arial" w:eastAsia="Arial" w:hAnsi="Arial"/>
                <w:sz w:val="17"/>
                <w:szCs w:val="17"/>
                <w:color w:val="auto"/>
              </w:rPr>
              <w:t>+6</w:t>
            </w:r>
          </w:p>
        </w:tc>
        <w:tc>
          <w:tcPr>
            <w:tcW w:w="1940" w:type="dxa"/>
            <w:vAlign w:val="bottom"/>
          </w:tcPr>
          <w:p>
            <w:pPr>
              <w:jc w:val="right"/>
              <w:ind w:right="234"/>
              <w:spacing w:after="0"/>
              <w:rPr>
                <w:sz w:val="20"/>
                <w:szCs w:val="20"/>
                <w:color w:val="auto"/>
              </w:rPr>
            </w:pPr>
            <w:r>
              <w:rPr>
                <w:rFonts w:ascii="Arial" w:cs="Arial" w:eastAsia="Arial" w:hAnsi="Arial"/>
                <w:sz w:val="17"/>
                <w:szCs w:val="17"/>
                <w:color w:val="auto"/>
              </w:rPr>
              <w:t>+2</w:t>
            </w:r>
          </w:p>
        </w:tc>
        <w:tc>
          <w:tcPr>
            <w:tcW w:w="1820" w:type="dxa"/>
            <w:vAlign w:val="bottom"/>
          </w:tcPr>
          <w:p>
            <w:pPr>
              <w:jc w:val="right"/>
              <w:ind w:right="14"/>
              <w:spacing w:after="0"/>
              <w:rPr>
                <w:sz w:val="20"/>
                <w:szCs w:val="20"/>
                <w:color w:val="auto"/>
              </w:rPr>
            </w:pPr>
            <w:r>
              <w:rPr>
                <w:rFonts w:ascii="Arial" w:cs="Arial" w:eastAsia="Arial" w:hAnsi="Arial"/>
                <w:sz w:val="17"/>
                <w:szCs w:val="17"/>
                <w:color w:val="auto"/>
              </w:rPr>
              <w:t>+8</w:t>
            </w:r>
          </w:p>
        </w:tc>
        <w:tc>
          <w:tcPr>
            <w:tcW w:w="1820" w:type="dxa"/>
            <w:vAlign w:val="bottom"/>
          </w:tcPr>
          <w:p>
            <w:pPr>
              <w:jc w:val="right"/>
              <w:ind w:right="154"/>
              <w:spacing w:after="0"/>
              <w:rPr>
                <w:sz w:val="20"/>
                <w:szCs w:val="20"/>
                <w:color w:val="auto"/>
              </w:rPr>
            </w:pPr>
            <w:r>
              <w:rPr>
                <w:rFonts w:ascii="Arial" w:cs="Arial" w:eastAsia="Arial" w:hAnsi="Arial"/>
                <w:sz w:val="17"/>
                <w:szCs w:val="17"/>
                <w:color w:val="auto"/>
              </w:rPr>
              <w:t>+11</w:t>
            </w:r>
          </w:p>
        </w:tc>
        <w:tc>
          <w:tcPr>
            <w:tcW w:w="1580" w:type="dxa"/>
            <w:vAlign w:val="bottom"/>
            <w:tcBorders>
              <w:right w:val="single" w:sz="8" w:color="auto"/>
            </w:tcBorders>
          </w:tcPr>
          <w:p>
            <w:pPr>
              <w:jc w:val="right"/>
              <w:ind w:right="54"/>
              <w:spacing w:after="0"/>
              <w:rPr>
                <w:sz w:val="20"/>
                <w:szCs w:val="20"/>
                <w:color w:val="auto"/>
              </w:rPr>
            </w:pPr>
            <w:r>
              <w:rPr>
                <w:rFonts w:ascii="Arial" w:cs="Arial" w:eastAsia="Arial" w:hAnsi="Arial"/>
                <w:sz w:val="17"/>
                <w:szCs w:val="17"/>
                <w:color w:val="auto"/>
              </w:rPr>
              <w:t>+6</w:t>
            </w:r>
          </w:p>
        </w:tc>
      </w:tr>
      <w:tr>
        <w:trPr>
          <w:trHeight w:val="220"/>
        </w:trPr>
        <w:tc>
          <w:tcPr>
            <w:tcW w:w="2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Pizza Hut</w:t>
            </w:r>
          </w:p>
        </w:tc>
        <w:tc>
          <w:tcPr>
            <w:tcW w:w="24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7"/>
                <w:szCs w:val="17"/>
                <w:color w:val="auto"/>
              </w:rPr>
              <w:t>(1)</w:t>
            </w:r>
          </w:p>
        </w:tc>
        <w:tc>
          <w:tcPr>
            <w:tcW w:w="1940" w:type="dxa"/>
            <w:vAlign w:val="bottom"/>
          </w:tcPr>
          <w:p>
            <w:pPr>
              <w:jc w:val="right"/>
              <w:ind w:right="154"/>
              <w:spacing w:after="0"/>
              <w:rPr>
                <w:sz w:val="20"/>
                <w:szCs w:val="20"/>
                <w:color w:val="auto"/>
              </w:rPr>
            </w:pPr>
            <w:r>
              <w:rPr>
                <w:rFonts w:ascii="Arial" w:cs="Arial" w:eastAsia="Arial" w:hAnsi="Arial"/>
                <w:sz w:val="17"/>
                <w:szCs w:val="17"/>
                <w:color w:val="auto"/>
              </w:rPr>
              <w:t>(5)</w:t>
            </w:r>
          </w:p>
        </w:tc>
        <w:tc>
          <w:tcPr>
            <w:tcW w:w="1820" w:type="dxa"/>
            <w:vAlign w:val="bottom"/>
          </w:tcPr>
          <w:p>
            <w:pPr>
              <w:jc w:val="right"/>
              <w:ind w:right="14"/>
              <w:spacing w:after="0"/>
              <w:rPr>
                <w:sz w:val="20"/>
                <w:szCs w:val="20"/>
                <w:color w:val="auto"/>
              </w:rPr>
            </w:pPr>
            <w:r>
              <w:rPr>
                <w:rFonts w:ascii="Arial" w:cs="Arial" w:eastAsia="Arial" w:hAnsi="Arial"/>
                <w:sz w:val="17"/>
                <w:szCs w:val="17"/>
                <w:color w:val="auto"/>
              </w:rPr>
              <w:t>+3</w:t>
            </w:r>
          </w:p>
        </w:tc>
        <w:tc>
          <w:tcPr>
            <w:tcW w:w="1820" w:type="dxa"/>
            <w:vAlign w:val="bottom"/>
          </w:tcPr>
          <w:p>
            <w:pPr>
              <w:jc w:val="right"/>
              <w:ind w:right="74"/>
              <w:spacing w:after="0"/>
              <w:rPr>
                <w:sz w:val="20"/>
                <w:szCs w:val="20"/>
                <w:color w:val="auto"/>
              </w:rPr>
            </w:pPr>
            <w:r>
              <w:rPr>
                <w:rFonts w:ascii="Arial" w:cs="Arial" w:eastAsia="Arial" w:hAnsi="Arial"/>
                <w:sz w:val="17"/>
                <w:szCs w:val="17"/>
                <w:color w:val="auto"/>
              </w:rPr>
              <w:t>(38)</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(40)</w:t>
            </w:r>
          </w:p>
        </w:tc>
      </w:tr>
      <w:tr>
        <w:trPr>
          <w:trHeight w:val="221"/>
        </w:trPr>
        <w:tc>
          <w:tcPr>
            <w:tcW w:w="23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All Other Segments</w:t>
            </w:r>
            <w:r>
              <w:rPr>
                <w:rFonts w:ascii="Arial" w:cs="Arial" w:eastAsia="Arial" w:hAnsi="Arial"/>
                <w:sz w:val="14"/>
                <w:szCs w:val="14"/>
                <w:color w:val="auto"/>
              </w:rPr>
              <w:t>(b)</w:t>
            </w:r>
          </w:p>
        </w:tc>
        <w:tc>
          <w:tcPr>
            <w:tcW w:w="240" w:type="dxa"/>
            <w:vAlign w:val="bottom"/>
          </w:tcPr>
          <w:p>
            <w:pPr>
              <w:spacing w:after="0"/>
              <w:rPr>
                <w:sz w:val="19"/>
                <w:szCs w:val="19"/>
                <w:color w:val="auto"/>
              </w:rPr>
            </w:pPr>
          </w:p>
        </w:tc>
        <w:tc>
          <w:tcPr>
            <w:tcW w:w="1660" w:type="dxa"/>
            <w:vAlign w:val="bottom"/>
          </w:tcPr>
          <w:p>
            <w:pPr>
              <w:jc w:val="right"/>
              <w:ind w:right="134"/>
              <w:spacing w:after="0"/>
              <w:rPr>
                <w:sz w:val="20"/>
                <w:szCs w:val="20"/>
                <w:color w:val="auto"/>
              </w:rPr>
            </w:pPr>
            <w:r>
              <w:rPr>
                <w:rFonts w:ascii="Arial" w:cs="Arial" w:eastAsia="Arial" w:hAnsi="Arial"/>
                <w:sz w:val="17"/>
                <w:szCs w:val="17"/>
                <w:color w:val="auto"/>
              </w:rPr>
              <w:t>(22)</w:t>
            </w:r>
          </w:p>
        </w:tc>
        <w:tc>
          <w:tcPr>
            <w:tcW w:w="1940" w:type="dxa"/>
            <w:vAlign w:val="bottom"/>
          </w:tcPr>
          <w:p>
            <w:pPr>
              <w:jc w:val="right"/>
              <w:ind w:right="154"/>
              <w:spacing w:after="0"/>
              <w:rPr>
                <w:sz w:val="20"/>
                <w:szCs w:val="20"/>
                <w:color w:val="auto"/>
              </w:rPr>
            </w:pPr>
            <w:r>
              <w:rPr>
                <w:rFonts w:ascii="Arial" w:cs="Arial" w:eastAsia="Arial" w:hAnsi="Arial"/>
                <w:sz w:val="17"/>
                <w:szCs w:val="17"/>
                <w:color w:val="auto"/>
              </w:rPr>
              <w:t>(6)</w:t>
            </w:r>
          </w:p>
        </w:tc>
        <w:tc>
          <w:tcPr>
            <w:tcW w:w="1820" w:type="dxa"/>
            <w:vAlign w:val="bottom"/>
          </w:tcPr>
          <w:p>
            <w:pPr>
              <w:jc w:val="right"/>
              <w:ind w:right="14"/>
              <w:spacing w:after="0"/>
              <w:rPr>
                <w:sz w:val="20"/>
                <w:szCs w:val="20"/>
                <w:color w:val="auto"/>
              </w:rPr>
            </w:pPr>
            <w:r>
              <w:rPr>
                <w:rFonts w:ascii="Arial" w:cs="Arial" w:eastAsia="Arial" w:hAnsi="Arial"/>
                <w:sz w:val="17"/>
                <w:szCs w:val="17"/>
                <w:color w:val="auto"/>
              </w:rPr>
              <w:t>+11</w:t>
            </w:r>
          </w:p>
        </w:tc>
        <w:tc>
          <w:tcPr>
            <w:tcW w:w="1820" w:type="dxa"/>
            <w:vAlign w:val="bottom"/>
          </w:tcPr>
          <w:p>
            <w:pPr>
              <w:jc w:val="right"/>
              <w:ind w:right="74"/>
              <w:spacing w:after="0"/>
              <w:rPr>
                <w:sz w:val="20"/>
                <w:szCs w:val="20"/>
                <w:color w:val="auto"/>
              </w:rPr>
            </w:pPr>
            <w:r>
              <w:rPr>
                <w:rFonts w:ascii="Arial" w:cs="Arial" w:eastAsia="Arial" w:hAnsi="Arial"/>
                <w:sz w:val="17"/>
                <w:szCs w:val="17"/>
                <w:color w:val="auto"/>
              </w:rPr>
              <w:t>(74)</w:t>
            </w:r>
          </w:p>
        </w:tc>
        <w:tc>
          <w:tcPr>
            <w:tcW w:w="1580" w:type="dxa"/>
            <w:vAlign w:val="bottom"/>
            <w:tcBorders>
              <w:right w:val="single" w:sz="8" w:color="auto"/>
            </w:tcBorders>
          </w:tcPr>
          <w:p>
            <w:pPr>
              <w:jc w:val="right"/>
              <w:spacing w:after="0"/>
              <w:rPr>
                <w:sz w:val="20"/>
                <w:szCs w:val="20"/>
                <w:color w:val="auto"/>
              </w:rPr>
            </w:pPr>
            <w:r>
              <w:rPr>
                <w:rFonts w:ascii="Arial" w:cs="Arial" w:eastAsia="Arial" w:hAnsi="Arial"/>
                <w:sz w:val="17"/>
                <w:szCs w:val="17"/>
                <w:color w:val="auto"/>
              </w:rPr>
              <w:t>(68)</w:t>
            </w:r>
          </w:p>
        </w:tc>
      </w:tr>
      <w:tr>
        <w:trPr>
          <w:trHeight w:val="221"/>
        </w:trPr>
        <w:tc>
          <w:tcPr>
            <w:tcW w:w="23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+4</w:t>
            </w:r>
          </w:p>
        </w:tc>
        <w:tc>
          <w:tcPr>
            <w:tcW w:w="194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+6</w:t>
            </w:r>
          </w:p>
        </w:tc>
        <w:tc>
          <w:tcPr>
            <w:tcW w:w="1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+17</w:t>
            </w:r>
          </w:p>
        </w:tc>
        <w:tc>
          <w:tcPr>
            <w:tcW w:w="1580" w:type="dxa"/>
            <w:vAlign w:val="bottom"/>
            <w:tcBorders>
              <w:bottom w:val="single" w:sz="8" w:color="auto"/>
              <w:right w:val="single" w:sz="8" w:color="auto"/>
            </w:tcBorders>
          </w:tcPr>
          <w:p>
            <w:pPr>
              <w:jc w:val="right"/>
              <w:ind w:right="54"/>
              <w:spacing w:after="0"/>
              <w:rPr>
                <w:sz w:val="20"/>
                <w:szCs w:val="20"/>
                <w:color w:val="auto"/>
              </w:rPr>
            </w:pPr>
            <w:r>
              <w:rPr>
                <w:rFonts w:ascii="Arial" w:cs="Arial" w:eastAsia="Arial" w:hAnsi="Arial"/>
                <w:sz w:val="17"/>
                <w:szCs w:val="17"/>
                <w:color w:val="auto"/>
              </w:rPr>
              <w:t>+12</w:t>
            </w:r>
          </w:p>
        </w:tc>
      </w:tr>
    </w:tbl>
    <w:p>
      <w:pPr>
        <w:spacing w:after="0" w:line="2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NM refers to changes over 100%, from negative to positive amounts or from zero to an amount.</w:t>
      </w:r>
    </w:p>
    <w:p>
      <w:pPr>
        <w:spacing w:after="0" w:line="246" w:lineRule="exact"/>
        <w:rPr>
          <w:sz w:val="20"/>
          <w:szCs w:val="20"/>
          <w:color w:val="auto"/>
        </w:rPr>
      </w:pPr>
    </w:p>
    <w:p>
      <w:pPr>
        <w:ind w:left="520" w:hanging="516"/>
        <w:spacing w:after="0"/>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System Sales and Same-Store Sales percentages as shown in tables exclude the impact of F/X.</w:t>
      </w:r>
    </w:p>
    <w:p>
      <w:pPr>
        <w:spacing w:after="0" w:line="219" w:lineRule="exact"/>
        <w:rPr>
          <w:rFonts w:ascii="Arial" w:cs="Arial" w:eastAsia="Arial" w:hAnsi="Arial"/>
          <w:sz w:val="17"/>
          <w:szCs w:val="17"/>
          <w:color w:val="auto"/>
        </w:rPr>
      </w:pPr>
    </w:p>
    <w:p>
      <w:pPr>
        <w:ind w:left="520" w:hanging="516"/>
        <w:spacing w:after="0"/>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Sales from non-Company-owned restaurants, for which we do not receive a sales-based royalty, are excluded from System Sales and Same-Store Sales.</w:t>
      </w:r>
    </w:p>
    <w:p>
      <w:pPr>
        <w:spacing w:after="0" w:line="23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As of September 30, 2018, the Company operated over 8,300 units, predominately KFC and Pizza Hut restaurants, which are the leading QSR and CDR brand, respectively, in mainland China. Given our strong competitive position, a growing economy and a population of approximately 1.4 billion in mainland China, the Company has rapidly added KFC and Pizza Hut restaurants.</w:t>
      </w:r>
    </w:p>
    <w:p>
      <w:pPr>
        <w:spacing w:after="0" w:line="197"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As compared to the third quarter of 2017, Company sales in the third quarter of 2018 increased 4%, or 6% if excluding the impact of F/X. The increase in Company sales during the quarter, excluding the impact of F/X, was driven by net unit growth, partially offset by same-store sales decline. Company sales for the year to date ended September 30, 2018 increased 11%, or 6% if excluding the impact of F/X. The year to date increase in Company sales, excluding the impact of F/X, was primarily driven by net unit growth.</w:t>
      </w:r>
    </w:p>
    <w:p>
      <w:pPr>
        <w:spacing w:after="0" w:line="201"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increase in Restaurant profit for the quarter, excluding the impact of F/X, was driven by net unit growth, partially offset by higher promotion and product upgrade costs and wage inflation. The year to date decrease in Restaurant profit, excluding the impact of F/X, was driven by higher promotion and product upgrade costs and wage inflation, partially offset by same-store sales leverage and net unit growth.</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40"/>
          </w:cols>
          <w:pgMar w:left="240" w:top="335" w:right="21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 Consolidated Results of Operations for the quarters and years to date ended September 30, 2018 and 2017 are presented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7"/>
                <w:szCs w:val="17"/>
                <w:color w:val="auto"/>
              </w:rPr>
              <w:t>Quarter Ended</w:t>
            </w:r>
          </w:p>
        </w:tc>
        <w:tc>
          <w:tcPr>
            <w:tcW w:w="100" w:type="dxa"/>
            <w:vAlign w:val="bottom"/>
          </w:tcPr>
          <w:p>
            <w:pPr>
              <w:spacing w:after="0"/>
              <w:rPr>
                <w:sz w:val="19"/>
                <w:szCs w:val="19"/>
                <w:color w:val="auto"/>
              </w:rPr>
            </w:pPr>
          </w:p>
        </w:tc>
        <w:tc>
          <w:tcPr>
            <w:tcW w:w="190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7"/>
                <w:szCs w:val="17"/>
                <w:color w:val="auto"/>
              </w:rPr>
              <w:t xml:space="preserve">% B/(W) </w:t>
            </w:r>
            <w:r>
              <w:rPr>
                <w:rFonts w:ascii="Arial" w:cs="Arial" w:eastAsia="Arial" w:hAnsi="Arial"/>
                <w:sz w:val="14"/>
                <w:szCs w:val="14"/>
                <w:color w:val="auto"/>
              </w:rPr>
              <w:t>(a)</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7"/>
                <w:szCs w:val="17"/>
                <w:color w:val="auto"/>
              </w:rPr>
              <w:t>Year to Date Ended</w:t>
            </w:r>
          </w:p>
        </w:tc>
        <w:tc>
          <w:tcPr>
            <w:tcW w:w="100" w:type="dxa"/>
            <w:vAlign w:val="bottom"/>
          </w:tcPr>
          <w:p>
            <w:pPr>
              <w:spacing w:after="0"/>
              <w:rPr>
                <w:sz w:val="19"/>
                <w:szCs w:val="19"/>
                <w:color w:val="auto"/>
              </w:rPr>
            </w:pPr>
          </w:p>
        </w:tc>
        <w:tc>
          <w:tcPr>
            <w:tcW w:w="190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7"/>
                <w:szCs w:val="17"/>
                <w:color w:val="auto"/>
              </w:rPr>
              <w:t xml:space="preserve">% B/(W) </w:t>
            </w: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9"/>
              </w:rPr>
              <w:t>9/30/2018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9"/>
              </w:rPr>
              <w:t>9/30/2017</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Reported</w:t>
            </w:r>
          </w:p>
        </w:tc>
        <w:tc>
          <w:tcPr>
            <w:tcW w:w="60" w:type="dxa"/>
            <w:vAlign w:val="bottom"/>
          </w:tcPr>
          <w:p>
            <w:pPr>
              <w:spacing w:after="0"/>
              <w:rPr>
                <w:sz w:val="18"/>
                <w:szCs w:val="18"/>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Ex F/X</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9"/>
              </w:rPr>
              <w:t>9/30/2018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9"/>
              </w:rPr>
              <w:t>9/30/2017</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Reported</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Ex F/X</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Arial" w:cs="Arial" w:eastAsia="Arial" w:hAnsi="Arial"/>
                <w:sz w:val="17"/>
                <w:szCs w:val="17"/>
                <w:color w:val="auto"/>
              </w:rPr>
              <w:t>Company sales</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1,924</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c>
          <w:tcPr>
            <w:tcW w:w="920" w:type="dxa"/>
            <w:vAlign w:val="bottom"/>
          </w:tcPr>
          <w:p>
            <w:pPr>
              <w:jc w:val="right"/>
              <w:ind w:right="394"/>
              <w:spacing w:after="0"/>
              <w:rPr>
                <w:sz w:val="20"/>
                <w:szCs w:val="20"/>
                <w:color w:val="auto"/>
              </w:rPr>
            </w:pPr>
            <w:r>
              <w:rPr>
                <w:rFonts w:ascii="Arial" w:cs="Arial" w:eastAsia="Arial" w:hAnsi="Arial"/>
                <w:sz w:val="17"/>
                <w:szCs w:val="17"/>
                <w:color w:val="auto"/>
              </w:rPr>
              <w:t>6</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5,912</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5,326</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900" w:type="dxa"/>
            <w:vAlign w:val="bottom"/>
          </w:tcPr>
          <w:p>
            <w:pPr>
              <w:jc w:val="right"/>
              <w:ind w:right="37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1"/>
        </w:trPr>
        <w:tc>
          <w:tcPr>
            <w:tcW w:w="3260" w:type="dxa"/>
            <w:vAlign w:val="bottom"/>
          </w:tcPr>
          <w:p>
            <w:pPr>
              <w:spacing w:after="0"/>
              <w:rPr>
                <w:sz w:val="20"/>
                <w:szCs w:val="20"/>
                <w:color w:val="auto"/>
              </w:rPr>
            </w:pPr>
            <w:r>
              <w:rPr>
                <w:rFonts w:ascii="Arial" w:cs="Arial" w:eastAsia="Arial" w:hAnsi="Arial"/>
                <w:sz w:val="17"/>
                <w:szCs w:val="17"/>
                <w:color w:val="auto"/>
              </w:rPr>
              <w:t>Franchise fees and income</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38</w:t>
            </w:r>
          </w:p>
        </w:tc>
        <w:tc>
          <w:tcPr>
            <w:tcW w:w="1020" w:type="dxa"/>
            <w:vAlign w:val="bottom"/>
            <w:gridSpan w:val="2"/>
          </w:tcPr>
          <w:p>
            <w:pPr>
              <w:jc w:val="right"/>
              <w:ind w:right="314"/>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9"/>
                <w:szCs w:val="19"/>
                <w:color w:val="auto"/>
              </w:rPr>
            </w:pPr>
          </w:p>
        </w:tc>
        <w:tc>
          <w:tcPr>
            <w:tcW w:w="920" w:type="dxa"/>
            <w:vAlign w:val="bottom"/>
          </w:tcPr>
          <w:p>
            <w:pPr>
              <w:jc w:val="right"/>
              <w:ind w:right="31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107</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900" w:type="dxa"/>
            <w:vAlign w:val="bottom"/>
          </w:tcPr>
          <w:p>
            <w:pPr>
              <w:jc w:val="right"/>
              <w:ind w:right="314"/>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8"/>
        </w:trPr>
        <w:tc>
          <w:tcPr>
            <w:tcW w:w="3260" w:type="dxa"/>
            <w:vAlign w:val="bottom"/>
          </w:tcPr>
          <w:p>
            <w:pPr>
              <w:spacing w:after="0"/>
              <w:rPr>
                <w:sz w:val="20"/>
                <w:szCs w:val="20"/>
                <w:color w:val="auto"/>
              </w:rPr>
            </w:pPr>
            <w:r>
              <w:rPr>
                <w:rFonts w:ascii="Arial" w:cs="Arial" w:eastAsia="Arial" w:hAnsi="Arial"/>
                <w:sz w:val="17"/>
                <w:szCs w:val="17"/>
                <w:color w:val="auto"/>
              </w:rPr>
              <w:t>Revenues from transactions with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40"/>
              <w:spacing w:after="0"/>
              <w:rPr>
                <w:sz w:val="20"/>
                <w:szCs w:val="20"/>
                <w:color w:val="auto"/>
              </w:rPr>
            </w:pPr>
            <w:r>
              <w:rPr>
                <w:rFonts w:ascii="Arial" w:cs="Arial" w:eastAsia="Arial" w:hAnsi="Arial"/>
                <w:sz w:val="17"/>
                <w:szCs w:val="17"/>
                <w:color w:val="auto"/>
              </w:rPr>
              <w:t>franchisees and unconsolidated affiliates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160</w:t>
            </w:r>
          </w:p>
        </w:tc>
        <w:tc>
          <w:tcPr>
            <w:tcW w:w="1020" w:type="dxa"/>
            <w:vAlign w:val="bottom"/>
            <w:gridSpan w:val="2"/>
          </w:tcPr>
          <w:p>
            <w:pPr>
              <w:jc w:val="right"/>
              <w:ind w:right="314"/>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9"/>
                <w:szCs w:val="19"/>
                <w:color w:val="auto"/>
              </w:rPr>
            </w:pPr>
          </w:p>
        </w:tc>
        <w:tc>
          <w:tcPr>
            <w:tcW w:w="920" w:type="dxa"/>
            <w:vAlign w:val="bottom"/>
          </w:tcPr>
          <w:p>
            <w:pPr>
              <w:jc w:val="right"/>
              <w:ind w:right="39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461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448</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900" w:type="dxa"/>
            <w:vAlign w:val="bottom"/>
          </w:tcPr>
          <w:p>
            <w:pPr>
              <w:jc w:val="right"/>
              <w:ind w:right="31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1"/>
        </w:trPr>
        <w:tc>
          <w:tcPr>
            <w:tcW w:w="3260" w:type="dxa"/>
            <w:vAlign w:val="bottom"/>
          </w:tcPr>
          <w:p>
            <w:pPr>
              <w:spacing w:after="0"/>
              <w:rPr>
                <w:sz w:val="20"/>
                <w:szCs w:val="20"/>
                <w:color w:val="auto"/>
              </w:rPr>
            </w:pPr>
            <w:r>
              <w:rPr>
                <w:rFonts w:ascii="Arial" w:cs="Arial" w:eastAsia="Arial" w:hAnsi="Arial"/>
                <w:sz w:val="17"/>
                <w:szCs w:val="17"/>
                <w:color w:val="auto"/>
              </w:rPr>
              <w:t>Other revenues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8</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9"/>
                <w:szCs w:val="19"/>
                <w:color w:val="auto"/>
              </w:rPr>
            </w:pPr>
          </w:p>
        </w:tc>
        <w:tc>
          <w:tcPr>
            <w:tcW w:w="920" w:type="dxa"/>
            <w:vAlign w:val="bottom"/>
          </w:tcPr>
          <w:p>
            <w:pPr>
              <w:jc w:val="right"/>
              <w:ind w:right="394"/>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16</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900" w:type="dxa"/>
            <w:vAlign w:val="bottom"/>
          </w:tcPr>
          <w:p>
            <w:pPr>
              <w:jc w:val="right"/>
              <w:ind w:right="374"/>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Arial" w:cs="Arial" w:eastAsia="Arial" w:hAnsi="Arial"/>
                <w:sz w:val="17"/>
                <w:szCs w:val="17"/>
                <w:color w:val="auto"/>
              </w:rPr>
              <w:t>Total revenues</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2,212</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2,130</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8"/>
                <w:szCs w:val="18"/>
                <w:color w:val="auto"/>
              </w:rPr>
            </w:pPr>
          </w:p>
        </w:tc>
        <w:tc>
          <w:tcPr>
            <w:tcW w:w="920" w:type="dxa"/>
            <w:vAlign w:val="bottom"/>
          </w:tcPr>
          <w:p>
            <w:pPr>
              <w:jc w:val="right"/>
              <w:ind w:right="394"/>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6,501</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5,897</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8"/>
                <w:szCs w:val="18"/>
                <w:color w:val="auto"/>
              </w:rPr>
            </w:pPr>
          </w:p>
        </w:tc>
        <w:tc>
          <w:tcPr>
            <w:tcW w:w="900" w:type="dxa"/>
            <w:vAlign w:val="bottom"/>
          </w:tcPr>
          <w:p>
            <w:pPr>
              <w:jc w:val="right"/>
              <w:ind w:right="37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Restaurant profit</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gridSpan w:val="2"/>
            <w:vMerge w:val="restart"/>
          </w:tcPr>
          <w:p>
            <w:pPr>
              <w:jc w:val="right"/>
              <w:ind w:right="374"/>
              <w:spacing w:after="0"/>
              <w:rPr>
                <w:sz w:val="20"/>
                <w:szCs w:val="20"/>
                <w:color w:val="auto"/>
              </w:rPr>
            </w:pPr>
            <w:r>
              <w:rPr>
                <w:rFonts w:ascii="Arial" w:cs="Arial" w:eastAsia="Arial" w:hAnsi="Arial"/>
                <w:sz w:val="17"/>
                <w:szCs w:val="17"/>
                <w:color w:val="auto"/>
              </w:rPr>
              <w:t>2</w:t>
            </w:r>
          </w:p>
        </w:tc>
        <w:tc>
          <w:tcPr>
            <w:tcW w:w="60" w:type="dxa"/>
            <w:vAlign w:val="bottom"/>
          </w:tcPr>
          <w:p>
            <w:pPr>
              <w:spacing w:after="0" w:line="20" w:lineRule="exact"/>
              <w:rPr>
                <w:sz w:val="1"/>
                <w:szCs w:val="1"/>
                <w:color w:val="auto"/>
              </w:rPr>
            </w:pPr>
          </w:p>
        </w:tc>
        <w:tc>
          <w:tcPr>
            <w:tcW w:w="920" w:type="dxa"/>
            <w:vAlign w:val="bottom"/>
            <w:vMerge w:val="restart"/>
          </w:tcPr>
          <w:p>
            <w:pPr>
              <w:jc w:val="right"/>
              <w:ind w:right="394"/>
              <w:spacing w:after="0"/>
              <w:rPr>
                <w:sz w:val="20"/>
                <w:szCs w:val="20"/>
                <w:color w:val="auto"/>
              </w:rPr>
            </w:pPr>
            <w:r>
              <w:rPr>
                <w:rFonts w:ascii="Arial" w:cs="Arial" w:eastAsia="Arial" w:hAnsi="Arial"/>
                <w:sz w:val="17"/>
                <w:szCs w:val="17"/>
                <w:color w:val="auto"/>
              </w:rPr>
              <w:t>3</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gridSpan w:val="2"/>
            <w:vMerge w:val="restart"/>
          </w:tcPr>
          <w:p>
            <w:pPr>
              <w:jc w:val="right"/>
              <w:ind w:right="374"/>
              <w:spacing w:after="0"/>
              <w:rPr>
                <w:sz w:val="20"/>
                <w:szCs w:val="20"/>
                <w:color w:val="auto"/>
              </w:rPr>
            </w:pPr>
            <w:r>
              <w:rPr>
                <w:rFonts w:ascii="Arial" w:cs="Arial" w:eastAsia="Arial" w:hAnsi="Arial"/>
                <w:sz w:val="17"/>
                <w:szCs w:val="17"/>
                <w:color w:val="auto"/>
              </w:rPr>
              <w:t>2</w:t>
            </w:r>
          </w:p>
        </w:tc>
        <w:tc>
          <w:tcPr>
            <w:tcW w:w="80" w:type="dxa"/>
            <w:vAlign w:val="bottom"/>
          </w:tcPr>
          <w:p>
            <w:pPr>
              <w:spacing w:after="0" w:line="20" w:lineRule="exact"/>
              <w:rPr>
                <w:sz w:val="1"/>
                <w:szCs w:val="1"/>
                <w:color w:val="auto"/>
              </w:rPr>
            </w:pPr>
          </w:p>
        </w:tc>
        <w:tc>
          <w:tcPr>
            <w:tcW w:w="900" w:type="dxa"/>
            <w:vAlign w:val="bottom"/>
            <w:vMerge w:val="restart"/>
          </w:tcPr>
          <w:p>
            <w:pPr>
              <w:jc w:val="right"/>
              <w:ind w:right="314"/>
              <w:spacing w:after="0"/>
              <w:rPr>
                <w:sz w:val="20"/>
                <w:szCs w:val="20"/>
                <w:color w:val="auto"/>
              </w:rPr>
            </w:pPr>
            <w:r>
              <w:rPr>
                <w:rFonts w:ascii="Arial" w:cs="Arial" w:eastAsia="Arial" w:hAnsi="Arial"/>
                <w:sz w:val="17"/>
                <w:szCs w:val="17"/>
                <w:color w:val="auto"/>
              </w:rPr>
              <w:t>(2)</w:t>
            </w:r>
          </w:p>
        </w:tc>
        <w:tc>
          <w:tcPr>
            <w:tcW w:w="0" w:type="dxa"/>
            <w:vAlign w:val="bottom"/>
          </w:tcPr>
          <w:p>
            <w:pPr>
              <w:spacing w:after="0" w:line="20" w:lineRule="exact"/>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353</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347</w:t>
            </w:r>
          </w:p>
        </w:tc>
        <w:tc>
          <w:tcPr>
            <w:tcW w:w="10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1,000</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977</w:t>
            </w: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Restaurant Margin %</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auto"/>
              </w:rPr>
              <w:t>(0.4) ppts.</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(0.4) ppts.</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7"/>
                <w:szCs w:val="17"/>
                <w:color w:val="auto"/>
              </w:rPr>
              <w:t>(1.4) ppts.</w:t>
            </w: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(1.4) ppts.</w:t>
            </w:r>
          </w:p>
        </w:tc>
        <w:tc>
          <w:tcPr>
            <w:tcW w:w="0" w:type="dxa"/>
            <w:vAlign w:val="bottom"/>
          </w:tcPr>
          <w:p>
            <w:pPr>
              <w:spacing w:after="0" w:line="20" w:lineRule="exact"/>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w:t>
            </w: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Operating Profit</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gridSpan w:val="2"/>
            <w:vMerge w:val="restart"/>
          </w:tcPr>
          <w:p>
            <w:pPr>
              <w:jc w:val="right"/>
              <w:ind w:right="374"/>
              <w:spacing w:after="0"/>
              <w:rPr>
                <w:sz w:val="20"/>
                <w:szCs w:val="20"/>
                <w:color w:val="auto"/>
              </w:rPr>
            </w:pPr>
            <w:r>
              <w:rPr>
                <w:rFonts w:ascii="Arial" w:cs="Arial" w:eastAsia="Arial" w:hAnsi="Arial"/>
                <w:sz w:val="17"/>
                <w:szCs w:val="17"/>
                <w:color w:val="auto"/>
              </w:rPr>
              <w:t>2</w:t>
            </w:r>
          </w:p>
        </w:tc>
        <w:tc>
          <w:tcPr>
            <w:tcW w:w="60" w:type="dxa"/>
            <w:vAlign w:val="bottom"/>
          </w:tcPr>
          <w:p>
            <w:pPr>
              <w:spacing w:after="0" w:line="20" w:lineRule="exact"/>
              <w:rPr>
                <w:sz w:val="1"/>
                <w:szCs w:val="1"/>
                <w:color w:val="auto"/>
              </w:rPr>
            </w:pPr>
          </w:p>
        </w:tc>
        <w:tc>
          <w:tcPr>
            <w:tcW w:w="920" w:type="dxa"/>
            <w:vAlign w:val="bottom"/>
            <w:vMerge w:val="restart"/>
          </w:tcPr>
          <w:p>
            <w:pPr>
              <w:jc w:val="right"/>
              <w:ind w:right="394"/>
              <w:spacing w:after="0"/>
              <w:rPr>
                <w:sz w:val="20"/>
                <w:szCs w:val="20"/>
                <w:color w:val="auto"/>
              </w:rPr>
            </w:pPr>
            <w:r>
              <w:rPr>
                <w:rFonts w:ascii="Arial" w:cs="Arial" w:eastAsia="Arial" w:hAnsi="Arial"/>
                <w:sz w:val="17"/>
                <w:szCs w:val="17"/>
                <w:color w:val="auto"/>
              </w:rPr>
              <w:t>4</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gridSpan w:val="2"/>
            <w:vMerge w:val="restart"/>
          </w:tcPr>
          <w:p>
            <w:pPr>
              <w:jc w:val="right"/>
              <w:ind w:right="374"/>
              <w:spacing w:after="0"/>
              <w:rPr>
                <w:sz w:val="20"/>
                <w:szCs w:val="20"/>
                <w:color w:val="auto"/>
              </w:rPr>
            </w:pPr>
            <w:r>
              <w:rPr>
                <w:rFonts w:ascii="Arial" w:cs="Arial" w:eastAsia="Arial" w:hAnsi="Arial"/>
                <w:sz w:val="17"/>
                <w:szCs w:val="17"/>
                <w:color w:val="auto"/>
              </w:rPr>
              <w:t>17</w:t>
            </w:r>
          </w:p>
        </w:tc>
        <w:tc>
          <w:tcPr>
            <w:tcW w:w="80" w:type="dxa"/>
            <w:vAlign w:val="bottom"/>
          </w:tcPr>
          <w:p>
            <w:pPr>
              <w:spacing w:after="0" w:line="20" w:lineRule="exact"/>
              <w:rPr>
                <w:sz w:val="1"/>
                <w:szCs w:val="1"/>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7"/>
                <w:szCs w:val="17"/>
                <w:color w:val="auto"/>
              </w:rPr>
              <w:t>12</w:t>
            </w:r>
          </w:p>
        </w:tc>
        <w:tc>
          <w:tcPr>
            <w:tcW w:w="0" w:type="dxa"/>
            <w:vAlign w:val="bottom"/>
          </w:tcPr>
          <w:p>
            <w:pPr>
              <w:spacing w:after="0" w:line="20" w:lineRule="exact"/>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264</w:t>
            </w:r>
          </w:p>
        </w:tc>
        <w:tc>
          <w:tcPr>
            <w:tcW w:w="10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857</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731</w:t>
            </w: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260" w:type="dxa"/>
            <w:vAlign w:val="bottom"/>
          </w:tcPr>
          <w:p>
            <w:pPr>
              <w:spacing w:after="0"/>
              <w:rPr>
                <w:sz w:val="20"/>
                <w:szCs w:val="20"/>
                <w:color w:val="auto"/>
              </w:rPr>
            </w:pPr>
            <w:r>
              <w:rPr>
                <w:rFonts w:ascii="Arial" w:cs="Arial" w:eastAsia="Arial" w:hAnsi="Arial"/>
                <w:sz w:val="17"/>
                <w:szCs w:val="17"/>
                <w:color w:val="auto"/>
              </w:rPr>
              <w:t>Interest and other income, net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8</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9"/>
                <w:szCs w:val="19"/>
                <w:color w:val="auto"/>
              </w:rPr>
            </w:pPr>
          </w:p>
        </w:tc>
        <w:tc>
          <w:tcPr>
            <w:tcW w:w="920" w:type="dxa"/>
            <w:vAlign w:val="bottom"/>
          </w:tcPr>
          <w:p>
            <w:pPr>
              <w:jc w:val="right"/>
              <w:ind w:right="394"/>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16</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76</w:t>
            </w:r>
          </w:p>
        </w:tc>
        <w:tc>
          <w:tcPr>
            <w:tcW w:w="80" w:type="dxa"/>
            <w:vAlign w:val="bottom"/>
          </w:tcPr>
          <w:p>
            <w:pPr>
              <w:spacing w:after="0"/>
              <w:rPr>
                <w:sz w:val="19"/>
                <w:szCs w:val="19"/>
                <w:color w:val="auto"/>
              </w:rPr>
            </w:pPr>
          </w:p>
        </w:tc>
        <w:tc>
          <w:tcPr>
            <w:tcW w:w="900" w:type="dxa"/>
            <w:vAlign w:val="bottom"/>
          </w:tcPr>
          <w:p>
            <w:pPr>
              <w:jc w:val="right"/>
              <w:ind w:right="374"/>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21"/>
        </w:trPr>
        <w:tc>
          <w:tcPr>
            <w:tcW w:w="3260" w:type="dxa"/>
            <w:vAlign w:val="bottom"/>
          </w:tcPr>
          <w:p>
            <w:pPr>
              <w:spacing w:after="0"/>
              <w:rPr>
                <w:sz w:val="20"/>
                <w:szCs w:val="20"/>
                <w:color w:val="auto"/>
              </w:rPr>
            </w:pPr>
            <w:r>
              <w:rPr>
                <w:rFonts w:ascii="Arial" w:cs="Arial" w:eastAsia="Arial" w:hAnsi="Arial"/>
                <w:sz w:val="17"/>
                <w:szCs w:val="17"/>
                <w:color w:val="auto"/>
              </w:rPr>
              <w:t>Income tax provision</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(87)</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22</w:t>
            </w:r>
          </w:p>
        </w:tc>
        <w:tc>
          <w:tcPr>
            <w:tcW w:w="60" w:type="dxa"/>
            <w:vAlign w:val="bottom"/>
          </w:tcPr>
          <w:p>
            <w:pPr>
              <w:spacing w:after="0"/>
              <w:rPr>
                <w:sz w:val="19"/>
                <w:szCs w:val="19"/>
                <w:color w:val="auto"/>
              </w:rPr>
            </w:pPr>
          </w:p>
        </w:tc>
        <w:tc>
          <w:tcPr>
            <w:tcW w:w="920" w:type="dxa"/>
            <w:vAlign w:val="bottom"/>
          </w:tcPr>
          <w:p>
            <w:pPr>
              <w:jc w:val="right"/>
              <w:ind w:right="394"/>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(220)</w:t>
            </w:r>
          </w:p>
        </w:tc>
        <w:tc>
          <w:tcPr>
            <w:tcW w:w="1020" w:type="dxa"/>
            <w:vAlign w:val="bottom"/>
            <w:gridSpan w:val="2"/>
          </w:tcPr>
          <w:p>
            <w:pPr>
              <w:jc w:val="right"/>
              <w:ind w:right="31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900" w:type="dxa"/>
            <w:vAlign w:val="bottom"/>
          </w:tcPr>
          <w:p>
            <w:pPr>
              <w:jc w:val="right"/>
              <w:ind w:right="374"/>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3260" w:type="dxa"/>
            <w:vAlign w:val="bottom"/>
          </w:tcPr>
          <w:p>
            <w:pPr>
              <w:spacing w:after="0"/>
              <w:rPr>
                <w:sz w:val="20"/>
                <w:szCs w:val="20"/>
                <w:color w:val="auto"/>
              </w:rPr>
            </w:pPr>
            <w:r>
              <w:rPr>
                <w:rFonts w:ascii="Arial" w:cs="Arial" w:eastAsia="Arial" w:hAnsi="Arial"/>
                <w:sz w:val="17"/>
                <w:szCs w:val="17"/>
                <w:color w:val="auto"/>
              </w:rPr>
              <w:t>Net Income - including</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40"/>
              <w:spacing w:after="0"/>
              <w:rPr>
                <w:sz w:val="20"/>
                <w:szCs w:val="20"/>
                <w:color w:val="auto"/>
              </w:rPr>
            </w:pPr>
            <w:r>
              <w:rPr>
                <w:rFonts w:ascii="Arial" w:cs="Arial" w:eastAsia="Arial" w:hAnsi="Arial"/>
                <w:sz w:val="17"/>
                <w:szCs w:val="17"/>
                <w:color w:val="auto"/>
              </w:rPr>
              <w:t>noncontrolling interests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212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185</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9"/>
                <w:szCs w:val="19"/>
                <w:color w:val="auto"/>
              </w:rPr>
            </w:pPr>
          </w:p>
        </w:tc>
        <w:tc>
          <w:tcPr>
            <w:tcW w:w="920" w:type="dxa"/>
            <w:vAlign w:val="bottom"/>
          </w:tcPr>
          <w:p>
            <w:pPr>
              <w:jc w:val="right"/>
              <w:ind w:right="394"/>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658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527</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9"/>
                <w:szCs w:val="19"/>
                <w:color w:val="auto"/>
              </w:rPr>
            </w:pPr>
          </w:p>
        </w:tc>
        <w:tc>
          <w:tcPr>
            <w:tcW w:w="900" w:type="dxa"/>
            <w:vAlign w:val="bottom"/>
          </w:tcPr>
          <w:p>
            <w:pPr>
              <w:jc w:val="right"/>
              <w:ind w:right="374"/>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21"/>
        </w:trPr>
        <w:tc>
          <w:tcPr>
            <w:tcW w:w="3260" w:type="dxa"/>
            <w:vAlign w:val="bottom"/>
          </w:tcPr>
          <w:p>
            <w:pPr>
              <w:spacing w:after="0"/>
              <w:rPr>
                <w:sz w:val="20"/>
                <w:szCs w:val="20"/>
                <w:color w:val="auto"/>
              </w:rPr>
            </w:pPr>
            <w:r>
              <w:rPr>
                <w:rFonts w:ascii="Arial" w:cs="Arial" w:eastAsia="Arial" w:hAnsi="Arial"/>
                <w:sz w:val="17"/>
                <w:szCs w:val="17"/>
                <w:color w:val="auto"/>
              </w:rPr>
              <w:t>Net Income - noncontrolling interests</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9</w:t>
            </w:r>
          </w:p>
        </w:tc>
        <w:tc>
          <w:tcPr>
            <w:tcW w:w="1020" w:type="dxa"/>
            <w:vAlign w:val="bottom"/>
            <w:gridSpan w:val="2"/>
          </w:tcPr>
          <w:p>
            <w:pPr>
              <w:jc w:val="right"/>
              <w:ind w:right="314"/>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9"/>
                <w:szCs w:val="19"/>
                <w:color w:val="auto"/>
              </w:rPr>
            </w:pPr>
          </w:p>
        </w:tc>
        <w:tc>
          <w:tcPr>
            <w:tcW w:w="920" w:type="dxa"/>
            <w:vAlign w:val="bottom"/>
          </w:tcPr>
          <w:p>
            <w:pPr>
              <w:jc w:val="right"/>
              <w:ind w:right="314"/>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22</w:t>
            </w:r>
          </w:p>
        </w:tc>
        <w:tc>
          <w:tcPr>
            <w:tcW w:w="1020" w:type="dxa"/>
            <w:vAlign w:val="bottom"/>
            <w:gridSpan w:val="2"/>
          </w:tcPr>
          <w:p>
            <w:pPr>
              <w:jc w:val="right"/>
              <w:ind w:right="314"/>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9"/>
                <w:szCs w:val="19"/>
                <w:color w:val="auto"/>
              </w:rPr>
            </w:pPr>
          </w:p>
        </w:tc>
        <w:tc>
          <w:tcPr>
            <w:tcW w:w="900" w:type="dxa"/>
            <w:vAlign w:val="bottom"/>
          </w:tcPr>
          <w:p>
            <w:pPr>
              <w:jc w:val="right"/>
              <w:ind w:right="314"/>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Arial" w:cs="Arial" w:eastAsia="Arial" w:hAnsi="Arial"/>
                <w:sz w:val="17"/>
                <w:szCs w:val="17"/>
                <w:color w:val="auto"/>
              </w:rPr>
              <w:t>Net Income - Yum China Holdings, Inc.</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176</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8"/>
                <w:szCs w:val="18"/>
                <w:color w:val="auto"/>
              </w:rPr>
            </w:pPr>
          </w:p>
        </w:tc>
        <w:tc>
          <w:tcPr>
            <w:tcW w:w="920" w:type="dxa"/>
            <w:vAlign w:val="bottom"/>
          </w:tcPr>
          <w:p>
            <w:pPr>
              <w:jc w:val="right"/>
              <w:ind w:right="394"/>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634</w:t>
            </w:r>
          </w:p>
        </w:tc>
        <w:tc>
          <w:tcPr>
            <w:tcW w:w="1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505</w:t>
            </w:r>
          </w:p>
        </w:tc>
        <w:tc>
          <w:tcPr>
            <w:tcW w:w="1020" w:type="dxa"/>
            <w:vAlign w:val="bottom"/>
            <w:gridSpan w:val="2"/>
          </w:tcPr>
          <w:p>
            <w:pPr>
              <w:jc w:val="right"/>
              <w:ind w:right="374"/>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900" w:type="dxa"/>
            <w:vAlign w:val="bottom"/>
          </w:tcPr>
          <w:p>
            <w:pPr>
              <w:jc w:val="right"/>
              <w:ind w:right="374"/>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Diluted Earnings Per Common Share</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gridSpan w:val="2"/>
            <w:vMerge w:val="restart"/>
          </w:tcPr>
          <w:p>
            <w:pPr>
              <w:jc w:val="right"/>
              <w:ind w:right="374"/>
              <w:spacing w:after="0"/>
              <w:rPr>
                <w:sz w:val="20"/>
                <w:szCs w:val="20"/>
                <w:color w:val="auto"/>
              </w:rPr>
            </w:pPr>
            <w:r>
              <w:rPr>
                <w:rFonts w:ascii="Arial" w:cs="Arial" w:eastAsia="Arial" w:hAnsi="Arial"/>
                <w:sz w:val="17"/>
                <w:szCs w:val="17"/>
                <w:color w:val="auto"/>
              </w:rPr>
              <w:t>16</w:t>
            </w:r>
          </w:p>
        </w:tc>
        <w:tc>
          <w:tcPr>
            <w:tcW w:w="60" w:type="dxa"/>
            <w:vAlign w:val="bottom"/>
          </w:tcPr>
          <w:p>
            <w:pPr>
              <w:spacing w:after="0" w:line="20" w:lineRule="exact"/>
              <w:rPr>
                <w:sz w:val="1"/>
                <w:szCs w:val="1"/>
                <w:color w:val="auto"/>
              </w:rPr>
            </w:pPr>
          </w:p>
        </w:tc>
        <w:tc>
          <w:tcPr>
            <w:tcW w:w="920" w:type="dxa"/>
            <w:vAlign w:val="bottom"/>
            <w:vMerge w:val="restart"/>
          </w:tcPr>
          <w:p>
            <w:pPr>
              <w:jc w:val="right"/>
              <w:ind w:right="394"/>
              <w:spacing w:after="0"/>
              <w:rPr>
                <w:sz w:val="20"/>
                <w:szCs w:val="20"/>
                <w:color w:val="auto"/>
              </w:rPr>
            </w:pPr>
            <w:r>
              <w:rPr>
                <w:rFonts w:ascii="Arial" w:cs="Arial" w:eastAsia="Arial" w:hAnsi="Arial"/>
                <w:sz w:val="17"/>
                <w:szCs w:val="17"/>
                <w:color w:val="auto"/>
              </w:rPr>
              <w:t>18</w:t>
            </w: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gridSpan w:val="2"/>
            <w:vMerge w:val="restart"/>
          </w:tcPr>
          <w:p>
            <w:pPr>
              <w:jc w:val="right"/>
              <w:ind w:right="374"/>
              <w:spacing w:after="0"/>
              <w:rPr>
                <w:sz w:val="20"/>
                <w:szCs w:val="20"/>
                <w:color w:val="auto"/>
              </w:rPr>
            </w:pPr>
            <w:r>
              <w:rPr>
                <w:rFonts w:ascii="Arial" w:cs="Arial" w:eastAsia="Arial" w:hAnsi="Arial"/>
                <w:sz w:val="17"/>
                <w:szCs w:val="17"/>
                <w:color w:val="auto"/>
              </w:rPr>
              <w:t>25</w:t>
            </w:r>
          </w:p>
        </w:tc>
        <w:tc>
          <w:tcPr>
            <w:tcW w:w="80" w:type="dxa"/>
            <w:vAlign w:val="bottom"/>
          </w:tcPr>
          <w:p>
            <w:pPr>
              <w:spacing w:after="0" w:line="20" w:lineRule="exact"/>
              <w:rPr>
                <w:sz w:val="1"/>
                <w:szCs w:val="1"/>
                <w:color w:val="auto"/>
              </w:rPr>
            </w:pPr>
          </w:p>
        </w:tc>
        <w:tc>
          <w:tcPr>
            <w:tcW w:w="900" w:type="dxa"/>
            <w:vAlign w:val="bottom"/>
            <w:vMerge w:val="restart"/>
          </w:tcPr>
          <w:p>
            <w:pPr>
              <w:jc w:val="right"/>
              <w:ind w:right="374"/>
              <w:spacing w:after="0"/>
              <w:rPr>
                <w:sz w:val="20"/>
                <w:szCs w:val="20"/>
                <w:color w:val="auto"/>
              </w:rPr>
            </w:pPr>
            <w:r>
              <w:rPr>
                <w:rFonts w:ascii="Arial" w:cs="Arial" w:eastAsia="Arial" w:hAnsi="Arial"/>
                <w:sz w:val="17"/>
                <w:szCs w:val="17"/>
                <w:color w:val="auto"/>
              </w:rPr>
              <w:t>19</w:t>
            </w:r>
          </w:p>
        </w:tc>
        <w:tc>
          <w:tcPr>
            <w:tcW w:w="0" w:type="dxa"/>
            <w:vAlign w:val="bottom"/>
          </w:tcPr>
          <w:p>
            <w:pPr>
              <w:spacing w:after="0" w:line="20" w:lineRule="exact"/>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0.44</w:t>
            </w:r>
          </w:p>
        </w:tc>
        <w:tc>
          <w:tcPr>
            <w:tcW w:w="10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1.59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1.27</w:t>
            </w: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Effective tax rate</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25.7%</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Adjusted Operating Profit</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261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759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Adjusted Diluted Earnings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2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260" w:type="dxa"/>
            <w:vAlign w:val="bottom"/>
          </w:tcPr>
          <w:p>
            <w:pPr>
              <w:ind w:left="140"/>
              <w:spacing w:after="0"/>
              <w:rPr>
                <w:sz w:val="20"/>
                <w:szCs w:val="20"/>
                <w:color w:val="auto"/>
              </w:rPr>
            </w:pPr>
            <w:r>
              <w:rPr>
                <w:rFonts w:ascii="Arial" w:cs="Arial" w:eastAsia="Arial" w:hAnsi="Arial"/>
                <w:sz w:val="17"/>
                <w:szCs w:val="17"/>
                <w:color w:val="auto"/>
              </w:rPr>
              <w:t>Per Common Share</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0.43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1.41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Adjusted Effective Tax Rate</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Arial" w:cs="Arial" w:eastAsia="Arial" w:hAnsi="Arial"/>
                <w:sz w:val="17"/>
                <w:szCs w:val="17"/>
                <w:color w:val="auto"/>
              </w:rPr>
              <w:t>Adjusted EBITDA</w:t>
            </w: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260" w:type="dxa"/>
            <w:vAlign w:val="bottom"/>
            <w:vMerge w:val="continue"/>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379</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371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1,125</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54"/>
              <w:spacing w:after="0"/>
              <w:rPr>
                <w:sz w:val="20"/>
                <w:szCs w:val="20"/>
                <w:color w:val="auto"/>
              </w:rPr>
            </w:pPr>
            <w:r>
              <w:rPr>
                <w:rFonts w:ascii="Arial" w:cs="Arial" w:eastAsia="Arial" w:hAnsi="Arial"/>
                <w:sz w:val="17"/>
                <w:szCs w:val="17"/>
                <w:color w:val="auto"/>
              </w:rPr>
              <w:t>1,057</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7260" w:firstLine="4"/>
        <w:spacing w:after="0" w:line="533" w:lineRule="auto"/>
        <w:tabs>
          <w:tab w:leader="none" w:pos="506"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Represents period-over-period change in percentage. </w:t>
      </w:r>
      <w:r>
        <w:rPr>
          <w:rFonts w:ascii="Arial" w:cs="Arial" w:eastAsia="Arial" w:hAnsi="Arial"/>
          <w:sz w:val="17"/>
          <w:szCs w:val="17"/>
          <w:u w:val="single" w:color="auto"/>
          <w:color w:val="auto"/>
        </w:rPr>
        <w:t>Performance Metrics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2860" w:type="dxa"/>
            <w:vAlign w:val="bottom"/>
            <w:tcBorders>
              <w:bottom w:val="single" w:sz="8" w:color="auto"/>
            </w:tcBorders>
            <w:gridSpan w:val="7"/>
          </w:tcPr>
          <w:p>
            <w:pPr>
              <w:jc w:val="right"/>
              <w:ind w:right="900"/>
              <w:spacing w:after="0"/>
              <w:rPr>
                <w:sz w:val="20"/>
                <w:szCs w:val="20"/>
                <w:color w:val="auto"/>
              </w:rPr>
            </w:pPr>
            <w:r>
              <w:rPr>
                <w:rFonts w:ascii="Arial" w:cs="Arial" w:eastAsia="Arial" w:hAnsi="Arial"/>
                <w:sz w:val="17"/>
                <w:szCs w:val="17"/>
                <w:color w:val="auto"/>
              </w:rPr>
              <w:t>Quarter Ended</w:t>
            </w:r>
          </w:p>
        </w:tc>
        <w:tc>
          <w:tcPr>
            <w:tcW w:w="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Borders>
              <w:bottom w:val="single" w:sz="8" w:color="auto"/>
            </w:tcBorders>
            <w:gridSpan w:val="5"/>
          </w:tcPr>
          <w:p>
            <w:pPr>
              <w:jc w:val="right"/>
              <w:ind w:right="614"/>
              <w:spacing w:after="0"/>
              <w:rPr>
                <w:sz w:val="20"/>
                <w:szCs w:val="20"/>
                <w:color w:val="auto"/>
              </w:rPr>
            </w:pPr>
            <w:r>
              <w:rPr>
                <w:rFonts w:ascii="Arial" w:cs="Arial" w:eastAsia="Arial" w:hAnsi="Arial"/>
                <w:sz w:val="17"/>
                <w:szCs w:val="17"/>
                <w:color w:val="auto"/>
              </w:rPr>
              <w:t>Year to Date Ended</w:t>
            </w: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3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7"/>
                <w:szCs w:val="17"/>
                <w:color w:val="auto"/>
              </w:rPr>
              <w:t>9/30/2018</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9/30/2017</w:t>
            </w: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9/30/2018</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9/30/2017</w:t>
            </w:r>
          </w:p>
        </w:tc>
        <w:tc>
          <w:tcPr>
            <w:tcW w:w="0" w:type="dxa"/>
            <w:vAlign w:val="bottom"/>
          </w:tcPr>
          <w:p>
            <w:pPr>
              <w:spacing w:after="0"/>
              <w:rPr>
                <w:sz w:val="1"/>
                <w:szCs w:val="1"/>
                <w:color w:val="auto"/>
              </w:rPr>
            </w:pPr>
          </w:p>
        </w:tc>
      </w:tr>
      <w:tr>
        <w:trPr>
          <w:trHeight w:val="214"/>
        </w:trPr>
        <w:tc>
          <w:tcPr>
            <w:tcW w:w="5620" w:type="dxa"/>
            <w:vAlign w:val="bottom"/>
            <w:gridSpan w:val="2"/>
          </w:tcPr>
          <w:p>
            <w:pPr>
              <w:spacing w:after="0"/>
              <w:rPr>
                <w:sz w:val="20"/>
                <w:szCs w:val="20"/>
                <w:color w:val="auto"/>
              </w:rPr>
            </w:pPr>
            <w:r>
              <w:rPr>
                <w:rFonts w:ascii="Arial" w:cs="Arial" w:eastAsia="Arial" w:hAnsi="Arial"/>
                <w:sz w:val="17"/>
                <w:szCs w:val="17"/>
                <w:color w:val="auto"/>
              </w:rPr>
              <w:t>System Sales Growth</w:t>
            </w: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520" w:type="dxa"/>
            <w:vAlign w:val="bottom"/>
            <w:gridSpan w:val="5"/>
          </w:tcPr>
          <w:p>
            <w:pPr>
              <w:jc w:val="right"/>
              <w:ind w:right="40"/>
              <w:spacing w:after="0"/>
              <w:rPr>
                <w:sz w:val="20"/>
                <w:szCs w:val="20"/>
                <w:color w:val="auto"/>
              </w:rPr>
            </w:pPr>
            <w:r>
              <w:rPr>
                <w:rFonts w:ascii="Arial" w:cs="Arial" w:eastAsia="Arial" w:hAnsi="Arial"/>
                <w:sz w:val="17"/>
                <w:szCs w:val="17"/>
                <w:color w:val="auto"/>
              </w:rPr>
              <w:t>12%</w:t>
            </w:r>
          </w:p>
        </w:tc>
        <w:tc>
          <w:tcPr>
            <w:tcW w:w="1600" w:type="dxa"/>
            <w:vAlign w:val="bottom"/>
            <w:gridSpan w:val="5"/>
          </w:tcPr>
          <w:p>
            <w:pPr>
              <w:jc w:val="right"/>
              <w:ind w:right="140"/>
              <w:spacing w:after="0"/>
              <w:rPr>
                <w:sz w:val="20"/>
                <w:szCs w:val="20"/>
                <w:color w:val="auto"/>
              </w:rPr>
            </w:pPr>
            <w:r>
              <w:rPr>
                <w:rFonts w:ascii="Arial" w:cs="Arial" w:eastAsia="Arial" w:hAnsi="Arial"/>
                <w:sz w:val="17"/>
                <w:szCs w:val="17"/>
                <w:color w:val="auto"/>
              </w:rPr>
              <w:t>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7"/>
                <w:szCs w:val="17"/>
                <w:color w:val="auto"/>
              </w:rPr>
              <w:t>System Sales Growth, excluding F/X</w:t>
            </w: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520" w:type="dxa"/>
            <w:vAlign w:val="bottom"/>
            <w:gridSpan w:val="5"/>
          </w:tcPr>
          <w:p>
            <w:pPr>
              <w:jc w:val="right"/>
              <w:ind w:right="40"/>
              <w:spacing w:after="0"/>
              <w:rPr>
                <w:sz w:val="20"/>
                <w:szCs w:val="20"/>
                <w:color w:val="auto"/>
              </w:rPr>
            </w:pPr>
            <w:r>
              <w:rPr>
                <w:rFonts w:ascii="Arial" w:cs="Arial" w:eastAsia="Arial" w:hAnsi="Arial"/>
                <w:sz w:val="17"/>
                <w:szCs w:val="17"/>
                <w:color w:val="auto"/>
              </w:rPr>
              <w:t>12%</w:t>
            </w:r>
          </w:p>
        </w:tc>
        <w:tc>
          <w:tcPr>
            <w:tcW w:w="1600" w:type="dxa"/>
            <w:vAlign w:val="bottom"/>
            <w:gridSpan w:val="5"/>
          </w:tcPr>
          <w:p>
            <w:pPr>
              <w:jc w:val="right"/>
              <w:ind w:right="140"/>
              <w:spacing w:after="0"/>
              <w:rPr>
                <w:sz w:val="20"/>
                <w:szCs w:val="20"/>
                <w:color w:val="auto"/>
              </w:rPr>
            </w:pPr>
            <w:r>
              <w:rPr>
                <w:rFonts w:ascii="Arial" w:cs="Arial" w:eastAsia="Arial" w:hAnsi="Arial"/>
                <w:sz w:val="17"/>
                <w:szCs w:val="17"/>
                <w:color w:val="auto"/>
              </w:rPr>
              <w:t>4%</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7"/>
                <w:szCs w:val="17"/>
                <w:color w:val="auto"/>
              </w:rPr>
              <w:t>Same-Store Sales (Decline) Growth</w:t>
            </w:r>
          </w:p>
        </w:tc>
        <w:tc>
          <w:tcPr>
            <w:tcW w:w="13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1520" w:type="dxa"/>
            <w:vAlign w:val="bottom"/>
            <w:gridSpan w:val="5"/>
          </w:tcPr>
          <w:p>
            <w:pPr>
              <w:jc w:val="right"/>
              <w:ind w:right="40"/>
              <w:spacing w:after="0"/>
              <w:rPr>
                <w:sz w:val="20"/>
                <w:szCs w:val="20"/>
                <w:color w:val="auto"/>
              </w:rPr>
            </w:pPr>
            <w:r>
              <w:rPr>
                <w:rFonts w:ascii="Arial" w:cs="Arial" w:eastAsia="Arial" w:hAnsi="Arial"/>
                <w:sz w:val="17"/>
                <w:szCs w:val="17"/>
                <w:color w:val="auto"/>
              </w:rPr>
              <w:t>8%</w:t>
            </w:r>
          </w:p>
        </w:tc>
        <w:tc>
          <w:tcPr>
            <w:tcW w:w="1600" w:type="dxa"/>
            <w:vAlign w:val="bottom"/>
            <w:gridSpan w:val="5"/>
          </w:tcPr>
          <w:p>
            <w:pPr>
              <w:jc w:val="right"/>
              <w:ind w:right="14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416"/>
        </w:trPr>
        <w:tc>
          <w:tcPr>
            <w:tcW w:w="7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7"/>
                <w:szCs w:val="17"/>
                <w:color w:val="auto"/>
              </w:rPr>
              <w:t>% Increase</w:t>
            </w:r>
          </w:p>
        </w:tc>
        <w:tc>
          <w:tcPr>
            <w:tcW w:w="0" w:type="dxa"/>
            <w:vAlign w:val="bottom"/>
          </w:tcPr>
          <w:p>
            <w:pPr>
              <w:spacing w:after="0"/>
              <w:rPr>
                <w:sz w:val="1"/>
                <w:szCs w:val="1"/>
                <w:color w:val="auto"/>
              </w:rPr>
            </w:pPr>
          </w:p>
        </w:tc>
      </w:tr>
      <w:tr>
        <w:trPr>
          <w:trHeight w:val="181"/>
        </w:trPr>
        <w:tc>
          <w:tcPr>
            <w:tcW w:w="78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w w:val="94"/>
              </w:rPr>
              <w:t>Unit Count</w:t>
            </w:r>
          </w:p>
        </w:tc>
        <w:tc>
          <w:tcPr>
            <w:tcW w:w="4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3"/>
          </w:tcPr>
          <w:p>
            <w:pPr>
              <w:jc w:val="right"/>
              <w:ind w:right="314"/>
              <w:spacing w:after="0" w:line="181" w:lineRule="exact"/>
              <w:rPr>
                <w:sz w:val="20"/>
                <w:szCs w:val="20"/>
                <w:color w:val="auto"/>
              </w:rPr>
            </w:pPr>
            <w:r>
              <w:rPr>
                <w:rFonts w:ascii="Arial" w:cs="Arial" w:eastAsia="Arial" w:hAnsi="Arial"/>
                <w:sz w:val="17"/>
                <w:szCs w:val="17"/>
                <w:color w:val="auto"/>
                <w:w w:val="92"/>
              </w:rPr>
              <w:t>9/30/2018</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3"/>
          </w:tcPr>
          <w:p>
            <w:pPr>
              <w:jc w:val="right"/>
              <w:ind w:right="314"/>
              <w:spacing w:after="0" w:line="181" w:lineRule="exact"/>
              <w:rPr>
                <w:sz w:val="20"/>
                <w:szCs w:val="20"/>
                <w:color w:val="auto"/>
              </w:rPr>
            </w:pPr>
            <w:r>
              <w:rPr>
                <w:rFonts w:ascii="Arial" w:cs="Arial" w:eastAsia="Arial" w:hAnsi="Arial"/>
                <w:sz w:val="17"/>
                <w:szCs w:val="17"/>
                <w:color w:val="auto"/>
                <w:w w:val="97"/>
              </w:rPr>
              <w:t>9/30/2017</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ind w:left="100"/>
              <w:spacing w:after="0" w:line="181" w:lineRule="exact"/>
              <w:rPr>
                <w:sz w:val="20"/>
                <w:szCs w:val="20"/>
                <w:color w:val="auto"/>
              </w:rPr>
            </w:pPr>
            <w:r>
              <w:rPr>
                <w:rFonts w:ascii="Arial" w:cs="Arial" w:eastAsia="Arial" w:hAnsi="Arial"/>
                <w:sz w:val="17"/>
                <w:szCs w:val="17"/>
                <w:color w:val="auto"/>
              </w:rPr>
              <w:t>(Decrease)</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ind w:left="240"/>
              <w:spacing w:after="0"/>
              <w:rPr>
                <w:sz w:val="20"/>
                <w:szCs w:val="20"/>
                <w:color w:val="auto"/>
              </w:rPr>
            </w:pPr>
            <w:r>
              <w:rPr>
                <w:rFonts w:ascii="Arial" w:cs="Arial" w:eastAsia="Arial" w:hAnsi="Arial"/>
                <w:sz w:val="17"/>
                <w:szCs w:val="17"/>
                <w:color w:val="auto"/>
              </w:rPr>
              <w:t>Company-owned</w:t>
            </w:r>
            <w:r>
              <w:rPr>
                <w:rFonts w:ascii="Arial" w:cs="Arial" w:eastAsia="Arial" w:hAnsi="Arial"/>
                <w:sz w:val="14"/>
                <w:szCs w:val="14"/>
                <w:color w:val="auto"/>
              </w:rPr>
              <w:t>(a)</w:t>
            </w: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2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3"/>
          </w:tcPr>
          <w:p>
            <w:pPr>
              <w:jc w:val="right"/>
              <w:ind w:right="14"/>
              <w:spacing w:after="0"/>
              <w:rPr>
                <w:sz w:val="20"/>
                <w:szCs w:val="20"/>
                <w:color w:val="auto"/>
              </w:rPr>
            </w:pPr>
            <w:r>
              <w:rPr>
                <w:rFonts w:ascii="Arial" w:cs="Arial" w:eastAsia="Arial" w:hAnsi="Arial"/>
                <w:sz w:val="17"/>
                <w:szCs w:val="17"/>
                <w:color w:val="auto"/>
              </w:rPr>
              <w:t>6,711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34"/>
              <w:spacing w:after="0"/>
              <w:rPr>
                <w:sz w:val="20"/>
                <w:szCs w:val="20"/>
                <w:color w:val="auto"/>
              </w:rPr>
            </w:pPr>
            <w:r>
              <w:rPr>
                <w:rFonts w:ascii="Arial" w:cs="Arial" w:eastAsia="Arial" w:hAnsi="Arial"/>
                <w:sz w:val="17"/>
                <w:szCs w:val="17"/>
                <w:color w:val="auto"/>
              </w:rPr>
              <w:t>6,197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4"/>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21"/>
        </w:trPr>
        <w:tc>
          <w:tcPr>
            <w:tcW w:w="5620" w:type="dxa"/>
            <w:vAlign w:val="bottom"/>
            <w:gridSpan w:val="2"/>
          </w:tcPr>
          <w:p>
            <w:pPr>
              <w:ind w:left="240"/>
              <w:spacing w:after="0"/>
              <w:rPr>
                <w:sz w:val="20"/>
                <w:szCs w:val="20"/>
                <w:color w:val="auto"/>
              </w:rPr>
            </w:pPr>
            <w:r>
              <w:rPr>
                <w:rFonts w:ascii="Arial" w:cs="Arial" w:eastAsia="Arial" w:hAnsi="Arial"/>
                <w:sz w:val="17"/>
                <w:szCs w:val="17"/>
                <w:color w:val="auto"/>
              </w:rPr>
              <w:t>Unconsolidated affiliates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3"/>
          </w:tcPr>
          <w:p>
            <w:pPr>
              <w:jc w:val="right"/>
              <w:ind w:right="14"/>
              <w:spacing w:after="0"/>
              <w:rPr>
                <w:sz w:val="20"/>
                <w:szCs w:val="20"/>
                <w:color w:val="auto"/>
              </w:rPr>
            </w:pPr>
            <w:r>
              <w:rPr>
                <w:rFonts w:ascii="Arial" w:cs="Arial" w:eastAsia="Arial" w:hAnsi="Arial"/>
                <w:sz w:val="17"/>
                <w:szCs w:val="17"/>
                <w:color w:val="auto"/>
              </w:rPr>
              <w:t>802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34"/>
              <w:spacing w:after="0"/>
              <w:rPr>
                <w:sz w:val="20"/>
                <w:szCs w:val="20"/>
                <w:color w:val="auto"/>
              </w:rPr>
            </w:pPr>
            <w:r>
              <w:rPr>
                <w:rFonts w:ascii="Arial" w:cs="Arial" w:eastAsia="Arial" w:hAnsi="Arial"/>
                <w:sz w:val="17"/>
                <w:szCs w:val="17"/>
                <w:color w:val="auto"/>
              </w:rPr>
              <w:t>880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1"/>
        </w:trPr>
        <w:tc>
          <w:tcPr>
            <w:tcW w:w="5620" w:type="dxa"/>
            <w:vAlign w:val="bottom"/>
            <w:gridSpan w:val="2"/>
          </w:tcPr>
          <w:p>
            <w:pPr>
              <w:ind w:left="240"/>
              <w:spacing w:after="0"/>
              <w:rPr>
                <w:sz w:val="20"/>
                <w:szCs w:val="20"/>
                <w:color w:val="auto"/>
              </w:rPr>
            </w:pPr>
            <w:r>
              <w:rPr>
                <w:rFonts w:ascii="Arial" w:cs="Arial" w:eastAsia="Arial" w:hAnsi="Arial"/>
                <w:sz w:val="17"/>
                <w:szCs w:val="17"/>
                <w:color w:val="auto"/>
              </w:rPr>
              <w:t>Franchisees</w:t>
            </w:r>
          </w:p>
        </w:tc>
        <w:tc>
          <w:tcPr>
            <w:tcW w:w="1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color w:val="auto"/>
              </w:rPr>
              <w:t>800</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rPr>
              <w:t>736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4"/>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color w:val="auto"/>
              </w:rPr>
              <w:t>8,313</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rPr>
              <w:t>7,813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34"/>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740" w:hanging="684"/>
        <w:spacing w:after="0"/>
        <w:tabs>
          <w:tab w:leader="none" w:pos="7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Unit count as of September 30, 2018 includes six units operated under COFFii &amp; JOY, a coffee concept recently developed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0"/>
        </w:trPr>
        <w:tc>
          <w:tcPr>
            <w:tcW w:w="58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Special Items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8640" w:type="dxa"/>
            <w:vAlign w:val="bottom"/>
            <w:gridSpan w:val="11"/>
          </w:tcPr>
          <w:p>
            <w:pPr>
              <w:spacing w:after="0"/>
              <w:rPr>
                <w:sz w:val="20"/>
                <w:szCs w:val="20"/>
                <w:color w:val="auto"/>
              </w:rPr>
            </w:pPr>
            <w:r>
              <w:rPr>
                <w:rFonts w:ascii="Arial" w:cs="Arial" w:eastAsia="Arial" w:hAnsi="Arial"/>
                <w:sz w:val="17"/>
                <w:szCs w:val="17"/>
                <w:color w:val="auto"/>
              </w:rPr>
              <w:t>Special Items, along with the reconciliation to the most comparable GAAP financial measure, are presented below.</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7"/>
          </w:tcPr>
          <w:p>
            <w:pPr>
              <w:ind w:left="640"/>
              <w:spacing w:after="0"/>
              <w:rPr>
                <w:sz w:val="20"/>
                <w:szCs w:val="20"/>
                <w:color w:val="auto"/>
              </w:rPr>
            </w:pPr>
            <w:r>
              <w:rPr>
                <w:rFonts w:ascii="Arial" w:cs="Arial" w:eastAsia="Arial" w:hAnsi="Arial"/>
                <w:sz w:val="17"/>
                <w:szCs w:val="17"/>
                <w:color w:val="auto"/>
              </w:rPr>
              <w:t>Quarter Ended</w:t>
            </w:r>
          </w:p>
        </w:tc>
        <w:tc>
          <w:tcPr>
            <w:tcW w:w="200" w:type="dxa"/>
            <w:vAlign w:val="bottom"/>
          </w:tcPr>
          <w:p>
            <w:pPr>
              <w:spacing w:after="0"/>
              <w:rPr>
                <w:sz w:val="24"/>
                <w:szCs w:val="24"/>
                <w:color w:val="auto"/>
              </w:rPr>
            </w:pPr>
          </w:p>
        </w:tc>
        <w:tc>
          <w:tcPr>
            <w:tcW w:w="2460" w:type="dxa"/>
            <w:vAlign w:val="bottom"/>
            <w:gridSpan w:val="4"/>
          </w:tcPr>
          <w:p>
            <w:pPr>
              <w:jc w:val="right"/>
              <w:ind w:right="514"/>
              <w:spacing w:after="0"/>
              <w:rPr>
                <w:sz w:val="20"/>
                <w:szCs w:val="20"/>
                <w:color w:val="auto"/>
              </w:rPr>
            </w:pPr>
            <w:r>
              <w:rPr>
                <w:rFonts w:ascii="Arial" w:cs="Arial" w:eastAsia="Arial" w:hAnsi="Arial"/>
                <w:sz w:val="17"/>
                <w:szCs w:val="17"/>
                <w:color w:val="auto"/>
              </w:rPr>
              <w:t>Year to Date Ended</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840" w:type="dxa"/>
            <w:vAlign w:val="bottom"/>
            <w:gridSpan w:val="3"/>
          </w:tcPr>
          <w:p>
            <w:pPr>
              <w:spacing w:after="0"/>
              <w:rPr>
                <w:sz w:val="20"/>
                <w:szCs w:val="20"/>
                <w:color w:val="auto"/>
              </w:rPr>
            </w:pPr>
            <w:r>
              <w:rPr>
                <w:rFonts w:ascii="Arial" w:cs="Arial" w:eastAsia="Arial" w:hAnsi="Arial"/>
                <w:sz w:val="17"/>
                <w:szCs w:val="17"/>
                <w:b w:val="1"/>
                <w:bCs w:val="1"/>
                <w:color w:val="auto"/>
              </w:rPr>
              <w:t>Detail of Special Items</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9/30/2018</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9/30/2017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9/30/2018</w:t>
            </w: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9/30/2017</w:t>
            </w:r>
          </w:p>
        </w:tc>
        <w:tc>
          <w:tcPr>
            <w:tcW w:w="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Gain from re-measurement of equity interest upon acquisition</w:t>
            </w:r>
            <w:r>
              <w:rPr>
                <w:rFonts w:ascii="Arial" w:cs="Arial" w:eastAsia="Arial" w:hAnsi="Arial"/>
                <w:sz w:val="14"/>
                <w:szCs w:val="14"/>
                <w:color w:val="auto"/>
              </w:rPr>
              <w:t>(a)</w:t>
            </w:r>
          </w:p>
        </w:tc>
        <w:tc>
          <w:tcPr>
            <w:tcW w:w="1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98</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7"/>
                <w:szCs w:val="17"/>
                <w:color w:val="auto"/>
              </w:rPr>
              <w:t xml:space="preserve">Income from the reversal of contingent consideration </w:t>
            </w:r>
            <w:r>
              <w:rPr>
                <w:rFonts w:ascii="Arial" w:cs="Arial" w:eastAsia="Arial" w:hAnsi="Arial"/>
                <w:sz w:val="14"/>
                <w:szCs w:val="14"/>
                <w:color w:val="auto"/>
              </w:rPr>
              <w:t>(b)</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40" w:type="dxa"/>
            <w:vAlign w:val="bottom"/>
            <w:gridSpan w:val="3"/>
          </w:tcPr>
          <w:p>
            <w:pPr>
              <w:spacing w:after="0"/>
              <w:rPr>
                <w:sz w:val="20"/>
                <w:szCs w:val="20"/>
                <w:color w:val="auto"/>
              </w:rPr>
            </w:pPr>
            <w:r>
              <w:rPr>
                <w:rFonts w:ascii="Arial" w:cs="Arial" w:eastAsia="Arial" w:hAnsi="Arial"/>
                <w:sz w:val="17"/>
                <w:szCs w:val="17"/>
                <w:color w:val="auto"/>
              </w:rPr>
              <w:t>Special Items Income - Operating Profit</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7"/>
                <w:szCs w:val="17"/>
                <w:color w:val="auto"/>
              </w:rPr>
              <w:t>Tax Expenses on Special Items</w:t>
            </w:r>
            <w:r>
              <w:rPr>
                <w:rFonts w:ascii="Arial" w:cs="Arial" w:eastAsia="Arial" w:hAnsi="Arial"/>
                <w:sz w:val="14"/>
                <w:szCs w:val="14"/>
                <w:color w:val="auto"/>
              </w:rPr>
              <w:t>(c)</w:t>
            </w:r>
          </w:p>
        </w:tc>
        <w:tc>
          <w:tcPr>
            <w:tcW w:w="18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00" w:type="dxa"/>
            <w:vAlign w:val="bottom"/>
          </w:tcPr>
          <w:p>
            <w:pPr>
              <w:jc w:val="right"/>
              <w:ind w:right="134"/>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40" w:type="dxa"/>
            <w:vAlign w:val="bottom"/>
            <w:gridSpan w:val="3"/>
          </w:tcPr>
          <w:p>
            <w:pPr>
              <w:spacing w:after="0"/>
              <w:rPr>
                <w:sz w:val="20"/>
                <w:szCs w:val="20"/>
                <w:color w:val="auto"/>
              </w:rPr>
            </w:pPr>
            <w:r>
              <w:rPr>
                <w:rFonts w:ascii="Arial" w:cs="Arial" w:eastAsia="Arial" w:hAnsi="Arial"/>
                <w:sz w:val="17"/>
                <w:szCs w:val="17"/>
                <w:color w:val="auto"/>
              </w:rPr>
              <w:t>Special Items Income, net of tax - including noncontrolling interests</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54"/>
              <w:spacing w:after="0"/>
              <w:rPr>
                <w:sz w:val="20"/>
                <w:szCs w:val="20"/>
                <w:color w:val="auto"/>
              </w:rPr>
            </w:pPr>
            <w:r>
              <w:rPr>
                <w:rFonts w:ascii="Arial" w:cs="Arial" w:eastAsia="Arial" w:hAnsi="Arial"/>
                <w:sz w:val="17"/>
                <w:szCs w:val="17"/>
                <w:color w:val="auto"/>
              </w:rPr>
              <w:t>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34"/>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7"/>
                <w:szCs w:val="17"/>
                <w:color w:val="auto"/>
              </w:rPr>
              <w:t>Special Items Expense, net of tax - noncontrolling interests</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40" w:type="dxa"/>
            <w:vAlign w:val="bottom"/>
            <w:gridSpan w:val="3"/>
          </w:tcPr>
          <w:p>
            <w:pPr>
              <w:spacing w:after="0"/>
              <w:rPr>
                <w:sz w:val="20"/>
                <w:szCs w:val="20"/>
                <w:color w:val="auto"/>
              </w:rPr>
            </w:pPr>
            <w:r>
              <w:rPr>
                <w:rFonts w:ascii="Arial" w:cs="Arial" w:eastAsia="Arial" w:hAnsi="Arial"/>
                <w:sz w:val="17"/>
                <w:szCs w:val="17"/>
                <w:color w:val="auto"/>
              </w:rPr>
              <w:t>Special Items Income, net of tax - Yum China Holdings, Inc.</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74</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7"/>
                <w:szCs w:val="17"/>
                <w:color w:val="auto"/>
              </w:rPr>
              <w:t>Weighted-average diluted shares outstanding</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94"/>
              <w:spacing w:after="0"/>
              <w:rPr>
                <w:sz w:val="20"/>
                <w:szCs w:val="20"/>
                <w:color w:val="auto"/>
              </w:rPr>
            </w:pPr>
            <w:r>
              <w:rPr>
                <w:rFonts w:ascii="Arial" w:cs="Arial" w:eastAsia="Arial" w:hAnsi="Arial"/>
                <w:sz w:val="17"/>
                <w:szCs w:val="17"/>
                <w:color w:val="auto"/>
              </w:rPr>
              <w:t>394</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398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398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397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840" w:type="dxa"/>
            <w:vAlign w:val="bottom"/>
            <w:gridSpan w:val="3"/>
          </w:tcPr>
          <w:p>
            <w:pPr>
              <w:spacing w:after="0"/>
              <w:rPr>
                <w:sz w:val="20"/>
                <w:szCs w:val="20"/>
                <w:color w:val="auto"/>
              </w:rPr>
            </w:pPr>
            <w:r>
              <w:rPr>
                <w:rFonts w:ascii="Arial" w:cs="Arial" w:eastAsia="Arial" w:hAnsi="Arial"/>
                <w:sz w:val="17"/>
                <w:szCs w:val="17"/>
                <w:color w:val="auto"/>
              </w:rPr>
              <w:t>Special Items Diluted Earnings Per Common Share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0.01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0.18</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40" w:type="dxa"/>
            <w:vAlign w:val="bottom"/>
            <w:gridSpan w:val="3"/>
          </w:tcPr>
          <w:p>
            <w:pPr>
              <w:spacing w:after="0"/>
              <w:rPr>
                <w:sz w:val="20"/>
                <w:szCs w:val="20"/>
                <w:color w:val="auto"/>
              </w:rPr>
            </w:pPr>
            <w:r>
              <w:rPr>
                <w:rFonts w:ascii="Arial" w:cs="Arial" w:eastAsia="Arial" w:hAnsi="Arial"/>
                <w:sz w:val="17"/>
                <w:szCs w:val="17"/>
                <w:b w:val="1"/>
                <w:bCs w:val="1"/>
                <w:color w:val="auto"/>
              </w:rPr>
              <w:t>Reconciliation of Operating Profit to Adjusted Operating Profit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7"/>
                <w:szCs w:val="17"/>
                <w:color w:val="auto"/>
              </w:rPr>
              <w:t>Operating Profit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94"/>
              <w:spacing w:after="0"/>
              <w:rPr>
                <w:sz w:val="20"/>
                <w:szCs w:val="20"/>
                <w:color w:val="auto"/>
              </w:rPr>
            </w:pPr>
            <w:r>
              <w:rPr>
                <w:rFonts w:ascii="Arial" w:cs="Arial" w:eastAsia="Arial" w:hAnsi="Arial"/>
                <w:sz w:val="17"/>
                <w:szCs w:val="17"/>
                <w:color w:val="auto"/>
              </w:rPr>
              <w:t>269</w:t>
            </w:r>
          </w:p>
        </w:tc>
        <w:tc>
          <w:tcPr>
            <w:tcW w:w="6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264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857</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7"/>
                <w:szCs w:val="17"/>
                <w:color w:val="auto"/>
              </w:rPr>
              <w:t>Special Items Income - Operating Profit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3</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40" w:type="dxa"/>
            <w:vAlign w:val="bottom"/>
            <w:gridSpan w:val="3"/>
          </w:tcPr>
          <w:p>
            <w:pPr>
              <w:spacing w:after="0"/>
              <w:rPr>
                <w:sz w:val="20"/>
                <w:szCs w:val="20"/>
                <w:color w:val="auto"/>
              </w:rPr>
            </w:pPr>
            <w:r>
              <w:rPr>
                <w:rFonts w:ascii="Arial" w:cs="Arial" w:eastAsia="Arial" w:hAnsi="Arial"/>
                <w:sz w:val="17"/>
                <w:szCs w:val="17"/>
                <w:color w:val="auto"/>
              </w:rPr>
              <w:t>Adjusted Operating Profit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94"/>
              <w:spacing w:after="0"/>
              <w:rPr>
                <w:sz w:val="20"/>
                <w:szCs w:val="20"/>
                <w:color w:val="auto"/>
              </w:rPr>
            </w:pPr>
            <w:r>
              <w:rPr>
                <w:rFonts w:ascii="Arial" w:cs="Arial" w:eastAsia="Arial" w:hAnsi="Arial"/>
                <w:sz w:val="17"/>
                <w:szCs w:val="17"/>
                <w:color w:val="auto"/>
              </w:rPr>
              <w:t>269</w:t>
            </w:r>
          </w:p>
        </w:tc>
        <w:tc>
          <w:tcPr>
            <w:tcW w:w="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261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759</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728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Reconciliation of EPS to Adjusted EPS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7"/>
                <w:szCs w:val="17"/>
                <w:color w:val="auto"/>
              </w:rPr>
              <w:t>Diluted Earnings Per Common Share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94"/>
              <w:spacing w:after="0"/>
              <w:rPr>
                <w:sz w:val="20"/>
                <w:szCs w:val="20"/>
                <w:color w:val="auto"/>
              </w:rPr>
            </w:pPr>
            <w:r>
              <w:rPr>
                <w:rFonts w:ascii="Arial" w:cs="Arial" w:eastAsia="Arial" w:hAnsi="Arial"/>
                <w:sz w:val="17"/>
                <w:szCs w:val="17"/>
                <w:color w:val="auto"/>
              </w:rPr>
              <w:t>0.51</w:t>
            </w:r>
          </w:p>
        </w:tc>
        <w:tc>
          <w:tcPr>
            <w:tcW w:w="60" w:type="dxa"/>
            <w:vAlign w:val="bottom"/>
          </w:tcPr>
          <w:p>
            <w:pPr>
              <w:spacing w:after="0"/>
              <w:rPr>
                <w:sz w:val="19"/>
                <w:szCs w:val="19"/>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0.44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1.59</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7"/>
                <w:szCs w:val="17"/>
                <w:color w:val="auto"/>
              </w:rPr>
              <w:t>Special Items Diluted Earnings Per Common Share</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0.01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0.18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40" w:type="dxa"/>
            <w:vAlign w:val="bottom"/>
            <w:gridSpan w:val="3"/>
          </w:tcPr>
          <w:p>
            <w:pPr>
              <w:spacing w:after="0"/>
              <w:rPr>
                <w:sz w:val="20"/>
                <w:szCs w:val="20"/>
                <w:color w:val="auto"/>
              </w:rPr>
            </w:pPr>
            <w:r>
              <w:rPr>
                <w:rFonts w:ascii="Arial" w:cs="Arial" w:eastAsia="Arial" w:hAnsi="Arial"/>
                <w:sz w:val="17"/>
                <w:szCs w:val="17"/>
                <w:color w:val="auto"/>
              </w:rPr>
              <w:t>Adjusted Diluted Earnings Per Common Share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ind w:right="94"/>
              <w:spacing w:after="0"/>
              <w:rPr>
                <w:sz w:val="20"/>
                <w:szCs w:val="20"/>
                <w:color w:val="auto"/>
              </w:rPr>
            </w:pPr>
            <w:r>
              <w:rPr>
                <w:rFonts w:ascii="Arial" w:cs="Arial" w:eastAsia="Arial" w:hAnsi="Arial"/>
                <w:sz w:val="17"/>
                <w:szCs w:val="17"/>
                <w:color w:val="auto"/>
              </w:rPr>
              <w:t>0.51</w:t>
            </w:r>
          </w:p>
        </w:tc>
        <w:tc>
          <w:tcPr>
            <w:tcW w:w="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0.43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ind w:right="214"/>
              <w:spacing w:after="0"/>
              <w:rPr>
                <w:sz w:val="20"/>
                <w:szCs w:val="20"/>
                <w:color w:val="auto"/>
              </w:rPr>
            </w:pPr>
            <w:r>
              <w:rPr>
                <w:rFonts w:ascii="Arial" w:cs="Arial" w:eastAsia="Arial" w:hAnsi="Arial"/>
                <w:sz w:val="17"/>
                <w:szCs w:val="17"/>
                <w:color w:val="auto"/>
              </w:rPr>
              <w:t>1.41</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34"/>
              <w:spacing w:after="0"/>
              <w:rPr>
                <w:sz w:val="20"/>
                <w:szCs w:val="20"/>
                <w:color w:val="auto"/>
              </w:rPr>
            </w:pPr>
            <w:r>
              <w:rPr>
                <w:rFonts w:ascii="Arial" w:cs="Arial" w:eastAsia="Arial" w:hAnsi="Arial"/>
                <w:sz w:val="17"/>
                <w:szCs w:val="17"/>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Reconciliation of Effective Tax Rate to Adjusted Effective Tax Rate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84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840" w:type="dxa"/>
            <w:vAlign w:val="bottom"/>
            <w:gridSpan w:val="3"/>
          </w:tcPr>
          <w:p>
            <w:pPr>
              <w:spacing w:after="0"/>
              <w:rPr>
                <w:sz w:val="20"/>
                <w:szCs w:val="20"/>
                <w:color w:val="auto"/>
              </w:rPr>
            </w:pPr>
            <w:r>
              <w:rPr>
                <w:rFonts w:ascii="Arial" w:cs="Arial" w:eastAsia="Arial" w:hAnsi="Arial"/>
                <w:sz w:val="17"/>
                <w:szCs w:val="17"/>
                <w:color w:val="auto"/>
              </w:rPr>
              <w:t>Effective Tax Rate (See Note 10)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ind w:right="54"/>
              <w:spacing w:after="0"/>
              <w:rPr>
                <w:sz w:val="20"/>
                <w:szCs w:val="20"/>
                <w:color w:val="auto"/>
              </w:rPr>
            </w:pPr>
            <w:r>
              <w:rPr>
                <w:rFonts w:ascii="Arial" w:cs="Arial" w:eastAsia="Arial" w:hAnsi="Arial"/>
                <w:sz w:val="17"/>
                <w:szCs w:val="17"/>
                <w:color w:val="auto"/>
              </w:rPr>
              <w:t>25.7%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40" w:type="dxa"/>
            <w:vAlign w:val="bottom"/>
            <w:gridSpan w:val="3"/>
          </w:tcPr>
          <w:p>
            <w:pPr>
              <w:spacing w:after="0"/>
              <w:rPr>
                <w:sz w:val="20"/>
                <w:szCs w:val="20"/>
                <w:color w:val="auto"/>
              </w:rPr>
            </w:pPr>
            <w:r>
              <w:rPr>
                <w:rFonts w:ascii="Arial" w:cs="Arial" w:eastAsia="Arial" w:hAnsi="Arial"/>
                <w:sz w:val="17"/>
                <w:szCs w:val="17"/>
                <w:color w:val="auto"/>
              </w:rPr>
              <w:t>Impact on Effective Tax Rate as a result of Special Items</w:t>
            </w:r>
            <w:r>
              <w:rPr>
                <w:rFonts w:ascii="Arial" w:cs="Arial" w:eastAsia="Arial" w:hAnsi="Arial"/>
                <w:sz w:val="14"/>
                <w:szCs w:val="14"/>
                <w:color w:val="auto"/>
              </w:rPr>
              <w:t>(c)</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6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40" w:type="dxa"/>
            <w:vAlign w:val="bottom"/>
            <w:gridSpan w:val="3"/>
          </w:tcPr>
          <w:p>
            <w:pPr>
              <w:spacing w:after="0"/>
              <w:rPr>
                <w:sz w:val="20"/>
                <w:szCs w:val="20"/>
                <w:color w:val="auto"/>
              </w:rPr>
            </w:pPr>
            <w:r>
              <w:rPr>
                <w:rFonts w:ascii="Arial" w:cs="Arial" w:eastAsia="Arial" w:hAnsi="Arial"/>
                <w:sz w:val="17"/>
                <w:szCs w:val="17"/>
                <w:color w:val="auto"/>
              </w:rPr>
              <w:t>Adjusted Effective Tax Rate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w:t>
            </w:r>
          </w:p>
        </w:tc>
        <w:tc>
          <w:tcPr>
            <w:tcW w:w="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25.8%</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520" w:hanging="516"/>
        <w:spacing w:after="0" w:line="318"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 result of the acquisition of Wuxi KFC in the first quarter of 2018, as disclosed in Note 2, the Company recognized a gain of $98 million from the re-measurement of our previously held 47% equity interest at fair value, which was not allocated to any segment for performance reporting purposes.</w:t>
      </w:r>
    </w:p>
    <w:p>
      <w:pPr>
        <w:spacing w:after="0" w:line="135" w:lineRule="exact"/>
        <w:rPr>
          <w:rFonts w:ascii="Arial" w:cs="Arial" w:eastAsia="Arial" w:hAnsi="Arial"/>
          <w:sz w:val="16"/>
          <w:szCs w:val="16"/>
          <w:color w:val="auto"/>
        </w:rPr>
      </w:pPr>
    </w:p>
    <w:p>
      <w:pPr>
        <w:ind w:left="520" w:hanging="516"/>
        <w:spacing w:after="0" w:line="285" w:lineRule="auto"/>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third quarter of 2017, the Company recognized income from the reversal of contingent consideration previously recorded for a business combination as the likelihood of making payment became remote.</w:t>
      </w:r>
    </w:p>
    <w:p>
      <w:pPr>
        <w:spacing w:after="0" w:line="158" w:lineRule="exact"/>
        <w:rPr>
          <w:rFonts w:ascii="Arial" w:cs="Arial" w:eastAsia="Arial" w:hAnsi="Arial"/>
          <w:sz w:val="17"/>
          <w:szCs w:val="17"/>
          <w:color w:val="auto"/>
        </w:rPr>
      </w:pPr>
    </w:p>
    <w:p>
      <w:pPr>
        <w:ind w:left="520" w:hanging="516"/>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tax expense was determined based upon the nature, as well as the jurisdiction, of each Special Item at the applicable tax rate.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14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0"/>
        </w:trPr>
        <w:tc>
          <w:tcPr>
            <w:tcW w:w="25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Adjusted EBITDA</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5840" w:type="dxa"/>
            <w:vAlign w:val="bottom"/>
            <w:gridSpan w:val="11"/>
          </w:tcPr>
          <w:p>
            <w:pPr>
              <w:spacing w:after="0"/>
              <w:rPr>
                <w:sz w:val="20"/>
                <w:szCs w:val="20"/>
                <w:color w:val="auto"/>
              </w:rPr>
            </w:pPr>
            <w:r>
              <w:rPr>
                <w:rFonts w:ascii="Arial" w:cs="Arial" w:eastAsia="Arial" w:hAnsi="Arial"/>
                <w:sz w:val="17"/>
                <w:szCs w:val="17"/>
                <w:color w:val="auto"/>
                <w:w w:val="94"/>
              </w:rPr>
              <w:t>Net income, along with the reconciliation to Adjusted EBITDA, is presented below.</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right"/>
              <w:spacing w:after="0"/>
              <w:rPr>
                <w:sz w:val="20"/>
                <w:szCs w:val="20"/>
                <w:color w:val="auto"/>
              </w:rPr>
            </w:pPr>
            <w:r>
              <w:rPr>
                <w:rFonts w:ascii="Arial" w:cs="Arial" w:eastAsia="Arial" w:hAnsi="Arial"/>
                <w:sz w:val="17"/>
                <w:szCs w:val="17"/>
                <w:color w:val="auto"/>
              </w:rPr>
              <w:t>Quarter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0"/>
          </w:tcPr>
          <w:p>
            <w:pPr>
              <w:jc w:val="right"/>
              <w:ind w:right="640"/>
              <w:spacing w:after="0"/>
              <w:rPr>
                <w:sz w:val="20"/>
                <w:szCs w:val="20"/>
                <w:color w:val="auto"/>
              </w:rPr>
            </w:pPr>
            <w:r>
              <w:rPr>
                <w:rFonts w:ascii="Arial" w:cs="Arial" w:eastAsia="Arial" w:hAnsi="Arial"/>
                <w:sz w:val="17"/>
                <w:szCs w:val="17"/>
                <w:color w:val="auto"/>
              </w:rPr>
              <w:t>Year to Date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20" w:type="dxa"/>
            <w:vAlign w:val="bottom"/>
            <w:gridSpan w:val="7"/>
          </w:tcPr>
          <w:p>
            <w:pPr>
              <w:spacing w:after="0"/>
              <w:rPr>
                <w:sz w:val="20"/>
                <w:szCs w:val="20"/>
                <w:color w:val="auto"/>
              </w:rPr>
            </w:pPr>
            <w:r>
              <w:rPr>
                <w:rFonts w:ascii="Arial" w:cs="Arial" w:eastAsia="Arial" w:hAnsi="Arial"/>
                <w:sz w:val="17"/>
                <w:szCs w:val="17"/>
                <w:b w:val="1"/>
                <w:bCs w:val="1"/>
                <w:color w:val="auto"/>
              </w:rPr>
              <w:t>Reconciliation of Net Income to Adjusted EBITDA</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color w:val="auto"/>
              </w:rPr>
              <w:t>9/30/2018</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9/30/2017</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7"/>
                <w:szCs w:val="17"/>
                <w:color w:val="auto"/>
              </w:rPr>
              <w:t>9/30/2018</w:t>
            </w:r>
          </w:p>
        </w:tc>
        <w:tc>
          <w:tcPr>
            <w:tcW w:w="1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9/30/2017</w:t>
            </w:r>
          </w:p>
        </w:tc>
        <w:tc>
          <w:tcPr>
            <w:tcW w:w="1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gridSpan w:val="4"/>
          </w:tcPr>
          <w:p>
            <w:pPr>
              <w:spacing w:after="0"/>
              <w:rPr>
                <w:sz w:val="20"/>
                <w:szCs w:val="20"/>
                <w:color w:val="auto"/>
              </w:rPr>
            </w:pPr>
            <w:r>
              <w:rPr>
                <w:rFonts w:ascii="Arial" w:cs="Arial" w:eastAsia="Arial" w:hAnsi="Arial"/>
                <w:sz w:val="17"/>
                <w:szCs w:val="17"/>
                <w:color w:val="auto"/>
              </w:rPr>
              <w:t>Net Income — Yum China Holdings, Inc.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7"/>
                <w:szCs w:val="17"/>
                <w:color w:val="auto"/>
              </w:rPr>
              <w:t>203</w:t>
            </w:r>
          </w:p>
        </w:tc>
        <w:tc>
          <w:tcPr>
            <w:tcW w:w="72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4"/>
              <w:spacing w:after="0"/>
              <w:rPr>
                <w:sz w:val="20"/>
                <w:szCs w:val="20"/>
                <w:color w:val="auto"/>
              </w:rPr>
            </w:pPr>
            <w:r>
              <w:rPr>
                <w:rFonts w:ascii="Arial" w:cs="Arial" w:eastAsia="Arial" w:hAnsi="Arial"/>
                <w:sz w:val="17"/>
                <w:szCs w:val="17"/>
                <w:color w:val="auto"/>
              </w:rPr>
              <w:t>176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gridSpan w:val="5"/>
          </w:tcPr>
          <w:p>
            <w:pPr>
              <w:jc w:val="right"/>
              <w:ind w:right="34"/>
              <w:spacing w:after="0"/>
              <w:rPr>
                <w:sz w:val="20"/>
                <w:szCs w:val="20"/>
                <w:color w:val="auto"/>
              </w:rPr>
            </w:pPr>
            <w:r>
              <w:rPr>
                <w:rFonts w:ascii="Arial" w:cs="Arial" w:eastAsia="Arial" w:hAnsi="Arial"/>
                <w:sz w:val="17"/>
                <w:szCs w:val="17"/>
                <w:color w:val="auto"/>
              </w:rPr>
              <w:t>634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505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gridSpan w:val="3"/>
          </w:tcPr>
          <w:p>
            <w:pPr>
              <w:spacing w:after="0"/>
              <w:rPr>
                <w:sz w:val="20"/>
                <w:szCs w:val="20"/>
                <w:color w:val="auto"/>
              </w:rPr>
            </w:pPr>
            <w:r>
              <w:rPr>
                <w:rFonts w:ascii="Arial" w:cs="Arial" w:eastAsia="Arial" w:hAnsi="Arial"/>
                <w:sz w:val="17"/>
                <w:szCs w:val="17"/>
                <w:color w:val="auto"/>
                <w:w w:val="97"/>
              </w:rPr>
              <w:t>Net Income — noncontrolling interests</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3"/>
          </w:tcPr>
          <w:p>
            <w:pPr>
              <w:jc w:val="right"/>
              <w:ind w:right="14"/>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5"/>
          </w:tcPr>
          <w:p>
            <w:pPr>
              <w:jc w:val="right"/>
              <w:ind w:right="34"/>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7"/>
                <w:szCs w:val="17"/>
                <w:color w:val="auto"/>
              </w:rPr>
              <w:t>Income tax provision</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gridSpan w:val="5"/>
          </w:tcPr>
          <w:p>
            <w:pPr>
              <w:jc w:val="center"/>
              <w:ind w:left="154"/>
              <w:spacing w:after="0"/>
              <w:rPr>
                <w:sz w:val="20"/>
                <w:szCs w:val="20"/>
                <w:color w:val="auto"/>
              </w:rPr>
            </w:pPr>
            <w:r>
              <w:rPr>
                <w:rFonts w:ascii="Arial" w:cs="Arial" w:eastAsia="Arial" w:hAnsi="Arial"/>
                <w:sz w:val="17"/>
                <w:szCs w:val="17"/>
                <w:color w:val="auto"/>
                <w:w w:val="84"/>
              </w:rPr>
              <w:t>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3"/>
          </w:tcPr>
          <w:p>
            <w:pPr>
              <w:jc w:val="right"/>
              <w:ind w:right="14"/>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5"/>
          </w:tcPr>
          <w:p>
            <w:pPr>
              <w:jc w:val="right"/>
              <w:ind w:right="34"/>
              <w:spacing w:after="0"/>
              <w:rPr>
                <w:sz w:val="20"/>
                <w:szCs w:val="20"/>
                <w:color w:val="auto"/>
              </w:rPr>
            </w:pPr>
            <w:r>
              <w:rPr>
                <w:rFonts w:ascii="Arial" w:cs="Arial" w:eastAsia="Arial" w:hAnsi="Arial"/>
                <w:sz w:val="17"/>
                <w:szCs w:val="17"/>
                <w:color w:val="auto"/>
              </w:rPr>
              <w:t>227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spacing w:after="0"/>
              <w:rPr>
                <w:sz w:val="20"/>
                <w:szCs w:val="20"/>
                <w:color w:val="auto"/>
              </w:rPr>
            </w:pPr>
            <w:r>
              <w:rPr>
                <w:rFonts w:ascii="Arial" w:cs="Arial" w:eastAsia="Arial" w:hAnsi="Arial"/>
                <w:sz w:val="17"/>
                <w:szCs w:val="17"/>
                <w:color w:val="auto"/>
              </w:rPr>
              <w:t>Interest and other income, net</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5"/>
          </w:tcPr>
          <w:p>
            <w:pPr>
              <w:jc w:val="center"/>
              <w:ind w:left="174"/>
              <w:spacing w:after="0"/>
              <w:rPr>
                <w:sz w:val="20"/>
                <w:szCs w:val="20"/>
                <w:color w:val="auto"/>
              </w:rPr>
            </w:pPr>
            <w:r>
              <w:rPr>
                <w:rFonts w:ascii="Arial" w:cs="Arial" w:eastAsia="Arial" w:hAnsi="Arial"/>
                <w:sz w:val="17"/>
                <w:szCs w:val="17"/>
                <w:color w:val="auto"/>
                <w:w w:val="99"/>
              </w:rPr>
              <w:t>(10)</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(28)</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580" w:type="dxa"/>
            <w:vAlign w:val="bottom"/>
            <w:gridSpan w:val="2"/>
          </w:tcPr>
          <w:p>
            <w:pPr>
              <w:spacing w:after="0"/>
              <w:rPr>
                <w:sz w:val="20"/>
                <w:szCs w:val="20"/>
                <w:color w:val="auto"/>
              </w:rPr>
            </w:pPr>
            <w:r>
              <w:rPr>
                <w:rFonts w:ascii="Arial" w:cs="Arial" w:eastAsia="Arial" w:hAnsi="Arial"/>
                <w:sz w:val="17"/>
                <w:szCs w:val="17"/>
                <w:color w:val="auto"/>
              </w:rPr>
              <w:t>Operating Profit</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7"/>
                <w:szCs w:val="17"/>
                <w:color w:val="auto"/>
              </w:rPr>
              <w:t>269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4"/>
              <w:spacing w:after="0"/>
              <w:rPr>
                <w:sz w:val="20"/>
                <w:szCs w:val="20"/>
                <w:color w:val="auto"/>
              </w:rPr>
            </w:pPr>
            <w:r>
              <w:rPr>
                <w:rFonts w:ascii="Arial" w:cs="Arial" w:eastAsia="Arial" w:hAnsi="Arial"/>
                <w:sz w:val="17"/>
                <w:szCs w:val="17"/>
                <w:color w:val="auto"/>
              </w:rPr>
              <w:t>264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5"/>
          </w:tcPr>
          <w:p>
            <w:pPr>
              <w:jc w:val="right"/>
              <w:ind w:right="34"/>
              <w:spacing w:after="0"/>
              <w:rPr>
                <w:sz w:val="20"/>
                <w:szCs w:val="20"/>
                <w:color w:val="auto"/>
              </w:rPr>
            </w:pPr>
            <w:r>
              <w:rPr>
                <w:rFonts w:ascii="Arial" w:cs="Arial" w:eastAsia="Arial" w:hAnsi="Arial"/>
                <w:sz w:val="17"/>
                <w:szCs w:val="17"/>
                <w:color w:val="auto"/>
              </w:rPr>
              <w:t>857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731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spacing w:after="0"/>
              <w:rPr>
                <w:sz w:val="20"/>
                <w:szCs w:val="20"/>
                <w:color w:val="auto"/>
              </w:rPr>
            </w:pPr>
            <w:r>
              <w:rPr>
                <w:rFonts w:ascii="Arial" w:cs="Arial" w:eastAsia="Arial" w:hAnsi="Arial"/>
                <w:sz w:val="17"/>
                <w:szCs w:val="17"/>
                <w:color w:val="auto"/>
              </w:rPr>
              <w:t>Depreciation and amortization</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7"/>
                <w:szCs w:val="17"/>
                <w:color w:val="auto"/>
              </w:rPr>
              <w:t>108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3"/>
          </w:tcPr>
          <w:p>
            <w:pPr>
              <w:jc w:val="right"/>
              <w:ind w:right="14"/>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5"/>
          </w:tcPr>
          <w:p>
            <w:pPr>
              <w:jc w:val="right"/>
              <w:ind w:right="34"/>
              <w:spacing w:after="0"/>
              <w:rPr>
                <w:sz w:val="20"/>
                <w:szCs w:val="20"/>
                <w:color w:val="auto"/>
              </w:rPr>
            </w:pPr>
            <w:r>
              <w:rPr>
                <w:rFonts w:ascii="Arial" w:cs="Arial" w:eastAsia="Arial" w:hAnsi="Arial"/>
                <w:sz w:val="17"/>
                <w:szCs w:val="17"/>
                <w:color w:val="auto"/>
              </w:rPr>
              <w:t>343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301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580" w:type="dxa"/>
            <w:vAlign w:val="bottom"/>
            <w:gridSpan w:val="2"/>
          </w:tcPr>
          <w:p>
            <w:pPr>
              <w:spacing w:after="0"/>
              <w:rPr>
                <w:sz w:val="20"/>
                <w:szCs w:val="20"/>
                <w:color w:val="auto"/>
              </w:rPr>
            </w:pPr>
            <w:r>
              <w:rPr>
                <w:rFonts w:ascii="Arial" w:cs="Arial" w:eastAsia="Arial" w:hAnsi="Arial"/>
                <w:sz w:val="17"/>
                <w:szCs w:val="17"/>
                <w:color w:val="auto"/>
              </w:rPr>
              <w:t>Store impairment charges</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3"/>
          </w:tcPr>
          <w:p>
            <w:pPr>
              <w:jc w:val="right"/>
              <w:ind w:right="14"/>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5"/>
          </w:tcPr>
          <w:p>
            <w:pPr>
              <w:jc w:val="right"/>
              <w:ind w:right="34"/>
              <w:spacing w:after="0"/>
              <w:rPr>
                <w:sz w:val="20"/>
                <w:szCs w:val="20"/>
                <w:color w:val="auto"/>
              </w:rPr>
            </w:pPr>
            <w:r>
              <w:rPr>
                <w:rFonts w:ascii="Arial" w:cs="Arial" w:eastAsia="Arial" w:hAnsi="Arial"/>
                <w:sz w:val="17"/>
                <w:szCs w:val="17"/>
                <w:color w:val="auto"/>
              </w:rPr>
              <w:t>23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20" w:type="dxa"/>
            <w:vAlign w:val="bottom"/>
            <w:gridSpan w:val="3"/>
          </w:tcPr>
          <w:p>
            <w:pPr>
              <w:spacing w:after="0"/>
              <w:rPr>
                <w:sz w:val="20"/>
                <w:szCs w:val="20"/>
                <w:color w:val="auto"/>
              </w:rPr>
            </w:pPr>
            <w:r>
              <w:rPr>
                <w:rFonts w:ascii="Arial" w:cs="Arial" w:eastAsia="Arial" w:hAnsi="Arial"/>
                <w:sz w:val="17"/>
                <w:szCs w:val="17"/>
                <w:color w:val="auto"/>
                <w:w w:val="93"/>
              </w:rPr>
              <w:t>Special Items Income – Operating Profit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7"/>
                <w:szCs w:val="17"/>
                <w:color w:val="auto"/>
                <w:w w:val="93"/>
              </w:rPr>
              <w:t>—</w:t>
            </w:r>
          </w:p>
        </w:tc>
        <w:tc>
          <w:tcPr>
            <w:tcW w:w="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7"/>
                <w:szCs w:val="17"/>
                <w:color w:val="auto"/>
              </w:rPr>
              <w:t>(98)</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580" w:type="dxa"/>
            <w:vAlign w:val="bottom"/>
            <w:gridSpan w:val="2"/>
          </w:tcPr>
          <w:p>
            <w:pPr>
              <w:spacing w:after="0"/>
              <w:rPr>
                <w:sz w:val="20"/>
                <w:szCs w:val="20"/>
                <w:color w:val="auto"/>
              </w:rPr>
            </w:pPr>
            <w:r>
              <w:rPr>
                <w:rFonts w:ascii="Arial" w:cs="Arial" w:eastAsia="Arial" w:hAnsi="Arial"/>
                <w:sz w:val="17"/>
                <w:szCs w:val="17"/>
                <w:color w:val="auto"/>
              </w:rPr>
              <w:t>Adjusted EBITDA</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94"/>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0" w:type="dxa"/>
            <w:vAlign w:val="bottom"/>
            <w:gridSpan w:val="5"/>
          </w:tcPr>
          <w:p>
            <w:pPr>
              <w:jc w:val="right"/>
              <w:ind w:right="100"/>
              <w:spacing w:after="0"/>
              <w:rPr>
                <w:sz w:val="20"/>
                <w:szCs w:val="20"/>
                <w:color w:val="auto"/>
              </w:rPr>
            </w:pPr>
            <w:r>
              <w:rPr>
                <w:rFonts w:ascii="Arial" w:cs="Arial" w:eastAsia="Arial" w:hAnsi="Arial"/>
                <w:sz w:val="17"/>
                <w:szCs w:val="17"/>
                <w:color w:val="auto"/>
              </w:rPr>
              <w:t>379</w:t>
            </w:r>
          </w:p>
        </w:tc>
        <w:tc>
          <w:tcPr>
            <w:tcW w:w="72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3"/>
          </w:tcPr>
          <w:p>
            <w:pPr>
              <w:jc w:val="right"/>
              <w:ind w:right="14"/>
              <w:spacing w:after="0"/>
              <w:rPr>
                <w:sz w:val="20"/>
                <w:szCs w:val="20"/>
                <w:color w:val="auto"/>
              </w:rPr>
            </w:pPr>
            <w:r>
              <w:rPr>
                <w:rFonts w:ascii="Arial" w:cs="Arial" w:eastAsia="Arial" w:hAnsi="Arial"/>
                <w:sz w:val="17"/>
                <w:szCs w:val="17"/>
                <w:color w:val="auto"/>
              </w:rPr>
              <w:t>371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1040" w:type="dxa"/>
            <w:vAlign w:val="bottom"/>
            <w:gridSpan w:val="5"/>
          </w:tcPr>
          <w:p>
            <w:pPr>
              <w:jc w:val="right"/>
              <w:ind w:right="34"/>
              <w:spacing w:after="0"/>
              <w:rPr>
                <w:sz w:val="20"/>
                <w:szCs w:val="20"/>
                <w:color w:val="auto"/>
              </w:rPr>
            </w:pPr>
            <w:r>
              <w:rPr>
                <w:rFonts w:ascii="Arial" w:cs="Arial" w:eastAsia="Arial" w:hAnsi="Arial"/>
                <w:sz w:val="17"/>
                <w:szCs w:val="17"/>
                <w:color w:val="auto"/>
              </w:rPr>
              <w:t>1,125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4"/>
              <w:spacing w:after="0"/>
              <w:rPr>
                <w:sz w:val="20"/>
                <w:szCs w:val="20"/>
                <w:color w:val="auto"/>
              </w:rPr>
            </w:pPr>
            <w:r>
              <w:rPr>
                <w:rFonts w:ascii="Arial" w:cs="Arial" w:eastAsia="Arial" w:hAnsi="Arial"/>
                <w:sz w:val="17"/>
                <w:szCs w:val="17"/>
                <w:color w:val="auto"/>
              </w:rPr>
              <w:t>1,057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Segment Results</w:t>
            </w: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5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5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KFC</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7"/>
                <w:szCs w:val="17"/>
                <w:color w:val="auto"/>
              </w:rPr>
              <w:t>Quarter Ended</w:t>
            </w: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13"/>
          </w:tcPr>
          <w:p>
            <w:pPr>
              <w:ind w:left="40"/>
              <w:spacing w:after="0"/>
              <w:rPr>
                <w:sz w:val="20"/>
                <w:szCs w:val="20"/>
                <w:color w:val="auto"/>
              </w:rPr>
            </w:pPr>
            <w:r>
              <w:rPr>
                <w:rFonts w:ascii="Arial" w:cs="Arial" w:eastAsia="Arial" w:hAnsi="Arial"/>
                <w:sz w:val="17"/>
                <w:szCs w:val="17"/>
                <w:color w:val="auto"/>
              </w:rPr>
              <w:t>Year to Date 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bottom w:val="single" w:sz="8" w:color="auto"/>
            </w:tcBorders>
            <w:gridSpan w:val="6"/>
          </w:tcPr>
          <w:p>
            <w:pPr>
              <w:ind w:left="840"/>
              <w:spacing w:after="0"/>
              <w:rPr>
                <w:sz w:val="20"/>
                <w:szCs w:val="20"/>
                <w:color w:val="auto"/>
              </w:rPr>
            </w:pPr>
            <w:r>
              <w:rPr>
                <w:rFonts w:ascii="Arial" w:cs="Arial" w:eastAsia="Arial" w:hAnsi="Arial"/>
                <w:sz w:val="17"/>
                <w:szCs w:val="17"/>
                <w:color w:val="auto"/>
              </w:rPr>
              <w:t>% B/(W)</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7"/>
                <w:szCs w:val="17"/>
                <w:color w:val="auto"/>
              </w:rPr>
              <w:t>% B/(W)</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7"/>
                <w:szCs w:val="17"/>
                <w:color w:val="auto"/>
              </w:rPr>
              <w:t>9/30/2018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9"/>
              </w:rPr>
              <w:t>9/30/2017</w:t>
            </w: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Reported</w:t>
            </w:r>
          </w:p>
        </w:tc>
        <w:tc>
          <w:tcPr>
            <w:tcW w:w="120" w:type="dxa"/>
            <w:vAlign w:val="bottom"/>
          </w:tcPr>
          <w:p>
            <w:pPr>
              <w:spacing w:after="0"/>
              <w:rPr>
                <w:sz w:val="18"/>
                <w:szCs w:val="18"/>
                <w:color w:val="auto"/>
              </w:rPr>
            </w:pPr>
          </w:p>
        </w:tc>
        <w:tc>
          <w:tcPr>
            <w:tcW w:w="820" w:type="dxa"/>
            <w:vAlign w:val="bottom"/>
            <w:tcBorders>
              <w:bottom w:val="single" w:sz="8" w:color="auto"/>
            </w:tcBorders>
            <w:gridSpan w:val="3"/>
          </w:tcPr>
          <w:p>
            <w:pPr>
              <w:ind w:left="280"/>
              <w:spacing w:after="0"/>
              <w:rPr>
                <w:sz w:val="20"/>
                <w:szCs w:val="20"/>
                <w:color w:val="auto"/>
              </w:rPr>
            </w:pPr>
            <w:r>
              <w:rPr>
                <w:rFonts w:ascii="Arial" w:cs="Arial" w:eastAsia="Arial" w:hAnsi="Arial"/>
                <w:sz w:val="17"/>
                <w:szCs w:val="17"/>
                <w:color w:val="auto"/>
              </w:rPr>
              <w:t>Ex F/X</w:t>
            </w:r>
          </w:p>
        </w:tc>
        <w:tc>
          <w:tcPr>
            <w:tcW w:w="28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94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7"/>
                <w:szCs w:val="17"/>
                <w:color w:val="auto"/>
              </w:rPr>
              <w:t>9/30/2018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7"/>
                <w:szCs w:val="17"/>
                <w:color w:val="auto"/>
                <w:w w:val="89"/>
              </w:rPr>
              <w:t>9/30/2017</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gridSpan w:val="6"/>
          </w:tcPr>
          <w:p>
            <w:pPr>
              <w:ind w:left="220"/>
              <w:spacing w:after="0"/>
              <w:rPr>
                <w:sz w:val="20"/>
                <w:szCs w:val="20"/>
                <w:color w:val="auto"/>
              </w:rPr>
            </w:pPr>
            <w:r>
              <w:rPr>
                <w:rFonts w:ascii="Arial" w:cs="Arial" w:eastAsia="Arial" w:hAnsi="Arial"/>
                <w:sz w:val="17"/>
                <w:szCs w:val="17"/>
                <w:color w:val="auto"/>
              </w:rPr>
              <w:t>Reported</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Ex F/X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gridSpan w:val="2"/>
          </w:tcPr>
          <w:p>
            <w:pPr>
              <w:spacing w:after="0"/>
              <w:rPr>
                <w:sz w:val="20"/>
                <w:szCs w:val="20"/>
                <w:color w:val="auto"/>
              </w:rPr>
            </w:pPr>
            <w:r>
              <w:rPr>
                <w:rFonts w:ascii="Arial" w:cs="Arial" w:eastAsia="Arial" w:hAnsi="Arial"/>
                <w:sz w:val="17"/>
                <w:szCs w:val="17"/>
                <w:color w:val="auto"/>
              </w:rPr>
              <w:t>Company sales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w w:val="84"/>
              </w:rPr>
              <w:t>1,452</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1,347</w:t>
            </w:r>
          </w:p>
        </w:tc>
        <w:tc>
          <w:tcPr>
            <w:tcW w:w="1160" w:type="dxa"/>
            <w:vAlign w:val="bottom"/>
            <w:gridSpan w:val="2"/>
          </w:tcPr>
          <w:p>
            <w:pPr>
              <w:jc w:val="right"/>
              <w:ind w:right="334"/>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8"/>
                <w:szCs w:val="18"/>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w w:val="93"/>
              </w:rPr>
              <w:t>4,248</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3,705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7"/>
                <w:szCs w:val="17"/>
                <w:color w:val="auto"/>
              </w:rPr>
              <w:t>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54"/>
              <w:spacing w:after="0"/>
              <w:rPr>
                <w:sz w:val="20"/>
                <w:szCs w:val="20"/>
                <w:color w:val="auto"/>
              </w:rPr>
            </w:pPr>
            <w:r>
              <w:rPr>
                <w:rFonts w:ascii="Arial" w:cs="Arial" w:eastAsia="Arial" w:hAnsi="Arial"/>
                <w:sz w:val="17"/>
                <w:szCs w:val="17"/>
                <w:color w:val="auto"/>
              </w:rPr>
              <w:t>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7"/>
                <w:szCs w:val="17"/>
                <w:color w:val="auto"/>
              </w:rPr>
              <w:t>Franchise fees and income</w:t>
            </w:r>
          </w:p>
        </w:tc>
        <w:tc>
          <w:tcPr>
            <w:tcW w:w="240" w:type="dxa"/>
            <w:vAlign w:val="bottom"/>
          </w:tcPr>
          <w:p>
            <w:pPr>
              <w:spacing w:after="0"/>
              <w:rPr>
                <w:sz w:val="19"/>
                <w:szCs w:val="19"/>
                <w:color w:val="auto"/>
              </w:rPr>
            </w:pP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36</w:t>
            </w:r>
          </w:p>
        </w:tc>
        <w:tc>
          <w:tcPr>
            <w:tcW w:w="1160" w:type="dxa"/>
            <w:vAlign w:val="bottom"/>
            <w:gridSpan w:val="2"/>
          </w:tcPr>
          <w:p>
            <w:pPr>
              <w:jc w:val="right"/>
              <w:ind w:right="254"/>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102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80" w:type="dxa"/>
            <w:vAlign w:val="bottom"/>
            <w:gridSpan w:val="2"/>
          </w:tcPr>
          <w:p>
            <w:pPr>
              <w:spacing w:after="0"/>
              <w:rPr>
                <w:sz w:val="20"/>
                <w:szCs w:val="20"/>
                <w:color w:val="auto"/>
              </w:rPr>
            </w:pPr>
            <w:r>
              <w:rPr>
                <w:rFonts w:ascii="Arial" w:cs="Arial" w:eastAsia="Arial" w:hAnsi="Arial"/>
                <w:sz w:val="17"/>
                <w:szCs w:val="17"/>
                <w:color w:val="auto"/>
              </w:rPr>
              <w:t>Revenues from transactions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80" w:type="dxa"/>
            <w:vAlign w:val="bottom"/>
            <w:gridSpan w:val="2"/>
          </w:tcPr>
          <w:p>
            <w:pPr>
              <w:ind w:left="180"/>
              <w:spacing w:after="0"/>
              <w:rPr>
                <w:sz w:val="20"/>
                <w:szCs w:val="20"/>
                <w:color w:val="auto"/>
              </w:rPr>
            </w:pPr>
            <w:r>
              <w:rPr>
                <w:rFonts w:ascii="Arial" w:cs="Arial" w:eastAsia="Arial" w:hAnsi="Arial"/>
                <w:sz w:val="17"/>
                <w:szCs w:val="17"/>
                <w:color w:val="auto"/>
              </w:rPr>
              <w:t>with franchisees and</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180"/>
              <w:spacing w:after="0"/>
              <w:rPr>
                <w:sz w:val="20"/>
                <w:szCs w:val="20"/>
                <w:color w:val="auto"/>
              </w:rPr>
            </w:pPr>
            <w:r>
              <w:rPr>
                <w:rFonts w:ascii="Arial" w:cs="Arial" w:eastAsia="Arial" w:hAnsi="Arial"/>
                <w:sz w:val="17"/>
                <w:szCs w:val="17"/>
                <w:color w:val="auto"/>
              </w:rPr>
              <w:t>unconsolidated affiliates</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rPr>
              <w:t>19</w:t>
            </w:r>
          </w:p>
        </w:tc>
        <w:tc>
          <w:tcPr>
            <w:tcW w:w="1160" w:type="dxa"/>
            <w:vAlign w:val="bottom"/>
            <w:gridSpan w:val="2"/>
          </w:tcPr>
          <w:p>
            <w:pPr>
              <w:jc w:val="right"/>
              <w:ind w:right="254"/>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7"/>
                <w:szCs w:val="17"/>
                <w:color w:val="auto"/>
              </w:rPr>
              <w:t>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gridSpan w:val="4"/>
          </w:tcPr>
          <w:p>
            <w:pPr>
              <w:jc w:val="right"/>
              <w:ind w:right="54"/>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58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w w:val="84"/>
              </w:rPr>
              <w:t>1,502</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1,402</w:t>
            </w:r>
          </w:p>
        </w:tc>
        <w:tc>
          <w:tcPr>
            <w:tcW w:w="1160" w:type="dxa"/>
            <w:vAlign w:val="bottom"/>
            <w:gridSpan w:val="2"/>
          </w:tcPr>
          <w:p>
            <w:pPr>
              <w:jc w:val="right"/>
              <w:ind w:right="334"/>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9</w:t>
            </w:r>
          </w:p>
        </w:tc>
        <w:tc>
          <w:tcPr>
            <w:tcW w:w="60" w:type="dxa"/>
            <w:vAlign w:val="bottom"/>
          </w:tcPr>
          <w:p>
            <w:pPr>
              <w:spacing w:after="0"/>
              <w:rPr>
                <w:sz w:val="18"/>
                <w:szCs w:val="18"/>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8"/>
                <w:szCs w:val="18"/>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w w:val="93"/>
              </w:rPr>
              <w:t>4,400</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3,858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254"/>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580" w:type="dxa"/>
            <w:vAlign w:val="bottom"/>
            <w:gridSpan w:val="2"/>
          </w:tcPr>
          <w:p>
            <w:pPr>
              <w:spacing w:after="0"/>
              <w:rPr>
                <w:sz w:val="20"/>
                <w:szCs w:val="20"/>
                <w:color w:val="auto"/>
              </w:rPr>
            </w:pPr>
            <w:r>
              <w:rPr>
                <w:rFonts w:ascii="Arial" w:cs="Arial" w:eastAsia="Arial" w:hAnsi="Arial"/>
                <w:sz w:val="17"/>
                <w:szCs w:val="17"/>
                <w:color w:val="auto"/>
              </w:rPr>
              <w:t>Restaurant profit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279</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265</w:t>
            </w:r>
          </w:p>
        </w:tc>
        <w:tc>
          <w:tcPr>
            <w:tcW w:w="1160" w:type="dxa"/>
            <w:vAlign w:val="bottom"/>
            <w:gridSpan w:val="2"/>
          </w:tcPr>
          <w:p>
            <w:pPr>
              <w:jc w:val="right"/>
              <w:ind w:right="334"/>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7</w:t>
            </w:r>
          </w:p>
        </w:tc>
        <w:tc>
          <w:tcPr>
            <w:tcW w:w="60" w:type="dxa"/>
            <w:vAlign w:val="bottom"/>
          </w:tcPr>
          <w:p>
            <w:pPr>
              <w:spacing w:after="0"/>
              <w:rPr>
                <w:sz w:val="24"/>
                <w:szCs w:val="24"/>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24"/>
                <w:szCs w:val="24"/>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rPr>
              <w:t>807</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717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54"/>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7"/>
                <w:szCs w:val="17"/>
                <w:color w:val="auto"/>
              </w:rPr>
              <w:t>Restaurant margin %</w:t>
            </w:r>
          </w:p>
        </w:tc>
        <w:tc>
          <w:tcPr>
            <w:tcW w:w="240" w:type="dxa"/>
            <w:vAlign w:val="bottom"/>
          </w:tcPr>
          <w:p>
            <w:pPr>
              <w:spacing w:after="0"/>
              <w:rPr>
                <w:sz w:val="19"/>
                <w:szCs w:val="19"/>
                <w:color w:val="auto"/>
              </w:rPr>
            </w:pPr>
          </w:p>
        </w:tc>
        <w:tc>
          <w:tcPr>
            <w:tcW w:w="680" w:type="dxa"/>
            <w:vAlign w:val="bottom"/>
          </w:tcPr>
          <w:p>
            <w:pPr>
              <w:jc w:val="right"/>
              <w:ind w:right="54"/>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4"/>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9"/>
                <w:szCs w:val="19"/>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7"/>
                <w:szCs w:val="17"/>
                <w:color w:val="auto"/>
              </w:rPr>
              <w:t>(0.4) ppts.</w:t>
            </w:r>
          </w:p>
        </w:tc>
        <w:tc>
          <w:tcPr>
            <w:tcW w:w="300" w:type="dxa"/>
            <w:vAlign w:val="bottom"/>
          </w:tcPr>
          <w:p>
            <w:pPr>
              <w:spacing w:after="0"/>
              <w:rPr>
                <w:sz w:val="19"/>
                <w:szCs w:val="19"/>
                <w:color w:val="auto"/>
              </w:rPr>
            </w:pPr>
          </w:p>
        </w:tc>
        <w:tc>
          <w:tcPr>
            <w:tcW w:w="1120" w:type="dxa"/>
            <w:vAlign w:val="bottom"/>
            <w:gridSpan w:val="7"/>
          </w:tcPr>
          <w:p>
            <w:pPr>
              <w:jc w:val="right"/>
              <w:ind w:right="340"/>
              <w:spacing w:after="0"/>
              <w:rPr>
                <w:sz w:val="20"/>
                <w:szCs w:val="20"/>
                <w:color w:val="auto"/>
              </w:rPr>
            </w:pPr>
            <w:r>
              <w:rPr>
                <w:rFonts w:ascii="Arial" w:cs="Arial" w:eastAsia="Arial" w:hAnsi="Arial"/>
                <w:sz w:val="17"/>
                <w:szCs w:val="17"/>
                <w:color w:val="auto"/>
                <w:w w:val="99"/>
              </w:rPr>
              <w:t>(0.4) ppts.</w:t>
            </w:r>
          </w:p>
        </w:tc>
        <w:tc>
          <w:tcPr>
            <w:tcW w:w="720" w:type="dxa"/>
            <w:vAlign w:val="bottom"/>
            <w:gridSpan w:val="3"/>
          </w:tcPr>
          <w:p>
            <w:pPr>
              <w:jc w:val="right"/>
              <w:ind w:right="54"/>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7"/>
          </w:tcPr>
          <w:p>
            <w:pPr>
              <w:jc w:val="right"/>
              <w:ind w:right="4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8"/>
          </w:tcPr>
          <w:p>
            <w:pPr>
              <w:ind w:left="360"/>
              <w:spacing w:after="0"/>
              <w:rPr>
                <w:sz w:val="20"/>
                <w:szCs w:val="20"/>
                <w:color w:val="auto"/>
              </w:rPr>
            </w:pPr>
            <w:r>
              <w:rPr>
                <w:rFonts w:ascii="Arial" w:cs="Arial" w:eastAsia="Arial" w:hAnsi="Arial"/>
                <w:sz w:val="17"/>
                <w:szCs w:val="17"/>
                <w:color w:val="auto"/>
              </w:rPr>
              <w:t>(0.3) ppts.</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(0.3) ppts.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2580" w:type="dxa"/>
            <w:vAlign w:val="bottom"/>
            <w:gridSpan w:val="2"/>
          </w:tcPr>
          <w:p>
            <w:pPr>
              <w:spacing w:after="0"/>
              <w:rPr>
                <w:sz w:val="20"/>
                <w:szCs w:val="20"/>
                <w:color w:val="auto"/>
              </w:rPr>
            </w:pPr>
            <w:r>
              <w:rPr>
                <w:rFonts w:ascii="Arial" w:cs="Arial" w:eastAsia="Arial" w:hAnsi="Arial"/>
                <w:sz w:val="17"/>
                <w:szCs w:val="17"/>
                <w:color w:val="auto"/>
              </w:rPr>
              <w:t>G&amp;A expenses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44</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44</w:t>
            </w:r>
          </w:p>
        </w:tc>
        <w:tc>
          <w:tcPr>
            <w:tcW w:w="1160" w:type="dxa"/>
            <w:vAlign w:val="bottom"/>
            <w:gridSpan w:val="2"/>
          </w:tcPr>
          <w:p>
            <w:pPr>
              <w:jc w:val="right"/>
              <w:ind w:right="254"/>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24"/>
                <w:szCs w:val="24"/>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24"/>
                <w:szCs w:val="24"/>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rPr>
              <w:t>135</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121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5"/>
          </w:tcPr>
          <w:p>
            <w:pPr>
              <w:jc w:val="right"/>
              <w:ind w:right="54"/>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7"/>
                <w:szCs w:val="17"/>
                <w:color w:val="auto"/>
              </w:rPr>
              <w:t>Franchise expenses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17</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19</w:t>
            </w:r>
          </w:p>
        </w:tc>
        <w:tc>
          <w:tcPr>
            <w:tcW w:w="1160" w:type="dxa"/>
            <w:vAlign w:val="bottom"/>
            <w:gridSpan w:val="2"/>
          </w:tcPr>
          <w:p>
            <w:pPr>
              <w:jc w:val="right"/>
              <w:ind w:right="334"/>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9"/>
                <w:szCs w:val="19"/>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rPr>
              <w:t>53</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6"/>
          </w:tcPr>
          <w:p>
            <w:pPr>
              <w:jc w:val="right"/>
              <w:ind w:right="4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254"/>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80" w:type="dxa"/>
            <w:vAlign w:val="bottom"/>
            <w:gridSpan w:val="2"/>
          </w:tcPr>
          <w:p>
            <w:pPr>
              <w:spacing w:after="0"/>
              <w:rPr>
                <w:sz w:val="20"/>
                <w:szCs w:val="20"/>
                <w:color w:val="auto"/>
              </w:rPr>
            </w:pPr>
            <w:r>
              <w:rPr>
                <w:rFonts w:ascii="Arial" w:cs="Arial" w:eastAsia="Arial" w:hAnsi="Arial"/>
                <w:sz w:val="17"/>
                <w:szCs w:val="17"/>
                <w:color w:val="auto"/>
              </w:rPr>
              <w:t>Expenses for transactions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80" w:type="dxa"/>
            <w:vAlign w:val="bottom"/>
            <w:gridSpan w:val="2"/>
          </w:tcPr>
          <w:p>
            <w:pPr>
              <w:ind w:left="180"/>
              <w:spacing w:after="0"/>
              <w:rPr>
                <w:sz w:val="20"/>
                <w:szCs w:val="20"/>
                <w:color w:val="auto"/>
              </w:rPr>
            </w:pPr>
            <w:r>
              <w:rPr>
                <w:rFonts w:ascii="Arial" w:cs="Arial" w:eastAsia="Arial" w:hAnsi="Arial"/>
                <w:sz w:val="17"/>
                <w:szCs w:val="17"/>
                <w:color w:val="auto"/>
              </w:rPr>
              <w:t>with franchisees and</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180"/>
              <w:spacing w:after="0"/>
              <w:rPr>
                <w:sz w:val="20"/>
                <w:szCs w:val="20"/>
                <w:color w:val="auto"/>
              </w:rPr>
            </w:pPr>
            <w:r>
              <w:rPr>
                <w:rFonts w:ascii="Arial" w:cs="Arial" w:eastAsia="Arial" w:hAnsi="Arial"/>
                <w:sz w:val="17"/>
                <w:szCs w:val="17"/>
                <w:color w:val="auto"/>
              </w:rPr>
              <w:t>unconsolidated affiliates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16</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19</w:t>
            </w:r>
          </w:p>
        </w:tc>
        <w:tc>
          <w:tcPr>
            <w:tcW w:w="1160" w:type="dxa"/>
            <w:vAlign w:val="bottom"/>
            <w:gridSpan w:val="2"/>
          </w:tcPr>
          <w:p>
            <w:pPr>
              <w:jc w:val="right"/>
              <w:ind w:right="334"/>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9"/>
                <w:szCs w:val="19"/>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rPr>
              <w:t>48</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7"/>
                <w:szCs w:val="17"/>
                <w:color w:val="auto"/>
              </w:rPr>
              <w:t>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254"/>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580" w:type="dxa"/>
            <w:vAlign w:val="bottom"/>
            <w:gridSpan w:val="2"/>
          </w:tcPr>
          <w:p>
            <w:pPr>
              <w:spacing w:after="0"/>
              <w:rPr>
                <w:sz w:val="20"/>
                <w:szCs w:val="20"/>
                <w:color w:val="auto"/>
              </w:rPr>
            </w:pPr>
            <w:r>
              <w:rPr>
                <w:rFonts w:ascii="Arial" w:cs="Arial" w:eastAsia="Arial" w:hAnsi="Arial"/>
                <w:sz w:val="17"/>
                <w:szCs w:val="17"/>
                <w:color w:val="auto"/>
              </w:rPr>
              <w:t>Closure and impairment</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580" w:type="dxa"/>
            <w:vAlign w:val="bottom"/>
            <w:gridSpan w:val="2"/>
          </w:tcPr>
          <w:p>
            <w:pPr>
              <w:ind w:left="180"/>
              <w:spacing w:after="0"/>
              <w:rPr>
                <w:sz w:val="20"/>
                <w:szCs w:val="20"/>
                <w:color w:val="auto"/>
              </w:rPr>
            </w:pPr>
            <w:r>
              <w:rPr>
                <w:rFonts w:ascii="Arial" w:cs="Arial" w:eastAsia="Arial" w:hAnsi="Arial"/>
                <w:sz w:val="17"/>
                <w:szCs w:val="17"/>
                <w:color w:val="auto"/>
              </w:rPr>
              <w:t>expenses, net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34"/>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22</w:t>
            </w:r>
          </w:p>
        </w:tc>
        <w:tc>
          <w:tcPr>
            <w:tcW w:w="60" w:type="dxa"/>
            <w:vAlign w:val="bottom"/>
          </w:tcPr>
          <w:p>
            <w:pPr>
              <w:spacing w:after="0"/>
              <w:rPr>
                <w:sz w:val="19"/>
                <w:szCs w:val="19"/>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rPr>
              <w:t>6</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254"/>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34"/>
              <w:spacing w:after="0"/>
              <w:rPr>
                <w:sz w:val="20"/>
                <w:szCs w:val="20"/>
                <w:color w:val="auto"/>
              </w:rPr>
            </w:pPr>
            <w:r>
              <w:rPr>
                <w:rFonts w:ascii="Arial" w:cs="Arial" w:eastAsia="Arial" w:hAnsi="Arial"/>
                <w:sz w:val="17"/>
                <w:szCs w:val="17"/>
                <w:color w:val="auto"/>
              </w:rPr>
              <w:t>(12)</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34"/>
              <w:spacing w:after="0"/>
              <w:rPr>
                <w:sz w:val="20"/>
                <w:szCs w:val="20"/>
                <w:color w:val="auto"/>
              </w:rPr>
            </w:pPr>
            <w:r>
              <w:rPr>
                <w:rFonts w:ascii="Arial" w:cs="Arial" w:eastAsia="Arial" w:hAnsi="Arial"/>
                <w:sz w:val="17"/>
                <w:szCs w:val="17"/>
                <w:color w:val="auto"/>
              </w:rPr>
              <w:t>(18)</w:t>
            </w:r>
          </w:p>
        </w:tc>
        <w:tc>
          <w:tcPr>
            <w:tcW w:w="1160" w:type="dxa"/>
            <w:vAlign w:val="bottom"/>
            <w:gridSpan w:val="2"/>
          </w:tcPr>
          <w:p>
            <w:pPr>
              <w:jc w:val="right"/>
              <w:ind w:right="254"/>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9"/>
                <w:szCs w:val="19"/>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720" w:type="dxa"/>
            <w:vAlign w:val="bottom"/>
            <w:gridSpan w:val="3"/>
          </w:tcPr>
          <w:p>
            <w:pPr>
              <w:jc w:val="right"/>
              <w:ind w:right="134"/>
              <w:spacing w:after="0"/>
              <w:rPr>
                <w:sz w:val="20"/>
                <w:szCs w:val="20"/>
                <w:color w:val="auto"/>
              </w:rPr>
            </w:pPr>
            <w:r>
              <w:rPr>
                <w:rFonts w:ascii="Arial" w:cs="Arial" w:eastAsia="Arial" w:hAnsi="Arial"/>
                <w:sz w:val="17"/>
                <w:szCs w:val="17"/>
                <w:color w:val="auto"/>
              </w:rPr>
              <w:t>(42)</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spacing w:after="0"/>
              <w:rPr>
                <w:sz w:val="20"/>
                <w:szCs w:val="20"/>
                <w:color w:val="auto"/>
              </w:rPr>
            </w:pPr>
            <w:r>
              <w:rPr>
                <w:rFonts w:ascii="Arial" w:cs="Arial" w:eastAsia="Arial" w:hAnsi="Arial"/>
                <w:sz w:val="17"/>
                <w:szCs w:val="17"/>
                <w:color w:val="auto"/>
              </w:rPr>
              <w:t>(48)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5"/>
          </w:tcPr>
          <w:p>
            <w:pPr>
              <w:jc w:val="right"/>
              <w:ind w:right="54"/>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94"/>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7"/>
                <w:szCs w:val="17"/>
                <w:color w:val="auto"/>
              </w:rPr>
              <w:t>Operating Profit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14"/>
              <w:spacing w:after="0"/>
              <w:rPr>
                <w:sz w:val="20"/>
                <w:szCs w:val="20"/>
                <w:color w:val="auto"/>
              </w:rPr>
            </w:pPr>
            <w:r>
              <w:rPr>
                <w:rFonts w:ascii="Arial" w:cs="Arial" w:eastAsia="Arial" w:hAnsi="Arial"/>
                <w:sz w:val="17"/>
                <w:szCs w:val="17"/>
                <w:color w:val="auto"/>
              </w:rPr>
              <w:t>264</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194"/>
              <w:spacing w:after="0"/>
              <w:rPr>
                <w:sz w:val="20"/>
                <w:szCs w:val="20"/>
                <w:color w:val="auto"/>
              </w:rPr>
            </w:pPr>
            <w:r>
              <w:rPr>
                <w:rFonts w:ascii="Arial" w:cs="Arial" w:eastAsia="Arial" w:hAnsi="Arial"/>
                <w:sz w:val="17"/>
                <w:szCs w:val="17"/>
                <w:color w:val="auto"/>
              </w:rPr>
              <w:t>256</w:t>
            </w:r>
          </w:p>
        </w:tc>
        <w:tc>
          <w:tcPr>
            <w:tcW w:w="1160" w:type="dxa"/>
            <w:vAlign w:val="bottom"/>
            <w:gridSpan w:val="2"/>
          </w:tcPr>
          <w:p>
            <w:pPr>
              <w:jc w:val="right"/>
              <w:ind w:right="334"/>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54"/>
              <w:spacing w:after="0"/>
              <w:rPr>
                <w:sz w:val="20"/>
                <w:szCs w:val="20"/>
                <w:color w:val="auto"/>
              </w:rPr>
            </w:pPr>
            <w:r>
              <w:rPr>
                <w:rFonts w:ascii="Arial" w:cs="Arial" w:eastAsia="Arial" w:hAnsi="Arial"/>
                <w:sz w:val="17"/>
                <w:szCs w:val="17"/>
                <w:color w:val="auto"/>
              </w:rPr>
              <w:t>4</w:t>
            </w:r>
          </w:p>
        </w:tc>
        <w:tc>
          <w:tcPr>
            <w:tcW w:w="60" w:type="dxa"/>
            <w:vAlign w:val="bottom"/>
          </w:tcPr>
          <w:p>
            <w:pPr>
              <w:spacing w:after="0"/>
              <w:rPr>
                <w:sz w:val="19"/>
                <w:szCs w:val="19"/>
                <w:color w:val="auto"/>
              </w:rPr>
            </w:pPr>
          </w:p>
        </w:tc>
        <w:tc>
          <w:tcPr>
            <w:tcW w:w="480" w:type="dxa"/>
            <w:vAlign w:val="bottom"/>
            <w:gridSpan w:val="4"/>
          </w:tcPr>
          <w:p>
            <w:pPr>
              <w:jc w:val="center"/>
              <w:ind w:left="274"/>
              <w:spacing w:after="0"/>
              <w:rPr>
                <w:sz w:val="20"/>
                <w:szCs w:val="20"/>
                <w:color w:val="auto"/>
              </w:rPr>
            </w:pPr>
            <w:r>
              <w:rPr>
                <w:rFonts w:ascii="Arial" w:cs="Arial" w:eastAsia="Arial" w:hAnsi="Arial"/>
                <w:sz w:val="17"/>
                <w:szCs w:val="17"/>
                <w:color w:val="auto"/>
                <w:w w:val="84"/>
              </w:rPr>
              <w:t>$</w:t>
            </w:r>
          </w:p>
        </w:tc>
        <w:tc>
          <w:tcPr>
            <w:tcW w:w="120" w:type="dxa"/>
            <w:vAlign w:val="bottom"/>
          </w:tcPr>
          <w:p>
            <w:pPr>
              <w:spacing w:after="0"/>
              <w:rPr>
                <w:sz w:val="19"/>
                <w:szCs w:val="19"/>
                <w:color w:val="auto"/>
              </w:rPr>
            </w:pPr>
          </w:p>
        </w:tc>
        <w:tc>
          <w:tcPr>
            <w:tcW w:w="720" w:type="dxa"/>
            <w:vAlign w:val="bottom"/>
            <w:gridSpan w:val="3"/>
          </w:tcPr>
          <w:p>
            <w:pPr>
              <w:jc w:val="right"/>
              <w:ind w:right="214"/>
              <w:spacing w:after="0"/>
              <w:rPr>
                <w:sz w:val="20"/>
                <w:szCs w:val="20"/>
                <w:color w:val="auto"/>
              </w:rPr>
            </w:pPr>
            <w:r>
              <w:rPr>
                <w:rFonts w:ascii="Arial" w:cs="Arial" w:eastAsia="Arial" w:hAnsi="Arial"/>
                <w:sz w:val="17"/>
                <w:szCs w:val="17"/>
                <w:color w:val="auto"/>
              </w:rPr>
              <w:t>759</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620" w:type="dxa"/>
            <w:vAlign w:val="bottom"/>
            <w:gridSpan w:val="5"/>
          </w:tcPr>
          <w:p>
            <w:pPr>
              <w:jc w:val="right"/>
              <w:ind w:right="80"/>
              <w:spacing w:after="0"/>
              <w:rPr>
                <w:sz w:val="20"/>
                <w:szCs w:val="20"/>
                <w:color w:val="auto"/>
              </w:rPr>
            </w:pPr>
            <w:r>
              <w:rPr>
                <w:rFonts w:ascii="Arial" w:cs="Arial" w:eastAsia="Arial" w:hAnsi="Arial"/>
                <w:sz w:val="17"/>
                <w:szCs w:val="17"/>
                <w:color w:val="auto"/>
              </w:rPr>
              <w:t>683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tcPr>
          <w:p>
            <w:pPr>
              <w:jc w:val="right"/>
              <w:ind w:right="60"/>
              <w:spacing w:after="0"/>
              <w:rPr>
                <w:sz w:val="20"/>
                <w:szCs w:val="20"/>
                <w:color w:val="auto"/>
              </w:rPr>
            </w:pPr>
            <w:r>
              <w:rPr>
                <w:rFonts w:ascii="Arial" w:cs="Arial" w:eastAsia="Arial" w:hAnsi="Arial"/>
                <w:sz w:val="17"/>
                <w:szCs w:val="17"/>
                <w:color w:val="auto"/>
              </w:rPr>
              <w:t>11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254"/>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0"/>
          </w:tcPr>
          <w:p>
            <w:pPr>
              <w:jc w:val="right"/>
              <w:ind w:right="314"/>
              <w:spacing w:after="0"/>
              <w:rPr>
                <w:sz w:val="20"/>
                <w:szCs w:val="20"/>
                <w:color w:val="auto"/>
              </w:rPr>
            </w:pPr>
            <w:r>
              <w:rPr>
                <w:rFonts w:ascii="Arial" w:cs="Arial" w:eastAsia="Arial" w:hAnsi="Arial"/>
                <w:sz w:val="17"/>
                <w:szCs w:val="17"/>
                <w:color w:val="auto"/>
              </w:rPr>
              <w:t>Quarter Ended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0"/>
          </w:tcPr>
          <w:p>
            <w:pPr>
              <w:jc w:val="right"/>
              <w:ind w:right="740"/>
              <w:spacing w:after="0"/>
              <w:rPr>
                <w:sz w:val="20"/>
                <w:szCs w:val="20"/>
                <w:color w:val="auto"/>
              </w:rPr>
            </w:pPr>
            <w:r>
              <w:rPr>
                <w:rFonts w:ascii="Arial" w:cs="Arial" w:eastAsia="Arial" w:hAnsi="Arial"/>
                <w:sz w:val="17"/>
                <w:szCs w:val="17"/>
                <w:color w:val="auto"/>
              </w:rPr>
              <w:t>Year to Date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7"/>
                <w:szCs w:val="17"/>
                <w:color w:val="auto"/>
              </w:rPr>
              <w:t>9/30/2018</w:t>
            </w:r>
          </w:p>
        </w:tc>
        <w:tc>
          <w:tcPr>
            <w:tcW w:w="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5"/>
          </w:tcPr>
          <w:p>
            <w:pPr>
              <w:ind w:left="200"/>
              <w:spacing w:after="0"/>
              <w:rPr>
                <w:sz w:val="20"/>
                <w:szCs w:val="20"/>
                <w:color w:val="auto"/>
              </w:rPr>
            </w:pPr>
            <w:r>
              <w:rPr>
                <w:rFonts w:ascii="Arial" w:cs="Arial" w:eastAsia="Arial" w:hAnsi="Arial"/>
                <w:sz w:val="17"/>
                <w:szCs w:val="17"/>
                <w:color w:val="auto"/>
                <w:w w:val="92"/>
              </w:rPr>
              <w:t>9/30/2017</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w w:val="89"/>
              </w:rPr>
              <w:t>9/30/2018</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9/30/2017</w:t>
            </w:r>
          </w:p>
        </w:tc>
        <w:tc>
          <w:tcPr>
            <w:tcW w:w="1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gridSpan w:val="2"/>
          </w:tcPr>
          <w:p>
            <w:pPr>
              <w:spacing w:after="0"/>
              <w:rPr>
                <w:sz w:val="20"/>
                <w:szCs w:val="20"/>
                <w:color w:val="auto"/>
              </w:rPr>
            </w:pPr>
            <w:r>
              <w:rPr>
                <w:rFonts w:ascii="Arial" w:cs="Arial" w:eastAsia="Arial" w:hAnsi="Arial"/>
                <w:sz w:val="17"/>
                <w:szCs w:val="17"/>
                <w:color w:val="auto"/>
              </w:rPr>
              <w:t>System Sales Growth</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4"/>
          </w:tcPr>
          <w:p>
            <w:pPr>
              <w:ind w:left="10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5"/>
          </w:tcPr>
          <w:p>
            <w:pPr>
              <w:jc w:val="right"/>
              <w:ind w:right="14"/>
              <w:spacing w:after="0"/>
              <w:rPr>
                <w:sz w:val="20"/>
                <w:szCs w:val="20"/>
                <w:color w:val="auto"/>
              </w:rPr>
            </w:pPr>
            <w:r>
              <w:rPr>
                <w:rFonts w:ascii="Arial" w:cs="Arial" w:eastAsia="Arial" w:hAnsi="Arial"/>
                <w:sz w:val="17"/>
                <w:szCs w:val="17"/>
                <w:color w:val="auto"/>
              </w:rPr>
              <w:t>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7"/>
                <w:szCs w:val="17"/>
                <w:color w:val="auto"/>
                <w:w w:val="92"/>
              </w:rPr>
              <w:t>System Sales Growth, excluding F/X</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gridSpan w:val="4"/>
          </w:tcPr>
          <w:p>
            <w:pPr>
              <w:ind w:left="10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5"/>
          </w:tcPr>
          <w:p>
            <w:pPr>
              <w:jc w:val="right"/>
              <w:ind w:right="14"/>
              <w:spacing w:after="0"/>
              <w:rPr>
                <w:sz w:val="20"/>
                <w:szCs w:val="20"/>
                <w:color w:val="auto"/>
              </w:rPr>
            </w:pPr>
            <w:r>
              <w:rPr>
                <w:rFonts w:ascii="Arial" w:cs="Arial" w:eastAsia="Arial" w:hAnsi="Arial"/>
                <w:sz w:val="17"/>
                <w:szCs w:val="17"/>
                <w:color w:val="auto"/>
              </w:rPr>
              <w:t>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spacing w:after="0"/>
              <w:rPr>
                <w:sz w:val="20"/>
                <w:szCs w:val="20"/>
                <w:color w:val="auto"/>
              </w:rPr>
            </w:pPr>
            <w:r>
              <w:rPr>
                <w:rFonts w:ascii="Arial" w:cs="Arial" w:eastAsia="Arial" w:hAnsi="Arial"/>
                <w:sz w:val="17"/>
                <w:szCs w:val="17"/>
                <w:color w:val="auto"/>
              </w:rPr>
              <w:t>Same-Store Sales Growth</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gridSpan w:val="4"/>
          </w:tcPr>
          <w:p>
            <w:pPr>
              <w:ind w:left="1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5"/>
          </w:tcPr>
          <w:p>
            <w:pPr>
              <w:jc w:val="right"/>
              <w:ind w:right="14"/>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2"/>
        </w:trPr>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7"/>
                <w:szCs w:val="17"/>
                <w:color w:val="auto"/>
              </w:rPr>
              <w:t>% Increase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78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w w:val="94"/>
              </w:rPr>
              <w:t>Unit Count</w:t>
            </w: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20" w:type="dxa"/>
            <w:vAlign w:val="bottom"/>
            <w:gridSpan w:val="8"/>
          </w:tcPr>
          <w:p>
            <w:pPr>
              <w:jc w:val="right"/>
              <w:ind w:right="214"/>
              <w:spacing w:after="0" w:line="181" w:lineRule="exact"/>
              <w:rPr>
                <w:sz w:val="20"/>
                <w:szCs w:val="20"/>
                <w:color w:val="auto"/>
              </w:rPr>
            </w:pPr>
            <w:r>
              <w:rPr>
                <w:rFonts w:ascii="Arial" w:cs="Arial" w:eastAsia="Arial" w:hAnsi="Arial"/>
                <w:sz w:val="17"/>
                <w:szCs w:val="17"/>
                <w:color w:val="auto"/>
              </w:rPr>
              <w:t>9/30/2018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10"/>
          </w:tcPr>
          <w:p>
            <w:pPr>
              <w:jc w:val="right"/>
              <w:ind w:right="314"/>
              <w:spacing w:after="0" w:line="181" w:lineRule="exact"/>
              <w:rPr>
                <w:sz w:val="20"/>
                <w:szCs w:val="20"/>
                <w:color w:val="auto"/>
              </w:rPr>
            </w:pPr>
            <w:r>
              <w:rPr>
                <w:rFonts w:ascii="Arial" w:cs="Arial" w:eastAsia="Arial" w:hAnsi="Arial"/>
                <w:sz w:val="17"/>
                <w:szCs w:val="17"/>
                <w:color w:val="auto"/>
              </w:rPr>
              <w:t>9/30/2017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20"/>
              <w:spacing w:after="0" w:line="181" w:lineRule="exact"/>
              <w:rPr>
                <w:sz w:val="20"/>
                <w:szCs w:val="20"/>
                <w:color w:val="auto"/>
              </w:rPr>
            </w:pPr>
            <w:r>
              <w:rPr>
                <w:rFonts w:ascii="Arial" w:cs="Arial" w:eastAsia="Arial" w:hAnsi="Arial"/>
                <w:sz w:val="17"/>
                <w:szCs w:val="17"/>
                <w:color w:val="auto"/>
              </w:rPr>
              <w:t>(Decrease)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ind w:left="240"/>
              <w:spacing w:after="0"/>
              <w:rPr>
                <w:sz w:val="20"/>
                <w:szCs w:val="20"/>
                <w:color w:val="auto"/>
              </w:rPr>
            </w:pPr>
            <w:r>
              <w:rPr>
                <w:rFonts w:ascii="Arial" w:cs="Arial" w:eastAsia="Arial" w:hAnsi="Arial"/>
                <w:sz w:val="17"/>
                <w:szCs w:val="17"/>
                <w:color w:val="auto"/>
              </w:rPr>
              <w:t>Company-owned</w:t>
            </w: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5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4"/>
              <w:spacing w:after="0"/>
              <w:rPr>
                <w:sz w:val="20"/>
                <w:szCs w:val="20"/>
                <w:color w:val="auto"/>
              </w:rPr>
            </w:pPr>
            <w:r>
              <w:rPr>
                <w:rFonts w:ascii="Arial" w:cs="Arial" w:eastAsia="Arial" w:hAnsi="Arial"/>
                <w:sz w:val="17"/>
                <w:szCs w:val="17"/>
                <w:color w:val="auto"/>
              </w:rPr>
              <w:t>4,500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94"/>
              <w:spacing w:after="0"/>
              <w:rPr>
                <w:sz w:val="20"/>
                <w:szCs w:val="20"/>
                <w:color w:val="auto"/>
              </w:rPr>
            </w:pPr>
            <w:r>
              <w:rPr>
                <w:rFonts w:ascii="Arial" w:cs="Arial" w:eastAsia="Arial" w:hAnsi="Arial"/>
                <w:sz w:val="17"/>
                <w:szCs w:val="17"/>
                <w:color w:val="auto"/>
              </w:rPr>
              <w:t>4,041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ind w:left="240"/>
              <w:spacing w:after="0"/>
              <w:rPr>
                <w:sz w:val="20"/>
                <w:szCs w:val="20"/>
                <w:color w:val="auto"/>
              </w:rPr>
            </w:pPr>
            <w:r>
              <w:rPr>
                <w:rFonts w:ascii="Arial" w:cs="Arial" w:eastAsia="Arial" w:hAnsi="Arial"/>
                <w:sz w:val="17"/>
                <w:szCs w:val="17"/>
                <w:color w:val="auto"/>
              </w:rPr>
              <w:t>Unconsolidated affiliates</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4"/>
              <w:spacing w:after="0"/>
              <w:rPr>
                <w:sz w:val="20"/>
                <w:szCs w:val="20"/>
                <w:color w:val="auto"/>
              </w:rPr>
            </w:pPr>
            <w:r>
              <w:rPr>
                <w:rFonts w:ascii="Arial" w:cs="Arial" w:eastAsia="Arial" w:hAnsi="Arial"/>
                <w:sz w:val="17"/>
                <w:szCs w:val="17"/>
                <w:color w:val="auto"/>
              </w:rPr>
              <w:t>802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94"/>
              <w:spacing w:after="0"/>
              <w:rPr>
                <w:sz w:val="20"/>
                <w:szCs w:val="20"/>
                <w:color w:val="auto"/>
              </w:rPr>
            </w:pPr>
            <w:r>
              <w:rPr>
                <w:rFonts w:ascii="Arial" w:cs="Arial" w:eastAsia="Arial" w:hAnsi="Arial"/>
                <w:sz w:val="17"/>
                <w:szCs w:val="17"/>
                <w:color w:val="auto"/>
              </w:rPr>
              <w:t>880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580" w:type="dxa"/>
            <w:vAlign w:val="bottom"/>
            <w:gridSpan w:val="2"/>
          </w:tcPr>
          <w:p>
            <w:pPr>
              <w:ind w:left="240"/>
              <w:spacing w:after="0"/>
              <w:rPr>
                <w:sz w:val="20"/>
                <w:szCs w:val="20"/>
                <w:color w:val="auto"/>
              </w:rPr>
            </w:pPr>
            <w:r>
              <w:rPr>
                <w:rFonts w:ascii="Arial" w:cs="Arial" w:eastAsia="Arial" w:hAnsi="Arial"/>
                <w:sz w:val="17"/>
                <w:szCs w:val="17"/>
                <w:color w:val="auto"/>
              </w:rPr>
              <w:t>Franchisees</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color w:val="auto"/>
              </w:rPr>
              <w:t>498</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7"/>
                <w:szCs w:val="17"/>
                <w:color w:val="auto"/>
              </w:rPr>
              <w:t>472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7"/>
                <w:szCs w:val="17"/>
                <w:color w:val="auto"/>
              </w:rPr>
              <w:t>5,800</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ind w:right="94"/>
              <w:spacing w:after="0"/>
              <w:rPr>
                <w:sz w:val="20"/>
                <w:szCs w:val="20"/>
                <w:color w:val="auto"/>
              </w:rPr>
            </w:pPr>
            <w:r>
              <w:rPr>
                <w:rFonts w:ascii="Arial" w:cs="Arial" w:eastAsia="Arial" w:hAnsi="Arial"/>
                <w:sz w:val="17"/>
                <w:szCs w:val="17"/>
                <w:color w:val="auto"/>
              </w:rPr>
              <w:t>5,393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gridSpan w:val="4"/>
            <w:vMerge w:val="restart"/>
          </w:tcPr>
          <w:p>
            <w:pPr>
              <w:jc w:val="right"/>
              <w:ind w:right="40"/>
              <w:spacing w:after="0"/>
              <w:rPr>
                <w:sz w:val="20"/>
                <w:szCs w:val="20"/>
                <w:color w:val="auto"/>
              </w:rPr>
            </w:pPr>
            <w:r>
              <w:rPr>
                <w:rFonts w:ascii="Arial" w:cs="Arial" w:eastAsia="Arial" w:hAnsi="Arial"/>
                <w:sz w:val="17"/>
                <w:szCs w:val="17"/>
                <w:color w:val="auto"/>
              </w:rPr>
              <w:t>25</w:t>
            </w: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78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42" w:right="1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26"/>
        </w:trPr>
        <w:tc>
          <w:tcPr>
            <w:tcW w:w="2840" w:type="dxa"/>
            <w:vAlign w:val="bottom"/>
            <w:gridSpan w:val="4"/>
          </w:tcPr>
          <w:p>
            <w:pPr>
              <w:spacing w:after="0"/>
              <w:rPr>
                <w:sz w:val="20"/>
                <w:szCs w:val="20"/>
                <w:color w:val="auto"/>
              </w:rPr>
            </w:pPr>
            <w:r>
              <w:rPr>
                <w:rFonts w:ascii="Arial" w:cs="Arial" w:eastAsia="Arial" w:hAnsi="Arial"/>
                <w:sz w:val="17"/>
                <w:szCs w:val="17"/>
                <w:b w:val="1"/>
                <w:bCs w:val="1"/>
                <w:color w:val="auto"/>
                <w:w w:val="92"/>
              </w:rPr>
              <w:t>Company Sales and Restaurant Profit</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5260" w:type="dxa"/>
            <w:vAlign w:val="bottom"/>
            <w:gridSpan w:val="7"/>
          </w:tcPr>
          <w:p>
            <w:pPr>
              <w:spacing w:after="0"/>
              <w:rPr>
                <w:sz w:val="20"/>
                <w:szCs w:val="20"/>
                <w:color w:val="auto"/>
              </w:rPr>
            </w:pPr>
            <w:r>
              <w:rPr>
                <w:rFonts w:ascii="Arial" w:cs="Arial" w:eastAsia="Arial" w:hAnsi="Arial"/>
                <w:sz w:val="17"/>
                <w:szCs w:val="17"/>
                <w:color w:val="auto"/>
                <w:w w:val="99"/>
              </w:rPr>
              <w:t>The changes in Company sales and Restaurant profit were as follows:</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Quarter Ended</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940" w:type="dxa"/>
            <w:vAlign w:val="bottom"/>
            <w:gridSpan w:val="2"/>
          </w:tcPr>
          <w:p>
            <w:pPr>
              <w:spacing w:after="0" w:line="175" w:lineRule="exact"/>
              <w:rPr>
                <w:sz w:val="20"/>
                <w:szCs w:val="20"/>
                <w:color w:val="auto"/>
              </w:rPr>
            </w:pPr>
            <w:r>
              <w:rPr>
                <w:rFonts w:ascii="Arial" w:cs="Arial" w:eastAsia="Arial" w:hAnsi="Arial"/>
                <w:sz w:val="17"/>
                <w:szCs w:val="17"/>
                <w:color w:val="auto"/>
              </w:rPr>
              <w:t>Income (Expense)</w:t>
            </w: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jc w:val="right"/>
              <w:ind w:right="374"/>
              <w:spacing w:after="0" w:line="175" w:lineRule="exact"/>
              <w:rPr>
                <w:sz w:val="20"/>
                <w:szCs w:val="20"/>
                <w:color w:val="auto"/>
              </w:rPr>
            </w:pPr>
            <w:r>
              <w:rPr>
                <w:rFonts w:ascii="Arial" w:cs="Arial" w:eastAsia="Arial" w:hAnsi="Arial"/>
                <w:sz w:val="17"/>
                <w:szCs w:val="17"/>
                <w:color w:val="auto"/>
                <w:w w:val="95"/>
              </w:rPr>
              <w:t>9/30/2017</w:t>
            </w:r>
          </w:p>
        </w:tc>
        <w:tc>
          <w:tcPr>
            <w:tcW w:w="320" w:type="dxa"/>
            <w:vAlign w:val="bottom"/>
          </w:tcPr>
          <w:p>
            <w:pPr>
              <w:spacing w:after="0"/>
              <w:rPr>
                <w:sz w:val="15"/>
                <w:szCs w:val="15"/>
                <w:color w:val="auto"/>
              </w:rPr>
            </w:pPr>
          </w:p>
        </w:tc>
        <w:tc>
          <w:tcPr>
            <w:tcW w:w="1760" w:type="dxa"/>
            <w:vAlign w:val="bottom"/>
            <w:gridSpan w:val="2"/>
          </w:tcPr>
          <w:p>
            <w:pPr>
              <w:spacing w:after="0" w:line="175" w:lineRule="exact"/>
              <w:rPr>
                <w:sz w:val="20"/>
                <w:szCs w:val="20"/>
                <w:color w:val="auto"/>
              </w:rPr>
            </w:pPr>
            <w:r>
              <w:rPr>
                <w:rFonts w:ascii="Arial" w:cs="Arial" w:eastAsia="Arial" w:hAnsi="Arial"/>
                <w:sz w:val="17"/>
                <w:szCs w:val="17"/>
                <w:color w:val="auto"/>
              </w:rPr>
              <w:t>Store Portfolio Actions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ind w:left="520"/>
              <w:spacing w:after="0" w:line="175" w:lineRule="exact"/>
              <w:rPr>
                <w:sz w:val="20"/>
                <w:szCs w:val="20"/>
                <w:color w:val="auto"/>
              </w:rPr>
            </w:pPr>
            <w:r>
              <w:rPr>
                <w:rFonts w:ascii="Arial" w:cs="Arial" w:eastAsia="Arial" w:hAnsi="Arial"/>
                <w:sz w:val="17"/>
                <w:szCs w:val="17"/>
                <w:color w:val="auto"/>
              </w:rPr>
              <w:t>Other</w:t>
            </w:r>
          </w:p>
        </w:tc>
        <w:tc>
          <w:tcPr>
            <w:tcW w:w="380" w:type="dxa"/>
            <w:vAlign w:val="bottom"/>
          </w:tcPr>
          <w:p>
            <w:pPr>
              <w:spacing w:after="0"/>
              <w:rPr>
                <w:sz w:val="15"/>
                <w:szCs w:val="15"/>
                <w:color w:val="auto"/>
              </w:rPr>
            </w:pPr>
          </w:p>
        </w:tc>
        <w:tc>
          <w:tcPr>
            <w:tcW w:w="1400" w:type="dxa"/>
            <w:vAlign w:val="bottom"/>
            <w:gridSpan w:val="2"/>
          </w:tcPr>
          <w:p>
            <w:pPr>
              <w:ind w:left="300"/>
              <w:spacing w:after="0" w:line="175" w:lineRule="exact"/>
              <w:rPr>
                <w:sz w:val="20"/>
                <w:szCs w:val="20"/>
                <w:color w:val="auto"/>
              </w:rPr>
            </w:pPr>
            <w:r>
              <w:rPr>
                <w:rFonts w:ascii="Arial" w:cs="Arial" w:eastAsia="Arial" w:hAnsi="Arial"/>
                <w:sz w:val="17"/>
                <w:szCs w:val="17"/>
                <w:color w:val="auto"/>
              </w:rPr>
              <w:t>F/X</w:t>
            </w:r>
          </w:p>
        </w:tc>
        <w:tc>
          <w:tcPr>
            <w:tcW w:w="260" w:type="dxa"/>
            <w:vAlign w:val="bottom"/>
          </w:tcPr>
          <w:p>
            <w:pPr>
              <w:spacing w:after="0"/>
              <w:rPr>
                <w:sz w:val="15"/>
                <w:szCs w:val="15"/>
                <w:color w:val="auto"/>
              </w:rPr>
            </w:pPr>
          </w:p>
        </w:tc>
        <w:tc>
          <w:tcPr>
            <w:tcW w:w="1320" w:type="dxa"/>
            <w:vAlign w:val="bottom"/>
          </w:tcPr>
          <w:p>
            <w:pPr>
              <w:jc w:val="right"/>
              <w:ind w:right="354"/>
              <w:spacing w:after="0" w:line="175" w:lineRule="exact"/>
              <w:rPr>
                <w:sz w:val="20"/>
                <w:szCs w:val="20"/>
                <w:color w:val="auto"/>
              </w:rPr>
            </w:pPr>
            <w:r>
              <w:rPr>
                <w:rFonts w:ascii="Arial" w:cs="Arial" w:eastAsia="Arial" w:hAnsi="Arial"/>
                <w:sz w:val="17"/>
                <w:szCs w:val="17"/>
                <w:color w:val="auto"/>
              </w:rPr>
              <w:t>9/30/2018</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auto"/>
              </w:rPr>
              <w:t>Company sales</w:t>
            </w:r>
          </w:p>
        </w:tc>
        <w:tc>
          <w:tcPr>
            <w:tcW w:w="68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1,347</w:t>
            </w:r>
          </w:p>
        </w:tc>
        <w:tc>
          <w:tcPr>
            <w:tcW w:w="3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4"/>
              <w:spacing w:after="0"/>
              <w:rPr>
                <w:sz w:val="20"/>
                <w:szCs w:val="20"/>
                <w:color w:val="auto"/>
              </w:rPr>
            </w:pPr>
            <w:r>
              <w:rPr>
                <w:rFonts w:ascii="Arial" w:cs="Arial" w:eastAsia="Arial" w:hAnsi="Arial"/>
                <w:sz w:val="17"/>
                <w:szCs w:val="17"/>
                <w:color w:val="auto"/>
              </w:rPr>
              <w:t>118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4"/>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(28)</w:t>
            </w:r>
          </w:p>
        </w:tc>
        <w:tc>
          <w:tcPr>
            <w:tcW w:w="16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1,452</w:t>
            </w: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(400)</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Cost of labor</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jc w:val="right"/>
              <w:ind w:right="34"/>
              <w:spacing w:after="0"/>
              <w:rPr>
                <w:sz w:val="20"/>
                <w:szCs w:val="20"/>
                <w:color w:val="auto"/>
              </w:rPr>
            </w:pPr>
            <w:r>
              <w:rPr>
                <w:rFonts w:ascii="Arial" w:cs="Arial" w:eastAsia="Arial" w:hAnsi="Arial"/>
                <w:sz w:val="17"/>
                <w:szCs w:val="17"/>
                <w:color w:val="auto"/>
              </w:rPr>
              <w:t>(266)</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jc w:val="right"/>
              <w:ind w:right="34"/>
              <w:spacing w:after="0"/>
              <w:rPr>
                <w:sz w:val="20"/>
                <w:szCs w:val="20"/>
                <w:color w:val="auto"/>
              </w:rPr>
            </w:pPr>
            <w:r>
              <w:rPr>
                <w:rFonts w:ascii="Arial" w:cs="Arial" w:eastAsia="Arial" w:hAnsi="Arial"/>
                <w:sz w:val="17"/>
                <w:szCs w:val="17"/>
                <w:color w:val="auto"/>
              </w:rPr>
              <w:t>(26)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94"/>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21"/>
        </w:trPr>
        <w:tc>
          <w:tcPr>
            <w:tcW w:w="1940" w:type="dxa"/>
            <w:vAlign w:val="bottom"/>
            <w:gridSpan w:val="2"/>
          </w:tcPr>
          <w:p>
            <w:pPr>
              <w:spacing w:after="0"/>
              <w:rPr>
                <w:sz w:val="20"/>
                <w:szCs w:val="20"/>
                <w:color w:val="auto"/>
              </w:rPr>
            </w:pPr>
            <w:r>
              <w:rPr>
                <w:rFonts w:ascii="Arial" w:cs="Arial" w:eastAsia="Arial" w:hAnsi="Arial"/>
                <w:sz w:val="17"/>
                <w:szCs w:val="17"/>
                <w:color w:val="auto"/>
              </w:rPr>
              <w:t>Occupancy and other</w:t>
            </w:r>
          </w:p>
        </w:tc>
        <w:tc>
          <w:tcPr>
            <w:tcW w:w="4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(416)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(36)</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w:t>
            </w:r>
          </w:p>
        </w:tc>
        <w:tc>
          <w:tcPr>
            <w:tcW w:w="0" w:type="dxa"/>
            <w:vAlign w:val="bottom"/>
          </w:tcPr>
          <w:p>
            <w:pPr>
              <w:spacing w:after="0"/>
              <w:rPr>
                <w:sz w:val="1"/>
                <w:szCs w:val="1"/>
                <w:color w:val="auto"/>
              </w:rPr>
            </w:pPr>
          </w:p>
        </w:tc>
      </w:tr>
      <w:tr>
        <w:trPr>
          <w:trHeight w:val="214"/>
        </w:trPr>
        <w:tc>
          <w:tcPr>
            <w:tcW w:w="1940" w:type="dxa"/>
            <w:vAlign w:val="bottom"/>
            <w:gridSpan w:val="2"/>
          </w:tcPr>
          <w:p>
            <w:pPr>
              <w:spacing w:after="0"/>
              <w:rPr>
                <w:sz w:val="20"/>
                <w:szCs w:val="20"/>
                <w:color w:val="auto"/>
              </w:rPr>
            </w:pPr>
            <w:r>
              <w:rPr>
                <w:rFonts w:ascii="Arial" w:cs="Arial" w:eastAsia="Arial" w:hAnsi="Arial"/>
                <w:sz w:val="17"/>
                <w:szCs w:val="17"/>
                <w:color w:val="auto"/>
              </w:rPr>
              <w:t>Restaurant profit</w:t>
            </w:r>
          </w:p>
        </w:tc>
        <w:tc>
          <w:tcPr>
            <w:tcW w:w="9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14"/>
              <w:spacing w:after="0"/>
              <w:rPr>
                <w:sz w:val="20"/>
                <w:szCs w:val="20"/>
                <w:color w:val="auto"/>
              </w:rPr>
            </w:pPr>
            <w:r>
              <w:rPr>
                <w:rFonts w:ascii="Arial" w:cs="Arial" w:eastAsia="Arial" w:hAnsi="Arial"/>
                <w:sz w:val="17"/>
                <w:szCs w:val="17"/>
                <w:color w:val="auto"/>
              </w:rPr>
              <w:t>265</w:t>
            </w:r>
          </w:p>
        </w:tc>
        <w:tc>
          <w:tcPr>
            <w:tcW w:w="3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94"/>
              <w:spacing w:after="0"/>
              <w:rPr>
                <w:sz w:val="20"/>
                <w:szCs w:val="20"/>
                <w:color w:val="auto"/>
              </w:rPr>
            </w:pPr>
            <w:r>
              <w:rPr>
                <w:rFonts w:ascii="Arial" w:cs="Arial" w:eastAsia="Arial" w:hAnsi="Arial"/>
                <w:sz w:val="17"/>
                <w:szCs w:val="17"/>
                <w:color w:val="auto"/>
              </w:rPr>
              <w:t>17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94"/>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34"/>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74"/>
              <w:spacing w:after="0"/>
              <w:rPr>
                <w:sz w:val="20"/>
                <w:szCs w:val="20"/>
                <w:color w:val="auto"/>
              </w:rPr>
            </w:pPr>
            <w:r>
              <w:rPr>
                <w:rFonts w:ascii="Arial" w:cs="Arial" w:eastAsia="Arial" w:hAnsi="Arial"/>
                <w:sz w:val="17"/>
                <w:szCs w:val="17"/>
                <w:color w:val="auto"/>
              </w:rPr>
              <w:t>279</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9"/>
              </w:rPr>
              <w:t>Year to Date Ended</w:t>
            </w: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60" w:type="dxa"/>
            <w:vAlign w:val="bottom"/>
            <w:gridSpan w:val="2"/>
          </w:tcPr>
          <w:p>
            <w:pPr>
              <w:spacing w:after="0" w:line="175" w:lineRule="exact"/>
              <w:rPr>
                <w:sz w:val="20"/>
                <w:szCs w:val="20"/>
                <w:color w:val="auto"/>
              </w:rPr>
            </w:pPr>
            <w:r>
              <w:rPr>
                <w:rFonts w:ascii="Arial" w:cs="Arial" w:eastAsia="Arial" w:hAnsi="Arial"/>
                <w:sz w:val="17"/>
                <w:szCs w:val="17"/>
                <w:color w:val="auto"/>
              </w:rPr>
              <w:t>Income (Expense)</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394"/>
              <w:spacing w:after="0" w:line="175" w:lineRule="exact"/>
              <w:rPr>
                <w:sz w:val="20"/>
                <w:szCs w:val="20"/>
                <w:color w:val="auto"/>
              </w:rPr>
            </w:pPr>
            <w:r>
              <w:rPr>
                <w:rFonts w:ascii="Arial" w:cs="Arial" w:eastAsia="Arial" w:hAnsi="Arial"/>
                <w:sz w:val="17"/>
                <w:szCs w:val="17"/>
                <w:color w:val="auto"/>
              </w:rPr>
              <w:t>9/30/2017</w:t>
            </w:r>
          </w:p>
        </w:tc>
        <w:tc>
          <w:tcPr>
            <w:tcW w:w="140" w:type="dxa"/>
            <w:vAlign w:val="bottom"/>
          </w:tcPr>
          <w:p>
            <w:pPr>
              <w:spacing w:after="0"/>
              <w:rPr>
                <w:sz w:val="15"/>
                <w:szCs w:val="15"/>
                <w:color w:val="auto"/>
              </w:rPr>
            </w:pPr>
          </w:p>
        </w:tc>
        <w:tc>
          <w:tcPr>
            <w:tcW w:w="1780" w:type="dxa"/>
            <w:vAlign w:val="bottom"/>
            <w:gridSpan w:val="2"/>
          </w:tcPr>
          <w:p>
            <w:pPr>
              <w:spacing w:after="0" w:line="175" w:lineRule="exact"/>
              <w:rPr>
                <w:sz w:val="20"/>
                <w:szCs w:val="20"/>
                <w:color w:val="auto"/>
              </w:rPr>
            </w:pPr>
            <w:r>
              <w:rPr>
                <w:rFonts w:ascii="Arial" w:cs="Arial" w:eastAsia="Arial" w:hAnsi="Arial"/>
                <w:sz w:val="17"/>
                <w:szCs w:val="17"/>
                <w:color w:val="auto"/>
              </w:rPr>
              <w:t>Store Portfolio Actions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534"/>
              <w:spacing w:after="0" w:line="175" w:lineRule="exact"/>
              <w:rPr>
                <w:sz w:val="20"/>
                <w:szCs w:val="20"/>
                <w:color w:val="auto"/>
              </w:rPr>
            </w:pPr>
            <w:r>
              <w:rPr>
                <w:rFonts w:ascii="Arial" w:cs="Arial" w:eastAsia="Arial" w:hAnsi="Arial"/>
                <w:sz w:val="17"/>
                <w:szCs w:val="17"/>
                <w:color w:val="auto"/>
              </w:rPr>
              <w:t>Other</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20" w:type="dxa"/>
            <w:vAlign w:val="bottom"/>
            <w:gridSpan w:val="2"/>
          </w:tcPr>
          <w:p>
            <w:pPr>
              <w:ind w:left="300"/>
              <w:spacing w:after="0" w:line="175" w:lineRule="exact"/>
              <w:rPr>
                <w:sz w:val="20"/>
                <w:szCs w:val="20"/>
                <w:color w:val="auto"/>
              </w:rPr>
            </w:pPr>
            <w:r>
              <w:rPr>
                <w:rFonts w:ascii="Arial" w:cs="Arial" w:eastAsia="Arial" w:hAnsi="Arial"/>
                <w:sz w:val="17"/>
                <w:szCs w:val="17"/>
                <w:color w:val="auto"/>
              </w:rPr>
              <w:t>F/X</w:t>
            </w:r>
          </w:p>
        </w:tc>
        <w:tc>
          <w:tcPr>
            <w:tcW w:w="280" w:type="dxa"/>
            <w:vAlign w:val="bottom"/>
          </w:tcPr>
          <w:p>
            <w:pPr>
              <w:spacing w:after="0"/>
              <w:rPr>
                <w:sz w:val="15"/>
                <w:szCs w:val="15"/>
                <w:color w:val="auto"/>
              </w:rPr>
            </w:pPr>
          </w:p>
        </w:tc>
        <w:tc>
          <w:tcPr>
            <w:tcW w:w="1420" w:type="dxa"/>
            <w:vAlign w:val="bottom"/>
          </w:tcPr>
          <w:p>
            <w:pPr>
              <w:jc w:val="right"/>
              <w:ind w:right="414"/>
              <w:spacing w:after="0" w:line="175" w:lineRule="exact"/>
              <w:rPr>
                <w:sz w:val="20"/>
                <w:szCs w:val="20"/>
                <w:color w:val="auto"/>
              </w:rPr>
            </w:pPr>
            <w:r>
              <w:rPr>
                <w:rFonts w:ascii="Arial" w:cs="Arial" w:eastAsia="Arial" w:hAnsi="Arial"/>
                <w:sz w:val="17"/>
                <w:szCs w:val="17"/>
                <w:color w:val="auto"/>
              </w:rPr>
              <w:t>9/30/2018</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auto"/>
              </w:rPr>
              <w:t>Company sales</w:t>
            </w:r>
          </w:p>
        </w:tc>
        <w:tc>
          <w:tcPr>
            <w:tcW w:w="70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4"/>
              <w:spacing w:after="0"/>
              <w:rPr>
                <w:sz w:val="20"/>
                <w:szCs w:val="20"/>
                <w:color w:val="auto"/>
              </w:rPr>
            </w:pPr>
            <w:r>
              <w:rPr>
                <w:rFonts w:ascii="Arial" w:cs="Arial" w:eastAsia="Arial" w:hAnsi="Arial"/>
                <w:sz w:val="17"/>
                <w:szCs w:val="17"/>
                <w:color w:val="auto"/>
              </w:rPr>
              <w:t>3,705</w:t>
            </w:r>
          </w:p>
        </w:tc>
        <w:tc>
          <w:tcPr>
            <w:tcW w:w="1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269</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14"/>
              <w:spacing w:after="0"/>
              <w:rPr>
                <w:sz w:val="20"/>
                <w:szCs w:val="20"/>
                <w:color w:val="auto"/>
              </w:rPr>
            </w:pPr>
            <w:r>
              <w:rPr>
                <w:rFonts w:ascii="Arial" w:cs="Arial" w:eastAsia="Arial" w:hAnsi="Arial"/>
                <w:sz w:val="17"/>
                <w:szCs w:val="17"/>
                <w:color w:val="auto"/>
              </w:rPr>
              <w:t>94</w:t>
            </w: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180</w:t>
            </w:r>
          </w:p>
        </w:tc>
        <w:tc>
          <w:tcPr>
            <w:tcW w:w="1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74"/>
              <w:spacing w:after="0"/>
              <w:rPr>
                <w:sz w:val="20"/>
                <w:szCs w:val="20"/>
                <w:color w:val="auto"/>
              </w:rPr>
            </w:pPr>
            <w:r>
              <w:rPr>
                <w:rFonts w:ascii="Arial" w:cs="Arial" w:eastAsia="Arial" w:hAnsi="Arial"/>
                <w:sz w:val="17"/>
                <w:szCs w:val="17"/>
                <w:color w:val="auto"/>
              </w:rPr>
              <w:t>4,248</w:t>
            </w:r>
          </w:p>
        </w:tc>
        <w:tc>
          <w:tcPr>
            <w:tcW w:w="0" w:type="dxa"/>
            <w:vAlign w:val="bottom"/>
          </w:tcPr>
          <w:p>
            <w:pPr>
              <w:spacing w:after="0"/>
              <w:rPr>
                <w:sz w:val="1"/>
                <w:szCs w:val="1"/>
                <w:color w:val="auto"/>
              </w:rPr>
            </w:pPr>
          </w:p>
        </w:tc>
      </w:tr>
      <w:tr>
        <w:trPr>
          <w:trHeight w:val="221"/>
        </w:trPr>
        <w:tc>
          <w:tcPr>
            <w:tcW w:w="196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Arial" w:cs="Arial" w:eastAsia="Arial" w:hAnsi="Arial"/>
                <w:sz w:val="17"/>
                <w:szCs w:val="17"/>
                <w:color w:val="auto"/>
              </w:rPr>
              <w:t>(1,101)</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(87)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7"/>
                <w:szCs w:val="17"/>
                <w:color w:val="auto"/>
              </w:rPr>
              <w:t>(39)</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(1,281)</w:t>
            </w:r>
          </w:p>
        </w:tc>
        <w:tc>
          <w:tcPr>
            <w:tcW w:w="0" w:type="dxa"/>
            <w:vAlign w:val="bottom"/>
          </w:tcPr>
          <w:p>
            <w:pPr>
              <w:spacing w:after="0"/>
              <w:rPr>
                <w:sz w:val="1"/>
                <w:szCs w:val="1"/>
                <w:color w:val="auto"/>
              </w:rPr>
            </w:pPr>
          </w:p>
        </w:tc>
      </w:tr>
      <w:tr>
        <w:trPr>
          <w:trHeight w:val="221"/>
        </w:trPr>
        <w:tc>
          <w:tcPr>
            <w:tcW w:w="1960" w:type="dxa"/>
            <w:vAlign w:val="bottom"/>
            <w:gridSpan w:val="2"/>
          </w:tcPr>
          <w:p>
            <w:pPr>
              <w:spacing w:after="0"/>
              <w:rPr>
                <w:sz w:val="20"/>
                <w:szCs w:val="20"/>
                <w:color w:val="auto"/>
              </w:rPr>
            </w:pPr>
            <w:r>
              <w:rPr>
                <w:rFonts w:ascii="Arial" w:cs="Arial" w:eastAsia="Arial" w:hAnsi="Arial"/>
                <w:sz w:val="17"/>
                <w:szCs w:val="17"/>
                <w:color w:val="auto"/>
              </w:rPr>
              <w:t>Cost of labor</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54"/>
              <w:spacing w:after="0"/>
              <w:rPr>
                <w:sz w:val="20"/>
                <w:szCs w:val="20"/>
                <w:color w:val="auto"/>
              </w:rPr>
            </w:pPr>
            <w:r>
              <w:rPr>
                <w:rFonts w:ascii="Arial" w:cs="Arial" w:eastAsia="Arial" w:hAnsi="Arial"/>
                <w:sz w:val="17"/>
                <w:szCs w:val="17"/>
                <w:color w:val="auto"/>
              </w:rPr>
              <w:t>(748)</w:t>
            </w: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ind w:right="34"/>
              <w:spacing w:after="0"/>
              <w:rPr>
                <w:sz w:val="20"/>
                <w:szCs w:val="20"/>
                <w:color w:val="auto"/>
              </w:rPr>
            </w:pPr>
            <w:r>
              <w:rPr>
                <w:rFonts w:ascii="Arial" w:cs="Arial" w:eastAsia="Arial" w:hAnsi="Arial"/>
                <w:sz w:val="17"/>
                <w:szCs w:val="17"/>
                <w:color w:val="auto"/>
              </w:rPr>
              <w:t>(32)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(37)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(879)</w:t>
            </w:r>
          </w:p>
        </w:tc>
        <w:tc>
          <w:tcPr>
            <w:tcW w:w="0" w:type="dxa"/>
            <w:vAlign w:val="bottom"/>
          </w:tcPr>
          <w:p>
            <w:pPr>
              <w:spacing w:after="0"/>
              <w:rPr>
                <w:sz w:val="1"/>
                <w:szCs w:val="1"/>
                <w:color w:val="auto"/>
              </w:rPr>
            </w:pPr>
          </w:p>
        </w:tc>
      </w:tr>
      <w:tr>
        <w:trPr>
          <w:trHeight w:val="221"/>
        </w:trPr>
        <w:tc>
          <w:tcPr>
            <w:tcW w:w="1960" w:type="dxa"/>
            <w:vAlign w:val="bottom"/>
            <w:gridSpan w:val="2"/>
          </w:tcPr>
          <w:p>
            <w:pPr>
              <w:spacing w:after="0"/>
              <w:rPr>
                <w:sz w:val="20"/>
                <w:szCs w:val="20"/>
                <w:color w:val="auto"/>
              </w:rPr>
            </w:pPr>
            <w:r>
              <w:rPr>
                <w:rFonts w:ascii="Arial" w:cs="Arial" w:eastAsia="Arial" w:hAnsi="Arial"/>
                <w:sz w:val="17"/>
                <w:szCs w:val="17"/>
                <w:color w:val="auto"/>
              </w:rPr>
              <w:t>Occupancy and other</w:t>
            </w:r>
          </w:p>
        </w:tc>
        <w:tc>
          <w:tcPr>
            <w:tcW w:w="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(1,139)</w:t>
            </w: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(82)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(1,281)</w:t>
            </w:r>
          </w:p>
        </w:tc>
        <w:tc>
          <w:tcPr>
            <w:tcW w:w="0" w:type="dxa"/>
            <w:vAlign w:val="bottom"/>
          </w:tcPr>
          <w:p>
            <w:pPr>
              <w:spacing w:after="0"/>
              <w:rPr>
                <w:sz w:val="1"/>
                <w:szCs w:val="1"/>
                <w:color w:val="auto"/>
              </w:rPr>
            </w:pPr>
          </w:p>
        </w:tc>
      </w:tr>
      <w:tr>
        <w:trPr>
          <w:trHeight w:val="214"/>
        </w:trPr>
        <w:tc>
          <w:tcPr>
            <w:tcW w:w="1960" w:type="dxa"/>
            <w:vAlign w:val="bottom"/>
            <w:gridSpan w:val="2"/>
          </w:tcPr>
          <w:p>
            <w:pPr>
              <w:spacing w:after="0"/>
              <w:rPr>
                <w:sz w:val="20"/>
                <w:szCs w:val="20"/>
                <w:color w:val="auto"/>
              </w:rPr>
            </w:pPr>
            <w:r>
              <w:rPr>
                <w:rFonts w:ascii="Arial" w:cs="Arial" w:eastAsia="Arial" w:hAnsi="Arial"/>
                <w:sz w:val="17"/>
                <w:szCs w:val="17"/>
                <w:color w:val="auto"/>
              </w:rPr>
              <w:t>Restaurant profit</w:t>
            </w:r>
          </w:p>
        </w:tc>
        <w:tc>
          <w:tcPr>
            <w:tcW w:w="7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360" w:type="dxa"/>
            <w:vAlign w:val="bottom"/>
          </w:tcPr>
          <w:p>
            <w:pPr>
              <w:jc w:val="right"/>
              <w:ind w:right="114"/>
              <w:spacing w:after="0"/>
              <w:rPr>
                <w:sz w:val="20"/>
                <w:szCs w:val="20"/>
                <w:color w:val="auto"/>
              </w:rPr>
            </w:pPr>
            <w:r>
              <w:rPr>
                <w:rFonts w:ascii="Arial" w:cs="Arial" w:eastAsia="Arial" w:hAnsi="Arial"/>
                <w:sz w:val="17"/>
                <w:szCs w:val="17"/>
                <w:color w:val="auto"/>
              </w:rPr>
              <w:t>717</w:t>
            </w:r>
          </w:p>
        </w:tc>
        <w:tc>
          <w:tcPr>
            <w:tcW w:w="140" w:type="dxa"/>
            <w:vAlign w:val="bottom"/>
          </w:tcPr>
          <w:p>
            <w:pPr>
              <w:spacing w:after="0"/>
              <w:rPr>
                <w:sz w:val="18"/>
                <w:szCs w:val="18"/>
                <w:color w:val="auto"/>
              </w:rPr>
            </w:pPr>
          </w:p>
        </w:tc>
        <w:tc>
          <w:tcPr>
            <w:tcW w:w="72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94"/>
              <w:spacing w:after="0"/>
              <w:rPr>
                <w:sz w:val="20"/>
                <w:szCs w:val="20"/>
                <w:color w:val="auto"/>
              </w:rPr>
            </w:pPr>
            <w:r>
              <w:rPr>
                <w:rFonts w:ascii="Arial" w:cs="Arial" w:eastAsia="Arial" w:hAnsi="Arial"/>
                <w:sz w:val="17"/>
                <w:szCs w:val="17"/>
                <w:color w:val="auto"/>
              </w:rPr>
              <w:t>38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114"/>
              <w:spacing w:after="0"/>
              <w:rPr>
                <w:sz w:val="20"/>
                <w:szCs w:val="20"/>
                <w:color w:val="auto"/>
              </w:rPr>
            </w:pPr>
            <w:r>
              <w:rPr>
                <w:rFonts w:ascii="Arial" w:cs="Arial" w:eastAsia="Arial" w:hAnsi="Arial"/>
                <w:sz w:val="17"/>
                <w:szCs w:val="17"/>
                <w:color w:val="auto"/>
              </w:rPr>
              <w:t>17</w:t>
            </w:r>
          </w:p>
        </w:tc>
        <w:tc>
          <w:tcPr>
            <w:tcW w:w="5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14"/>
              <w:spacing w:after="0"/>
              <w:rPr>
                <w:sz w:val="20"/>
                <w:szCs w:val="20"/>
                <w:color w:val="auto"/>
              </w:rPr>
            </w:pPr>
            <w:r>
              <w:rPr>
                <w:rFonts w:ascii="Arial" w:cs="Arial" w:eastAsia="Arial" w:hAnsi="Arial"/>
                <w:sz w:val="17"/>
                <w:szCs w:val="17"/>
                <w:color w:val="auto"/>
              </w:rPr>
              <w:t>35</w:t>
            </w:r>
          </w:p>
        </w:tc>
        <w:tc>
          <w:tcPr>
            <w:tcW w:w="16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174"/>
              <w:spacing w:after="0"/>
              <w:rPr>
                <w:sz w:val="20"/>
                <w:szCs w:val="20"/>
                <w:color w:val="auto"/>
              </w:rPr>
            </w:pPr>
            <w:r>
              <w:rPr>
                <w:rFonts w:ascii="Arial" w:cs="Arial" w:eastAsia="Arial" w:hAnsi="Arial"/>
                <w:sz w:val="17"/>
                <w:szCs w:val="17"/>
                <w:color w:val="auto"/>
              </w:rPr>
              <w:t>807</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quarter and year to date increases in Company sales and Restaurant profit associated with store portfolio actions, excluding the impact of F/X, were driven by net unit growth. Significant other factors impacting Company sales and Restaurant profit were the Company same-store sales growth, partially offset by higher labor costs mainly due to wage inflation of 6% and higher promotion costs.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Franchise Fees and Income</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quarter and year to date decreases in Franchise fees and income, excluding the impact of F/X, were primarily driven by the acquisition of Wuxi KFC, partially offset by net unit growth.</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G&amp;A Expenses</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The quarter and year to date increases in G&amp;A expenses, excluding the impact of F/X, were primarily driven by higher compensation costs due to merit increases.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Profit</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quarter and year to date increases in Operating Profit, excluding the impact of F/X, were primarily driven by the Company same-store sales growth and net unit growth, partially offset by higher restaurant operating costs and higher G&amp;A expenses.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6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0"/>
        </w:trPr>
        <w:tc>
          <w:tcPr>
            <w:tcW w:w="29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Pizza Hut</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380"/>
              <w:spacing w:after="0"/>
              <w:rPr>
                <w:sz w:val="20"/>
                <w:szCs w:val="20"/>
                <w:color w:val="auto"/>
              </w:rPr>
            </w:pPr>
            <w:r>
              <w:rPr>
                <w:rFonts w:ascii="Arial" w:cs="Arial" w:eastAsia="Arial" w:hAnsi="Arial"/>
                <w:sz w:val="17"/>
                <w:szCs w:val="17"/>
                <w:color w:val="auto"/>
              </w:rPr>
              <w:t>Quarter Ended</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8"/>
          </w:tcPr>
          <w:p>
            <w:pPr>
              <w:ind w:left="100"/>
              <w:spacing w:after="0"/>
              <w:rPr>
                <w:sz w:val="20"/>
                <w:szCs w:val="20"/>
                <w:color w:val="auto"/>
              </w:rPr>
            </w:pPr>
            <w:r>
              <w:rPr>
                <w:rFonts w:ascii="Arial" w:cs="Arial" w:eastAsia="Arial" w:hAnsi="Arial"/>
                <w:sz w:val="17"/>
                <w:szCs w:val="17"/>
                <w:color w:val="auto"/>
              </w:rPr>
              <w:t>Year to Date Ended</w:t>
            </w: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gridSpan w:val="6"/>
          </w:tcPr>
          <w:p>
            <w:pPr>
              <w:ind w:left="540"/>
              <w:spacing w:after="0"/>
              <w:rPr>
                <w:sz w:val="20"/>
                <w:szCs w:val="20"/>
                <w:color w:val="auto"/>
              </w:rPr>
            </w:pPr>
            <w:r>
              <w:rPr>
                <w:rFonts w:ascii="Arial" w:cs="Arial" w:eastAsia="Arial" w:hAnsi="Arial"/>
                <w:sz w:val="17"/>
                <w:szCs w:val="17"/>
                <w:color w:val="auto"/>
              </w:rPr>
              <w:t>% B/(W)</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7"/>
          </w:tcPr>
          <w:p>
            <w:pPr>
              <w:jc w:val="right"/>
              <w:ind w:right="954"/>
              <w:spacing w:after="0"/>
              <w:rPr>
                <w:sz w:val="20"/>
                <w:szCs w:val="20"/>
                <w:color w:val="auto"/>
              </w:rPr>
            </w:pPr>
            <w:r>
              <w:rPr>
                <w:rFonts w:ascii="Arial" w:cs="Arial" w:eastAsia="Arial" w:hAnsi="Arial"/>
                <w:sz w:val="17"/>
                <w:szCs w:val="17"/>
                <w:color w:val="auto"/>
              </w:rPr>
              <w:t>% B/(W)</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9/30/2018</w:t>
            </w:r>
          </w:p>
        </w:tc>
        <w:tc>
          <w:tcPr>
            <w:tcW w:w="100" w:type="dxa"/>
            <w:vAlign w:val="bottom"/>
          </w:tcPr>
          <w:p>
            <w:pPr>
              <w:spacing w:after="0"/>
              <w:rPr>
                <w:sz w:val="18"/>
                <w:szCs w:val="18"/>
                <w:color w:val="auto"/>
              </w:rPr>
            </w:pPr>
          </w:p>
        </w:tc>
        <w:tc>
          <w:tcPr>
            <w:tcW w:w="88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7"/>
                <w:szCs w:val="17"/>
                <w:color w:val="auto"/>
              </w:rPr>
              <w:t>9/30/2017</w:t>
            </w:r>
          </w:p>
        </w:tc>
        <w:tc>
          <w:tcPr>
            <w:tcW w:w="100" w:type="dxa"/>
            <w:vAlign w:val="bottom"/>
          </w:tcPr>
          <w:p>
            <w:pPr>
              <w:spacing w:after="0"/>
              <w:rPr>
                <w:sz w:val="18"/>
                <w:szCs w:val="18"/>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Reported</w:t>
            </w:r>
          </w:p>
        </w:tc>
        <w:tc>
          <w:tcPr>
            <w:tcW w:w="100" w:type="dxa"/>
            <w:vAlign w:val="bottom"/>
          </w:tcPr>
          <w:p>
            <w:pPr>
              <w:spacing w:after="0"/>
              <w:rPr>
                <w:sz w:val="18"/>
                <w:szCs w:val="18"/>
                <w:color w:val="auto"/>
              </w:rPr>
            </w:pP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17"/>
                <w:szCs w:val="17"/>
                <w:color w:val="auto"/>
              </w:rPr>
              <w:t>Ex F/X</w:t>
            </w:r>
          </w:p>
        </w:tc>
        <w:tc>
          <w:tcPr>
            <w:tcW w:w="80" w:type="dxa"/>
            <w:vAlign w:val="bottom"/>
            <w:gridSpan w:val="2"/>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9/30/2018</w:t>
            </w:r>
          </w:p>
        </w:tc>
        <w:tc>
          <w:tcPr>
            <w:tcW w:w="120" w:type="dxa"/>
            <w:vAlign w:val="bottom"/>
            <w:gridSpan w:val="3"/>
          </w:tcPr>
          <w:p>
            <w:pPr>
              <w:spacing w:after="0"/>
              <w:rPr>
                <w:sz w:val="18"/>
                <w:szCs w:val="18"/>
                <w:color w:val="auto"/>
              </w:rPr>
            </w:pPr>
          </w:p>
        </w:tc>
        <w:tc>
          <w:tcPr>
            <w:tcW w:w="860" w:type="dxa"/>
            <w:vAlign w:val="bottom"/>
            <w:tcBorders>
              <w:bottom w:val="single" w:sz="8" w:color="auto"/>
            </w:tcBorders>
            <w:gridSpan w:val="5"/>
          </w:tcPr>
          <w:p>
            <w:pPr>
              <w:jc w:val="right"/>
              <w:ind w:right="14"/>
              <w:spacing w:after="0"/>
              <w:rPr>
                <w:sz w:val="20"/>
                <w:szCs w:val="20"/>
                <w:color w:val="auto"/>
              </w:rPr>
            </w:pPr>
            <w:r>
              <w:rPr>
                <w:rFonts w:ascii="Arial" w:cs="Arial" w:eastAsia="Arial" w:hAnsi="Arial"/>
                <w:sz w:val="17"/>
                <w:szCs w:val="17"/>
                <w:color w:val="auto"/>
                <w:w w:val="97"/>
              </w:rPr>
              <w:t>9/30/2017</w:t>
            </w:r>
          </w:p>
        </w:tc>
        <w:tc>
          <w:tcPr>
            <w:tcW w:w="100" w:type="dxa"/>
            <w:vAlign w:val="bottom"/>
          </w:tcPr>
          <w:p>
            <w:pPr>
              <w:spacing w:after="0"/>
              <w:rPr>
                <w:sz w:val="18"/>
                <w:szCs w:val="18"/>
                <w:color w:val="auto"/>
              </w:rPr>
            </w:pPr>
          </w:p>
        </w:tc>
        <w:tc>
          <w:tcPr>
            <w:tcW w:w="1020" w:type="dxa"/>
            <w:vAlign w:val="bottom"/>
            <w:tcBorders>
              <w:bottom w:val="single" w:sz="8" w:color="auto"/>
            </w:tcBorders>
            <w:gridSpan w:val="5"/>
          </w:tcPr>
          <w:p>
            <w:pPr>
              <w:ind w:left="180"/>
              <w:spacing w:after="0"/>
              <w:rPr>
                <w:sz w:val="20"/>
                <w:szCs w:val="20"/>
                <w:color w:val="auto"/>
              </w:rPr>
            </w:pPr>
            <w:r>
              <w:rPr>
                <w:rFonts w:ascii="Arial" w:cs="Arial" w:eastAsia="Arial" w:hAnsi="Arial"/>
                <w:sz w:val="17"/>
                <w:szCs w:val="17"/>
                <w:color w:val="auto"/>
              </w:rPr>
              <w:t>Reported</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Ex F/X</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20" w:type="dxa"/>
            <w:vAlign w:val="bottom"/>
            <w:gridSpan w:val="2"/>
          </w:tcPr>
          <w:p>
            <w:pPr>
              <w:spacing w:after="0"/>
              <w:rPr>
                <w:sz w:val="20"/>
                <w:szCs w:val="20"/>
                <w:color w:val="auto"/>
              </w:rPr>
            </w:pPr>
            <w:r>
              <w:rPr>
                <w:rFonts w:ascii="Arial" w:cs="Arial" w:eastAsia="Arial" w:hAnsi="Arial"/>
                <w:sz w:val="17"/>
                <w:szCs w:val="17"/>
                <w:color w:val="auto"/>
              </w:rPr>
              <w:t>Company sales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568</w:t>
            </w:r>
          </w:p>
        </w:tc>
        <w:tc>
          <w:tcPr>
            <w:tcW w:w="840" w:type="dxa"/>
            <w:vAlign w:val="bottom"/>
            <w:gridSpan w:val="2"/>
          </w:tcPr>
          <w:p>
            <w:pPr>
              <w:jc w:val="right"/>
              <w:ind w:right="54"/>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1,640</w:t>
            </w:r>
          </w:p>
        </w:tc>
        <w:tc>
          <w:tcPr>
            <w:tcW w:w="340" w:type="dxa"/>
            <w:vAlign w:val="bottom"/>
            <w:gridSpan w:val="5"/>
          </w:tcPr>
          <w:p>
            <w:pPr>
              <w:ind w:left="10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54"/>
              <w:spacing w:after="0"/>
              <w:rPr>
                <w:sz w:val="20"/>
                <w:szCs w:val="20"/>
                <w:color w:val="auto"/>
              </w:rPr>
            </w:pPr>
            <w:r>
              <w:rPr>
                <w:rFonts w:ascii="Arial" w:cs="Arial" w:eastAsia="Arial" w:hAnsi="Arial"/>
                <w:sz w:val="17"/>
                <w:szCs w:val="17"/>
                <w:color w:val="auto"/>
                <w:w w:val="89"/>
              </w:rPr>
              <w:t>1,592</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31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920" w:type="dxa"/>
            <w:vAlign w:val="bottom"/>
            <w:gridSpan w:val="2"/>
          </w:tcPr>
          <w:p>
            <w:pPr>
              <w:spacing w:after="0"/>
              <w:rPr>
                <w:sz w:val="20"/>
                <w:szCs w:val="20"/>
                <w:color w:val="auto"/>
              </w:rPr>
            </w:pPr>
            <w:r>
              <w:rPr>
                <w:rFonts w:ascii="Arial" w:cs="Arial" w:eastAsia="Arial" w:hAnsi="Arial"/>
                <w:sz w:val="17"/>
                <w:szCs w:val="17"/>
                <w:color w:val="auto"/>
              </w:rPr>
              <w:t>Franchise fees and income</w:t>
            </w:r>
          </w:p>
        </w:tc>
        <w:tc>
          <w:tcPr>
            <w:tcW w:w="220" w:type="dxa"/>
            <w:vAlign w:val="bottom"/>
          </w:tcPr>
          <w:p>
            <w:pPr>
              <w:spacing w:after="0"/>
              <w:rPr>
                <w:sz w:val="19"/>
                <w:szCs w:val="19"/>
                <w:color w:val="auto"/>
              </w:rPr>
            </w:pP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840" w:type="dxa"/>
            <w:vAlign w:val="bottom"/>
            <w:gridSpan w:val="2"/>
          </w:tcPr>
          <w:p>
            <w:pPr>
              <w:jc w:val="right"/>
              <w:ind w:right="114"/>
              <w:spacing w:after="0"/>
              <w:rPr>
                <w:sz w:val="20"/>
                <w:szCs w:val="20"/>
                <w:color w:val="auto"/>
              </w:rPr>
            </w:pPr>
            <w:r>
              <w:rPr>
                <w:rFonts w:ascii="Arial" w:cs="Arial" w:eastAsia="Arial" w:hAnsi="Arial"/>
                <w:sz w:val="17"/>
                <w:szCs w:val="17"/>
                <w:color w:val="auto"/>
              </w:rPr>
              <w:t>4</w:t>
            </w:r>
          </w:p>
        </w:tc>
        <w:tc>
          <w:tcPr>
            <w:tcW w:w="260" w:type="dxa"/>
            <w:vAlign w:val="bottom"/>
          </w:tcPr>
          <w:p>
            <w:pPr>
              <w:spacing w:after="0"/>
              <w:rPr>
                <w:sz w:val="19"/>
                <w:szCs w:val="19"/>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154"/>
              <w:spacing w:after="0"/>
              <w:rPr>
                <w:sz w:val="20"/>
                <w:szCs w:val="20"/>
                <w:color w:val="auto"/>
              </w:rPr>
            </w:pPr>
            <w:r>
              <w:rPr>
                <w:rFonts w:ascii="Arial" w:cs="Arial" w:eastAsia="Arial" w:hAnsi="Arial"/>
                <w:sz w:val="17"/>
                <w:szCs w:val="17"/>
                <w:color w:val="auto"/>
              </w:rPr>
              <w:t>2</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ind w:right="394"/>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7"/>
                <w:szCs w:val="17"/>
                <w:color w:val="auto"/>
              </w:rPr>
              <w:t>Revenues from transactions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ind w:left="180"/>
              <w:spacing w:after="0"/>
              <w:rPr>
                <w:sz w:val="20"/>
                <w:szCs w:val="20"/>
                <w:color w:val="auto"/>
              </w:rPr>
            </w:pPr>
            <w:r>
              <w:rPr>
                <w:rFonts w:ascii="Arial" w:cs="Arial" w:eastAsia="Arial" w:hAnsi="Arial"/>
                <w:sz w:val="17"/>
                <w:szCs w:val="17"/>
                <w:color w:val="auto"/>
              </w:rPr>
              <w:t>with franchisees and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20" w:type="dxa"/>
            <w:vAlign w:val="bottom"/>
            <w:gridSpan w:val="2"/>
          </w:tcPr>
          <w:p>
            <w:pPr>
              <w:ind w:left="180"/>
              <w:spacing w:after="0"/>
              <w:rPr>
                <w:sz w:val="20"/>
                <w:szCs w:val="20"/>
                <w:color w:val="auto"/>
              </w:rPr>
            </w:pPr>
            <w:r>
              <w:rPr>
                <w:rFonts w:ascii="Arial" w:cs="Arial" w:eastAsia="Arial" w:hAnsi="Arial"/>
                <w:sz w:val="17"/>
                <w:szCs w:val="17"/>
                <w:color w:val="auto"/>
              </w:rPr>
              <w:t>unconsolidated affiliates</w:t>
            </w: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54"/>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9"/>
                <w:szCs w:val="19"/>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7"/>
                <w:szCs w:val="17"/>
                <w:color w:val="auto"/>
              </w:rPr>
              <w:t>1</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ind w:right="314"/>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920" w:type="dxa"/>
            <w:vAlign w:val="bottom"/>
            <w:gridSpan w:val="2"/>
          </w:tcPr>
          <w:p>
            <w:pPr>
              <w:spacing w:after="0"/>
              <w:rPr>
                <w:sz w:val="20"/>
                <w:szCs w:val="20"/>
                <w:color w:val="auto"/>
              </w:rPr>
            </w:pPr>
            <w:r>
              <w:rPr>
                <w:rFonts w:ascii="Arial" w:cs="Arial" w:eastAsia="Arial" w:hAnsi="Arial"/>
                <w:sz w:val="17"/>
                <w:szCs w:val="17"/>
                <w:color w:val="auto"/>
              </w:rPr>
              <w:t>Total revenues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569</w:t>
            </w:r>
          </w:p>
        </w:tc>
        <w:tc>
          <w:tcPr>
            <w:tcW w:w="840" w:type="dxa"/>
            <w:vAlign w:val="bottom"/>
            <w:gridSpan w:val="2"/>
          </w:tcPr>
          <w:p>
            <w:pPr>
              <w:jc w:val="right"/>
              <w:ind w:right="54"/>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1,643</w:t>
            </w:r>
          </w:p>
        </w:tc>
        <w:tc>
          <w:tcPr>
            <w:tcW w:w="100" w:type="dxa"/>
            <w:vAlign w:val="bottom"/>
            <w:gridSpan w:val="2"/>
          </w:tcPr>
          <w:p>
            <w:pPr>
              <w:spacing w:after="0"/>
              <w:rPr>
                <w:sz w:val="18"/>
                <w:szCs w:val="18"/>
                <w:color w:val="auto"/>
              </w:rPr>
            </w:pPr>
          </w:p>
        </w:tc>
        <w:tc>
          <w:tcPr>
            <w:tcW w:w="2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7"/>
                <w:szCs w:val="17"/>
                <w:color w:val="auto"/>
                <w:w w:val="89"/>
              </w:rPr>
              <w:t>1,595</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31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920" w:type="dxa"/>
            <w:vAlign w:val="bottom"/>
            <w:gridSpan w:val="2"/>
          </w:tcPr>
          <w:p>
            <w:pPr>
              <w:spacing w:after="0"/>
              <w:rPr>
                <w:sz w:val="20"/>
                <w:szCs w:val="20"/>
                <w:color w:val="auto"/>
              </w:rPr>
            </w:pPr>
            <w:r>
              <w:rPr>
                <w:rFonts w:ascii="Arial" w:cs="Arial" w:eastAsia="Arial" w:hAnsi="Arial"/>
                <w:sz w:val="17"/>
                <w:szCs w:val="17"/>
                <w:color w:val="auto"/>
              </w:rPr>
              <w:t>Restaurant profit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81</w:t>
            </w:r>
          </w:p>
        </w:tc>
        <w:tc>
          <w:tcPr>
            <w:tcW w:w="840" w:type="dxa"/>
            <w:vAlign w:val="bottom"/>
            <w:gridSpan w:val="2"/>
          </w:tcPr>
          <w:p>
            <w:pPr>
              <w:jc w:val="right"/>
              <w:ind w:right="54"/>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24"/>
                <w:szCs w:val="24"/>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194</w:t>
            </w:r>
          </w:p>
        </w:tc>
        <w:tc>
          <w:tcPr>
            <w:tcW w:w="340" w:type="dxa"/>
            <w:vAlign w:val="bottom"/>
            <w:gridSpan w:val="5"/>
          </w:tcPr>
          <w:p>
            <w:pPr>
              <w:ind w:left="10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54"/>
              <w:spacing w:after="0"/>
              <w:rPr>
                <w:sz w:val="20"/>
                <w:szCs w:val="20"/>
                <w:color w:val="auto"/>
              </w:rPr>
            </w:pPr>
            <w:r>
              <w:rPr>
                <w:rFonts w:ascii="Arial" w:cs="Arial" w:eastAsia="Arial" w:hAnsi="Arial"/>
                <w:sz w:val="17"/>
                <w:szCs w:val="17"/>
                <w:color w:val="auto"/>
              </w:rPr>
              <w:t>259</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right"/>
              <w:ind w:right="314"/>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920" w:type="dxa"/>
            <w:vAlign w:val="bottom"/>
            <w:gridSpan w:val="2"/>
          </w:tcPr>
          <w:p>
            <w:pPr>
              <w:spacing w:after="0"/>
              <w:rPr>
                <w:sz w:val="20"/>
                <w:szCs w:val="20"/>
                <w:color w:val="auto"/>
              </w:rPr>
            </w:pPr>
            <w:r>
              <w:rPr>
                <w:rFonts w:ascii="Arial" w:cs="Arial" w:eastAsia="Arial" w:hAnsi="Arial"/>
                <w:sz w:val="17"/>
                <w:szCs w:val="17"/>
                <w:color w:val="auto"/>
              </w:rPr>
              <w:t>Restaurant margin %</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9"/>
                <w:szCs w:val="19"/>
                <w:color w:val="auto"/>
              </w:rPr>
            </w:pPr>
          </w:p>
        </w:tc>
        <w:tc>
          <w:tcPr>
            <w:tcW w:w="1000" w:type="dxa"/>
            <w:vAlign w:val="bottom"/>
            <w:gridSpan w:val="2"/>
          </w:tcPr>
          <w:p>
            <w:pPr>
              <w:ind w:left="260"/>
              <w:spacing w:after="0"/>
              <w:rPr>
                <w:sz w:val="20"/>
                <w:szCs w:val="20"/>
                <w:color w:val="auto"/>
              </w:rPr>
            </w:pPr>
            <w:r>
              <w:rPr>
                <w:rFonts w:ascii="Arial" w:cs="Arial" w:eastAsia="Arial" w:hAnsi="Arial"/>
                <w:sz w:val="17"/>
                <w:szCs w:val="17"/>
                <w:color w:val="auto"/>
                <w:w w:val="94"/>
              </w:rPr>
              <w:t>(0.6) ppts.</w:t>
            </w:r>
          </w:p>
        </w:tc>
        <w:tc>
          <w:tcPr>
            <w:tcW w:w="100" w:type="dxa"/>
            <w:vAlign w:val="bottom"/>
          </w:tcPr>
          <w:p>
            <w:pPr>
              <w:spacing w:after="0"/>
              <w:rPr>
                <w:sz w:val="19"/>
                <w:szCs w:val="19"/>
                <w:color w:val="auto"/>
              </w:rPr>
            </w:pPr>
          </w:p>
        </w:tc>
        <w:tc>
          <w:tcPr>
            <w:tcW w:w="1100" w:type="dxa"/>
            <w:vAlign w:val="bottom"/>
            <w:gridSpan w:val="3"/>
          </w:tcPr>
          <w:p>
            <w:pPr>
              <w:ind w:left="360"/>
              <w:spacing w:after="0"/>
              <w:rPr>
                <w:sz w:val="20"/>
                <w:szCs w:val="20"/>
                <w:color w:val="auto"/>
              </w:rPr>
            </w:pPr>
            <w:r>
              <w:rPr>
                <w:rFonts w:ascii="Arial" w:cs="Arial" w:eastAsia="Arial" w:hAnsi="Arial"/>
                <w:sz w:val="17"/>
                <w:szCs w:val="17"/>
                <w:color w:val="auto"/>
                <w:w w:val="94"/>
              </w:rPr>
              <w:t>(0.6) ppts.</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9"/>
                <w:szCs w:val="19"/>
                <w:color w:val="auto"/>
              </w:rPr>
            </w:pPr>
          </w:p>
        </w:tc>
        <w:tc>
          <w:tcPr>
            <w:tcW w:w="1020" w:type="dxa"/>
            <w:vAlign w:val="bottom"/>
            <w:gridSpan w:val="5"/>
          </w:tcPr>
          <w:p>
            <w:pPr>
              <w:ind w:left="280"/>
              <w:spacing w:after="0"/>
              <w:rPr>
                <w:sz w:val="20"/>
                <w:szCs w:val="20"/>
                <w:color w:val="auto"/>
              </w:rPr>
            </w:pPr>
            <w:r>
              <w:rPr>
                <w:rFonts w:ascii="Arial" w:cs="Arial" w:eastAsia="Arial" w:hAnsi="Arial"/>
                <w:sz w:val="17"/>
                <w:szCs w:val="17"/>
                <w:color w:val="auto"/>
                <w:w w:val="94"/>
              </w:rPr>
              <w:t>(4.5) ppts.</w:t>
            </w:r>
          </w:p>
        </w:tc>
        <w:tc>
          <w:tcPr>
            <w:tcW w:w="100" w:type="dxa"/>
            <w:vAlign w:val="bottom"/>
          </w:tcPr>
          <w:p>
            <w:pPr>
              <w:spacing w:after="0"/>
              <w:rPr>
                <w:sz w:val="19"/>
                <w:szCs w:val="19"/>
                <w:color w:val="auto"/>
              </w:rPr>
            </w:pPr>
          </w:p>
        </w:tc>
        <w:tc>
          <w:tcPr>
            <w:tcW w:w="1180" w:type="dxa"/>
            <w:vAlign w:val="bottom"/>
            <w:gridSpan w:val="2"/>
          </w:tcPr>
          <w:p>
            <w:pPr>
              <w:ind w:left="360"/>
              <w:spacing w:after="0"/>
              <w:rPr>
                <w:sz w:val="20"/>
                <w:szCs w:val="20"/>
                <w:color w:val="auto"/>
              </w:rPr>
            </w:pPr>
            <w:r>
              <w:rPr>
                <w:rFonts w:ascii="Arial" w:cs="Arial" w:eastAsia="Arial" w:hAnsi="Arial"/>
                <w:sz w:val="17"/>
                <w:szCs w:val="17"/>
                <w:color w:val="auto"/>
              </w:rPr>
              <w:t>(4.5) ppts.</w:t>
            </w:r>
          </w:p>
        </w:tc>
        <w:tc>
          <w:tcPr>
            <w:tcW w:w="0" w:type="dxa"/>
            <w:vAlign w:val="bottom"/>
          </w:tcPr>
          <w:p>
            <w:pPr>
              <w:spacing w:after="0"/>
              <w:rPr>
                <w:sz w:val="1"/>
                <w:szCs w:val="1"/>
                <w:color w:val="auto"/>
              </w:rPr>
            </w:pPr>
          </w:p>
        </w:tc>
      </w:tr>
      <w:tr>
        <w:trPr>
          <w:trHeight w:val="441"/>
        </w:trPr>
        <w:tc>
          <w:tcPr>
            <w:tcW w:w="2920" w:type="dxa"/>
            <w:vAlign w:val="bottom"/>
            <w:gridSpan w:val="2"/>
          </w:tcPr>
          <w:p>
            <w:pPr>
              <w:spacing w:after="0"/>
              <w:rPr>
                <w:sz w:val="20"/>
                <w:szCs w:val="20"/>
                <w:color w:val="auto"/>
              </w:rPr>
            </w:pPr>
            <w:r>
              <w:rPr>
                <w:rFonts w:ascii="Arial" w:cs="Arial" w:eastAsia="Arial" w:hAnsi="Arial"/>
                <w:sz w:val="17"/>
                <w:szCs w:val="17"/>
                <w:color w:val="auto"/>
              </w:rPr>
              <w:t>G&amp;A expenses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27</w:t>
            </w:r>
          </w:p>
        </w:tc>
        <w:tc>
          <w:tcPr>
            <w:tcW w:w="840" w:type="dxa"/>
            <w:vAlign w:val="bottom"/>
            <w:gridSpan w:val="2"/>
          </w:tcPr>
          <w:p>
            <w:pPr>
              <w:jc w:val="right"/>
              <w:ind w:right="114"/>
              <w:spacing w:after="0"/>
              <w:rPr>
                <w:sz w:val="20"/>
                <w:szCs w:val="20"/>
                <w:color w:val="auto"/>
              </w:rPr>
            </w:pPr>
            <w:r>
              <w:rPr>
                <w:rFonts w:ascii="Arial" w:cs="Arial" w:eastAsia="Arial" w:hAnsi="Arial"/>
                <w:sz w:val="17"/>
                <w:szCs w:val="17"/>
                <w:color w:val="auto"/>
              </w:rPr>
              <w:t>15</w:t>
            </w:r>
          </w:p>
        </w:tc>
        <w:tc>
          <w:tcPr>
            <w:tcW w:w="260" w:type="dxa"/>
            <w:vAlign w:val="bottom"/>
          </w:tcPr>
          <w:p>
            <w:pPr>
              <w:spacing w:after="0"/>
              <w:rPr>
                <w:sz w:val="24"/>
                <w:szCs w:val="2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80</w:t>
            </w:r>
          </w:p>
        </w:tc>
        <w:tc>
          <w:tcPr>
            <w:tcW w:w="340" w:type="dxa"/>
            <w:vAlign w:val="bottom"/>
            <w:gridSpan w:val="5"/>
          </w:tcPr>
          <w:p>
            <w:pPr>
              <w:ind w:left="10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54"/>
              <w:spacing w:after="0"/>
              <w:rPr>
                <w:sz w:val="20"/>
                <w:szCs w:val="20"/>
                <w:color w:val="auto"/>
              </w:rPr>
            </w:pPr>
            <w:r>
              <w:rPr>
                <w:rFonts w:ascii="Arial" w:cs="Arial" w:eastAsia="Arial" w:hAnsi="Arial"/>
                <w:sz w:val="17"/>
                <w:szCs w:val="17"/>
                <w:color w:val="auto"/>
              </w:rPr>
              <w:t>78</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right"/>
              <w:ind w:right="39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7"/>
                <w:szCs w:val="17"/>
                <w:color w:val="auto"/>
              </w:rPr>
              <w:t>Expenses for transactions</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ind w:left="180"/>
              <w:spacing w:after="0"/>
              <w:rPr>
                <w:sz w:val="20"/>
                <w:szCs w:val="20"/>
                <w:color w:val="auto"/>
              </w:rPr>
            </w:pPr>
            <w:r>
              <w:rPr>
                <w:rFonts w:ascii="Arial" w:cs="Arial" w:eastAsia="Arial" w:hAnsi="Arial"/>
                <w:sz w:val="17"/>
                <w:szCs w:val="17"/>
                <w:color w:val="auto"/>
              </w:rPr>
              <w:t>with franchisees and</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20" w:type="dxa"/>
            <w:vAlign w:val="bottom"/>
            <w:gridSpan w:val="2"/>
          </w:tcPr>
          <w:p>
            <w:pPr>
              <w:ind w:left="180"/>
              <w:spacing w:after="0"/>
              <w:rPr>
                <w:sz w:val="20"/>
                <w:szCs w:val="20"/>
                <w:color w:val="auto"/>
              </w:rPr>
            </w:pPr>
            <w:r>
              <w:rPr>
                <w:rFonts w:ascii="Arial" w:cs="Arial" w:eastAsia="Arial" w:hAnsi="Arial"/>
                <w:sz w:val="17"/>
                <w:szCs w:val="17"/>
                <w:color w:val="auto"/>
              </w:rPr>
              <w:t>unconsolidated affiliates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14"/>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340" w:type="dxa"/>
            <w:vAlign w:val="bottom"/>
            <w:gridSpan w:val="5"/>
          </w:tcPr>
          <w:p>
            <w:pPr>
              <w:ind w:left="10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54"/>
              <w:spacing w:after="0"/>
              <w:rPr>
                <w:sz w:val="20"/>
                <w:szCs w:val="20"/>
                <w:color w:val="auto"/>
              </w:rPr>
            </w:pPr>
            <w:r>
              <w:rPr>
                <w:rFonts w:ascii="Arial" w:cs="Arial" w:eastAsia="Arial" w:hAnsi="Arial"/>
                <w:sz w:val="17"/>
                <w:szCs w:val="17"/>
                <w:color w:val="auto"/>
              </w:rPr>
              <w:t>1</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ind w:right="394"/>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20" w:type="dxa"/>
            <w:vAlign w:val="bottom"/>
            <w:gridSpan w:val="2"/>
          </w:tcPr>
          <w:p>
            <w:pPr>
              <w:spacing w:after="0"/>
              <w:rPr>
                <w:sz w:val="20"/>
                <w:szCs w:val="20"/>
                <w:color w:val="auto"/>
              </w:rPr>
            </w:pPr>
            <w:r>
              <w:rPr>
                <w:rFonts w:ascii="Arial" w:cs="Arial" w:eastAsia="Arial" w:hAnsi="Arial"/>
                <w:sz w:val="17"/>
                <w:szCs w:val="17"/>
                <w:color w:val="auto"/>
              </w:rPr>
              <w:t>Closure and impairment</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920" w:type="dxa"/>
            <w:vAlign w:val="bottom"/>
            <w:gridSpan w:val="2"/>
          </w:tcPr>
          <w:p>
            <w:pPr>
              <w:ind w:left="220"/>
              <w:spacing w:after="0"/>
              <w:rPr>
                <w:sz w:val="20"/>
                <w:szCs w:val="20"/>
                <w:color w:val="auto"/>
              </w:rPr>
            </w:pPr>
            <w:r>
              <w:rPr>
                <w:rFonts w:ascii="Arial" w:cs="Arial" w:eastAsia="Arial" w:hAnsi="Arial"/>
                <w:sz w:val="17"/>
                <w:szCs w:val="17"/>
                <w:color w:val="auto"/>
              </w:rPr>
              <w:t>(income) expenses, net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7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000" w:type="dxa"/>
            <w:vAlign w:val="bottom"/>
            <w:gridSpan w:val="2"/>
          </w:tcPr>
          <w:p>
            <w:pPr>
              <w:ind w:left="260"/>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19"/>
                <w:szCs w:val="19"/>
                <w:color w:val="auto"/>
              </w:rPr>
            </w:pPr>
          </w:p>
        </w:tc>
        <w:tc>
          <w:tcPr>
            <w:tcW w:w="1100" w:type="dxa"/>
            <w:vAlign w:val="bottom"/>
            <w:gridSpan w:val="3"/>
          </w:tcPr>
          <w:p>
            <w:pPr>
              <w:ind w:left="360"/>
              <w:spacing w:after="0"/>
              <w:rPr>
                <w:sz w:val="20"/>
                <w:szCs w:val="20"/>
                <w:color w:val="auto"/>
              </w:rPr>
            </w:pPr>
            <w:r>
              <w:rPr>
                <w:rFonts w:ascii="Arial" w:cs="Arial" w:eastAsia="Arial" w:hAnsi="Arial"/>
                <w:sz w:val="17"/>
                <w:szCs w:val="17"/>
                <w:color w:val="auto"/>
              </w:rPr>
              <w:t>NM</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9</w:t>
            </w:r>
          </w:p>
        </w:tc>
        <w:tc>
          <w:tcPr>
            <w:tcW w:w="340" w:type="dxa"/>
            <w:vAlign w:val="bottom"/>
            <w:gridSpan w:val="5"/>
          </w:tcPr>
          <w:p>
            <w:pPr>
              <w:ind w:left="10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54"/>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1020" w:type="dxa"/>
            <w:vAlign w:val="bottom"/>
            <w:gridSpan w:val="5"/>
          </w:tcPr>
          <w:p>
            <w:pPr>
              <w:jc w:val="right"/>
              <w:ind w:right="46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394"/>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920" w:type="dxa"/>
            <w:vAlign w:val="bottom"/>
            <w:gridSpan w:val="2"/>
          </w:tcPr>
          <w:p>
            <w:pPr>
              <w:spacing w:after="0"/>
              <w:rPr>
                <w:sz w:val="20"/>
                <w:szCs w:val="20"/>
                <w:color w:val="auto"/>
              </w:rPr>
            </w:pPr>
            <w:r>
              <w:rPr>
                <w:rFonts w:ascii="Arial" w:cs="Arial" w:eastAsia="Arial" w:hAnsi="Arial"/>
                <w:sz w:val="17"/>
                <w:szCs w:val="17"/>
                <w:color w:val="auto"/>
              </w:rPr>
              <w:t>Other income, net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0" w:type="dxa"/>
            <w:vAlign w:val="bottom"/>
            <w:gridSpan w:val="2"/>
          </w:tcPr>
          <w:p>
            <w:pPr>
              <w:ind w:left="260"/>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19"/>
                <w:szCs w:val="19"/>
                <w:color w:val="auto"/>
              </w:rPr>
            </w:pPr>
          </w:p>
        </w:tc>
        <w:tc>
          <w:tcPr>
            <w:tcW w:w="1100" w:type="dxa"/>
            <w:vAlign w:val="bottom"/>
            <w:gridSpan w:val="3"/>
          </w:tcPr>
          <w:p>
            <w:pPr>
              <w:ind w:left="360"/>
              <w:spacing w:after="0"/>
              <w:rPr>
                <w:sz w:val="20"/>
                <w:szCs w:val="20"/>
                <w:color w:val="auto"/>
              </w:rPr>
            </w:pPr>
            <w:r>
              <w:rPr>
                <w:rFonts w:ascii="Arial" w:cs="Arial" w:eastAsia="Arial" w:hAnsi="Arial"/>
                <w:sz w:val="17"/>
                <w:szCs w:val="17"/>
                <w:color w:val="auto"/>
              </w:rPr>
              <w:t>NM</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4"/>
              <w:spacing w:after="0"/>
              <w:rPr>
                <w:sz w:val="20"/>
                <w:szCs w:val="20"/>
                <w:color w:val="auto"/>
              </w:rPr>
            </w:pPr>
            <w:r>
              <w:rPr>
                <w:rFonts w:ascii="Arial" w:cs="Arial" w:eastAsia="Arial" w:hAnsi="Arial"/>
                <w:sz w:val="17"/>
                <w:szCs w:val="17"/>
                <w:color w:val="auto"/>
              </w:rPr>
              <w:t>(2)</w:t>
            </w:r>
          </w:p>
        </w:tc>
        <w:tc>
          <w:tcPr>
            <w:tcW w:w="340" w:type="dxa"/>
            <w:vAlign w:val="bottom"/>
            <w:gridSpan w:val="5"/>
          </w:tcPr>
          <w:p>
            <w:pPr>
              <w:ind w:left="1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20" w:type="dxa"/>
            <w:vAlign w:val="bottom"/>
            <w:gridSpan w:val="5"/>
          </w:tcPr>
          <w:p>
            <w:pPr>
              <w:ind w:left="280"/>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19"/>
                <w:szCs w:val="19"/>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21"/>
        </w:trPr>
        <w:tc>
          <w:tcPr>
            <w:tcW w:w="2920" w:type="dxa"/>
            <w:vAlign w:val="bottom"/>
            <w:gridSpan w:val="2"/>
          </w:tcPr>
          <w:p>
            <w:pPr>
              <w:spacing w:after="0"/>
              <w:rPr>
                <w:sz w:val="20"/>
                <w:szCs w:val="20"/>
                <w:color w:val="auto"/>
              </w:rPr>
            </w:pPr>
            <w:r>
              <w:rPr>
                <w:rFonts w:ascii="Arial" w:cs="Arial" w:eastAsia="Arial" w:hAnsi="Arial"/>
                <w:sz w:val="17"/>
                <w:szCs w:val="17"/>
                <w:color w:val="auto"/>
              </w:rPr>
              <w:t>Operating Profit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54"/>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4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107</w:t>
            </w:r>
          </w:p>
        </w:tc>
        <w:tc>
          <w:tcPr>
            <w:tcW w:w="340" w:type="dxa"/>
            <w:vAlign w:val="bottom"/>
            <w:gridSpan w:val="5"/>
          </w:tcPr>
          <w:p>
            <w:pPr>
              <w:ind w:left="10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154"/>
              <w:spacing w:after="0"/>
              <w:rPr>
                <w:sz w:val="20"/>
                <w:szCs w:val="20"/>
                <w:color w:val="auto"/>
              </w:rPr>
            </w:pPr>
            <w:r>
              <w:rPr>
                <w:rFonts w:ascii="Arial" w:cs="Arial" w:eastAsia="Arial" w:hAnsi="Arial"/>
                <w:sz w:val="17"/>
                <w:szCs w:val="17"/>
                <w:color w:val="auto"/>
              </w:rPr>
              <w:t>173</w:t>
            </w:r>
          </w:p>
        </w:tc>
        <w:tc>
          <w:tcPr>
            <w:tcW w:w="840" w:type="dxa"/>
            <w:vAlign w:val="bottom"/>
            <w:gridSpan w:val="3"/>
          </w:tcPr>
          <w:p>
            <w:pPr>
              <w:jc w:val="right"/>
              <w:ind w:right="120"/>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jc w:val="right"/>
              <w:ind w:right="314"/>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7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right"/>
              <w:ind w:right="414"/>
              <w:spacing w:after="0"/>
              <w:rPr>
                <w:sz w:val="20"/>
                <w:szCs w:val="20"/>
                <w:color w:val="auto"/>
              </w:rPr>
            </w:pPr>
            <w:r>
              <w:rPr>
                <w:rFonts w:ascii="Arial" w:cs="Arial" w:eastAsia="Arial" w:hAnsi="Arial"/>
                <w:sz w:val="17"/>
                <w:szCs w:val="17"/>
                <w:color w:val="auto"/>
              </w:rPr>
              <w:t>Quarter Ended</w:t>
            </w: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200"/>
              <w:spacing w:after="0"/>
              <w:rPr>
                <w:sz w:val="20"/>
                <w:szCs w:val="20"/>
                <w:color w:val="auto"/>
              </w:rPr>
            </w:pPr>
            <w:r>
              <w:rPr>
                <w:rFonts w:ascii="Arial" w:cs="Arial" w:eastAsia="Arial" w:hAnsi="Arial"/>
                <w:sz w:val="17"/>
                <w:szCs w:val="17"/>
                <w:color w:val="auto"/>
              </w:rPr>
              <w:t>Year to Date Ended</w:t>
            </w: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7"/>
                <w:szCs w:val="17"/>
                <w:color w:val="auto"/>
                <w:w w:val="97"/>
              </w:rPr>
              <w:t>9/30/2018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7"/>
                <w:szCs w:val="17"/>
                <w:color w:val="auto"/>
              </w:rPr>
              <w:t>9/30/2017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5"/>
          </w:tcPr>
          <w:p>
            <w:pPr>
              <w:jc w:val="right"/>
              <w:ind w:right="34"/>
              <w:spacing w:after="0"/>
              <w:rPr>
                <w:sz w:val="20"/>
                <w:szCs w:val="20"/>
                <w:color w:val="auto"/>
              </w:rPr>
            </w:pPr>
            <w:r>
              <w:rPr>
                <w:rFonts w:ascii="Arial" w:cs="Arial" w:eastAsia="Arial" w:hAnsi="Arial"/>
                <w:sz w:val="17"/>
                <w:szCs w:val="17"/>
                <w:color w:val="auto"/>
              </w:rPr>
              <w:t>9/30/2018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jc w:val="right"/>
              <w:ind w:right="154"/>
              <w:spacing w:after="0"/>
              <w:rPr>
                <w:sz w:val="20"/>
                <w:szCs w:val="20"/>
                <w:color w:val="auto"/>
              </w:rPr>
            </w:pPr>
            <w:r>
              <w:rPr>
                <w:rFonts w:ascii="Arial" w:cs="Arial" w:eastAsia="Arial" w:hAnsi="Arial"/>
                <w:sz w:val="17"/>
                <w:szCs w:val="17"/>
                <w:color w:val="auto"/>
              </w:rPr>
              <w:t>9/30/2017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920" w:type="dxa"/>
            <w:vAlign w:val="bottom"/>
            <w:gridSpan w:val="2"/>
          </w:tcPr>
          <w:p>
            <w:pPr>
              <w:spacing w:after="0"/>
              <w:rPr>
                <w:sz w:val="20"/>
                <w:szCs w:val="20"/>
                <w:color w:val="auto"/>
              </w:rPr>
            </w:pPr>
            <w:r>
              <w:rPr>
                <w:rFonts w:ascii="Arial" w:cs="Arial" w:eastAsia="Arial" w:hAnsi="Arial"/>
                <w:sz w:val="17"/>
                <w:szCs w:val="17"/>
                <w:color w:val="auto"/>
              </w:rPr>
              <w:t>System Sales (Decline) Growth</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5"/>
          </w:tcPr>
          <w:p>
            <w:pPr>
              <w:ind w:left="80"/>
              <w:spacing w:after="0"/>
              <w:rPr>
                <w:sz w:val="20"/>
                <w:szCs w:val="20"/>
                <w:color w:val="auto"/>
              </w:rPr>
            </w:pPr>
            <w:r>
              <w:rPr>
                <w:rFonts w:ascii="Arial" w:cs="Arial" w:eastAsia="Arial" w:hAnsi="Arial"/>
                <w:sz w:val="17"/>
                <w:szCs w:val="17"/>
                <w:color w:val="auto"/>
                <w:w w:val="97"/>
              </w:rPr>
              <w:t>7%</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1"/>
        </w:trPr>
        <w:tc>
          <w:tcPr>
            <w:tcW w:w="3900" w:type="dxa"/>
            <w:vAlign w:val="bottom"/>
            <w:gridSpan w:val="5"/>
          </w:tcPr>
          <w:p>
            <w:pPr>
              <w:spacing w:after="0"/>
              <w:rPr>
                <w:sz w:val="20"/>
                <w:szCs w:val="20"/>
                <w:color w:val="auto"/>
              </w:rPr>
            </w:pPr>
            <w:r>
              <w:rPr>
                <w:rFonts w:ascii="Arial" w:cs="Arial" w:eastAsia="Arial" w:hAnsi="Arial"/>
                <w:sz w:val="17"/>
                <w:szCs w:val="17"/>
                <w:color w:val="auto"/>
              </w:rPr>
              <w:t>System Sales (Decline) Growth, excluding F/X</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gridSpan w:val="5"/>
          </w:tcPr>
          <w:p>
            <w:pPr>
              <w:ind w:left="80"/>
              <w:spacing w:after="0"/>
              <w:rPr>
                <w:sz w:val="20"/>
                <w:szCs w:val="20"/>
                <w:color w:val="auto"/>
              </w:rPr>
            </w:pPr>
            <w:r>
              <w:rPr>
                <w:rFonts w:ascii="Arial" w:cs="Arial" w:eastAsia="Arial" w:hAnsi="Arial"/>
                <w:sz w:val="17"/>
                <w:szCs w:val="17"/>
                <w:color w:val="auto"/>
                <w:w w:val="97"/>
              </w:rPr>
              <w:t>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1"/>
        </w:trPr>
        <w:tc>
          <w:tcPr>
            <w:tcW w:w="2920" w:type="dxa"/>
            <w:vAlign w:val="bottom"/>
            <w:gridSpan w:val="2"/>
          </w:tcPr>
          <w:p>
            <w:pPr>
              <w:spacing w:after="0"/>
              <w:rPr>
                <w:sz w:val="20"/>
                <w:szCs w:val="20"/>
                <w:color w:val="auto"/>
              </w:rPr>
            </w:pPr>
            <w:r>
              <w:rPr>
                <w:rFonts w:ascii="Arial" w:cs="Arial" w:eastAsia="Arial" w:hAnsi="Arial"/>
                <w:sz w:val="17"/>
                <w:szCs w:val="17"/>
                <w:color w:val="auto"/>
              </w:rPr>
              <w:t>Same-Store Sales (Decline) Growth</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gridSpan w:val="5"/>
          </w:tcPr>
          <w:p>
            <w:pPr>
              <w:ind w:left="80"/>
              <w:spacing w:after="0"/>
              <w:rPr>
                <w:sz w:val="20"/>
                <w:szCs w:val="20"/>
                <w:color w:val="auto"/>
              </w:rPr>
            </w:pPr>
            <w:r>
              <w:rPr>
                <w:rFonts w:ascii="Arial" w:cs="Arial" w:eastAsia="Arial" w:hAnsi="Arial"/>
                <w:sz w:val="17"/>
                <w:szCs w:val="17"/>
                <w:color w:val="auto"/>
                <w:w w:val="97"/>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28"/>
        </w:trPr>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4"/>
              </w:rPr>
              <w:t>Unit Count</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8"/>
          </w:tcPr>
          <w:p>
            <w:pPr>
              <w:jc w:val="right"/>
              <w:ind w:right="274"/>
              <w:spacing w:after="0"/>
              <w:rPr>
                <w:sz w:val="20"/>
                <w:szCs w:val="20"/>
                <w:color w:val="auto"/>
              </w:rPr>
            </w:pPr>
            <w:r>
              <w:rPr>
                <w:rFonts w:ascii="Arial" w:cs="Arial" w:eastAsia="Arial" w:hAnsi="Arial"/>
                <w:sz w:val="17"/>
                <w:szCs w:val="17"/>
                <w:color w:val="auto"/>
              </w:rPr>
              <w:t>9/30/2018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5"/>
          </w:tcPr>
          <w:p>
            <w:pPr>
              <w:jc w:val="right"/>
              <w:ind w:right="314"/>
              <w:spacing w:after="0"/>
              <w:rPr>
                <w:sz w:val="20"/>
                <w:szCs w:val="20"/>
                <w:color w:val="auto"/>
              </w:rPr>
            </w:pPr>
            <w:r>
              <w:rPr>
                <w:rFonts w:ascii="Arial" w:cs="Arial" w:eastAsia="Arial" w:hAnsi="Arial"/>
                <w:sz w:val="17"/>
                <w:szCs w:val="17"/>
                <w:color w:val="auto"/>
              </w:rPr>
              <w:t>9/30/2017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3"/>
          </w:tcPr>
          <w:p>
            <w:pPr>
              <w:ind w:left="80"/>
              <w:spacing w:after="0"/>
              <w:rPr>
                <w:sz w:val="20"/>
                <w:szCs w:val="20"/>
                <w:color w:val="auto"/>
              </w:rPr>
            </w:pPr>
            <w:r>
              <w:rPr>
                <w:rFonts w:ascii="Arial" w:cs="Arial" w:eastAsia="Arial" w:hAnsi="Arial"/>
                <w:sz w:val="17"/>
                <w:szCs w:val="17"/>
                <w:color w:val="auto"/>
              </w:rPr>
              <w:t>% Increase</w:t>
            </w:r>
          </w:p>
        </w:tc>
        <w:tc>
          <w:tcPr>
            <w:tcW w:w="0" w:type="dxa"/>
            <w:vAlign w:val="bottom"/>
          </w:tcPr>
          <w:p>
            <w:pPr>
              <w:spacing w:after="0"/>
              <w:rPr>
                <w:sz w:val="1"/>
                <w:szCs w:val="1"/>
                <w:color w:val="auto"/>
              </w:rPr>
            </w:pPr>
          </w:p>
        </w:tc>
      </w:tr>
      <w:tr>
        <w:trPr>
          <w:trHeight w:val="20"/>
        </w:trPr>
        <w:tc>
          <w:tcPr>
            <w:tcW w:w="2920" w:type="dxa"/>
            <w:vAlign w:val="bottom"/>
            <w:gridSpan w:val="2"/>
            <w:vMerge w:val="restart"/>
          </w:tcPr>
          <w:p>
            <w:pPr>
              <w:ind w:left="240"/>
              <w:spacing w:after="0"/>
              <w:rPr>
                <w:sz w:val="20"/>
                <w:szCs w:val="20"/>
                <w:color w:val="auto"/>
              </w:rPr>
            </w:pPr>
            <w:r>
              <w:rPr>
                <w:rFonts w:ascii="Arial" w:cs="Arial" w:eastAsia="Arial" w:hAnsi="Arial"/>
                <w:sz w:val="17"/>
                <w:szCs w:val="17"/>
                <w:color w:val="auto"/>
              </w:rPr>
              <w:t>Company-owned</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94"/>
              <w:spacing w:after="0"/>
              <w:rPr>
                <w:sz w:val="20"/>
                <w:szCs w:val="20"/>
                <w:color w:val="auto"/>
              </w:rPr>
            </w:pPr>
            <w:r>
              <w:rPr>
                <w:rFonts w:ascii="Arial" w:cs="Arial" w:eastAsia="Arial" w:hAnsi="Arial"/>
                <w:sz w:val="17"/>
                <w:szCs w:val="17"/>
                <w:color w:val="auto"/>
              </w:rPr>
              <w:t>2,180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2"/>
          </w:tcPr>
          <w:p>
            <w:pPr>
              <w:jc w:val="right"/>
              <w:ind w:right="134"/>
              <w:spacing w:after="0"/>
              <w:rPr>
                <w:sz w:val="20"/>
                <w:szCs w:val="20"/>
                <w:color w:val="auto"/>
              </w:rPr>
            </w:pPr>
            <w:r>
              <w:rPr>
                <w:rFonts w:ascii="Arial" w:cs="Arial" w:eastAsia="Arial" w:hAnsi="Arial"/>
                <w:sz w:val="17"/>
                <w:szCs w:val="17"/>
                <w:color w:val="auto"/>
              </w:rPr>
              <w:t>2,128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1"/>
        </w:trPr>
        <w:tc>
          <w:tcPr>
            <w:tcW w:w="2920" w:type="dxa"/>
            <w:vAlign w:val="bottom"/>
            <w:gridSpan w:val="2"/>
          </w:tcPr>
          <w:p>
            <w:pPr>
              <w:ind w:left="240"/>
              <w:spacing w:after="0"/>
              <w:rPr>
                <w:sz w:val="20"/>
                <w:szCs w:val="20"/>
                <w:color w:val="auto"/>
              </w:rPr>
            </w:pPr>
            <w:r>
              <w:rPr>
                <w:rFonts w:ascii="Arial" w:cs="Arial" w:eastAsia="Arial" w:hAnsi="Arial"/>
                <w:sz w:val="17"/>
                <w:szCs w:val="17"/>
                <w:color w:val="auto"/>
              </w:rPr>
              <w:t>Franchisees</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35</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4"/>
        </w:trPr>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2,215</w:t>
            </w: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7"/>
                <w:szCs w:val="17"/>
                <w:color w:val="auto"/>
              </w:rPr>
              <w:t>2,157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Sales and Restaurant Profit</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Company sales and Restaurant profit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color w:val="auto"/>
                <w:w w:val="91"/>
              </w:rPr>
              <w:t>Quarter Ended</w:t>
            </w: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460" w:type="dxa"/>
            <w:vAlign w:val="bottom"/>
            <w:gridSpan w:val="2"/>
          </w:tcPr>
          <w:p>
            <w:pPr>
              <w:spacing w:after="0" w:line="182" w:lineRule="exact"/>
              <w:rPr>
                <w:sz w:val="20"/>
                <w:szCs w:val="20"/>
                <w:color w:val="auto"/>
              </w:rPr>
            </w:pPr>
            <w:r>
              <w:rPr>
                <w:rFonts w:ascii="Arial" w:cs="Arial" w:eastAsia="Arial" w:hAnsi="Arial"/>
                <w:sz w:val="17"/>
                <w:szCs w:val="17"/>
                <w:color w:val="auto"/>
              </w:rPr>
              <w:t>Income (Expense)</w:t>
            </w:r>
          </w:p>
        </w:tc>
        <w:tc>
          <w:tcPr>
            <w:tcW w:w="240" w:type="dxa"/>
            <w:vAlign w:val="bottom"/>
          </w:tcPr>
          <w:p>
            <w:pPr>
              <w:spacing w:after="0"/>
              <w:rPr>
                <w:sz w:val="15"/>
                <w:szCs w:val="15"/>
                <w:color w:val="auto"/>
              </w:rPr>
            </w:pPr>
          </w:p>
        </w:tc>
        <w:tc>
          <w:tcPr>
            <w:tcW w:w="1400" w:type="dxa"/>
            <w:vAlign w:val="bottom"/>
          </w:tcPr>
          <w:p>
            <w:pPr>
              <w:jc w:val="right"/>
              <w:ind w:right="474"/>
              <w:spacing w:after="0" w:line="182" w:lineRule="exact"/>
              <w:rPr>
                <w:sz w:val="20"/>
                <w:szCs w:val="20"/>
                <w:color w:val="auto"/>
              </w:rPr>
            </w:pPr>
            <w:r>
              <w:rPr>
                <w:rFonts w:ascii="Arial" w:cs="Arial" w:eastAsia="Arial" w:hAnsi="Arial"/>
                <w:sz w:val="17"/>
                <w:szCs w:val="17"/>
                <w:color w:val="auto"/>
              </w:rPr>
              <w:t>9/30/2017</w:t>
            </w:r>
          </w:p>
        </w:tc>
        <w:tc>
          <w:tcPr>
            <w:tcW w:w="140" w:type="dxa"/>
            <w:vAlign w:val="bottom"/>
          </w:tcPr>
          <w:p>
            <w:pPr>
              <w:spacing w:after="0"/>
              <w:rPr>
                <w:sz w:val="15"/>
                <w:szCs w:val="15"/>
                <w:color w:val="auto"/>
              </w:rPr>
            </w:pPr>
          </w:p>
        </w:tc>
        <w:tc>
          <w:tcPr>
            <w:tcW w:w="1800" w:type="dxa"/>
            <w:vAlign w:val="bottom"/>
            <w:gridSpan w:val="2"/>
          </w:tcPr>
          <w:p>
            <w:pPr>
              <w:spacing w:after="0" w:line="182" w:lineRule="exact"/>
              <w:rPr>
                <w:sz w:val="20"/>
                <w:szCs w:val="20"/>
                <w:color w:val="auto"/>
              </w:rPr>
            </w:pPr>
            <w:r>
              <w:rPr>
                <w:rFonts w:ascii="Arial" w:cs="Arial" w:eastAsia="Arial" w:hAnsi="Arial"/>
                <w:sz w:val="17"/>
                <w:szCs w:val="17"/>
                <w:color w:val="auto"/>
              </w:rPr>
              <w:t>Store Portfolio Actions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614"/>
              <w:spacing w:after="0" w:line="182" w:lineRule="exact"/>
              <w:rPr>
                <w:sz w:val="20"/>
                <w:szCs w:val="20"/>
                <w:color w:val="auto"/>
              </w:rPr>
            </w:pPr>
            <w:r>
              <w:rPr>
                <w:rFonts w:ascii="Arial" w:cs="Arial" w:eastAsia="Arial" w:hAnsi="Arial"/>
                <w:sz w:val="17"/>
                <w:szCs w:val="17"/>
                <w:color w:val="auto"/>
              </w:rPr>
              <w:t>Other</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94"/>
              <w:spacing w:after="0" w:line="182" w:lineRule="exact"/>
              <w:rPr>
                <w:sz w:val="20"/>
                <w:szCs w:val="20"/>
                <w:color w:val="auto"/>
              </w:rPr>
            </w:pPr>
            <w:r>
              <w:rPr>
                <w:rFonts w:ascii="Arial" w:cs="Arial" w:eastAsia="Arial" w:hAnsi="Arial"/>
                <w:sz w:val="17"/>
                <w:szCs w:val="17"/>
                <w:color w:val="auto"/>
              </w:rPr>
              <w:t>F/X</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74"/>
              <w:spacing w:after="0" w:line="182" w:lineRule="exact"/>
              <w:rPr>
                <w:sz w:val="20"/>
                <w:szCs w:val="20"/>
                <w:color w:val="auto"/>
              </w:rPr>
            </w:pPr>
            <w:r>
              <w:rPr>
                <w:rFonts w:ascii="Arial" w:cs="Arial" w:eastAsia="Arial" w:hAnsi="Arial"/>
                <w:sz w:val="17"/>
                <w:szCs w:val="17"/>
                <w:color w:val="auto"/>
              </w:rPr>
              <w:t>9/30/2018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auto"/>
              </w:rPr>
              <w:t>Company sales</w:t>
            </w:r>
          </w:p>
        </w:tc>
        <w:tc>
          <w:tcPr>
            <w:tcW w:w="120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2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14"/>
              <w:spacing w:after="0"/>
              <w:rPr>
                <w:sz w:val="20"/>
                <w:szCs w:val="20"/>
                <w:color w:val="auto"/>
              </w:rPr>
            </w:pPr>
            <w:r>
              <w:rPr>
                <w:rFonts w:ascii="Arial" w:cs="Arial" w:eastAsia="Arial" w:hAnsi="Arial"/>
                <w:sz w:val="17"/>
                <w:szCs w:val="17"/>
                <w:color w:val="auto"/>
              </w:rPr>
              <w:t>568</w:t>
            </w:r>
          </w:p>
        </w:tc>
        <w:tc>
          <w:tcPr>
            <w:tcW w:w="14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15</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(25)</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(10)</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548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24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(157)</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Arial" w:cs="Arial" w:eastAsia="Arial" w:hAnsi="Arial"/>
                <w:sz w:val="17"/>
                <w:szCs w:val="17"/>
                <w:color w:val="auto"/>
              </w:rPr>
              <w:t>Cost of labor</w:t>
            </w:r>
          </w:p>
        </w:tc>
        <w:tc>
          <w:tcPr>
            <w:tcW w:w="24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(135)</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94"/>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(130)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Arial" w:cs="Arial" w:eastAsia="Arial" w:hAnsi="Arial"/>
                <w:sz w:val="17"/>
                <w:szCs w:val="17"/>
                <w:color w:val="auto"/>
              </w:rPr>
              <w:t>Occupancy and other</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(195)</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(179)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60" w:type="dxa"/>
            <w:vAlign w:val="bottom"/>
            <w:gridSpan w:val="2"/>
          </w:tcPr>
          <w:p>
            <w:pPr>
              <w:spacing w:after="0"/>
              <w:rPr>
                <w:sz w:val="20"/>
                <w:szCs w:val="20"/>
                <w:color w:val="auto"/>
              </w:rPr>
            </w:pPr>
            <w:r>
              <w:rPr>
                <w:rFonts w:ascii="Arial" w:cs="Arial" w:eastAsia="Arial" w:hAnsi="Arial"/>
                <w:sz w:val="17"/>
                <w:szCs w:val="17"/>
                <w:color w:val="auto"/>
              </w:rPr>
              <w:t>Restaurant profit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14"/>
              <w:spacing w:after="0"/>
              <w:rPr>
                <w:sz w:val="20"/>
                <w:szCs w:val="20"/>
                <w:color w:val="auto"/>
              </w:rPr>
            </w:pPr>
            <w:r>
              <w:rPr>
                <w:rFonts w:ascii="Arial" w:cs="Arial" w:eastAsia="Arial" w:hAnsi="Arial"/>
                <w:sz w:val="17"/>
                <w:szCs w:val="17"/>
                <w:color w:val="auto"/>
              </w:rPr>
              <w:t>81</w:t>
            </w:r>
          </w:p>
        </w:tc>
        <w:tc>
          <w:tcPr>
            <w:tcW w:w="1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4</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140"/>
              <w:spacing w:after="0"/>
              <w:rPr>
                <w:sz w:val="20"/>
                <w:szCs w:val="20"/>
                <w:color w:val="auto"/>
              </w:rPr>
            </w:pPr>
            <w:r>
              <w:rPr>
                <w:rFonts w:ascii="Arial" w:cs="Arial" w:eastAsia="Arial" w:hAnsi="Arial"/>
                <w:sz w:val="17"/>
                <w:szCs w:val="17"/>
                <w:color w:val="auto"/>
              </w:rPr>
              <w:t>Year to Date Ended</w:t>
            </w: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460" w:type="dxa"/>
            <w:vAlign w:val="bottom"/>
            <w:gridSpan w:val="2"/>
          </w:tcPr>
          <w:p>
            <w:pPr>
              <w:spacing w:after="0" w:line="182" w:lineRule="exact"/>
              <w:rPr>
                <w:sz w:val="20"/>
                <w:szCs w:val="20"/>
                <w:color w:val="auto"/>
              </w:rPr>
            </w:pPr>
            <w:r>
              <w:rPr>
                <w:rFonts w:ascii="Arial" w:cs="Arial" w:eastAsia="Arial" w:hAnsi="Arial"/>
                <w:sz w:val="17"/>
                <w:szCs w:val="17"/>
                <w:color w:val="auto"/>
              </w:rPr>
              <w:t>Income (Expense)</w:t>
            </w:r>
          </w:p>
        </w:tc>
        <w:tc>
          <w:tcPr>
            <w:tcW w:w="240" w:type="dxa"/>
            <w:vAlign w:val="bottom"/>
          </w:tcPr>
          <w:p>
            <w:pPr>
              <w:spacing w:after="0"/>
              <w:rPr>
                <w:sz w:val="15"/>
                <w:szCs w:val="15"/>
                <w:color w:val="auto"/>
              </w:rPr>
            </w:pPr>
          </w:p>
        </w:tc>
        <w:tc>
          <w:tcPr>
            <w:tcW w:w="1400" w:type="dxa"/>
            <w:vAlign w:val="bottom"/>
          </w:tcPr>
          <w:p>
            <w:pPr>
              <w:jc w:val="right"/>
              <w:ind w:right="474"/>
              <w:spacing w:after="0" w:line="182" w:lineRule="exact"/>
              <w:rPr>
                <w:sz w:val="20"/>
                <w:szCs w:val="20"/>
                <w:color w:val="auto"/>
              </w:rPr>
            </w:pPr>
            <w:r>
              <w:rPr>
                <w:rFonts w:ascii="Arial" w:cs="Arial" w:eastAsia="Arial" w:hAnsi="Arial"/>
                <w:sz w:val="17"/>
                <w:szCs w:val="17"/>
                <w:color w:val="auto"/>
              </w:rPr>
              <w:t>9/30/2017</w:t>
            </w:r>
          </w:p>
        </w:tc>
        <w:tc>
          <w:tcPr>
            <w:tcW w:w="140" w:type="dxa"/>
            <w:vAlign w:val="bottom"/>
          </w:tcPr>
          <w:p>
            <w:pPr>
              <w:spacing w:after="0"/>
              <w:rPr>
                <w:sz w:val="15"/>
                <w:szCs w:val="15"/>
                <w:color w:val="auto"/>
              </w:rPr>
            </w:pPr>
          </w:p>
        </w:tc>
        <w:tc>
          <w:tcPr>
            <w:tcW w:w="1800" w:type="dxa"/>
            <w:vAlign w:val="bottom"/>
            <w:gridSpan w:val="2"/>
          </w:tcPr>
          <w:p>
            <w:pPr>
              <w:spacing w:after="0" w:line="182" w:lineRule="exact"/>
              <w:rPr>
                <w:sz w:val="20"/>
                <w:szCs w:val="20"/>
                <w:color w:val="auto"/>
              </w:rPr>
            </w:pPr>
            <w:r>
              <w:rPr>
                <w:rFonts w:ascii="Arial" w:cs="Arial" w:eastAsia="Arial" w:hAnsi="Arial"/>
                <w:sz w:val="17"/>
                <w:szCs w:val="17"/>
                <w:color w:val="auto"/>
              </w:rPr>
              <w:t>Store Portfolio Actions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jc w:val="right"/>
              <w:ind w:right="614"/>
              <w:spacing w:after="0" w:line="182" w:lineRule="exact"/>
              <w:rPr>
                <w:sz w:val="20"/>
                <w:szCs w:val="20"/>
                <w:color w:val="auto"/>
              </w:rPr>
            </w:pPr>
            <w:r>
              <w:rPr>
                <w:rFonts w:ascii="Arial" w:cs="Arial" w:eastAsia="Arial" w:hAnsi="Arial"/>
                <w:sz w:val="17"/>
                <w:szCs w:val="17"/>
                <w:color w:val="auto"/>
              </w:rPr>
              <w:t>Other</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694"/>
              <w:spacing w:after="0" w:line="182" w:lineRule="exact"/>
              <w:rPr>
                <w:sz w:val="20"/>
                <w:szCs w:val="20"/>
                <w:color w:val="auto"/>
              </w:rPr>
            </w:pPr>
            <w:r>
              <w:rPr>
                <w:rFonts w:ascii="Arial" w:cs="Arial" w:eastAsia="Arial" w:hAnsi="Arial"/>
                <w:sz w:val="17"/>
                <w:szCs w:val="17"/>
                <w:color w:val="auto"/>
              </w:rPr>
              <w:t>F/X</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474"/>
              <w:spacing w:after="0" w:line="182" w:lineRule="exact"/>
              <w:rPr>
                <w:sz w:val="20"/>
                <w:szCs w:val="20"/>
                <w:color w:val="auto"/>
              </w:rPr>
            </w:pPr>
            <w:r>
              <w:rPr>
                <w:rFonts w:ascii="Arial" w:cs="Arial" w:eastAsia="Arial" w:hAnsi="Arial"/>
                <w:sz w:val="17"/>
                <w:szCs w:val="17"/>
                <w:color w:val="auto"/>
              </w:rPr>
              <w:t>9/30/2018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auto"/>
              </w:rPr>
              <w:t>Company sales</w:t>
            </w:r>
          </w:p>
        </w:tc>
        <w:tc>
          <w:tcPr>
            <w:tcW w:w="1200" w:type="dxa"/>
            <w:vAlign w:val="bottom"/>
            <w:vMerge w:val="restart"/>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2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14"/>
              <w:spacing w:after="0"/>
              <w:rPr>
                <w:sz w:val="20"/>
                <w:szCs w:val="20"/>
                <w:color w:val="auto"/>
              </w:rPr>
            </w:pPr>
            <w:r>
              <w:rPr>
                <w:rFonts w:ascii="Arial" w:cs="Arial" w:eastAsia="Arial" w:hAnsi="Arial"/>
                <w:sz w:val="17"/>
                <w:szCs w:val="17"/>
                <w:color w:val="auto"/>
              </w:rPr>
              <w:t>1,592</w:t>
            </w:r>
          </w:p>
        </w:tc>
        <w:tc>
          <w:tcPr>
            <w:tcW w:w="14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52</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(74)</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70</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1,640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24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(418)</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(30)</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(21)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(486)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Arial" w:cs="Arial" w:eastAsia="Arial" w:hAnsi="Arial"/>
                <w:sz w:val="17"/>
                <w:szCs w:val="17"/>
                <w:color w:val="auto"/>
              </w:rPr>
              <w:t>Cost of labor</w:t>
            </w:r>
          </w:p>
        </w:tc>
        <w:tc>
          <w:tcPr>
            <w:tcW w:w="240" w:type="dxa"/>
            <w:vAlign w:val="bottom"/>
          </w:tcPr>
          <w:p>
            <w:pPr>
              <w:spacing w:after="0"/>
              <w:rPr>
                <w:sz w:val="20"/>
                <w:szCs w:val="20"/>
                <w:color w:val="auto"/>
              </w:rPr>
            </w:pPr>
          </w:p>
        </w:tc>
        <w:tc>
          <w:tcPr>
            <w:tcW w:w="1400" w:type="dxa"/>
            <w:vAlign w:val="bottom"/>
          </w:tcPr>
          <w:p>
            <w:pPr>
              <w:jc w:val="right"/>
              <w:ind w:right="54"/>
              <w:spacing w:after="0"/>
              <w:rPr>
                <w:sz w:val="20"/>
                <w:szCs w:val="20"/>
                <w:color w:val="auto"/>
              </w:rPr>
            </w:pPr>
            <w:r>
              <w:rPr>
                <w:rFonts w:ascii="Arial" w:cs="Arial" w:eastAsia="Arial" w:hAnsi="Arial"/>
                <w:sz w:val="17"/>
                <w:szCs w:val="17"/>
                <w:color w:val="auto"/>
              </w:rPr>
              <w:t>(381)</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94"/>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4"/>
              <w:spacing w:after="0"/>
              <w:rPr>
                <w:sz w:val="20"/>
                <w:szCs w:val="20"/>
                <w:color w:val="auto"/>
              </w:rPr>
            </w:pPr>
            <w:r>
              <w:rPr>
                <w:rFonts w:ascii="Arial" w:cs="Arial" w:eastAsia="Arial" w:hAnsi="Arial"/>
                <w:sz w:val="17"/>
                <w:szCs w:val="17"/>
                <w:color w:val="auto"/>
              </w:rPr>
              <w:t>(17)</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34"/>
              <w:spacing w:after="0"/>
              <w:rPr>
                <w:sz w:val="20"/>
                <w:szCs w:val="20"/>
                <w:color w:val="auto"/>
              </w:rPr>
            </w:pPr>
            <w:r>
              <w:rPr>
                <w:rFonts w:ascii="Arial" w:cs="Arial" w:eastAsia="Arial" w:hAnsi="Arial"/>
                <w:sz w:val="17"/>
                <w:szCs w:val="17"/>
                <w:color w:val="auto"/>
              </w:rPr>
              <w:t>(410)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Arial" w:cs="Arial" w:eastAsia="Arial" w:hAnsi="Arial"/>
                <w:sz w:val="17"/>
                <w:szCs w:val="17"/>
                <w:color w:val="auto"/>
              </w:rPr>
              <w:t>Occupancy and other</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(534)</w:t>
            </w:r>
          </w:p>
        </w:tc>
        <w:tc>
          <w:tcPr>
            <w:tcW w:w="14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(550)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60" w:type="dxa"/>
            <w:vAlign w:val="bottom"/>
            <w:gridSpan w:val="2"/>
          </w:tcPr>
          <w:p>
            <w:pPr>
              <w:spacing w:after="0"/>
              <w:rPr>
                <w:sz w:val="20"/>
                <w:szCs w:val="20"/>
                <w:color w:val="auto"/>
              </w:rPr>
            </w:pPr>
            <w:r>
              <w:rPr>
                <w:rFonts w:ascii="Arial" w:cs="Arial" w:eastAsia="Arial" w:hAnsi="Arial"/>
                <w:sz w:val="17"/>
                <w:szCs w:val="17"/>
                <w:color w:val="auto"/>
              </w:rPr>
              <w:t>Restaurant profit</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ind w:right="114"/>
              <w:spacing w:after="0"/>
              <w:rPr>
                <w:sz w:val="20"/>
                <w:szCs w:val="20"/>
                <w:color w:val="auto"/>
              </w:rPr>
            </w:pPr>
            <w:r>
              <w:rPr>
                <w:rFonts w:ascii="Arial" w:cs="Arial" w:eastAsia="Arial" w:hAnsi="Arial"/>
                <w:sz w:val="17"/>
                <w:szCs w:val="17"/>
                <w:color w:val="auto"/>
              </w:rPr>
              <w:t>259</w:t>
            </w:r>
          </w:p>
        </w:tc>
        <w:tc>
          <w:tcPr>
            <w:tcW w:w="14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14"/>
              <w:spacing w:after="0"/>
              <w:rPr>
                <w:sz w:val="20"/>
                <w:szCs w:val="20"/>
                <w:color w:val="auto"/>
              </w:rPr>
            </w:pPr>
            <w:r>
              <w:rPr>
                <w:rFonts w:ascii="Arial" w:cs="Arial" w:eastAsia="Arial" w:hAnsi="Arial"/>
                <w:sz w:val="17"/>
                <w:szCs w:val="17"/>
                <w:color w:val="auto"/>
              </w:rPr>
              <w:t>8</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34"/>
              <w:spacing w:after="0"/>
              <w:rPr>
                <w:sz w:val="20"/>
                <w:szCs w:val="20"/>
                <w:color w:val="auto"/>
              </w:rPr>
            </w:pPr>
            <w:r>
              <w:rPr>
                <w:rFonts w:ascii="Arial" w:cs="Arial" w:eastAsia="Arial" w:hAnsi="Arial"/>
                <w:sz w:val="17"/>
                <w:szCs w:val="17"/>
                <w:color w:val="auto"/>
              </w:rPr>
              <w:t>(81)</w:t>
            </w:r>
          </w:p>
        </w:tc>
        <w:tc>
          <w:tcPr>
            <w:tcW w:w="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8</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jc w:val="right"/>
              <w:ind w:right="154"/>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542" w:right="199" w:bottom="1440" w:gutter="0" w:footer="0" w:header="0"/>
        </w:sectPr>
      </w:pPr>
    </w:p>
    <w:bookmarkStart w:id="27" w:name="page28"/>
    <w:bookmarkEnd w:id="27"/>
    <w:p>
      <w:pPr>
        <w:ind w:right="100"/>
        <w:spacing w:after="0" w:line="318" w:lineRule="auto"/>
        <w:rPr>
          <w:sz w:val="20"/>
          <w:szCs w:val="20"/>
          <w:color w:val="auto"/>
        </w:rPr>
      </w:pPr>
      <w:r>
        <w:rPr>
          <w:rFonts w:ascii="Arial" w:cs="Arial" w:eastAsia="Arial" w:hAnsi="Arial"/>
          <w:sz w:val="16"/>
          <w:szCs w:val="16"/>
          <w:color w:val="auto"/>
        </w:rPr>
        <w:t>The decreases in Company sales and Restaurant profit for the quarter, excluding the impact of F/X, were driven by Company same-store sales decline, higher promotion and product upgrade costs, and higher labor costs mainly attributable to wage inflation of 5%, partially offset by net unit growth and labor efficiency.</w:t>
      </w:r>
    </w:p>
    <w:p>
      <w:pPr>
        <w:spacing w:after="0" w:line="135" w:lineRule="exact"/>
        <w:rPr>
          <w:sz w:val="20"/>
          <w:szCs w:val="20"/>
          <w:color w:val="auto"/>
        </w:rPr>
      </w:pPr>
    </w:p>
    <w:p>
      <w:pPr>
        <w:ind w:right="100"/>
        <w:spacing w:after="0" w:line="318" w:lineRule="auto"/>
        <w:rPr>
          <w:sz w:val="20"/>
          <w:szCs w:val="20"/>
          <w:color w:val="auto"/>
        </w:rPr>
      </w:pPr>
      <w:r>
        <w:rPr>
          <w:rFonts w:ascii="Arial" w:cs="Arial" w:eastAsia="Arial" w:hAnsi="Arial"/>
          <w:sz w:val="16"/>
          <w:szCs w:val="16"/>
          <w:color w:val="auto"/>
        </w:rPr>
        <w:t>The year to date decreases in Company sales and Restaurant profit, excluding the impact of F/X, were driven by Company same-store sales decline, higher promotion and product upgrade costs, and higher labor costs mainly attributable to wage inflation of 6%, partially offset by net unit growth and labor efficiency.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G&amp;A Expenses</w:t>
      </w:r>
    </w:p>
    <w:p>
      <w:pPr>
        <w:spacing w:after="0" w:line="226"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The quarter and year-to-date decreases in G&amp;A expenses, excluding the impact of F/X, were primarily driven by higher government incentives and reduced accruals of performance-based compensation.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Profit</w:t>
      </w:r>
    </w:p>
    <w:p>
      <w:pPr>
        <w:spacing w:after="0" w:line="226"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The increase in Operating Profit for the quarter, excluding the impact of F/X, was primarily driven by net unit growth and less G&amp;A expenses and less closure impairment, partially offset by same-store sales decline.</w:t>
      </w:r>
    </w:p>
    <w:p>
      <w:pPr>
        <w:spacing w:after="0" w:line="159"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The year to date decrease in Operating Profit, excluding the impact of F/X, was primarily driven by same-store sales decline and higher restaurant operating costs, partially offset by net unit growth and lower G&amp;A expenses.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 Other Segments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All Other Segments includes East Dawning, Little Sheep, Taco Bell and Daojia.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ind w:left="360"/>
              <w:spacing w:after="0"/>
              <w:rPr>
                <w:sz w:val="20"/>
                <w:szCs w:val="20"/>
                <w:color w:val="auto"/>
              </w:rPr>
            </w:pPr>
            <w:r>
              <w:rPr>
                <w:rFonts w:ascii="Arial" w:cs="Arial" w:eastAsia="Arial" w:hAnsi="Arial"/>
                <w:sz w:val="17"/>
                <w:szCs w:val="17"/>
                <w:color w:val="auto"/>
              </w:rPr>
              <w:t>Quarter Ended</w:t>
            </w: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7"/>
                <w:szCs w:val="17"/>
                <w:color w:val="auto"/>
                <w:w w:val="95"/>
              </w:rPr>
              <w:t>Year to Date Ended</w:t>
            </w: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14"/>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gridSpan w:val="4"/>
          </w:tcPr>
          <w:p>
            <w:pPr>
              <w:ind w:left="640"/>
              <w:spacing w:after="0"/>
              <w:rPr>
                <w:sz w:val="20"/>
                <w:szCs w:val="20"/>
                <w:color w:val="auto"/>
              </w:rPr>
            </w:pPr>
            <w:r>
              <w:rPr>
                <w:rFonts w:ascii="Arial" w:cs="Arial" w:eastAsia="Arial" w:hAnsi="Arial"/>
                <w:sz w:val="17"/>
                <w:szCs w:val="17"/>
                <w:color w:val="auto"/>
              </w:rPr>
              <w:t>% B/(W)</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gridSpan w:val="5"/>
          </w:tcPr>
          <w:p>
            <w:pPr>
              <w:ind w:left="640"/>
              <w:spacing w:after="0"/>
              <w:rPr>
                <w:sz w:val="20"/>
                <w:szCs w:val="20"/>
                <w:color w:val="auto"/>
              </w:rPr>
            </w:pPr>
            <w:r>
              <w:rPr>
                <w:rFonts w:ascii="Arial" w:cs="Arial" w:eastAsia="Arial" w:hAnsi="Arial"/>
                <w:sz w:val="17"/>
                <w:szCs w:val="17"/>
                <w:color w:val="auto"/>
              </w:rPr>
              <w:t>% B/(W)</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4"/>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92"/>
              </w:rPr>
              <w:t>9/30/2018</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9"/>
              </w:rPr>
              <w:t>9/30/2017</w:t>
            </w:r>
          </w:p>
        </w:tc>
        <w:tc>
          <w:tcPr>
            <w:tcW w:w="100" w:type="dxa"/>
            <w:vAlign w:val="bottom"/>
          </w:tcPr>
          <w:p>
            <w:pPr>
              <w:spacing w:after="0"/>
              <w:rPr>
                <w:sz w:val="18"/>
                <w:szCs w:val="18"/>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Reported</w:t>
            </w: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7"/>
                <w:szCs w:val="17"/>
                <w:color w:val="auto"/>
              </w:rPr>
              <w:t>Ex F/X</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92"/>
              </w:rPr>
              <w:t>9/30/2018</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7"/>
                <w:szCs w:val="17"/>
                <w:color w:val="auto"/>
                <w:w w:val="92"/>
              </w:rPr>
              <w:t>9/30/2017</w:t>
            </w:r>
          </w:p>
        </w:tc>
        <w:tc>
          <w:tcPr>
            <w:tcW w:w="8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w w:val="91"/>
              </w:rPr>
              <w:t>Reported</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Ex F/X</w:t>
            </w:r>
          </w:p>
        </w:tc>
        <w:tc>
          <w:tcPr>
            <w:tcW w:w="1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214"/>
        </w:trPr>
        <w:tc>
          <w:tcPr>
            <w:tcW w:w="2520" w:type="dxa"/>
            <w:vAlign w:val="bottom"/>
          </w:tcPr>
          <w:p>
            <w:pPr>
              <w:spacing w:after="0"/>
              <w:rPr>
                <w:sz w:val="20"/>
                <w:szCs w:val="20"/>
                <w:color w:val="auto"/>
              </w:rPr>
            </w:pPr>
            <w:r>
              <w:rPr>
                <w:rFonts w:ascii="Arial" w:cs="Arial" w:eastAsia="Arial" w:hAnsi="Arial"/>
                <w:sz w:val="17"/>
                <w:szCs w:val="17"/>
                <w:color w:val="auto"/>
              </w:rPr>
              <w:t>Company sales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4"/>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9</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ind w:right="114"/>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29</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(18)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2520" w:type="dxa"/>
            <w:vAlign w:val="bottom"/>
          </w:tcPr>
          <w:p>
            <w:pPr>
              <w:spacing w:after="0"/>
              <w:rPr>
                <w:sz w:val="20"/>
                <w:szCs w:val="20"/>
                <w:color w:val="auto"/>
              </w:rPr>
            </w:pPr>
            <w:r>
              <w:rPr>
                <w:rFonts w:ascii="Arial" w:cs="Arial" w:eastAsia="Arial" w:hAnsi="Arial"/>
                <w:sz w:val="17"/>
                <w:szCs w:val="17"/>
                <w:color w:val="auto"/>
              </w:rPr>
              <w:t>Franchise fees and 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7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14"/>
              <w:spacing w:after="0"/>
              <w:rPr>
                <w:sz w:val="20"/>
                <w:szCs w:val="20"/>
                <w:color w:val="auto"/>
              </w:rPr>
            </w:pPr>
            <w:r>
              <w:rPr>
                <w:rFonts w:ascii="Arial" w:cs="Arial" w:eastAsia="Arial" w:hAnsi="Arial"/>
                <w:sz w:val="17"/>
                <w:szCs w:val="17"/>
                <w:color w:val="auto"/>
              </w:rPr>
              <w:t>55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ind w:right="174"/>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3</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8"/>
        </w:trPr>
        <w:tc>
          <w:tcPr>
            <w:tcW w:w="2520" w:type="dxa"/>
            <w:vAlign w:val="bottom"/>
          </w:tcPr>
          <w:p>
            <w:pPr>
              <w:spacing w:after="0"/>
              <w:rPr>
                <w:sz w:val="20"/>
                <w:szCs w:val="20"/>
                <w:color w:val="auto"/>
              </w:rPr>
            </w:pPr>
            <w:r>
              <w:rPr>
                <w:rFonts w:ascii="Arial" w:cs="Arial" w:eastAsia="Arial" w:hAnsi="Arial"/>
                <w:sz w:val="17"/>
                <w:szCs w:val="17"/>
                <w:color w:val="auto"/>
              </w:rPr>
              <w:t>Revenues from transactions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520" w:type="dxa"/>
            <w:vAlign w:val="bottom"/>
          </w:tcPr>
          <w:p>
            <w:pPr>
              <w:ind w:left="180"/>
              <w:spacing w:after="0"/>
              <w:rPr>
                <w:sz w:val="20"/>
                <w:szCs w:val="20"/>
                <w:color w:val="auto"/>
              </w:rPr>
            </w:pPr>
            <w:r>
              <w:rPr>
                <w:rFonts w:ascii="Arial" w:cs="Arial" w:eastAsia="Arial" w:hAnsi="Arial"/>
                <w:sz w:val="17"/>
                <w:szCs w:val="17"/>
                <w:color w:val="auto"/>
              </w:rPr>
              <w:t>with franchisees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252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74"/>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5</w:t>
            </w:r>
          </w:p>
        </w:tc>
        <w:tc>
          <w:tcPr>
            <w:tcW w:w="880" w:type="dxa"/>
            <w:vAlign w:val="bottom"/>
            <w:gridSpan w:val="2"/>
          </w:tcPr>
          <w:p>
            <w:pPr>
              <w:jc w:val="right"/>
              <w:ind w:right="14"/>
              <w:spacing w:after="0"/>
              <w:rPr>
                <w:sz w:val="20"/>
                <w:szCs w:val="20"/>
                <w:color w:val="auto"/>
              </w:rPr>
            </w:pPr>
            <w:r>
              <w:rPr>
                <w:rFonts w:ascii="Arial" w:cs="Arial" w:eastAsia="Arial" w:hAnsi="Arial"/>
                <w:sz w:val="17"/>
                <w:szCs w:val="17"/>
                <w:color w:val="auto"/>
              </w:rPr>
              <w:t>25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ind w:right="174"/>
              <w:spacing w:after="0"/>
              <w:rPr>
                <w:sz w:val="20"/>
                <w:szCs w:val="20"/>
                <w:color w:val="auto"/>
              </w:rPr>
            </w:pPr>
            <w:r>
              <w:rPr>
                <w:rFonts w:ascii="Arial" w:cs="Arial" w:eastAsia="Arial" w:hAnsi="Arial"/>
                <w:sz w:val="17"/>
                <w:szCs w:val="17"/>
                <w:color w:val="auto"/>
              </w:rPr>
              <w:t>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14</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2520" w:type="dxa"/>
            <w:vAlign w:val="bottom"/>
          </w:tcPr>
          <w:p>
            <w:pPr>
              <w:spacing w:after="0"/>
              <w:rPr>
                <w:sz w:val="20"/>
                <w:szCs w:val="20"/>
                <w:color w:val="auto"/>
              </w:rPr>
            </w:pPr>
            <w:r>
              <w:rPr>
                <w:rFonts w:ascii="Arial" w:cs="Arial" w:eastAsia="Arial" w:hAnsi="Arial"/>
                <w:sz w:val="17"/>
                <w:szCs w:val="17"/>
                <w:color w:val="auto"/>
              </w:rPr>
              <w:t>Other revenues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8</w:t>
            </w:r>
          </w:p>
        </w:tc>
        <w:tc>
          <w:tcPr>
            <w:tcW w:w="880" w:type="dxa"/>
            <w:vAlign w:val="bottom"/>
            <w:gridSpan w:val="2"/>
          </w:tcPr>
          <w:p>
            <w:pPr>
              <w:jc w:val="right"/>
              <w:ind w:right="14"/>
              <w:spacing w:after="0"/>
              <w:rPr>
                <w:sz w:val="20"/>
                <w:szCs w:val="20"/>
                <w:color w:val="auto"/>
              </w:rPr>
            </w:pPr>
            <w:r>
              <w:rPr>
                <w:rFonts w:ascii="Arial" w:cs="Arial" w:eastAsia="Arial" w:hAnsi="Arial"/>
                <w:sz w:val="17"/>
                <w:szCs w:val="17"/>
                <w:color w:val="auto"/>
              </w:rPr>
              <w:t>27</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ind w:right="174"/>
              <w:spacing w:after="0"/>
              <w:rPr>
                <w:sz w:val="20"/>
                <w:szCs w:val="20"/>
                <w:color w:val="auto"/>
              </w:rPr>
            </w:pPr>
            <w:r>
              <w:rPr>
                <w:rFonts w:ascii="Arial" w:cs="Arial" w:eastAsia="Arial" w:hAnsi="Arial"/>
                <w:sz w:val="17"/>
                <w:szCs w:val="17"/>
                <w:color w:val="auto"/>
              </w:rPr>
              <w:t>27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174"/>
              <w:spacing w:after="0"/>
              <w:rPr>
                <w:sz w:val="20"/>
                <w:szCs w:val="20"/>
                <w:color w:val="auto"/>
              </w:rPr>
            </w:pPr>
            <w:r>
              <w:rPr>
                <w:rFonts w:ascii="Arial" w:cs="Arial" w:eastAsia="Arial" w:hAnsi="Arial"/>
                <w:sz w:val="17"/>
                <w:szCs w:val="17"/>
                <w:color w:val="auto"/>
              </w:rPr>
              <w:t>16</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520" w:type="dxa"/>
            <w:vAlign w:val="bottom"/>
          </w:tcPr>
          <w:p>
            <w:pPr>
              <w:spacing w:after="0"/>
              <w:rPr>
                <w:sz w:val="20"/>
                <w:szCs w:val="20"/>
                <w:color w:val="auto"/>
              </w:rPr>
            </w:pPr>
            <w:r>
              <w:rPr>
                <w:rFonts w:ascii="Arial" w:cs="Arial" w:eastAsia="Arial" w:hAnsi="Arial"/>
                <w:sz w:val="17"/>
                <w:szCs w:val="17"/>
                <w:color w:val="auto"/>
              </w:rPr>
              <w:t>Total revenues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4"/>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23</w:t>
            </w:r>
          </w:p>
        </w:tc>
        <w:tc>
          <w:tcPr>
            <w:tcW w:w="880" w:type="dxa"/>
            <w:vAlign w:val="bottom"/>
            <w:gridSpan w:val="2"/>
          </w:tcPr>
          <w:p>
            <w:pPr>
              <w:jc w:val="right"/>
              <w:ind w:right="14"/>
              <w:spacing w:after="0"/>
              <w:rPr>
                <w:sz w:val="20"/>
                <w:szCs w:val="20"/>
                <w:color w:val="auto"/>
              </w:rPr>
            </w:pPr>
            <w:r>
              <w:rPr>
                <w:rFonts w:ascii="Arial" w:cs="Arial" w:eastAsia="Arial" w:hAnsi="Arial"/>
                <w:sz w:val="17"/>
                <w:szCs w:val="17"/>
                <w:color w:val="auto"/>
              </w:rPr>
              <w:t>13</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ind w:right="174"/>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62</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0"/>
        </w:trPr>
        <w:tc>
          <w:tcPr>
            <w:tcW w:w="2520" w:type="dxa"/>
            <w:vAlign w:val="bottom"/>
          </w:tcPr>
          <w:p>
            <w:pPr>
              <w:spacing w:after="0"/>
              <w:rPr>
                <w:sz w:val="20"/>
                <w:szCs w:val="20"/>
                <w:color w:val="auto"/>
              </w:rPr>
            </w:pPr>
            <w:r>
              <w:rPr>
                <w:rFonts w:ascii="Arial" w:cs="Arial" w:eastAsia="Arial" w:hAnsi="Arial"/>
                <w:sz w:val="17"/>
                <w:szCs w:val="17"/>
                <w:color w:val="auto"/>
              </w:rPr>
              <w:t>Restaurant (loss) profit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1300" w:type="dxa"/>
            <w:vAlign w:val="bottom"/>
            <w:gridSpan w:val="4"/>
          </w:tcPr>
          <w:p>
            <w:pPr>
              <w:ind w:left="400"/>
              <w:spacing w:after="0"/>
              <w:rPr>
                <w:sz w:val="20"/>
                <w:szCs w:val="20"/>
                <w:color w:val="auto"/>
              </w:rPr>
            </w:pPr>
            <w:r>
              <w:rPr>
                <w:rFonts w:ascii="Arial" w:cs="Arial" w:eastAsia="Arial" w:hAnsi="Arial"/>
                <w:sz w:val="17"/>
                <w:szCs w:val="17"/>
                <w:color w:val="auto"/>
              </w:rPr>
              <w:t>NM</w:t>
            </w: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rPr>
              <w:t>NM</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4"/>
                <w:szCs w:val="24"/>
                <w:color w:val="auto"/>
              </w:rPr>
            </w:pPr>
          </w:p>
        </w:tc>
        <w:tc>
          <w:tcPr>
            <w:tcW w:w="800" w:type="dxa"/>
            <w:vAlign w:val="bottom"/>
            <w:gridSpan w:val="2"/>
          </w:tcPr>
          <w:p>
            <w:pPr>
              <w:ind w:left="400"/>
              <w:spacing w:after="0"/>
              <w:rPr>
                <w:sz w:val="20"/>
                <w:szCs w:val="20"/>
                <w:color w:val="auto"/>
              </w:rPr>
            </w:pPr>
            <w:r>
              <w:rPr>
                <w:rFonts w:ascii="Arial" w:cs="Arial" w:eastAsia="Arial" w:hAnsi="Arial"/>
                <w:sz w:val="17"/>
                <w:szCs w:val="17"/>
                <w:color w:val="auto"/>
              </w:rPr>
              <w:t>NM</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1"/>
        </w:trPr>
        <w:tc>
          <w:tcPr>
            <w:tcW w:w="2520" w:type="dxa"/>
            <w:vAlign w:val="bottom"/>
          </w:tcPr>
          <w:p>
            <w:pPr>
              <w:spacing w:after="0"/>
              <w:rPr>
                <w:sz w:val="20"/>
                <w:szCs w:val="20"/>
                <w:color w:val="auto"/>
              </w:rPr>
            </w:pPr>
            <w:r>
              <w:rPr>
                <w:rFonts w:ascii="Arial" w:cs="Arial" w:eastAsia="Arial" w:hAnsi="Arial"/>
                <w:sz w:val="17"/>
                <w:szCs w:val="17"/>
                <w:color w:val="auto"/>
              </w:rPr>
              <w:t>Restaurant margin %</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7"/>
                <w:szCs w:val="17"/>
                <w:color w:val="auto"/>
              </w:rPr>
              <w:t>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9"/>
                <w:szCs w:val="19"/>
                <w:color w:val="auto"/>
              </w:rPr>
            </w:pPr>
          </w:p>
        </w:tc>
        <w:tc>
          <w:tcPr>
            <w:tcW w:w="1300" w:type="dxa"/>
            <w:vAlign w:val="bottom"/>
            <w:gridSpan w:val="4"/>
          </w:tcPr>
          <w:p>
            <w:pPr>
              <w:ind w:left="400"/>
              <w:spacing w:after="0"/>
              <w:rPr>
                <w:sz w:val="20"/>
                <w:szCs w:val="20"/>
                <w:color w:val="auto"/>
              </w:rPr>
            </w:pPr>
            <w:r>
              <w:rPr>
                <w:rFonts w:ascii="Arial" w:cs="Arial" w:eastAsia="Arial" w:hAnsi="Arial"/>
                <w:sz w:val="17"/>
                <w:szCs w:val="17"/>
                <w:color w:val="auto"/>
              </w:rPr>
              <w:t>(4.9) ppts.</w:t>
            </w: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w w:val="96"/>
              </w:rPr>
              <w:t>(4.9) ppts.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14"/>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9"/>
                <w:szCs w:val="19"/>
                <w:color w:val="auto"/>
              </w:rPr>
            </w:pPr>
          </w:p>
        </w:tc>
        <w:tc>
          <w:tcPr>
            <w:tcW w:w="1300" w:type="dxa"/>
            <w:vAlign w:val="bottom"/>
            <w:gridSpan w:val="5"/>
          </w:tcPr>
          <w:p>
            <w:pPr>
              <w:ind w:left="400"/>
              <w:spacing w:after="0"/>
              <w:rPr>
                <w:sz w:val="20"/>
                <w:szCs w:val="20"/>
                <w:color w:val="auto"/>
              </w:rPr>
            </w:pPr>
            <w:r>
              <w:rPr>
                <w:rFonts w:ascii="Arial" w:cs="Arial" w:eastAsia="Arial" w:hAnsi="Arial"/>
                <w:sz w:val="17"/>
                <w:szCs w:val="17"/>
                <w:color w:val="auto"/>
              </w:rPr>
              <w:t>(4.9) ppts.</w:t>
            </w:r>
          </w:p>
        </w:tc>
        <w:tc>
          <w:tcPr>
            <w:tcW w:w="720" w:type="dxa"/>
            <w:vAlign w:val="bottom"/>
          </w:tcPr>
          <w:p>
            <w:pPr>
              <w:jc w:val="right"/>
              <w:spacing w:after="0"/>
              <w:rPr>
                <w:sz w:val="20"/>
                <w:szCs w:val="20"/>
                <w:color w:val="auto"/>
              </w:rPr>
            </w:pPr>
            <w:r>
              <w:rPr>
                <w:rFonts w:ascii="Arial" w:cs="Arial" w:eastAsia="Arial" w:hAnsi="Arial"/>
                <w:sz w:val="17"/>
                <w:szCs w:val="17"/>
                <w:color w:val="auto"/>
              </w:rPr>
              <w:t>(4.9)</w:t>
            </w:r>
          </w:p>
        </w:tc>
        <w:tc>
          <w:tcPr>
            <w:tcW w:w="260" w:type="dxa"/>
            <w:vAlign w:val="bottom"/>
            <w:gridSpan w:val="3"/>
          </w:tcPr>
          <w:p>
            <w:pPr>
              <w:ind w:left="40"/>
              <w:spacing w:after="0"/>
              <w:rPr>
                <w:sz w:val="20"/>
                <w:szCs w:val="20"/>
                <w:color w:val="auto"/>
              </w:rPr>
            </w:pPr>
            <w:r>
              <w:rPr>
                <w:rFonts w:ascii="Arial" w:cs="Arial" w:eastAsia="Arial" w:hAnsi="Arial"/>
                <w:sz w:val="17"/>
                <w:szCs w:val="17"/>
                <w:color w:val="auto"/>
                <w:w w:val="84"/>
              </w:rPr>
              <w:t>ppt</w:t>
            </w:r>
          </w:p>
        </w:tc>
      </w:tr>
      <w:tr>
        <w:trPr>
          <w:trHeight w:val="441"/>
        </w:trPr>
        <w:tc>
          <w:tcPr>
            <w:tcW w:w="2520" w:type="dxa"/>
            <w:vAlign w:val="bottom"/>
          </w:tcPr>
          <w:p>
            <w:pPr>
              <w:spacing w:after="0"/>
              <w:rPr>
                <w:sz w:val="20"/>
                <w:szCs w:val="20"/>
                <w:color w:val="auto"/>
              </w:rPr>
            </w:pPr>
            <w:r>
              <w:rPr>
                <w:rFonts w:ascii="Arial" w:cs="Arial" w:eastAsia="Arial" w:hAnsi="Arial"/>
                <w:sz w:val="17"/>
                <w:szCs w:val="17"/>
                <w:color w:val="auto"/>
              </w:rPr>
              <w:t>G&amp;A expenses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4"/>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4"/>
                <w:szCs w:val="24"/>
                <w:color w:val="auto"/>
              </w:rPr>
            </w:pPr>
          </w:p>
        </w:tc>
        <w:tc>
          <w:tcPr>
            <w:tcW w:w="1300" w:type="dxa"/>
            <w:vAlign w:val="bottom"/>
            <w:gridSpan w:val="4"/>
          </w:tcPr>
          <w:p>
            <w:pPr>
              <w:jc w:val="right"/>
              <w:ind w:right="620"/>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14"/>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16</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(59)</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8"/>
        </w:trPr>
        <w:tc>
          <w:tcPr>
            <w:tcW w:w="2520" w:type="dxa"/>
            <w:vAlign w:val="bottom"/>
          </w:tcPr>
          <w:p>
            <w:pPr>
              <w:spacing w:after="0"/>
              <w:rPr>
                <w:sz w:val="20"/>
                <w:szCs w:val="20"/>
                <w:color w:val="auto"/>
              </w:rPr>
            </w:pPr>
            <w:r>
              <w:rPr>
                <w:rFonts w:ascii="Arial" w:cs="Arial" w:eastAsia="Arial" w:hAnsi="Arial"/>
                <w:sz w:val="17"/>
                <w:szCs w:val="17"/>
                <w:color w:val="auto"/>
              </w:rPr>
              <w:t>Expenses for transactions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2520" w:type="dxa"/>
            <w:vAlign w:val="bottom"/>
          </w:tcPr>
          <w:p>
            <w:pPr>
              <w:ind w:left="180"/>
              <w:spacing w:after="0"/>
              <w:rPr>
                <w:sz w:val="20"/>
                <w:szCs w:val="20"/>
                <w:color w:val="auto"/>
              </w:rPr>
            </w:pPr>
            <w:r>
              <w:rPr>
                <w:rFonts w:ascii="Arial" w:cs="Arial" w:eastAsia="Arial" w:hAnsi="Arial"/>
                <w:sz w:val="17"/>
                <w:szCs w:val="17"/>
                <w:color w:val="auto"/>
              </w:rPr>
              <w:t>with franchisees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252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4</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ind w:right="114"/>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12</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8"/>
        </w:trPr>
        <w:tc>
          <w:tcPr>
            <w:tcW w:w="2520" w:type="dxa"/>
            <w:vAlign w:val="bottom"/>
          </w:tcPr>
          <w:p>
            <w:pPr>
              <w:spacing w:after="0"/>
              <w:rPr>
                <w:sz w:val="20"/>
                <w:szCs w:val="20"/>
                <w:color w:val="auto"/>
              </w:rPr>
            </w:pPr>
            <w:r>
              <w:rPr>
                <w:rFonts w:ascii="Arial" w:cs="Arial" w:eastAsia="Arial" w:hAnsi="Arial"/>
                <w:sz w:val="17"/>
                <w:szCs w:val="17"/>
                <w:color w:val="auto"/>
              </w:rPr>
              <w:t>Other operating costs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2520" w:type="dxa"/>
            <w:vAlign w:val="bottom"/>
          </w:tcPr>
          <w:p>
            <w:pPr>
              <w:ind w:left="180"/>
              <w:spacing w:after="0"/>
              <w:rPr>
                <w:sz w:val="20"/>
                <w:szCs w:val="20"/>
                <w:color w:val="auto"/>
              </w:rPr>
            </w:pPr>
            <w:r>
              <w:rPr>
                <w:rFonts w:ascii="Arial" w:cs="Arial" w:eastAsia="Arial" w:hAnsi="Arial"/>
                <w:sz w:val="17"/>
                <w:szCs w:val="17"/>
                <w:color w:val="auto"/>
              </w:rPr>
              <w:t>and expenses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4"/>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8</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ind w:right="114"/>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214"/>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14</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(27)</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8"/>
        </w:trPr>
        <w:tc>
          <w:tcPr>
            <w:tcW w:w="2520" w:type="dxa"/>
            <w:vAlign w:val="bottom"/>
          </w:tcPr>
          <w:p>
            <w:pPr>
              <w:spacing w:after="0"/>
              <w:rPr>
                <w:sz w:val="20"/>
                <w:szCs w:val="20"/>
                <w:color w:val="auto"/>
              </w:rPr>
            </w:pPr>
            <w:r>
              <w:rPr>
                <w:rFonts w:ascii="Arial" w:cs="Arial" w:eastAsia="Arial" w:hAnsi="Arial"/>
                <w:sz w:val="17"/>
                <w:szCs w:val="17"/>
                <w:color w:val="auto"/>
                <w:w w:val="95"/>
              </w:rPr>
              <w:t>Closure and impairment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0"/>
        </w:trPr>
        <w:tc>
          <w:tcPr>
            <w:tcW w:w="2520" w:type="dxa"/>
            <w:vAlign w:val="bottom"/>
          </w:tcPr>
          <w:p>
            <w:pPr>
              <w:spacing w:after="0"/>
              <w:rPr>
                <w:sz w:val="20"/>
                <w:szCs w:val="20"/>
                <w:color w:val="auto"/>
              </w:rPr>
            </w:pPr>
            <w:r>
              <w:rPr>
                <w:rFonts w:ascii="Arial" w:cs="Arial" w:eastAsia="Arial" w:hAnsi="Arial"/>
                <w:sz w:val="17"/>
                <w:szCs w:val="17"/>
                <w:color w:val="auto"/>
              </w:rPr>
              <w:t>net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300" w:type="dxa"/>
            <w:vAlign w:val="bottom"/>
            <w:gridSpan w:val="4"/>
          </w:tcPr>
          <w:p>
            <w:pPr>
              <w:ind w:left="400"/>
              <w:spacing w:after="0"/>
              <w:rPr>
                <w:sz w:val="20"/>
                <w:szCs w:val="20"/>
                <w:color w:val="auto"/>
              </w:rPr>
            </w:pPr>
            <w:r>
              <w:rPr>
                <w:rFonts w:ascii="Arial" w:cs="Arial" w:eastAsia="Arial" w:hAnsi="Arial"/>
                <w:sz w:val="17"/>
                <w:szCs w:val="17"/>
                <w:color w:val="auto"/>
              </w:rPr>
              <w:t>NM</w:t>
            </w: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rPr>
              <w:t>NM</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74"/>
              <w:spacing w:after="0"/>
              <w:rPr>
                <w:sz w:val="20"/>
                <w:szCs w:val="20"/>
                <w:color w:val="auto"/>
              </w:rPr>
            </w:pPr>
            <w:r>
              <w:rPr>
                <w:rFonts w:ascii="Arial" w:cs="Arial" w:eastAsia="Arial" w:hAnsi="Arial"/>
                <w:sz w:val="17"/>
                <w:szCs w:val="17"/>
                <w:color w:val="auto"/>
              </w:rPr>
              <w:t>1</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(61)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(63)</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2520" w:type="dxa"/>
            <w:vAlign w:val="bottom"/>
          </w:tcPr>
          <w:p>
            <w:pPr>
              <w:spacing w:after="0"/>
              <w:rPr>
                <w:sz w:val="20"/>
                <w:szCs w:val="20"/>
                <w:color w:val="auto"/>
              </w:rPr>
            </w:pPr>
            <w:r>
              <w:rPr>
                <w:rFonts w:ascii="Arial" w:cs="Arial" w:eastAsia="Arial" w:hAnsi="Arial"/>
                <w:sz w:val="17"/>
                <w:szCs w:val="17"/>
                <w:color w:val="auto"/>
              </w:rPr>
              <w:t>Other income, net</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300" w:type="dxa"/>
            <w:vAlign w:val="bottom"/>
            <w:gridSpan w:val="4"/>
          </w:tcPr>
          <w:p>
            <w:pPr>
              <w:ind w:left="400"/>
              <w:spacing w:after="0"/>
              <w:rPr>
                <w:sz w:val="20"/>
                <w:szCs w:val="20"/>
                <w:color w:val="auto"/>
              </w:rPr>
            </w:pPr>
            <w:r>
              <w:rPr>
                <w:rFonts w:ascii="Arial" w:cs="Arial" w:eastAsia="Arial" w:hAnsi="Arial"/>
                <w:sz w:val="17"/>
                <w:szCs w:val="17"/>
                <w:color w:val="auto"/>
              </w:rPr>
              <w:t>NM</w:t>
            </w:r>
          </w:p>
        </w:tc>
        <w:tc>
          <w:tcPr>
            <w:tcW w:w="1100" w:type="dxa"/>
            <w:vAlign w:val="bottom"/>
            <w:gridSpan w:val="3"/>
          </w:tcPr>
          <w:p>
            <w:pPr>
              <w:ind w:left="340"/>
              <w:spacing w:after="0"/>
              <w:rPr>
                <w:sz w:val="20"/>
                <w:szCs w:val="20"/>
                <w:color w:val="auto"/>
              </w:rPr>
            </w:pPr>
            <w:r>
              <w:rPr>
                <w:rFonts w:ascii="Arial" w:cs="Arial" w:eastAsia="Arial" w:hAnsi="Arial"/>
                <w:sz w:val="17"/>
                <w:szCs w:val="17"/>
                <w:color w:val="auto"/>
              </w:rPr>
              <w:t>NM</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4"/>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7"/>
                <w:szCs w:val="17"/>
                <w:color w:val="auto"/>
              </w:rPr>
              <w:t>NM</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NM</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1"/>
        </w:trPr>
        <w:tc>
          <w:tcPr>
            <w:tcW w:w="2520" w:type="dxa"/>
            <w:vAlign w:val="bottom"/>
          </w:tcPr>
          <w:p>
            <w:pPr>
              <w:spacing w:after="0"/>
              <w:rPr>
                <w:sz w:val="20"/>
                <w:szCs w:val="20"/>
                <w:color w:val="auto"/>
              </w:rPr>
            </w:pPr>
            <w:r>
              <w:rPr>
                <w:rFonts w:ascii="Arial" w:cs="Arial" w:eastAsia="Arial" w:hAnsi="Arial"/>
                <w:sz w:val="17"/>
                <w:szCs w:val="17"/>
                <w:color w:val="auto"/>
              </w:rPr>
              <w:t>Operating Loss</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94"/>
              <w:spacing w:after="0"/>
              <w:rPr>
                <w:sz w:val="20"/>
                <w:szCs w:val="20"/>
                <w:color w:val="auto"/>
              </w:rPr>
            </w:pPr>
            <w:r>
              <w:rPr>
                <w:rFonts w:ascii="Arial" w:cs="Arial" w:eastAsia="Arial" w:hAnsi="Arial"/>
                <w:sz w:val="17"/>
                <w:szCs w:val="17"/>
                <w:color w:val="auto"/>
              </w:rPr>
              <w:t>(7)</w:t>
            </w:r>
          </w:p>
        </w:tc>
        <w:tc>
          <w:tcPr>
            <w:tcW w:w="880" w:type="dxa"/>
            <w:vAlign w:val="bottom"/>
            <w:gridSpan w:val="2"/>
          </w:tcPr>
          <w:p>
            <w:pPr>
              <w:jc w:val="right"/>
              <w:ind w:right="14"/>
              <w:spacing w:after="0"/>
              <w:rPr>
                <w:sz w:val="20"/>
                <w:szCs w:val="20"/>
                <w:color w:val="auto"/>
              </w:rPr>
            </w:pPr>
            <w:r>
              <w:rPr>
                <w:rFonts w:ascii="Arial" w:cs="Arial" w:eastAsia="Arial" w:hAnsi="Arial"/>
                <w:sz w:val="17"/>
                <w:szCs w:val="17"/>
                <w:color w:val="auto"/>
              </w:rPr>
              <w:t>28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ind w:right="174"/>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34"/>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94"/>
              <w:spacing w:after="0"/>
              <w:rPr>
                <w:sz w:val="20"/>
                <w:szCs w:val="20"/>
                <w:color w:val="auto"/>
              </w:rPr>
            </w:pPr>
            <w:r>
              <w:rPr>
                <w:rFonts w:ascii="Arial" w:cs="Arial" w:eastAsia="Arial" w:hAnsi="Arial"/>
                <w:sz w:val="17"/>
                <w:szCs w:val="17"/>
                <w:color w:val="auto"/>
              </w:rPr>
              <w:t>(9)</w:t>
            </w:r>
          </w:p>
        </w:tc>
        <w:tc>
          <w:tcPr>
            <w:tcW w:w="880" w:type="dxa"/>
            <w:vAlign w:val="bottom"/>
            <w:gridSpan w:val="3"/>
          </w:tcPr>
          <w:p>
            <w:pPr>
              <w:jc w:val="right"/>
              <w:ind w:right="60"/>
              <w:spacing w:after="0"/>
              <w:rPr>
                <w:sz w:val="20"/>
                <w:szCs w:val="20"/>
                <w:color w:val="auto"/>
              </w:rPr>
            </w:pPr>
            <w:r>
              <w:rPr>
                <w:rFonts w:ascii="Arial" w:cs="Arial" w:eastAsia="Arial" w:hAnsi="Arial"/>
                <w:sz w:val="17"/>
                <w:szCs w:val="17"/>
                <w:color w:val="auto"/>
              </w:rPr>
              <w:t>(74)</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54"/>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7"/>
          </w:tcPr>
          <w:p>
            <w:pPr>
              <w:ind w:left="440"/>
              <w:spacing w:after="0"/>
              <w:rPr>
                <w:sz w:val="20"/>
                <w:szCs w:val="20"/>
                <w:color w:val="auto"/>
              </w:rPr>
            </w:pPr>
            <w:r>
              <w:rPr>
                <w:rFonts w:ascii="Arial" w:cs="Arial" w:eastAsia="Arial" w:hAnsi="Arial"/>
                <w:sz w:val="17"/>
                <w:szCs w:val="17"/>
                <w:color w:val="auto"/>
              </w:rPr>
              <w:t>Quarter Ended</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right"/>
              <w:ind w:right="534"/>
              <w:spacing w:after="0"/>
              <w:rPr>
                <w:sz w:val="20"/>
                <w:szCs w:val="20"/>
                <w:color w:val="auto"/>
              </w:rPr>
            </w:pPr>
            <w:r>
              <w:rPr>
                <w:rFonts w:ascii="Arial" w:cs="Arial" w:eastAsia="Arial" w:hAnsi="Arial"/>
                <w:sz w:val="17"/>
                <w:szCs w:val="17"/>
                <w:color w:val="auto"/>
                <w:w w:val="92"/>
              </w:rPr>
              <w:t>Year to Date Ended</w:t>
            </w: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4"/>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80" w:type="dxa"/>
            <w:vAlign w:val="bottom"/>
            <w:gridSpan w:val="6"/>
          </w:tcPr>
          <w:p>
            <w:pPr>
              <w:jc w:val="right"/>
              <w:ind w:right="274"/>
              <w:spacing w:after="0"/>
              <w:rPr>
                <w:sz w:val="20"/>
                <w:szCs w:val="20"/>
                <w:color w:val="auto"/>
              </w:rPr>
            </w:pPr>
            <w:r>
              <w:rPr>
                <w:rFonts w:ascii="Arial" w:cs="Arial" w:eastAsia="Arial" w:hAnsi="Arial"/>
                <w:sz w:val="17"/>
                <w:szCs w:val="17"/>
                <w:color w:val="auto"/>
              </w:rPr>
              <w:t>9/30/2018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4"/>
              <w:spacing w:after="0"/>
              <w:rPr>
                <w:sz w:val="20"/>
                <w:szCs w:val="20"/>
                <w:color w:val="auto"/>
              </w:rPr>
            </w:pPr>
            <w:r>
              <w:rPr>
                <w:rFonts w:ascii="Arial" w:cs="Arial" w:eastAsia="Arial" w:hAnsi="Arial"/>
                <w:sz w:val="17"/>
                <w:szCs w:val="17"/>
                <w:color w:val="auto"/>
                <w:w w:val="97"/>
              </w:rPr>
              <w:t>9/30/2017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5"/>
          </w:tcPr>
          <w:p>
            <w:pPr>
              <w:jc w:val="right"/>
              <w:ind w:right="294"/>
              <w:spacing w:after="0"/>
              <w:rPr>
                <w:sz w:val="20"/>
                <w:szCs w:val="20"/>
                <w:color w:val="auto"/>
              </w:rPr>
            </w:pPr>
            <w:r>
              <w:rPr>
                <w:rFonts w:ascii="Arial" w:cs="Arial" w:eastAsia="Arial" w:hAnsi="Arial"/>
                <w:sz w:val="17"/>
                <w:szCs w:val="17"/>
                <w:color w:val="auto"/>
              </w:rPr>
              <w:t>9/30/2018</w:t>
            </w:r>
          </w:p>
        </w:tc>
        <w:tc>
          <w:tcPr>
            <w:tcW w:w="100" w:type="dxa"/>
            <w:vAlign w:val="bottom"/>
          </w:tcPr>
          <w:p>
            <w:pPr>
              <w:spacing w:after="0"/>
              <w:rPr>
                <w:sz w:val="18"/>
                <w:szCs w:val="18"/>
                <w:color w:val="auto"/>
              </w:rPr>
            </w:pPr>
          </w:p>
        </w:tc>
        <w:tc>
          <w:tcPr>
            <w:tcW w:w="1220" w:type="dxa"/>
            <w:vAlign w:val="bottom"/>
            <w:gridSpan w:val="4"/>
          </w:tcPr>
          <w:p>
            <w:pPr>
              <w:jc w:val="right"/>
              <w:ind w:right="94"/>
              <w:spacing w:after="0"/>
              <w:rPr>
                <w:sz w:val="20"/>
                <w:szCs w:val="20"/>
                <w:color w:val="auto"/>
              </w:rPr>
            </w:pPr>
            <w:r>
              <w:rPr>
                <w:rFonts w:ascii="Arial" w:cs="Arial" w:eastAsia="Arial" w:hAnsi="Arial"/>
                <w:sz w:val="17"/>
                <w:szCs w:val="17"/>
                <w:color w:val="auto"/>
              </w:rPr>
              <w:t>9/30/2017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2520" w:type="dxa"/>
            <w:vAlign w:val="bottom"/>
          </w:tcPr>
          <w:p>
            <w:pPr>
              <w:spacing w:after="0"/>
              <w:rPr>
                <w:sz w:val="20"/>
                <w:szCs w:val="20"/>
                <w:color w:val="auto"/>
              </w:rPr>
            </w:pPr>
            <w:r>
              <w:rPr>
                <w:rFonts w:ascii="Arial" w:cs="Arial" w:eastAsia="Arial" w:hAnsi="Arial"/>
                <w:sz w:val="17"/>
                <w:szCs w:val="17"/>
                <w:color w:val="auto"/>
              </w:rPr>
              <w:t>Same-Store Sales Decline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right"/>
              <w:ind w:right="54"/>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5"/>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0"/>
        </w:trPr>
        <w:tc>
          <w:tcPr>
            <w:tcW w:w="2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520"/>
          </w:cols>
          <w:pgMar w:left="240" w:top="542" w:right="139" w:bottom="1440" w:gutter="0" w:footer="0" w:header="0"/>
        </w:sectPr>
      </w:pPr>
    </w:p>
    <w:bookmarkStart w:id="28" w:name="page29"/>
    <w:bookmarkEnd w:id="28"/>
    <w:p>
      <w:pPr>
        <w:jc w:val="both"/>
        <w:spacing w:after="0" w:line="285" w:lineRule="auto"/>
        <w:rPr>
          <w:sz w:val="20"/>
          <w:szCs w:val="20"/>
          <w:color w:val="auto"/>
        </w:rPr>
      </w:pPr>
      <w:r>
        <w:rPr>
          <w:rFonts w:ascii="Arial" w:cs="Arial" w:eastAsia="Arial" w:hAnsi="Arial"/>
          <w:sz w:val="17"/>
          <w:szCs w:val="17"/>
          <w:color w:val="auto"/>
        </w:rPr>
        <w:t>The quarter and year to date decreases in Company sales, excluding the impact of F/X, were primarily driven by unit closures and refranchising of Little Sheep units.</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year to date increase in G&amp;A expenses was primarily due to G&amp;A expenses incurred by Daojia, which was acquired by the Company during the second quarter of 2017.</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500" w:type="dxa"/>
            <w:vAlign w:val="bottom"/>
          </w:tcPr>
          <w:p>
            <w:pPr>
              <w:spacing w:after="0"/>
              <w:rPr>
                <w:sz w:val="20"/>
                <w:szCs w:val="20"/>
                <w:color w:val="auto"/>
              </w:rPr>
            </w:pPr>
            <w:r>
              <w:rPr>
                <w:rFonts w:ascii="Arial" w:cs="Arial" w:eastAsia="Arial" w:hAnsi="Arial"/>
                <w:sz w:val="17"/>
                <w:szCs w:val="17"/>
                <w:b w:val="1"/>
                <w:bCs w:val="1"/>
                <w:i w:val="1"/>
                <w:iCs w:val="1"/>
                <w:color w:val="auto"/>
              </w:rPr>
              <w:t>Corporate and Unallocated</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1"/>
        </w:trPr>
        <w:tc>
          <w:tcPr>
            <w:tcW w:w="2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5"/>
          </w:tcPr>
          <w:p>
            <w:pPr>
              <w:ind w:left="40"/>
              <w:spacing w:after="0"/>
              <w:rPr>
                <w:sz w:val="20"/>
                <w:szCs w:val="20"/>
                <w:color w:val="auto"/>
              </w:rPr>
            </w:pPr>
            <w:r>
              <w:rPr>
                <w:rFonts w:ascii="Arial" w:cs="Arial" w:eastAsia="Arial" w:hAnsi="Arial"/>
                <w:sz w:val="17"/>
                <w:szCs w:val="17"/>
                <w:color w:val="auto"/>
              </w:rPr>
              <w:t>Quarter Ended</w:t>
            </w:r>
          </w:p>
        </w:tc>
        <w:tc>
          <w:tcPr>
            <w:tcW w:w="10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7"/>
                <w:szCs w:val="17"/>
                <w:color w:val="auto"/>
                <w:w w:val="99"/>
              </w:rPr>
              <w:t>Year to Date Ended</w:t>
            </w:r>
          </w:p>
        </w:tc>
        <w:tc>
          <w:tcPr>
            <w:tcW w:w="1040" w:type="dxa"/>
            <w:vAlign w:val="bottom"/>
            <w:tcBorders>
              <w:bottom w:val="single" w:sz="8" w:color="auto"/>
            </w:tcBorders>
          </w:tcPr>
          <w:p>
            <w:pPr>
              <w:spacing w:after="0"/>
              <w:rPr>
                <w:sz w:val="19"/>
                <w:szCs w:val="19"/>
                <w:color w:val="auto"/>
              </w:rPr>
            </w:pPr>
          </w:p>
        </w:tc>
      </w:tr>
      <w:tr>
        <w:trPr>
          <w:trHeight w:val="214"/>
        </w:trPr>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Borders>
              <w:bottom w:val="single" w:sz="8" w:color="auto"/>
            </w:tcBorders>
            <w:gridSpan w:val="2"/>
          </w:tcPr>
          <w:p>
            <w:pPr>
              <w:jc w:val="right"/>
              <w:ind w:right="774"/>
              <w:spacing w:after="0"/>
              <w:rPr>
                <w:sz w:val="20"/>
                <w:szCs w:val="20"/>
                <w:color w:val="auto"/>
              </w:rPr>
            </w:pPr>
            <w:r>
              <w:rPr>
                <w:rFonts w:ascii="Arial" w:cs="Arial" w:eastAsia="Arial" w:hAnsi="Arial"/>
                <w:sz w:val="17"/>
                <w:szCs w:val="17"/>
                <w:color w:val="auto"/>
              </w:rPr>
              <w:t>% B/(W)</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Borders>
              <w:bottom w:val="single" w:sz="8" w:color="auto"/>
            </w:tcBorders>
            <w:gridSpan w:val="2"/>
          </w:tcPr>
          <w:p>
            <w:pPr>
              <w:jc w:val="right"/>
              <w:ind w:right="794"/>
              <w:spacing w:after="0"/>
              <w:rPr>
                <w:sz w:val="20"/>
                <w:szCs w:val="20"/>
                <w:color w:val="auto"/>
              </w:rPr>
            </w:pPr>
            <w:r>
              <w:rPr>
                <w:rFonts w:ascii="Arial" w:cs="Arial" w:eastAsia="Arial" w:hAnsi="Arial"/>
                <w:sz w:val="17"/>
                <w:szCs w:val="17"/>
                <w:color w:val="auto"/>
              </w:rPr>
              <w:t>% B/(W)</w:t>
            </w:r>
          </w:p>
        </w:tc>
      </w:tr>
      <w:tr>
        <w:trPr>
          <w:trHeight w:val="214"/>
        </w:trPr>
        <w:tc>
          <w:tcPr>
            <w:tcW w:w="2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95"/>
              </w:rPr>
              <w:t>9/30/2018</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5"/>
              </w:rPr>
              <w:t>9/30/2017</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w w:val="97"/>
              </w:rPr>
              <w:t>Reported</w:t>
            </w: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Ex F/X</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92"/>
              </w:rPr>
              <w:t>9/30/2018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w w:val="95"/>
              </w:rPr>
              <w:t>9/30/2017</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97"/>
              </w:rPr>
              <w:t>Reported</w:t>
            </w:r>
          </w:p>
        </w:tc>
        <w:tc>
          <w:tcPr>
            <w:tcW w:w="10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Ex F/X</w:t>
            </w:r>
          </w:p>
        </w:tc>
      </w:tr>
      <w:tr>
        <w:trPr>
          <w:trHeight w:val="201"/>
        </w:trPr>
        <w:tc>
          <w:tcPr>
            <w:tcW w:w="2500" w:type="dxa"/>
            <w:vAlign w:val="bottom"/>
          </w:tcPr>
          <w:p>
            <w:pPr>
              <w:spacing w:after="0"/>
              <w:rPr>
                <w:sz w:val="20"/>
                <w:szCs w:val="20"/>
                <w:color w:val="auto"/>
              </w:rPr>
            </w:pPr>
            <w:r>
              <w:rPr>
                <w:rFonts w:ascii="Arial" w:cs="Arial" w:eastAsia="Arial" w:hAnsi="Arial"/>
                <w:sz w:val="17"/>
                <w:szCs w:val="17"/>
                <w:color w:val="auto"/>
              </w:rPr>
              <w:t>Revenues from transactions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8"/>
        </w:trPr>
        <w:tc>
          <w:tcPr>
            <w:tcW w:w="2500" w:type="dxa"/>
            <w:vAlign w:val="bottom"/>
          </w:tcPr>
          <w:p>
            <w:pPr>
              <w:ind w:left="180"/>
              <w:spacing w:after="0"/>
              <w:rPr>
                <w:sz w:val="20"/>
                <w:szCs w:val="20"/>
                <w:color w:val="auto"/>
              </w:rPr>
            </w:pPr>
            <w:r>
              <w:rPr>
                <w:rFonts w:ascii="Arial" w:cs="Arial" w:eastAsia="Arial" w:hAnsi="Arial"/>
                <w:sz w:val="17"/>
                <w:szCs w:val="17"/>
                <w:color w:val="auto"/>
              </w:rPr>
              <w:t>with franchisees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250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1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136</w:t>
            </w:r>
          </w:p>
        </w:tc>
        <w:tc>
          <w:tcPr>
            <w:tcW w:w="280" w:type="dxa"/>
            <w:vAlign w:val="bottom"/>
            <w:gridSpan w:val="3"/>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1</w:t>
            </w: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4</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395</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174"/>
              <w:spacing w:after="0"/>
              <w:rPr>
                <w:sz w:val="20"/>
                <w:szCs w:val="20"/>
                <w:color w:val="auto"/>
              </w:rPr>
            </w:pPr>
            <w:r>
              <w:rPr>
                <w:rFonts w:ascii="Arial" w:cs="Arial" w:eastAsia="Arial" w:hAnsi="Arial"/>
                <w:sz w:val="17"/>
                <w:szCs w:val="17"/>
                <w:color w:val="auto"/>
              </w:rPr>
              <w:t>382</w:t>
            </w:r>
          </w:p>
        </w:tc>
        <w:tc>
          <w:tcPr>
            <w:tcW w:w="80" w:type="dxa"/>
            <w:vAlign w:val="bottom"/>
          </w:tcPr>
          <w:p>
            <w:pPr>
              <w:spacing w:after="0"/>
              <w:rPr>
                <w:sz w:val="19"/>
                <w:szCs w:val="19"/>
                <w:color w:val="auto"/>
              </w:rPr>
            </w:pPr>
          </w:p>
        </w:tc>
        <w:tc>
          <w:tcPr>
            <w:tcW w:w="1100" w:type="dxa"/>
            <w:vAlign w:val="bottom"/>
          </w:tcPr>
          <w:p>
            <w:pPr>
              <w:jc w:val="right"/>
              <w:ind w:right="234"/>
              <w:spacing w:after="0"/>
              <w:rPr>
                <w:sz w:val="20"/>
                <w:szCs w:val="20"/>
                <w:color w:val="auto"/>
              </w:rPr>
            </w:pPr>
            <w:r>
              <w:rPr>
                <w:rFonts w:ascii="Arial" w:cs="Arial" w:eastAsia="Arial" w:hAnsi="Arial"/>
                <w:sz w:val="17"/>
                <w:szCs w:val="17"/>
                <w:color w:val="auto"/>
              </w:rPr>
              <w:t>4</w:t>
            </w: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w:t>
            </w:r>
          </w:p>
        </w:tc>
      </w:tr>
      <w:tr>
        <w:trPr>
          <w:trHeight w:val="221"/>
        </w:trPr>
        <w:tc>
          <w:tcPr>
            <w:tcW w:w="2500" w:type="dxa"/>
            <w:vAlign w:val="bottom"/>
          </w:tcPr>
          <w:p>
            <w:pPr>
              <w:spacing w:after="0"/>
              <w:rPr>
                <w:sz w:val="20"/>
                <w:szCs w:val="20"/>
                <w:color w:val="auto"/>
              </w:rPr>
            </w:pPr>
            <w:r>
              <w:rPr>
                <w:rFonts w:ascii="Arial" w:cs="Arial" w:eastAsia="Arial" w:hAnsi="Arial"/>
                <w:sz w:val="17"/>
                <w:szCs w:val="17"/>
                <w:color w:val="auto"/>
              </w:rPr>
              <w:t>Other revenue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NM</w:t>
            </w: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34"/>
              <w:spacing w:after="0"/>
              <w:rPr>
                <w:sz w:val="20"/>
                <w:szCs w:val="20"/>
                <w:color w:val="auto"/>
              </w:rPr>
            </w:pPr>
            <w:r>
              <w:rPr>
                <w:rFonts w:ascii="Arial" w:cs="Arial" w:eastAsia="Arial" w:hAnsi="Arial"/>
                <w:sz w:val="17"/>
                <w:szCs w:val="17"/>
                <w:color w:val="auto"/>
              </w:rPr>
              <w:t>NM</w:t>
            </w: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NM</w:t>
            </w:r>
          </w:p>
        </w:tc>
      </w:tr>
      <w:tr>
        <w:trPr>
          <w:trHeight w:val="208"/>
        </w:trPr>
        <w:tc>
          <w:tcPr>
            <w:tcW w:w="2500" w:type="dxa"/>
            <w:vAlign w:val="bottom"/>
          </w:tcPr>
          <w:p>
            <w:pPr>
              <w:spacing w:after="0"/>
              <w:rPr>
                <w:sz w:val="20"/>
                <w:szCs w:val="20"/>
                <w:color w:val="auto"/>
              </w:rPr>
            </w:pPr>
            <w:r>
              <w:rPr>
                <w:rFonts w:ascii="Arial" w:cs="Arial" w:eastAsia="Arial" w:hAnsi="Arial"/>
                <w:sz w:val="17"/>
                <w:szCs w:val="17"/>
                <w:color w:val="auto"/>
              </w:rPr>
              <w:t>Expenses for transactions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8"/>
        </w:trPr>
        <w:tc>
          <w:tcPr>
            <w:tcW w:w="2500" w:type="dxa"/>
            <w:vAlign w:val="bottom"/>
          </w:tcPr>
          <w:p>
            <w:pPr>
              <w:ind w:left="180"/>
              <w:spacing w:after="0"/>
              <w:rPr>
                <w:sz w:val="20"/>
                <w:szCs w:val="20"/>
                <w:color w:val="auto"/>
              </w:rPr>
            </w:pPr>
            <w:r>
              <w:rPr>
                <w:rFonts w:ascii="Arial" w:cs="Arial" w:eastAsia="Arial" w:hAnsi="Arial"/>
                <w:sz w:val="17"/>
                <w:szCs w:val="17"/>
                <w:color w:val="auto"/>
              </w:rPr>
              <w:t>with franchisees and</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2500" w:type="dxa"/>
            <w:vAlign w:val="bottom"/>
          </w:tcPr>
          <w:p>
            <w:pPr>
              <w:ind w:left="180"/>
              <w:spacing w:after="0"/>
              <w:rPr>
                <w:sz w:val="20"/>
                <w:szCs w:val="20"/>
                <w:color w:val="auto"/>
              </w:rPr>
            </w:pPr>
            <w:r>
              <w:rPr>
                <w:rFonts w:ascii="Arial" w:cs="Arial" w:eastAsia="Arial" w:hAnsi="Arial"/>
                <w:sz w:val="17"/>
                <w:szCs w:val="17"/>
                <w:color w:val="auto"/>
              </w:rPr>
              <w:t>unconsolidated affiliates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135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1</w:t>
            </w:r>
          </w:p>
        </w:tc>
        <w:tc>
          <w:tcPr>
            <w:tcW w:w="1020" w:type="dxa"/>
            <w:vAlign w:val="bottom"/>
          </w:tcPr>
          <w:p>
            <w:pPr>
              <w:jc w:val="right"/>
              <w:ind w:right="94"/>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392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74"/>
              <w:spacing w:after="0"/>
              <w:rPr>
                <w:sz w:val="20"/>
                <w:szCs w:val="20"/>
                <w:color w:val="auto"/>
              </w:rPr>
            </w:pPr>
            <w:r>
              <w:rPr>
                <w:rFonts w:ascii="Arial" w:cs="Arial" w:eastAsia="Arial" w:hAnsi="Arial"/>
                <w:sz w:val="17"/>
                <w:szCs w:val="17"/>
                <w:color w:val="auto"/>
              </w:rPr>
              <w:t>379</w:t>
            </w:r>
          </w:p>
        </w:tc>
        <w:tc>
          <w:tcPr>
            <w:tcW w:w="80" w:type="dxa"/>
            <w:vAlign w:val="bottom"/>
          </w:tcPr>
          <w:p>
            <w:pPr>
              <w:spacing w:after="0"/>
              <w:rPr>
                <w:sz w:val="19"/>
                <w:szCs w:val="19"/>
                <w:color w:val="auto"/>
              </w:rPr>
            </w:pPr>
          </w:p>
        </w:tc>
        <w:tc>
          <w:tcPr>
            <w:tcW w:w="1100" w:type="dxa"/>
            <w:vAlign w:val="bottom"/>
          </w:tcPr>
          <w:p>
            <w:pPr>
              <w:jc w:val="right"/>
              <w:ind w:right="174"/>
              <w:spacing w:after="0"/>
              <w:rPr>
                <w:sz w:val="20"/>
                <w:szCs w:val="20"/>
                <w:color w:val="auto"/>
              </w:rPr>
            </w:pPr>
            <w:r>
              <w:rPr>
                <w:rFonts w:ascii="Arial" w:cs="Arial" w:eastAsia="Arial" w:hAnsi="Arial"/>
                <w:sz w:val="17"/>
                <w:szCs w:val="17"/>
                <w:color w:val="auto"/>
              </w:rPr>
              <w:t>(3)</w:t>
            </w: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w:t>
            </w:r>
          </w:p>
        </w:tc>
      </w:tr>
      <w:tr>
        <w:trPr>
          <w:trHeight w:val="221"/>
        </w:trPr>
        <w:tc>
          <w:tcPr>
            <w:tcW w:w="2500" w:type="dxa"/>
            <w:vAlign w:val="bottom"/>
          </w:tcPr>
          <w:p>
            <w:pPr>
              <w:spacing w:after="0"/>
              <w:rPr>
                <w:sz w:val="20"/>
                <w:szCs w:val="20"/>
                <w:color w:val="auto"/>
              </w:rPr>
            </w:pPr>
            <w:r>
              <w:rPr>
                <w:rFonts w:ascii="Arial" w:cs="Arial" w:eastAsia="Arial" w:hAnsi="Arial"/>
                <w:sz w:val="17"/>
                <w:szCs w:val="17"/>
                <w:color w:val="auto"/>
                <w:w w:val="90"/>
              </w:rPr>
              <w:t>Other operating costs and expenses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NM</w:t>
            </w: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34"/>
              <w:spacing w:after="0"/>
              <w:rPr>
                <w:sz w:val="20"/>
                <w:szCs w:val="20"/>
                <w:color w:val="auto"/>
              </w:rPr>
            </w:pPr>
            <w:r>
              <w:rPr>
                <w:rFonts w:ascii="Arial" w:cs="Arial" w:eastAsia="Arial" w:hAnsi="Arial"/>
                <w:sz w:val="17"/>
                <w:szCs w:val="17"/>
                <w:color w:val="auto"/>
              </w:rPr>
              <w:t>NM</w:t>
            </w: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NM</w:t>
            </w:r>
          </w:p>
        </w:tc>
      </w:tr>
      <w:tr>
        <w:trPr>
          <w:trHeight w:val="221"/>
        </w:trPr>
        <w:tc>
          <w:tcPr>
            <w:tcW w:w="2500" w:type="dxa"/>
            <w:vAlign w:val="bottom"/>
          </w:tcPr>
          <w:p>
            <w:pPr>
              <w:spacing w:after="0"/>
              <w:rPr>
                <w:sz w:val="20"/>
                <w:szCs w:val="20"/>
                <w:color w:val="auto"/>
              </w:rPr>
            </w:pPr>
            <w:r>
              <w:rPr>
                <w:rFonts w:ascii="Arial" w:cs="Arial" w:eastAsia="Arial" w:hAnsi="Arial"/>
                <w:sz w:val="17"/>
                <w:szCs w:val="17"/>
                <w:color w:val="auto"/>
              </w:rPr>
              <w:t>Corporate G&amp;A expenses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3</w:t>
            </w: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74"/>
              <w:spacing w:after="0"/>
              <w:rPr>
                <w:sz w:val="20"/>
                <w:szCs w:val="20"/>
                <w:color w:val="auto"/>
              </w:rPr>
            </w:pPr>
            <w:r>
              <w:rPr>
                <w:rFonts w:ascii="Arial" w:cs="Arial" w:eastAsia="Arial" w:hAnsi="Arial"/>
                <w:sz w:val="17"/>
                <w:szCs w:val="17"/>
                <w:color w:val="auto"/>
              </w:rPr>
              <w:t>124</w:t>
            </w:r>
          </w:p>
        </w:tc>
        <w:tc>
          <w:tcPr>
            <w:tcW w:w="80" w:type="dxa"/>
            <w:vAlign w:val="bottom"/>
          </w:tcPr>
          <w:p>
            <w:pPr>
              <w:spacing w:after="0"/>
              <w:rPr>
                <w:sz w:val="19"/>
                <w:szCs w:val="19"/>
                <w:color w:val="auto"/>
              </w:rPr>
            </w:pPr>
          </w:p>
        </w:tc>
        <w:tc>
          <w:tcPr>
            <w:tcW w:w="1100" w:type="dxa"/>
            <w:vAlign w:val="bottom"/>
          </w:tcPr>
          <w:p>
            <w:pPr>
              <w:jc w:val="right"/>
              <w:ind w:right="234"/>
              <w:spacing w:after="0"/>
              <w:rPr>
                <w:sz w:val="20"/>
                <w:szCs w:val="20"/>
                <w:color w:val="auto"/>
              </w:rPr>
            </w:pPr>
            <w:r>
              <w:rPr>
                <w:rFonts w:ascii="Arial" w:cs="Arial" w:eastAsia="Arial" w:hAnsi="Arial"/>
                <w:sz w:val="17"/>
                <w:szCs w:val="17"/>
                <w:color w:val="auto"/>
              </w:rPr>
              <w:t>24</w:t>
            </w: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26</w:t>
            </w:r>
          </w:p>
        </w:tc>
      </w:tr>
      <w:tr>
        <w:trPr>
          <w:trHeight w:val="221"/>
        </w:trPr>
        <w:tc>
          <w:tcPr>
            <w:tcW w:w="2500" w:type="dxa"/>
            <w:vAlign w:val="bottom"/>
          </w:tcPr>
          <w:p>
            <w:pPr>
              <w:spacing w:after="0"/>
              <w:rPr>
                <w:sz w:val="20"/>
                <w:szCs w:val="20"/>
                <w:color w:val="auto"/>
              </w:rPr>
            </w:pPr>
            <w:r>
              <w:rPr>
                <w:rFonts w:ascii="Arial" w:cs="Arial" w:eastAsia="Arial" w:hAnsi="Arial"/>
                <w:sz w:val="17"/>
                <w:szCs w:val="17"/>
                <w:color w:val="auto"/>
                <w:w w:val="95"/>
              </w:rPr>
              <w:t>Other loss (income) (See Note 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NM</w:t>
            </w: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NM</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94"/>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9"/>
                <w:szCs w:val="19"/>
                <w:color w:val="auto"/>
              </w:rPr>
            </w:pPr>
          </w:p>
        </w:tc>
        <w:tc>
          <w:tcPr>
            <w:tcW w:w="1100" w:type="dxa"/>
            <w:vAlign w:val="bottom"/>
          </w:tcPr>
          <w:p>
            <w:pPr>
              <w:jc w:val="right"/>
              <w:ind w:right="234"/>
              <w:spacing w:after="0"/>
              <w:rPr>
                <w:sz w:val="20"/>
                <w:szCs w:val="20"/>
                <w:color w:val="auto"/>
              </w:rPr>
            </w:pPr>
            <w:r>
              <w:rPr>
                <w:rFonts w:ascii="Arial" w:cs="Arial" w:eastAsia="Arial" w:hAnsi="Arial"/>
                <w:sz w:val="17"/>
                <w:szCs w:val="17"/>
                <w:color w:val="auto"/>
              </w:rPr>
              <w:t>NM</w:t>
            </w: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NM</w:t>
            </w:r>
          </w:p>
        </w:tc>
      </w:tr>
      <w:tr>
        <w:trPr>
          <w:trHeight w:val="221"/>
        </w:trPr>
        <w:tc>
          <w:tcPr>
            <w:tcW w:w="2500" w:type="dxa"/>
            <w:vAlign w:val="bottom"/>
          </w:tcPr>
          <w:p>
            <w:pPr>
              <w:spacing w:after="0"/>
              <w:rPr>
                <w:sz w:val="20"/>
                <w:szCs w:val="20"/>
                <w:color w:val="auto"/>
              </w:rPr>
            </w:pPr>
            <w:r>
              <w:rPr>
                <w:rFonts w:ascii="Arial" w:cs="Arial" w:eastAsia="Arial" w:hAnsi="Arial"/>
                <w:sz w:val="17"/>
                <w:szCs w:val="17"/>
                <w:color w:val="auto"/>
              </w:rPr>
              <w:t>Interest and other income, net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94"/>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34</w:t>
            </w: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54"/>
              <w:spacing w:after="0"/>
              <w:rPr>
                <w:sz w:val="20"/>
                <w:szCs w:val="20"/>
                <w:color w:val="auto"/>
              </w:rPr>
            </w:pPr>
            <w:r>
              <w:rPr>
                <w:rFonts w:ascii="Arial" w:cs="Arial" w:eastAsia="Arial" w:hAnsi="Arial"/>
                <w:sz w:val="17"/>
                <w:szCs w:val="17"/>
                <w:color w:val="auto"/>
              </w:rPr>
              <w:t>28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74"/>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1100" w:type="dxa"/>
            <w:vAlign w:val="bottom"/>
          </w:tcPr>
          <w:p>
            <w:pPr>
              <w:jc w:val="right"/>
              <w:ind w:right="234"/>
              <w:spacing w:after="0"/>
              <w:rPr>
                <w:sz w:val="20"/>
                <w:szCs w:val="20"/>
                <w:color w:val="auto"/>
              </w:rPr>
            </w:pPr>
            <w:r>
              <w:rPr>
                <w:rFonts w:ascii="Arial" w:cs="Arial" w:eastAsia="Arial" w:hAnsi="Arial"/>
                <w:sz w:val="17"/>
                <w:szCs w:val="17"/>
                <w:color w:val="auto"/>
              </w:rPr>
              <w:t>76</w:t>
            </w: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69</w:t>
            </w:r>
          </w:p>
        </w:tc>
      </w:tr>
      <w:tr>
        <w:trPr>
          <w:trHeight w:val="208"/>
        </w:trPr>
        <w:tc>
          <w:tcPr>
            <w:tcW w:w="2500" w:type="dxa"/>
            <w:vAlign w:val="bottom"/>
          </w:tcPr>
          <w:p>
            <w:pPr>
              <w:spacing w:after="0"/>
              <w:rPr>
                <w:sz w:val="20"/>
                <w:szCs w:val="20"/>
                <w:color w:val="auto"/>
              </w:rPr>
            </w:pPr>
            <w:r>
              <w:rPr>
                <w:rFonts w:ascii="Arial" w:cs="Arial" w:eastAsia="Arial" w:hAnsi="Arial"/>
                <w:sz w:val="17"/>
                <w:szCs w:val="17"/>
                <w:color w:val="auto"/>
              </w:rPr>
              <w:t>Income tax provision (See Note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2500" w:type="dxa"/>
            <w:vAlign w:val="bottom"/>
          </w:tcPr>
          <w:p>
            <w:pPr>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4"/>
              <w:spacing w:after="0"/>
              <w:rPr>
                <w:sz w:val="20"/>
                <w:szCs w:val="20"/>
                <w:color w:val="auto"/>
              </w:rPr>
            </w:pPr>
            <w:r>
              <w:rPr>
                <w:rFonts w:ascii="Arial" w:cs="Arial" w:eastAsia="Arial" w:hAnsi="Arial"/>
                <w:sz w:val="17"/>
                <w:szCs w:val="17"/>
                <w:color w:val="auto"/>
              </w:rPr>
              <w:t>(67)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(87)</w:t>
            </w:r>
          </w:p>
        </w:tc>
        <w:tc>
          <w:tcPr>
            <w:tcW w:w="100" w:type="dxa"/>
            <w:vAlign w:val="bottom"/>
          </w:tcPr>
          <w:p>
            <w:pPr>
              <w:spacing w:after="0"/>
              <w:rPr>
                <w:sz w:val="19"/>
                <w:szCs w:val="19"/>
                <w:color w:val="auto"/>
              </w:rPr>
            </w:pPr>
          </w:p>
        </w:tc>
        <w:tc>
          <w:tcPr>
            <w:tcW w:w="1060" w:type="dxa"/>
            <w:vAlign w:val="bottom"/>
          </w:tcPr>
          <w:p>
            <w:pPr>
              <w:jc w:val="right"/>
              <w:ind w:right="214"/>
              <w:spacing w:after="0"/>
              <w:rPr>
                <w:sz w:val="20"/>
                <w:szCs w:val="20"/>
                <w:color w:val="auto"/>
              </w:rPr>
            </w:pPr>
            <w:r>
              <w:rPr>
                <w:rFonts w:ascii="Arial" w:cs="Arial" w:eastAsia="Arial" w:hAnsi="Arial"/>
                <w:sz w:val="17"/>
                <w:szCs w:val="17"/>
                <w:color w:val="auto"/>
              </w:rPr>
              <w:t>22</w:t>
            </w:r>
          </w:p>
        </w:tc>
        <w:tc>
          <w:tcPr>
            <w:tcW w:w="1020" w:type="dxa"/>
            <w:vAlign w:val="bottom"/>
          </w:tcPr>
          <w:p>
            <w:pPr>
              <w:jc w:val="right"/>
              <w:ind w:right="154"/>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94"/>
              <w:spacing w:after="0"/>
              <w:rPr>
                <w:sz w:val="20"/>
                <w:szCs w:val="20"/>
                <w:color w:val="auto"/>
              </w:rPr>
            </w:pPr>
            <w:r>
              <w:rPr>
                <w:rFonts w:ascii="Arial" w:cs="Arial" w:eastAsia="Arial" w:hAnsi="Arial"/>
                <w:sz w:val="17"/>
                <w:szCs w:val="17"/>
                <w:color w:val="auto"/>
              </w:rPr>
              <w:t>(227)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94"/>
              <w:spacing w:after="0"/>
              <w:rPr>
                <w:sz w:val="20"/>
                <w:szCs w:val="20"/>
                <w:color w:val="auto"/>
              </w:rPr>
            </w:pPr>
            <w:r>
              <w:rPr>
                <w:rFonts w:ascii="Arial" w:cs="Arial" w:eastAsia="Arial" w:hAnsi="Arial"/>
                <w:sz w:val="17"/>
                <w:szCs w:val="17"/>
                <w:color w:val="auto"/>
              </w:rPr>
              <w:t>(220)</w:t>
            </w:r>
          </w:p>
        </w:tc>
        <w:tc>
          <w:tcPr>
            <w:tcW w:w="80" w:type="dxa"/>
            <w:vAlign w:val="bottom"/>
          </w:tcPr>
          <w:p>
            <w:pPr>
              <w:spacing w:after="0"/>
              <w:rPr>
                <w:sz w:val="19"/>
                <w:szCs w:val="19"/>
                <w:color w:val="auto"/>
              </w:rPr>
            </w:pPr>
          </w:p>
        </w:tc>
        <w:tc>
          <w:tcPr>
            <w:tcW w:w="1100" w:type="dxa"/>
            <w:vAlign w:val="bottom"/>
          </w:tcPr>
          <w:p>
            <w:pPr>
              <w:jc w:val="right"/>
              <w:ind w:right="174"/>
              <w:spacing w:after="0"/>
              <w:rPr>
                <w:sz w:val="20"/>
                <w:szCs w:val="20"/>
                <w:color w:val="auto"/>
              </w:rPr>
            </w:pPr>
            <w:r>
              <w:rPr>
                <w:rFonts w:ascii="Arial" w:cs="Arial" w:eastAsia="Arial" w:hAnsi="Arial"/>
                <w:sz w:val="17"/>
                <w:szCs w:val="17"/>
                <w:color w:val="auto"/>
              </w:rPr>
              <w:t>(4)</w:t>
            </w:r>
          </w:p>
        </w:tc>
        <w:tc>
          <w:tcPr>
            <w:tcW w:w="1040" w:type="dxa"/>
            <w:vAlign w:val="bottom"/>
          </w:tcPr>
          <w:p>
            <w:pPr>
              <w:jc w:val="right"/>
              <w:ind w:right="174"/>
              <w:spacing w:after="0"/>
              <w:rPr>
                <w:sz w:val="20"/>
                <w:szCs w:val="20"/>
                <w:color w:val="auto"/>
              </w:rPr>
            </w:pPr>
            <w:r>
              <w:rPr>
                <w:rFonts w:ascii="Arial" w:cs="Arial" w:eastAsia="Arial" w:hAnsi="Arial"/>
                <w:sz w:val="17"/>
                <w:szCs w:val="17"/>
                <w:color w:val="auto"/>
              </w:rPr>
              <w:t>1</w:t>
            </w:r>
          </w:p>
        </w:tc>
      </w:tr>
      <w:tr>
        <w:trPr>
          <w:trHeight w:val="221"/>
        </w:trPr>
        <w:tc>
          <w:tcPr>
            <w:tcW w:w="2500" w:type="dxa"/>
            <w:vAlign w:val="bottom"/>
          </w:tcPr>
          <w:p>
            <w:pPr>
              <w:spacing w:after="0"/>
              <w:rPr>
                <w:sz w:val="20"/>
                <w:szCs w:val="20"/>
                <w:color w:val="auto"/>
              </w:rPr>
            </w:pPr>
            <w:r>
              <w:rPr>
                <w:rFonts w:ascii="Arial" w:cs="Arial" w:eastAsia="Arial" w:hAnsi="Arial"/>
                <w:sz w:val="17"/>
                <w:szCs w:val="17"/>
                <w:color w:val="auto"/>
              </w:rPr>
              <w:t>Effective tax rate (See Note 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7.7%</w:t>
            </w:r>
          </w:p>
        </w:tc>
        <w:tc>
          <w:tcPr>
            <w:tcW w:w="10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14"/>
              <w:spacing w:after="0"/>
              <w:rPr>
                <w:sz w:val="20"/>
                <w:szCs w:val="20"/>
                <w:color w:val="auto"/>
              </w:rPr>
            </w:pPr>
            <w:r>
              <w:rPr>
                <w:rFonts w:ascii="Arial" w:cs="Arial" w:eastAsia="Arial" w:hAnsi="Arial"/>
                <w:sz w:val="17"/>
                <w:szCs w:val="17"/>
                <w:color w:val="auto"/>
              </w:rPr>
              <w:t>25.7%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ind w:right="14"/>
              <w:spacing w:after="0"/>
              <w:rPr>
                <w:sz w:val="20"/>
                <w:szCs w:val="20"/>
                <w:color w:val="auto"/>
              </w:rPr>
            </w:pPr>
            <w:r>
              <w:rPr>
                <w:rFonts w:ascii="Arial" w:cs="Arial" w:eastAsia="Arial" w:hAnsi="Arial"/>
                <w:sz w:val="17"/>
                <w:szCs w:val="17"/>
                <w:color w:val="auto"/>
              </w:rPr>
              <w:t>29.4%</w:t>
            </w:r>
          </w:p>
        </w:tc>
        <w:tc>
          <w:tcPr>
            <w:tcW w:w="80" w:type="dxa"/>
            <w:vAlign w:val="bottom"/>
          </w:tcPr>
          <w:p>
            <w:pPr>
              <w:spacing w:after="0"/>
              <w:rPr>
                <w:sz w:val="19"/>
                <w:szCs w:val="19"/>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3.7%</w:t>
            </w:r>
          </w:p>
        </w:tc>
        <w:tc>
          <w:tcPr>
            <w:tcW w:w="1040" w:type="dxa"/>
            <w:vAlign w:val="bottom"/>
          </w:tcPr>
          <w:p>
            <w:pPr>
              <w:jc w:val="right"/>
              <w:ind w:right="14"/>
              <w:spacing w:after="0"/>
              <w:rPr>
                <w:sz w:val="20"/>
                <w:szCs w:val="20"/>
                <w:color w:val="auto"/>
              </w:rPr>
            </w:pPr>
            <w:r>
              <w:rPr>
                <w:rFonts w:ascii="Arial" w:cs="Arial" w:eastAsia="Arial" w:hAnsi="Arial"/>
                <w:sz w:val="17"/>
                <w:szCs w:val="17"/>
                <w:color w:val="auto"/>
              </w:rPr>
              <w:t>3.5%</w:t>
            </w: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from Transactions with Franchisees and Unconsolidated Affiliates</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increase in Revenues from transactions with franchisees and unconsolidated affiliates for the quarter, excluding the impact of F/X, was primarily driven by system sales growth of unconsolidated affiliates and franchisees, partially offset by the acquisition of Wuxi KFC.</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G&amp;A Expenses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G&amp;A expenses for the quarter, excluding the impact of F/X, was driven by less performance-based compensation and professional service fees.</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year to date decrease in G&amp;A expenses, excluding the impact of F/X, was driven by higher government incentives, less performance-based compensation and less professional service fees.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and Other Income, Net</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quarter and year-to-date increases in interest and other income, net were mainly driven by higher returns on larger balances of short-term investments and time deposits.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 Provision</w:t>
      </w:r>
    </w:p>
    <w:p>
      <w:pPr>
        <w:spacing w:after="0" w:line="22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Our income tax provision includes tax on our earnings at the Chinese statutory tax rate of 25%, a 10% withholding tax on repatriation of earnings outside of China and U.S. corporate income tax, if any. Our effective tax rate was 24.2% and 31.9% for the quarters ended September 30, 2018 and 2017, respectively, and 25.7% and 29.4% for the year to date ended September 30, 2018 and 2017, respectively. The lower effective tax rate for the quarter was primarily due to a true up of the tax on Global Intangible Low Taxed Income (“GILTI”) earned by certain foreign subsidiaries and less estimated repatriation of current year earnings outside of China. The lower year to date effective tax rate was primarily due to less estimated repatriation of current year earnings outside of China.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Significant Known Events, Trends or Uncertainties Expected to Impact Future Results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Tax Act</w:t>
      </w:r>
    </w:p>
    <w:p>
      <w:pPr>
        <w:spacing w:after="0" w:line="24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December 2017</w:t>
      </w:r>
      <w:r>
        <w:rPr>
          <w:rFonts w:ascii="Arial" w:cs="Arial" w:eastAsia="Arial" w:hAnsi="Arial"/>
          <w:sz w:val="16"/>
          <w:szCs w:val="16"/>
          <w:i w:val="1"/>
          <w:iCs w:val="1"/>
          <w:color w:val="auto"/>
        </w:rPr>
        <w:t>,</w:t>
      </w:r>
      <w:r>
        <w:rPr>
          <w:rFonts w:ascii="Arial" w:cs="Arial" w:eastAsia="Arial" w:hAnsi="Arial"/>
          <w:sz w:val="16"/>
          <w:szCs w:val="16"/>
          <w:color w:val="auto"/>
        </w:rPr>
        <w:t xml:space="preserve"> the U.S. enacted the Tax Act, which included a broad range of tax reforms, including, but not limited to, the establishment of a flat corporate income tax rate of 21%, the elimination or reduction of certain business deductions and the imposition of tax on deemed repatriation of accumulated undistributed foreign earnings. The Tax Act has impacted Yum China in two material aspects: (i) all of the foreign-source dividends received by Yum China from its foreign subsidiaries will be exempted from taxation starting from the tax year beginning after December 31, 2017 and (ii) Yum China recorded, in the fourth quarter of 2017, an additional income tax expense of $163.9 million, which includes an estimated one-time transition tax of $129.8 million on the deemed repatriation of accumulated undistributed foreign earnings, $4.5 million primarily related to the re-measurement of certain deferred tax assets based on the rates at which they are expected to reverse in the future, and the valuation allowance of $29.6 million for certain deferred tax assets.</w:t>
      </w:r>
    </w:p>
    <w:p>
      <w:pPr>
        <w:spacing w:after="0" w:line="16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Tax Act requires complex computations with significant estimates to be performed, significant judgments to be made in interpretation of the provisions, and the preparation and analysis of information not previously relevant or regularly produced. The U.S. Treasury Department, the IRS, the SEC and other standard-setting bodies could interpret or issue guidance on how provisions of the Tax Act will be applied or otherwise administered that is different from our current interpretation. As we complete our analysis of the Tax Act, collect and prepare necessary data, and interpret any additional guidance, we may make adjustments to provisional amounts that we have recorded that may materially impact our provision for income taxes in the period in which the adjustments are made. We expect to complete our analysis within the measurement period not exceeding one year from the enactment date.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Tax Examination on Transfer Pricing</w:t>
      </w:r>
    </w:p>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are subject to reviews, examinations and audits by Chinese tax authorities, the IRS and other taxing authorities with respect to income and non-income based taxes. Currently we are under a national audit on transfer pricing by the SAT in China regarding our related party transactions for the period from 2006 to 2015. It is reasonably possible that there could be significant developments within the next 12 months. The ultimate assessment will depend upon further review of the information provided and ongoing discussions with the SAT and in-charge local tax authorities, and therefore it is not possible to reasonably estimate the potential impact. We will continue to defend our transfer pricing position. However, if the SAT prevails in the assessment of additional tax due based on its ruling, the assessed tax, interest and penalties, if any, could have a material adverse impact on our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PRC Value-Added Tax (“VAT”)</w:t>
      </w:r>
    </w:p>
    <w:p>
      <w:pPr>
        <w:spacing w:after="0" w:line="246"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Effective May 1, 2016, the Chinese government implemented reform to its retail tax structure, which is intended to be a progressive and positive shift to more closely align with a more modern service-based economy. Under this reform, a 6% output VAT replaced the 5% business tax previously applied to certain restaurant sales. VAT rates imposed on goods and services included 17%, 13%, 11% and 6%. Input VAT would be creditable to the aforementioned 6% output VAT.</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Entities that are VAT general taxpayers are permitted to offset qualified input VAT paid to suppliers against their output VAT upon receipt of appropriate supplier VAT invoices on an entity-by-entity basis. When the output VAT exceeds the input VAT, the difference is remitted to tax authorities, usually on a monthly basis; whereas when the input VAT exceeds the output VAT, the difference is treated as an input VAT credit asset which can be carried forward indefinitely to offset future net VAT payables. VAT related to purchases and sales which have not been settled at the balance sheet date is disclosed separately as an asset and liability, respectively, on the Condensed Consolidated Balance Sheets. At each balance sheet date, the Company reviews the outstanding balance of any input VAT credit asset for recoverability based on its forecasted operating results. We evaluate the recoverability of the net VAT credit asset based on our estimated operating results and capital spending, which inherently includes significant assumptions that are subject to change.</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September 30, 2018, an input VAT credit asset of $205 million and payable of $5 million were recorded in Other assets and other current liabilities, respectively, on the Condensed Consolidated Balance Sheets. The Company has not made an allowance for the recoverability of the input VAT credit asset, as the balance is expected to be utilized to offset against net VAT payables more than one year from September 30, 2018. Any input VAT credit asset would be classified as Prepaid expenses and other current assets if the Company expected to use the credit within one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0" w:name="page31"/>
    <w:bookmarkEnd w:id="30"/>
    <w:p>
      <w:pPr>
        <w:jc w:val="both"/>
        <w:spacing w:after="0" w:line="311" w:lineRule="auto"/>
        <w:rPr>
          <w:sz w:val="20"/>
          <w:szCs w:val="20"/>
          <w:color w:val="auto"/>
        </w:rPr>
      </w:pPr>
      <w:r>
        <w:rPr>
          <w:rFonts w:ascii="Arial" w:cs="Arial" w:eastAsia="Arial" w:hAnsi="Arial"/>
          <w:sz w:val="15"/>
          <w:szCs w:val="15"/>
          <w:color w:val="auto"/>
        </w:rPr>
        <w:t>We have been benefiting from the retail tax structure reform since it was implemented on May 1, 2016. However, the amount of our expected benefit from this VAT regime depends on a number of factors, some of which are outside of our control. The interpretation and application of the new VAT regime are not settled at some local governmental levels. In addition, the timetable for enacting the prevailing VAT regulations into national VAT law, including ultimate enacted VAT rates, is not clear. As a result, for the foreseeable future, the benefit of this significant and complex VAT reform has the potential to fluctuate from quarter to quarter.</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from July 1, 2017, the 13% VAT rate primarily applicable to certain agricultural products was reduced to 11%. Effective from May 1, 2018, the VAT rates of 17% and 11% were lowered to 16% and 10%, respectively. These rate changes impact our input VAT on all materials and certain services, mainly including construction, transportation and leasing. However, the impact on our operating results is not expected to be significant.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Rate</w:t>
      </w: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reporting currency of the Company is the US$. Most of the revenues, costs, assets and liabilities of the Company are denominated in Chinese Renminbi (“RMB”). Any significant change in the exchange rate between US$ and RMB may materially affect the Company’s business, results of operations, cash flows and financial condition, depending on the weakening or strengthening of RMB against the US$. See “Item 3. Quantitative and Qualitative Disclosures About Market Risk” for further discussion.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Cash Flows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Our cash flows for the years to date ended September 30, 2018 and 2017 were as follows:</w:t>
      </w:r>
    </w:p>
    <w:p>
      <w:pPr>
        <w:spacing w:after="0" w:line="214"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Net cash provided by operating activities </w:t>
      </w:r>
      <w:r>
        <w:rPr>
          <w:rFonts w:ascii="Arial" w:cs="Arial" w:eastAsia="Arial" w:hAnsi="Arial"/>
          <w:sz w:val="17"/>
          <w:szCs w:val="17"/>
          <w:color w:val="auto"/>
        </w:rPr>
        <w:t>was $1,173 million in 2018 as compared to $985 million in 2017. The increase was primarily driven by higher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and timing of payments for inventory.</w:t>
      </w:r>
    </w:p>
    <w:p>
      <w:pPr>
        <w:spacing w:after="0" w:line="14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Net cash used in investing activities </w:t>
      </w:r>
      <w:r>
        <w:rPr>
          <w:rFonts w:ascii="Arial" w:cs="Arial" w:eastAsia="Arial" w:hAnsi="Arial"/>
          <w:sz w:val="17"/>
          <w:szCs w:val="17"/>
          <w:color w:val="auto"/>
        </w:rPr>
        <w:t>was $527 million in 2018 as compared to $327 million in 2017. The increase was primarily driven by the acquisition of Wuxi</w:t>
      </w:r>
      <w:r>
        <w:rPr>
          <w:rFonts w:ascii="Arial" w:cs="Arial" w:eastAsia="Arial" w:hAnsi="Arial"/>
          <w:sz w:val="17"/>
          <w:szCs w:val="17"/>
          <w:b w:val="1"/>
          <w:bCs w:val="1"/>
          <w:color w:val="auto"/>
        </w:rPr>
        <w:t xml:space="preserve"> </w:t>
      </w:r>
      <w:r>
        <w:rPr>
          <w:rFonts w:ascii="Arial" w:cs="Arial" w:eastAsia="Arial" w:hAnsi="Arial"/>
          <w:sz w:val="17"/>
          <w:szCs w:val="17"/>
          <w:color w:val="auto"/>
        </w:rPr>
        <w:t>KFC, the investment in Meituan’s ordinary shares and higher capital spending.</w:t>
      </w:r>
    </w:p>
    <w:p>
      <w:pPr>
        <w:spacing w:after="0" w:line="14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b w:val="1"/>
          <w:bCs w:val="1"/>
          <w:color w:val="auto"/>
        </w:rPr>
        <w:t xml:space="preserve">Net cash used in financing activities </w:t>
      </w:r>
      <w:r>
        <w:rPr>
          <w:rFonts w:ascii="Arial" w:cs="Arial" w:eastAsia="Arial" w:hAnsi="Arial"/>
          <w:sz w:val="17"/>
          <w:szCs w:val="17"/>
          <w:color w:val="auto"/>
        </w:rPr>
        <w:t>was $318 million in 2018 as compared to $147 million in 2017. The increase was primarily driven by cash dividends paid to</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and an increase in the number of shares repurchased in 2018.</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Historically we have funded our operations through cash generated from the operation of our Company-owned stores and from our franchise operations and dividend payments from our unconsolidated affiliates.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ability to fund our future operations and capital needs will depend on our ongoing ability to generate cash from operations. We believe our principal uses of cash in the future will be primarily to fund our operations and to make capital expenditures, distributions to our stockholders and share repurchases as well as any acquisition or investment. We believe that our future cash from operations, together with our access to funds on hand and capital markets, will provide adequate resources to fund these uses of cash and that our existing cash and net cash from operations will be sufficient to fund our operations and anticipated capital expenditures for the next 12 months.</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our cash flows from operations are less than we require, we may need to access the capital markets to obtain financing. Our access to, and the availability of, financing on acceptable terms and conditions in the future or at all will be impacted by many factors, including, but not limited to:</w:t>
      </w:r>
    </w:p>
    <w:p>
      <w:pPr>
        <w:spacing w:after="0" w:line="159" w:lineRule="exact"/>
        <w:rPr>
          <w:sz w:val="20"/>
          <w:szCs w:val="20"/>
          <w:color w:val="auto"/>
        </w:rPr>
      </w:pPr>
    </w:p>
    <w:p>
      <w:pPr>
        <w:ind w:left="760" w:hanging="38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financial performance;</w:t>
      </w:r>
    </w:p>
    <w:p>
      <w:pPr>
        <w:spacing w:after="0" w:line="219" w:lineRule="exact"/>
        <w:rPr>
          <w:rFonts w:ascii="Arial" w:cs="Arial" w:eastAsia="Arial" w:hAnsi="Arial"/>
          <w:sz w:val="17"/>
          <w:szCs w:val="17"/>
          <w:color w:val="auto"/>
        </w:rPr>
      </w:pPr>
    </w:p>
    <w:p>
      <w:pPr>
        <w:ind w:left="760" w:hanging="38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credit ratings or absence of a credit rating;</w:t>
      </w:r>
    </w:p>
    <w:p>
      <w:pPr>
        <w:spacing w:after="0" w:line="219" w:lineRule="exact"/>
        <w:rPr>
          <w:rFonts w:ascii="Arial" w:cs="Arial" w:eastAsia="Arial" w:hAnsi="Arial"/>
          <w:sz w:val="17"/>
          <w:szCs w:val="17"/>
          <w:color w:val="auto"/>
        </w:rPr>
      </w:pPr>
    </w:p>
    <w:p>
      <w:pPr>
        <w:ind w:left="760" w:hanging="38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liquidity of the overall capital markets; and</w:t>
      </w:r>
    </w:p>
    <w:p>
      <w:pPr>
        <w:spacing w:after="0" w:line="219" w:lineRule="exact"/>
        <w:rPr>
          <w:rFonts w:ascii="Arial" w:cs="Arial" w:eastAsia="Arial" w:hAnsi="Arial"/>
          <w:sz w:val="17"/>
          <w:szCs w:val="17"/>
          <w:color w:val="auto"/>
        </w:rPr>
      </w:pPr>
    </w:p>
    <w:p>
      <w:pPr>
        <w:ind w:left="760" w:hanging="380"/>
        <w:spacing w:after="0"/>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state of the Chinese, U.S. and global economies.</w:t>
      </w:r>
    </w:p>
    <w:p>
      <w:pPr>
        <w:spacing w:after="0" w:line="246"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There can be no assurance, particularly as a relatively new company that currently has no credit rating, that we will have access to the capital markets on terms acceptable to us or at all.</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1" w:name="page32"/>
    <w:bookmarkEnd w:id="31"/>
    <w:p>
      <w:pPr>
        <w:jc w:val="both"/>
        <w:spacing w:after="0" w:line="285" w:lineRule="auto"/>
        <w:rPr>
          <w:sz w:val="20"/>
          <w:szCs w:val="20"/>
          <w:color w:val="auto"/>
        </w:rPr>
      </w:pPr>
      <w:r>
        <w:rPr>
          <w:rFonts w:ascii="Arial" w:cs="Arial" w:eastAsia="Arial" w:hAnsi="Arial"/>
          <w:sz w:val="17"/>
          <w:szCs w:val="17"/>
          <w:color w:val="auto"/>
        </w:rPr>
        <w:t>Generally our income is subject to the Chinese statutory tax rate of 25%. However, to the extent our cash flows from operations exceed our China cash requirements, the excess cash may be subject to an additional 10% withholding tax levied by the Chinese tax authority.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 and Share Repurchases</w:t>
      </w:r>
    </w:p>
    <w:p>
      <w:pPr>
        <w:spacing w:after="0" w:line="24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February 7, 2017, we announced that our Board of Directors authorized a $300 million share repurchase program. On October 4, 2017, the Board of Directors increased Yum China’s share repurchase authorization from $300 million to an aggregate of $550 million.</w:t>
      </w:r>
    </w:p>
    <w:p>
      <w:pPr>
        <w:spacing w:after="0" w:line="15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October 30, 2018, the Board of Directors further increased the share repurchase authorization to an aggregate of $1.4 billion. Yum China may repurchase shares under this program from time to time in open market or privately negotiated transactions, including block trades, accelerated share repurchase transactions and the use of Rule 10b5-1 trading plans. During the year to date ended September 30, 2018, the Company repurchased $167 million, or 4.6 million shares, of common stock under the repurchase program.</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For the year to date ended September 30, 2018, we paid cash dividends of approximately $115 million to our stockholders through quarterly dividend payments of $0.10 per share.</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October 30, 2018, the Board of Directors declared a cash dividend of $0.12 per share, payable as of the close of business on December 18, 2018 to stockholders of record as of the close of business on November 27, 2018. The total estimated cash dividend payable is approximately $46 million.</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ability to declare and pay any dividends on our stock may be restricted by applicable Chinese laws. The laws, rules and regulations applicable to our Chinese subsidiaries permit payments of dividends only out of their accumulated profits, if any, determined in accordance with applicable Chinese accounting standards and regulations. Under Chinese law, an enterprise incorporated in China is required to set aside at least 10% of its after-tax profits each year, after making up previous years’ accumulated losses, if any, to fund certain statutory reserve funds, until the aggregate amount of such a fund reaches 50% of its registered capital. As a result, our Chinese subsidiaries are restricted in their ability to transfer a portion of their net assets to us in the form of dividends. At the discretion of the Board of Directors, as an enterprise incorporated in China, each of our Chinese subsidiaries may allocate a portion of its after-tax profits based on Chinese accounting standards to staff welfare and bonus funds. These reserve funds and staff welfare and bonus funds are not distributable as cash dividends.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Borrowing Capacity</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of September 30, 2018, the Company had credit facilities of RMB 2,674 million (approximately $389 million), including onshore credit facilities of RMB1,300 million (approximately $189 million) in the aggregate and an offshore credit facility of $200 million.</w:t>
      </w:r>
    </w:p>
    <w:p>
      <w:pPr>
        <w:spacing w:after="0" w:line="15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credit facilities have terms ranging from one to three years. Each credit facility bears interest based on the prevailing rate stipulated by the People’s Bank of China or London Interbank Offered Rate (LIBOR) administered by the ICE Benchmark Administration. Each credit facility contains a cross-default provision whereby our failure to make any payment on a principal amount from any credit facility will constitute a default on other credit facilities. Some of the credit facilities contain financial covenants including, among other things, limitations on certain additional indebtedness and liens, and certain other transactions specified in the respective agreement. Interest on any outstanding borrowings is due at least monthly. As of September 30, 2018, the full amount of borrowings was available to us under each facility.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See the Guarantees section of Note 12 for discussion of our off-balance sheet arrangements.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Adopted Accounting Pronouncements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Note 2 for details of recently adopted accounting pronouncements.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New Accounting Pronouncements Not Yet Adopted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bookmarkStart w:id="32" w:name="page33"/>
    <w:bookmarkEnd w:id="32"/>
    <w:p>
      <w:pPr>
        <w:jc w:val="both"/>
        <w:spacing w:after="0" w:line="274"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increases transparency and comparability among organizations by recognizing lease assets and lease liabilities on the balance sheet and disclosing key information about leasing arrangements. ASU 2016-02 is effective for the Company from January 1, 2019 and we currently plan to elect the optional transition method provided in ASU 2018-11, which allows for a cumulative-effect adjustment in the period of adoption and will not restate prior periods. Additionally, we currently plan to use the package of practical expedients that allows us to not reassess: (1) whether any expired or existing contracts are or contain leases, (2) lease classification for any expired or existing leases and (3) initial direct costs for any expired or existing leases. We also plan to elect the hindsight practical expedient to determine the reasonably certain lease term for existing leases. We expect this standard will have a material effect on our financial statements. While we are continuing to assess the effect of adoption, we currently believe the most significant changes relate to the recognition and measurement of right-of-use assets and lease liabilities on our balance sheet for operating leases of the land and/or building of our restaurants and office space. At September 30, 2018, we operated more than 6,700 restaurants, leasing the underlying land and/or building, with our commitments expiring within 20 years from the inception of the lease. The amount of our future minimum lease payments under operating leases was approximately $3 billion as of September 30, 2018. We anticipate continuing to add more restaurants and increase our leasing activity between now and adoption. We are also implementing software to meet the reporting requirements of the new standard, and identifying changes to our business processes and controls to support the adoption of the new standard.</w:t>
      </w:r>
    </w:p>
    <w:p>
      <w:pPr>
        <w:spacing w:after="0" w:line="2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Measurement of Credit Losses on Financial Instruments (“ASU 2016-13”), which requires measurement and recognition of expected versus incurred credit losses for financial assets held. ASU 2016-13 is effective for the Company from January 1, 2020, with early adoption permitted beginning from January 1, 2019. We are currently evaluating the impact the adoption of this standard will have on our financial statements.</w:t>
      </w:r>
    </w:p>
    <w:p>
      <w:pPr>
        <w:spacing w:after="0" w:line="20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 – Stock Compensation (Topic 718): Scope of Modification Accounting</w:t>
      </w:r>
      <w:r>
        <w:rPr>
          <w:rFonts w:ascii="Arial" w:cs="Arial" w:eastAsia="Arial" w:hAnsi="Arial"/>
          <w:sz w:val="17"/>
          <w:szCs w:val="17"/>
          <w:color w:val="auto"/>
        </w:rPr>
        <w:t xml:space="preserve"> (“ASU 2017-09”), which clarifies that modification accounting is required only if the fair value, the vesting conditions, or the classification of the award (as equity or liability) changes as a result of the changes in terms or conditions. ASU 2017-09 is effective for the Company from January 1, 2019, with early adoption permitted. We are currently evaluating the impact the adoption of this standard will have on our financial statements.</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xml:space="preserve"> (“ASU 2018-02”). The new guidance allows a reclassification from accumulated other comprehensive income to retained earnings for stranded tax effects resulting from the Tax Cuts and Jobs Act and will improve the usefulness of information reported to financial statement users. ASU 2018-02 is effective for the Company from January 1, 2019, with early adoption permitted. We are currently evaluating the impact the adoption of this standard will have on our financial statements.</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Compensation – Stock Compensation (Topic 718) - Improvements to Nonemployee Share-Based Payment Accounting</w:t>
      </w:r>
      <w:r>
        <w:rPr>
          <w:rFonts w:ascii="Arial" w:cs="Arial" w:eastAsia="Arial" w:hAnsi="Arial"/>
          <w:sz w:val="16"/>
          <w:szCs w:val="16"/>
          <w:color w:val="auto"/>
        </w:rPr>
        <w:t xml:space="preserve"> (“ASU 2018-07”). The new guidance largely aligns the accounting for share-based awards issued to employees and nonemployees. Existing guidance for employee awards will apply to nonemployee share-based transactions with limited exceptions. The new guidance also clarifies that any share-based payment awards issued to customers should be evaluated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 2018-07 is effective for the Company from January 1, 2019, with early adoption permitted. We are currently evaluating the impact the adoption of this standard will have on our financial statements.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Measurement </w:t>
      </w:r>
      <w:r>
        <w:rPr>
          <w:rFonts w:ascii="Arial" w:cs="Arial" w:eastAsia="Arial" w:hAnsi="Arial"/>
          <w:sz w:val="17"/>
          <w:szCs w:val="17"/>
          <w:color w:val="auto"/>
        </w:rPr>
        <w:t>(“ASU 2018-13”), which amended the fair value measurement guidance by modifying disclosure requirements. ASU 2018-13 is effective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from January 1, 2020, with early adoption permitted. We are currently evaluating the impact the adoption of this standard will have on our financial statements.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Intangibles—Goodwill and Other—Internal-Use Software: Customer’s Accounting for Implementation Costs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Incurred in a Cloud Computing Arrangement That Is a Service Contract </w:t>
      </w:r>
      <w:r>
        <w:rPr>
          <w:rFonts w:ascii="Arial" w:cs="Arial" w:eastAsia="Arial" w:hAnsi="Arial"/>
          <w:sz w:val="16"/>
          <w:szCs w:val="16"/>
          <w:color w:val="auto"/>
        </w:rPr>
        <w:t>(“ASU 2018-15”), which aligns the requirements for capitalizing implementation costs in a</w:t>
      </w:r>
      <w:r>
        <w:rPr>
          <w:rFonts w:ascii="Arial" w:cs="Arial" w:eastAsia="Arial" w:hAnsi="Arial"/>
          <w:sz w:val="16"/>
          <w:szCs w:val="16"/>
          <w:i w:val="1"/>
          <w:iCs w:val="1"/>
          <w:color w:val="auto"/>
        </w:rPr>
        <w:t xml:space="preserve"> </w:t>
      </w:r>
      <w:r>
        <w:rPr>
          <w:rFonts w:ascii="Arial" w:cs="Arial" w:eastAsia="Arial" w:hAnsi="Arial"/>
          <w:sz w:val="16"/>
          <w:szCs w:val="16"/>
          <w:color w:val="auto"/>
        </w:rPr>
        <w:t>cloud computing arrangement service contract with those for an internal-use software license. ASU 2018-15 is effective for the Company from January 1, 2020, with early adoption permitted. We are currently evaluating the impact the adoption of this standard will have on our financial statements.</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Forward-looking statements can be identified by the fact that they do not relate strictly to historical or current facts. These statements often include words such as “may,” “will,” “estimate,” “intend,” “seek,” “expect,” “project,” “anticipate,” “believe,” “plan,” “could,” “target,” “predict,” “likely,” “should,” “forecast,” “outlook,” “model,” “continue,” “ongoing” or other similar terminology. Forward-looking statements are based on our expectations, estimates, assumptions or projections concerning future results or events as of the date of the filing of this Form 10-Q. Forward-looking statements are neither predictions nor guarantees of future events, circumstances or performance and are inherently subject to known and unknown risks, uncertainties and assumptions that could cause our actual results and events to differ materially from those indicated by those statements. We cannot assure you that any of our assumptions are correct or any of our expectations, estimates or projections will be achieved. Numerous factors could cause our actual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results to differ materially from those expressed or implied by forward-looking statements, including, without limitation, the following:</w:t>
      </w:r>
    </w:p>
    <w:p>
      <w:pPr>
        <w:spacing w:after="0" w:line="220" w:lineRule="exact"/>
        <w:rPr>
          <w:sz w:val="20"/>
          <w:szCs w:val="20"/>
          <w:color w:val="auto"/>
        </w:rPr>
      </w:pPr>
    </w:p>
    <w:p>
      <w:pPr>
        <w:jc w:val="both"/>
        <w:ind w:left="760" w:hanging="380"/>
        <w:spacing w:after="0" w:line="290" w:lineRule="auto"/>
        <w:tabs>
          <w:tab w:leader="none" w:pos="7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Risks related to our business and industry, such as (a) food safety and food-borne illness concerns, (b) significant failure to maintain effective quality control systems for our restaurants, (c) significant liability claims, food contamination complaints from our customers or reports of incidents of food tampering, (d) health concerns arising from outbreaks of viruses or other diseases, (e) the fact that we derive substantially all of our revenue from our operations in China, (f) the fact that the operation of our restaurants is subject to the terms of the master license agreement with YUM, (g) the fact that our success is tied to the success of YUM’s brand strength, marketing campaigns and product innovation, (h) shortages or interruptions in the availability and delivery of food and other supplies, (i) our inability to attain our target development goals and the potential cannibalization of existing sales by aggressive development, (j) fluctuation of raw materials prices, (k) risks associated with leasing real estate, (l) inability to obtain desirable restaurant locations on commercially reasonable terms, (m) labor shortages or increases in labor costs, (n) the fact that our success depends substantially on our corporate reputation and on the value and perception of our brands, (o) the occurrence of security breaches and cyber-attacks, (p) failure to protect the integrity and security of our customer or employee personal, financial or other data or our proprietary or confidential information that is stored in our information systems or by third parties on our behalf, (q) failures or interruptions of service or security breaches in our information technology systems,</w:t>
      </w:r>
    </w:p>
    <w:p>
      <w:pPr>
        <w:spacing w:after="0" w:line="3" w:lineRule="exact"/>
        <w:rPr>
          <w:rFonts w:ascii="Arial" w:cs="Arial" w:eastAsia="Arial" w:hAnsi="Arial"/>
          <w:sz w:val="15"/>
          <w:szCs w:val="15"/>
          <w:color w:val="auto"/>
        </w:rPr>
      </w:pPr>
    </w:p>
    <w:p>
      <w:pPr>
        <w:jc w:val="both"/>
        <w:ind w:left="760" w:hanging="3"/>
        <w:spacing w:after="0" w:line="288" w:lineRule="auto"/>
        <w:tabs>
          <w:tab w:leader="none" w:pos="1001"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the fact that our business depends on the performance of, and our long-term relationships with, third-party mobile payment processors, delivery aggregators, internet infrastructure operators and internet service providers, (s) failure to provide timely and reliable delivery services by our restaurants,</w:t>
      </w:r>
    </w:p>
    <w:p>
      <w:pPr>
        <w:spacing w:after="0" w:line="1" w:lineRule="exact"/>
        <w:rPr>
          <w:rFonts w:ascii="Arial" w:cs="Arial" w:eastAsia="Arial" w:hAnsi="Arial"/>
          <w:sz w:val="15"/>
          <w:szCs w:val="15"/>
          <w:color w:val="auto"/>
        </w:rPr>
      </w:pPr>
    </w:p>
    <w:p>
      <w:pPr>
        <w:jc w:val="both"/>
        <w:ind w:left="760" w:hanging="3"/>
        <w:spacing w:after="0" w:line="293" w:lineRule="auto"/>
        <w:tabs>
          <w:tab w:leader="none" w:pos="979" w:val="left"/>
        </w:tabs>
        <w:numPr>
          <w:ilvl w:val="1"/>
          <w:numId w:val="18"/>
        </w:numPr>
        <w:rPr>
          <w:rFonts w:ascii="Arial" w:cs="Arial" w:eastAsia="Arial" w:hAnsi="Arial"/>
          <w:sz w:val="15"/>
          <w:szCs w:val="15"/>
          <w:color w:val="auto"/>
        </w:rPr>
      </w:pPr>
      <w:r>
        <w:rPr>
          <w:rFonts w:ascii="Arial" w:cs="Arial" w:eastAsia="Arial" w:hAnsi="Arial"/>
          <w:sz w:val="15"/>
          <w:szCs w:val="15"/>
          <w:color w:val="auto"/>
        </w:rPr>
        <w:t>our inability to integrate Daojia successfully and the anticipated benefits of the acquisition may not be realized in a timely manner or at all, (u) the Chinese government may determine that the VIE structure of Daojia does not comply with Chinese laws on foreign investment in restricted industries, (v) our inability or failure to recognize, respond to and effectively manage the accelerated impact of social media, (w) litigation and failure to comply with anti-bribery or anti-corruption laws, (x) U.S. federal income taxes, changes in tax rates, disagreements with taxing authorities and imposition of new taxes, (y) changes in consumer discretionary spending and general economic conditions, (z) competition in the retail food industry, (aa) loss or failure to obtain or renew any or all of the approvals, licenses and permits to operate our business, (bb) our inability to adequately protect the intellectual property we own or have the right to use, (cc) YUM’s failure to protect its intellectual property, (dd) seasonality and certain major events in China, (ee) our failure to detect, deter and prevent all instances of fraud or other misconduct committed by our employees, customers or other third parties, (ff) changes in accounting standards and subjective assumptions, estimates and judgments by management related to complex accounting matters, (gg) failure of our insurance policies to provide adequate coverage for claims associated with our business operations, (hh) failure by us to maintain effective disclosure controls and procedures and internal control over financial reporting in accordance with the rules of the SEC and (ii) unforeseeable business interruptions;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34" w:name="page35"/>
    <w:bookmarkEnd w:id="34"/>
    <w:p>
      <w:pPr>
        <w:jc w:val="both"/>
        <w:ind w:left="760" w:hanging="380"/>
        <w:spacing w:after="0" w:line="258"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Risks related to doing business in China, such as (a) changes in Chinese political policies and economic and social policies or conditions, (b) changes in laws and regulations, (c) uncertainties with respect to the interpretation and enforcement of Chinese laws, rules and regulations, (d) fluctuation in the value of the Chinese Renminbi, (e) limitations on our ability to utilize our cash balances effectively due to governmental control of currency conversion and payments of foreign currency, (f) reliance on distributions by our operating subsidiaries in China to fund offshore cash requirements, (g) potential unfavorable tax consequences resulting from our classification as a China resident enterprise for Chinese enterprise income tax purposes, (h) uncertainty regarding indirect transfers of equity interests and enhanced scrutiny by Chinese tax authorities, (i) inability to use properties due to defects caused by non-registration of lease agreements related to certain properties, (j) risk in relation to unexpected land acquisitions, building closures or demolitions, (k) potential fines for failure to comply with law and (l) restrictions on our ability to make loans or additional capital contributions to our Chinese subsidiaries due to Chinese regulation of loans to, and direct investment in, Chinese entities by offshore holding companies and governmental control of currency conversion;</w:t>
      </w:r>
    </w:p>
    <w:p>
      <w:pPr>
        <w:spacing w:after="0" w:line="182" w:lineRule="exact"/>
        <w:rPr>
          <w:rFonts w:ascii="Arial" w:cs="Arial" w:eastAsia="Arial" w:hAnsi="Arial"/>
          <w:sz w:val="17"/>
          <w:szCs w:val="17"/>
          <w:color w:val="auto"/>
        </w:rPr>
      </w:pPr>
    </w:p>
    <w:p>
      <w:pPr>
        <w:jc w:val="both"/>
        <w:ind w:left="760" w:hanging="380"/>
        <w:spacing w:after="0" w:line="292" w:lineRule="auto"/>
        <w:tabs>
          <w:tab w:leader="none" w:pos="7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Risks related to the separation and related transactions, such as (a) not achieving all of the anticipated benefits, (b) incurring significant tax liabilities if the distribution does not qualify as a transaction that is generally tax-free for U.S. federal income tax purposes and the Company could be required to indemnify YUM for material taxes and other related amounts pursuant to indemnification obligations under the tax matters agreement, (c) being obligated to indemnify YUM for material taxes and related amounts pursuant to indemnification obligations under the tax matters agreement if YUM is subject to Chinese indirect transfer tax with respect to the distribution, (d) limitations on our ability to engage in strategic transactions as a result of the separation,</w:t>
      </w:r>
    </w:p>
    <w:p>
      <w:pPr>
        <w:spacing w:after="0" w:line="1" w:lineRule="exact"/>
        <w:rPr>
          <w:rFonts w:ascii="Arial" w:cs="Arial" w:eastAsia="Arial" w:hAnsi="Arial"/>
          <w:sz w:val="15"/>
          <w:szCs w:val="15"/>
          <w:color w:val="auto"/>
        </w:rPr>
      </w:pPr>
    </w:p>
    <w:p>
      <w:pPr>
        <w:jc w:val="both"/>
        <w:ind w:left="760" w:hanging="3"/>
        <w:spacing w:after="0" w:line="295" w:lineRule="auto"/>
        <w:tabs>
          <w:tab w:leader="none" w:pos="1015" w:val="left"/>
        </w:tabs>
        <w:numPr>
          <w:ilvl w:val="1"/>
          <w:numId w:val="19"/>
        </w:numPr>
        <w:rPr>
          <w:rFonts w:ascii="Arial" w:cs="Arial" w:eastAsia="Arial" w:hAnsi="Arial"/>
          <w:sz w:val="15"/>
          <w:szCs w:val="15"/>
          <w:color w:val="auto"/>
        </w:rPr>
      </w:pPr>
      <w:r>
        <w:rPr>
          <w:rFonts w:ascii="Arial" w:cs="Arial" w:eastAsia="Arial" w:hAnsi="Arial"/>
          <w:sz w:val="15"/>
          <w:szCs w:val="15"/>
          <w:color w:val="auto"/>
        </w:rPr>
        <w:t>our inability to satisfy financial reporting and other requirements to which we are subject as an independent publicly traded company, (f) limited experience of our management in managing a public company, (g) inability to access capital markets on acceptable terms, (h) increased administrative and other costs incurred by virtue of our status as an independent public company, (i) limitations on our ability to compete with YUM and other restrictions on our operations contained in the master license agreement, (j) failure by YUM to perform its obligations under the transaction agreements that we entered into with it as part of the separation, (k) potential indemnification liabilities owing to YUM pursuant to the separation and distribution agreement and there being no assurance that the indemnity provided by YUM with respect to certain liabilities in connection with the separation will be sufficient to insure us against the full amount of such liabilities, (l) the possibility that a court would require that we assume responsibility for obligations allocated to YUM under the separation and distribution agreement, (m) potential liabilities due to fraudulent transfer considerations and (n) actual or potential conflicts of interest of certain of our executive officers and directors because of their previous positions at YUM.</w:t>
      </w:r>
    </w:p>
    <w:p>
      <w:pPr>
        <w:spacing w:after="0" w:line="15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other risks and uncertainties not presently known to us or that we currently believe to be immaterial could affect the accuracy of any such forward-looking statements. All forward-looking statements should be evaluated with the understanding of their inherent uncertainty. You should consult our filings with the Securities and Exchange Commission (including the information set forth under the captions “Forward-Looking Statements” and “Risk Factors” included in the Company’s Annual Report on Form 10-K for the year ended December 31, 2017) for additional information regarding factors that could affect our financial and other results. You should not place undue reliance on forward-looking statements, which speak only as of the date of the filing of this Form 10-Q. We are not undertaking to update any of these statements, except as required by law.</w:t>
      </w:r>
    </w:p>
    <w:p>
      <w:pPr>
        <w:spacing w:after="0" w:line="20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Changes in foreign currency exchange rates impact the translation of our reported foreign currency denominated earnings, cash flows and net investments in foreign operations, virtually all of which are denominated in RMB. While substantially all of our supply purchases are denominated in RMB, from time to time, we enter into agreements at predetermined exchange rates with third parties to purchase certain amount of goods and services sourced overseas and make payments in the corresponding local currencies when practical, to minimize the related foreign currency exposure with immaterial impact on our financial statements.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substantially all of the Company’s assets are located in China, the Company is exposed to movements in the RMB foreign currency exchange rate. For the quarter ended September 30, 2018, the Company’s Operating Profit would have decreased approximately $27 million if the RMB weakened 10% relative to the US$. This estimated reduction assumes no changes in sales volumes or local currency sales or input prices.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42"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Commodity Price Risk</w:t>
      </w:r>
    </w:p>
    <w:p>
      <w:pPr>
        <w:spacing w:after="0" w:line="22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volatility in food costs as a result of market risks associated with commodity prices. Our ability to recover increased costs through higher pricing is, at times, limited by the competitive environment in which we operate. We manage our exposure to this risk primarily through pricing agreements with our vendors.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Risk</w:t>
      </w:r>
    </w:p>
    <w:p>
      <w:pPr>
        <w:spacing w:after="0" w:line="226"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In September 2018, we invested $74 million in Meituan’s ordinary shares. The equity investment is recorded at fair value, which is measured on a recurring basis and is subject to market price volatility. See Note 9 for further discussion on our investment in Meituan.</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Evaluation of Disclosure Controls and Procedures</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Company has evaluated the effectiveness of the design and operation of its disclosure controls and procedures pursuant to Rules 13a-15(e) and 15d-15(e) under the Securities Exchange Act of 1934 as of the end of the period covered by this report. Based on the evaluation, performed under the supervision and with the participation of the Company’s management, including the Chief Executive Officer (the “CEO”) and the Chief Financial Officer (the “CFO”), the Company’s management, including the CEO and the CFO, concluded that the Company’s disclosure controls and procedures were effective as of the end of the period covered by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Changes in Internal Control Over Financial Reporting</w:t>
      </w:r>
    </w:p>
    <w:p>
      <w:pPr>
        <w:spacing w:after="0" w:line="220"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There were no changes with respect to the Company’s internal control over financial reporting or in other factors that materially affected, or are reasonably likely to materially affect, internal control over financial reporting during the quarter ended September 30, 2018.</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PART II – Other Information</w:t>
      </w:r>
    </w:p>
    <w:p>
      <w:pPr>
        <w:spacing w:after="0" w:line="22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6"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222222"/>
        </w:rPr>
        <w:t>Information regarding legal proceedings is incorporated by reference from Note 12 to the Company’s Condensed Consolidated Financial Statements set forth in Part I of this report.</w:t>
      </w:r>
    </w:p>
    <w:p>
      <w:pPr>
        <w:spacing w:after="0" w:line="153"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6" w:lineRule="exact"/>
        <w:rPr>
          <w:sz w:val="20"/>
          <w:szCs w:val="20"/>
          <w:color w:val="auto"/>
        </w:rPr>
      </w:pPr>
    </w:p>
    <w:p>
      <w:pPr>
        <w:jc w:val="both"/>
        <w:ind w:right="100"/>
        <w:spacing w:after="0" w:line="265" w:lineRule="auto"/>
        <w:rPr>
          <w:sz w:val="20"/>
          <w:szCs w:val="20"/>
          <w:color w:val="auto"/>
        </w:rPr>
      </w:pPr>
      <w:r>
        <w:rPr>
          <w:rFonts w:ascii="Arial" w:cs="Arial" w:eastAsia="Arial" w:hAnsi="Arial"/>
          <w:sz w:val="17"/>
          <w:szCs w:val="17"/>
          <w:color w:val="222222"/>
        </w:rPr>
        <w:t>We face a variety of risks that are inherent in our business and our industry, including operational, legal and regulatory risks. Such risks could cause our actual results to differ materially from our forward-looking statements, expectations and historical trends. There have been no material changes from the risk factors disclosed in Part I, Item 1A. “Risk Factors” in our Annual Report on Form 10-K for the year ended December 31, 2017, which was filed with the SEC on February 27, 2018.</w:t>
      </w:r>
    </w:p>
    <w:p>
      <w:pPr>
        <w:spacing w:after="0" w:line="169"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6"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On February 7, 2017, we announced that our Board of Directors authorized a $300 million share repurchase program. On October 4, 2017, the Board of Directors increased Yum China’s share repurchase authorization from $300 million to an aggregate of $550 million.</w:t>
      </w:r>
    </w:p>
    <w:p>
      <w:pPr>
        <w:spacing w:after="0" w:line="159"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On October 30, 2018, the Board of Directors further increased the share repurchase authorization to an aggregate of $1.4 billion. The authorizations do not have an expiration date.</w:t>
      </w:r>
    </w:p>
    <w:p>
      <w:pPr>
        <w:spacing w:after="0" w:line="159" w:lineRule="exact"/>
        <w:rPr>
          <w:sz w:val="20"/>
          <w:szCs w:val="20"/>
          <w:color w:val="auto"/>
        </w:rPr>
      </w:pPr>
    </w:p>
    <w:p>
      <w:pPr>
        <w:jc w:val="both"/>
        <w:ind w:right="100"/>
        <w:spacing w:after="0" w:line="285" w:lineRule="auto"/>
        <w:rPr>
          <w:sz w:val="20"/>
          <w:szCs w:val="20"/>
          <w:color w:val="auto"/>
        </w:rPr>
      </w:pPr>
      <w:r>
        <w:rPr>
          <w:rFonts w:ascii="Arial" w:cs="Arial" w:eastAsia="Arial" w:hAnsi="Arial"/>
          <w:sz w:val="17"/>
          <w:szCs w:val="17"/>
          <w:color w:val="auto"/>
        </w:rPr>
        <w:t>The following table provides information as of September 30, 2018 with respect to shares of Yum China common stock repurchased by the Company during the quarter then ended: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Approximate Doll</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7"/>
              </w:rPr>
              <w:t>Total Number of 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Value of Shares th</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85"/>
              </w:rPr>
              <w:t>Repurchased as Part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62"/>
              <w:spacing w:after="0"/>
              <w:rPr>
                <w:sz w:val="20"/>
                <w:szCs w:val="20"/>
                <w:color w:val="auto"/>
              </w:rPr>
            </w:pPr>
            <w:r>
              <w:rPr>
                <w:rFonts w:ascii="Arial" w:cs="Arial" w:eastAsia="Arial" w:hAnsi="Arial"/>
                <w:sz w:val="16"/>
                <w:szCs w:val="16"/>
                <w:color w:val="auto"/>
              </w:rPr>
              <w:t>May Yet Be</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0"/>
              </w:rPr>
              <w:t>Total Number of</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6"/>
                <w:szCs w:val="16"/>
                <w:color w:val="auto"/>
                <w:w w:val="91"/>
              </w:rPr>
              <w:t>Publicly Announced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Repurchased unde</w:t>
            </w:r>
          </w:p>
        </w:tc>
        <w:tc>
          <w:tcPr>
            <w:tcW w:w="0" w:type="dxa"/>
            <w:vAlign w:val="bottom"/>
          </w:tcPr>
          <w:p>
            <w:pPr>
              <w:spacing w:after="0"/>
              <w:rPr>
                <w:sz w:val="1"/>
                <w:szCs w:val="1"/>
                <w:color w:val="auto"/>
              </w:rPr>
            </w:pPr>
          </w:p>
        </w:tc>
      </w:tr>
      <w:tr>
        <w:trPr>
          <w:trHeight w:val="195"/>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3"/>
              </w:rPr>
              <w:t>Shares Repurchased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Arial" w:cs="Arial" w:eastAsia="Arial" w:hAnsi="Arial"/>
                <w:sz w:val="16"/>
                <w:szCs w:val="16"/>
                <w:color w:val="auto"/>
              </w:rPr>
              <w:t>Average Price Paid</w:t>
            </w:r>
          </w:p>
        </w:tc>
        <w:tc>
          <w:tcPr>
            <w:tcW w:w="1840" w:type="dxa"/>
            <w:vAlign w:val="bottom"/>
          </w:tcPr>
          <w:p>
            <w:pPr>
              <w:jc w:val="center"/>
              <w:spacing w:after="0"/>
              <w:rPr>
                <w:sz w:val="20"/>
                <w:szCs w:val="20"/>
                <w:color w:val="auto"/>
              </w:rPr>
            </w:pPr>
            <w:r>
              <w:rPr>
                <w:rFonts w:ascii="Arial" w:cs="Arial" w:eastAsia="Arial" w:hAnsi="Arial"/>
                <w:sz w:val="16"/>
                <w:szCs w:val="16"/>
                <w:color w:val="auto"/>
                <w:w w:val="86"/>
              </w:rPr>
              <w:t>Plans or Programs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the Plans or Progra</w:t>
            </w:r>
          </w:p>
        </w:tc>
        <w:tc>
          <w:tcPr>
            <w:tcW w:w="0" w:type="dxa"/>
            <w:vAlign w:val="bottom"/>
          </w:tcPr>
          <w:p>
            <w:pPr>
              <w:spacing w:after="0"/>
              <w:rPr>
                <w:sz w:val="1"/>
                <w:szCs w:val="1"/>
                <w:color w:val="auto"/>
              </w:rPr>
            </w:pPr>
          </w:p>
        </w:tc>
      </w:tr>
      <w:tr>
        <w:trPr>
          <w:trHeight w:val="202"/>
        </w:trPr>
        <w:tc>
          <w:tcPr>
            <w:tcW w:w="39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Period</w:t>
            </w:r>
          </w:p>
        </w:tc>
        <w:tc>
          <w:tcPr>
            <w:tcW w:w="160" w:type="dxa"/>
            <w:vAlign w:val="bottom"/>
          </w:tcPr>
          <w:p>
            <w:pPr>
              <w:spacing w:after="0"/>
              <w:rPr>
                <w:sz w:val="17"/>
                <w:szCs w:val="17"/>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(thousands)</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Per Share</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5"/>
              </w:rPr>
              <w:t>(thousands)</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(millions)</w:t>
            </w:r>
          </w:p>
        </w:tc>
        <w:tc>
          <w:tcPr>
            <w:tcW w:w="0" w:type="dxa"/>
            <w:vAlign w:val="bottom"/>
          </w:tcPr>
          <w:p>
            <w:pPr>
              <w:spacing w:after="0"/>
              <w:rPr>
                <w:sz w:val="1"/>
                <w:szCs w:val="1"/>
                <w:color w:val="auto"/>
              </w:rPr>
            </w:pPr>
          </w:p>
        </w:tc>
      </w:tr>
      <w:tr>
        <w:trPr>
          <w:trHeight w:val="198"/>
        </w:trPr>
        <w:tc>
          <w:tcPr>
            <w:tcW w:w="4060" w:type="dxa"/>
            <w:vAlign w:val="bottom"/>
            <w:gridSpan w:val="2"/>
          </w:tcPr>
          <w:p>
            <w:pPr>
              <w:spacing w:after="0"/>
              <w:rPr>
                <w:sz w:val="20"/>
                <w:szCs w:val="20"/>
                <w:color w:val="auto"/>
              </w:rPr>
            </w:pPr>
            <w:r>
              <w:rPr>
                <w:rFonts w:ascii="Arial" w:cs="Arial" w:eastAsia="Arial" w:hAnsi="Arial"/>
                <w:sz w:val="16"/>
                <w:szCs w:val="16"/>
                <w:color w:val="auto"/>
              </w:rPr>
              <w:t>Cumulative through June 30, 2018</w:t>
            </w: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1,910</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22"/>
              <w:spacing w:after="0"/>
              <w:rPr>
                <w:sz w:val="20"/>
                <w:szCs w:val="20"/>
                <w:color w:val="auto"/>
              </w:rPr>
            </w:pPr>
            <w:r>
              <w:rPr>
                <w:rFonts w:ascii="Arial" w:cs="Arial" w:eastAsia="Arial" w:hAnsi="Arial"/>
                <w:sz w:val="16"/>
                <w:szCs w:val="16"/>
                <w:color w:val="auto"/>
              </w:rPr>
              <w:t>38.41</w:t>
            </w:r>
          </w:p>
        </w:tc>
        <w:tc>
          <w:tcPr>
            <w:tcW w:w="120" w:type="dxa"/>
            <w:vAlign w:val="bottom"/>
          </w:tcPr>
          <w:p>
            <w:pPr>
              <w:spacing w:after="0"/>
              <w:rPr>
                <w:sz w:val="17"/>
                <w:szCs w:val="17"/>
                <w:color w:val="auto"/>
              </w:rPr>
            </w:pPr>
          </w:p>
        </w:tc>
        <w:tc>
          <w:tcPr>
            <w:tcW w:w="1840" w:type="dxa"/>
            <w:vAlign w:val="bottom"/>
          </w:tcPr>
          <w:p>
            <w:pPr>
              <w:jc w:val="right"/>
              <w:ind w:right="62"/>
              <w:spacing w:after="0"/>
              <w:rPr>
                <w:sz w:val="20"/>
                <w:szCs w:val="20"/>
                <w:color w:val="auto"/>
              </w:rPr>
            </w:pPr>
            <w:r>
              <w:rPr>
                <w:rFonts w:ascii="Arial" w:cs="Arial" w:eastAsia="Arial" w:hAnsi="Arial"/>
                <w:sz w:val="16"/>
                <w:szCs w:val="16"/>
                <w:color w:val="auto"/>
              </w:rPr>
              <w:t>1,910</w:t>
            </w:r>
          </w:p>
        </w:tc>
        <w:tc>
          <w:tcPr>
            <w:tcW w:w="1600" w:type="dxa"/>
            <w:vAlign w:val="bottom"/>
            <w:gridSpan w:val="3"/>
          </w:tcPr>
          <w:p>
            <w:pPr>
              <w:jc w:val="right"/>
              <w:ind w:right="12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5"/>
        </w:trPr>
        <w:tc>
          <w:tcPr>
            <w:tcW w:w="3900" w:type="dxa"/>
            <w:vAlign w:val="bottom"/>
          </w:tcPr>
          <w:p>
            <w:pPr>
              <w:spacing w:after="0"/>
              <w:rPr>
                <w:sz w:val="20"/>
                <w:szCs w:val="20"/>
                <w:color w:val="auto"/>
              </w:rPr>
            </w:pPr>
            <w:r>
              <w:rPr>
                <w:rFonts w:ascii="Arial" w:cs="Arial" w:eastAsia="Arial" w:hAnsi="Arial"/>
                <w:sz w:val="16"/>
                <w:szCs w:val="16"/>
                <w:color w:val="auto"/>
              </w:rPr>
              <w:t>7/1/18-7/31/18</w:t>
            </w:r>
          </w:p>
        </w:tc>
        <w:tc>
          <w:tcPr>
            <w:tcW w:w="160" w:type="dxa"/>
            <w:vAlign w:val="bottom"/>
          </w:tcPr>
          <w:p>
            <w:pPr>
              <w:spacing w:after="0"/>
              <w:rPr>
                <w:sz w:val="24"/>
                <w:szCs w:val="24"/>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1,514</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22"/>
              <w:spacing w:after="0"/>
              <w:rPr>
                <w:sz w:val="20"/>
                <w:szCs w:val="20"/>
                <w:color w:val="auto"/>
              </w:rPr>
            </w:pPr>
            <w:r>
              <w:rPr>
                <w:rFonts w:ascii="Arial" w:cs="Arial" w:eastAsia="Arial" w:hAnsi="Arial"/>
                <w:sz w:val="16"/>
                <w:szCs w:val="16"/>
                <w:color w:val="auto"/>
              </w:rPr>
              <w:t>35.76</w:t>
            </w:r>
          </w:p>
        </w:tc>
        <w:tc>
          <w:tcPr>
            <w:tcW w:w="120" w:type="dxa"/>
            <w:vAlign w:val="bottom"/>
          </w:tcPr>
          <w:p>
            <w:pPr>
              <w:spacing w:after="0"/>
              <w:rPr>
                <w:sz w:val="24"/>
                <w:szCs w:val="24"/>
                <w:color w:val="auto"/>
              </w:rPr>
            </w:pPr>
          </w:p>
        </w:tc>
        <w:tc>
          <w:tcPr>
            <w:tcW w:w="1840" w:type="dxa"/>
            <w:vAlign w:val="bottom"/>
          </w:tcPr>
          <w:p>
            <w:pPr>
              <w:jc w:val="right"/>
              <w:ind w:right="62"/>
              <w:spacing w:after="0"/>
              <w:rPr>
                <w:sz w:val="20"/>
                <w:szCs w:val="20"/>
                <w:color w:val="auto"/>
              </w:rPr>
            </w:pPr>
            <w:r>
              <w:rPr>
                <w:rFonts w:ascii="Arial" w:cs="Arial" w:eastAsia="Arial" w:hAnsi="Arial"/>
                <w:sz w:val="16"/>
                <w:szCs w:val="16"/>
                <w:color w:val="auto"/>
              </w:rPr>
              <w:t>1,514</w:t>
            </w:r>
          </w:p>
        </w:tc>
        <w:tc>
          <w:tcPr>
            <w:tcW w:w="1600" w:type="dxa"/>
            <w:vAlign w:val="bottom"/>
            <w:gridSpan w:val="3"/>
          </w:tcPr>
          <w:p>
            <w:pPr>
              <w:jc w:val="right"/>
              <w:ind w:right="12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6"/>
                <w:szCs w:val="16"/>
                <w:color w:val="auto"/>
              </w:rPr>
              <w:t>8/1/18-8/31/18</w:t>
            </w:r>
          </w:p>
        </w:tc>
        <w:tc>
          <w:tcPr>
            <w:tcW w:w="160" w:type="dxa"/>
            <w:vAlign w:val="bottom"/>
          </w:tcPr>
          <w:p>
            <w:pPr>
              <w:spacing w:after="0"/>
              <w:rPr>
                <w:sz w:val="18"/>
                <w:szCs w:val="18"/>
                <w:color w:val="auto"/>
              </w:rPr>
            </w:pP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6"/>
                <w:szCs w:val="16"/>
                <w:color w:val="auto"/>
              </w:rPr>
              <w:t>N/A</w:t>
            </w:r>
          </w:p>
        </w:tc>
        <w:tc>
          <w:tcPr>
            <w:tcW w:w="18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12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3900" w:type="dxa"/>
            <w:vAlign w:val="bottom"/>
          </w:tcPr>
          <w:p>
            <w:pPr>
              <w:spacing w:after="0"/>
              <w:rPr>
                <w:sz w:val="20"/>
                <w:szCs w:val="20"/>
                <w:color w:val="auto"/>
              </w:rPr>
            </w:pPr>
            <w:r>
              <w:rPr>
                <w:rFonts w:ascii="Arial" w:cs="Arial" w:eastAsia="Arial" w:hAnsi="Arial"/>
                <w:sz w:val="16"/>
                <w:szCs w:val="16"/>
                <w:color w:val="auto"/>
              </w:rPr>
              <w:t>9/1/18-9/30/18</w:t>
            </w:r>
          </w:p>
        </w:tc>
        <w:tc>
          <w:tcPr>
            <w:tcW w:w="160" w:type="dxa"/>
            <w:vAlign w:val="bottom"/>
          </w:tcPr>
          <w:p>
            <w:pPr>
              <w:spacing w:after="0"/>
              <w:rPr>
                <w:sz w:val="18"/>
                <w:szCs w:val="18"/>
                <w:color w:val="auto"/>
              </w:rPr>
            </w:pPr>
          </w:p>
        </w:tc>
        <w:tc>
          <w:tcPr>
            <w:tcW w:w="1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1,152</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22"/>
              <w:spacing w:after="0"/>
              <w:rPr>
                <w:sz w:val="20"/>
                <w:szCs w:val="20"/>
                <w:color w:val="auto"/>
              </w:rPr>
            </w:pPr>
            <w:r>
              <w:rPr>
                <w:rFonts w:ascii="Arial" w:cs="Arial" w:eastAsia="Arial" w:hAnsi="Arial"/>
                <w:sz w:val="16"/>
                <w:szCs w:val="16"/>
                <w:color w:val="auto"/>
              </w:rPr>
              <w:t>34.33</w:t>
            </w:r>
          </w:p>
        </w:tc>
        <w:tc>
          <w:tcPr>
            <w:tcW w:w="120" w:type="dxa"/>
            <w:vAlign w:val="bottom"/>
          </w:tcPr>
          <w:p>
            <w:pPr>
              <w:spacing w:after="0"/>
              <w:rPr>
                <w:sz w:val="18"/>
                <w:szCs w:val="18"/>
                <w:color w:val="auto"/>
              </w:rPr>
            </w:pPr>
          </w:p>
        </w:tc>
        <w:tc>
          <w:tcPr>
            <w:tcW w:w="18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1,152</w:t>
            </w:r>
          </w:p>
        </w:tc>
        <w:tc>
          <w:tcPr>
            <w:tcW w:w="1600" w:type="dxa"/>
            <w:vAlign w:val="bottom"/>
            <w:gridSpan w:val="3"/>
          </w:tcPr>
          <w:p>
            <w:pPr>
              <w:jc w:val="right"/>
              <w:ind w:right="12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4060" w:type="dxa"/>
            <w:vAlign w:val="bottom"/>
            <w:gridSpan w:val="2"/>
          </w:tcPr>
          <w:p>
            <w:pPr>
              <w:spacing w:after="0"/>
              <w:rPr>
                <w:sz w:val="20"/>
                <w:szCs w:val="20"/>
                <w:color w:val="auto"/>
              </w:rPr>
            </w:pPr>
            <w:r>
              <w:rPr>
                <w:rFonts w:ascii="Arial" w:cs="Arial" w:eastAsia="Arial" w:hAnsi="Arial"/>
                <w:sz w:val="16"/>
                <w:szCs w:val="16"/>
                <w:color w:val="auto"/>
              </w:rPr>
              <w:t>Total for the Quarter Ended September 30, 2018</w:t>
            </w:r>
          </w:p>
        </w:tc>
        <w:tc>
          <w:tcPr>
            <w:tcW w:w="1820" w:type="dxa"/>
            <w:vAlign w:val="bottom"/>
          </w:tcPr>
          <w:p>
            <w:pPr>
              <w:jc w:val="right"/>
              <w:ind w:right="42"/>
              <w:spacing w:after="0"/>
              <w:rPr>
                <w:sz w:val="20"/>
                <w:szCs w:val="20"/>
                <w:color w:val="auto"/>
              </w:rPr>
            </w:pPr>
            <w:r>
              <w:rPr>
                <w:rFonts w:ascii="Arial" w:cs="Arial" w:eastAsia="Arial" w:hAnsi="Arial"/>
                <w:sz w:val="16"/>
                <w:szCs w:val="16"/>
                <w:color w:val="auto"/>
              </w:rPr>
              <w:t>2,666</w:t>
            </w:r>
          </w:p>
        </w:tc>
        <w:tc>
          <w:tcPr>
            <w:tcW w:w="4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122"/>
              <w:spacing w:after="0"/>
              <w:rPr>
                <w:sz w:val="20"/>
                <w:szCs w:val="20"/>
                <w:color w:val="auto"/>
              </w:rPr>
            </w:pPr>
            <w:r>
              <w:rPr>
                <w:rFonts w:ascii="Arial" w:cs="Arial" w:eastAsia="Arial" w:hAnsi="Arial"/>
                <w:sz w:val="16"/>
                <w:szCs w:val="16"/>
                <w:color w:val="auto"/>
              </w:rPr>
              <w:t>35.14</w:t>
            </w:r>
          </w:p>
        </w:tc>
        <w:tc>
          <w:tcPr>
            <w:tcW w:w="120" w:type="dxa"/>
            <w:vAlign w:val="bottom"/>
          </w:tcPr>
          <w:p>
            <w:pPr>
              <w:spacing w:after="0"/>
              <w:rPr>
                <w:sz w:val="17"/>
                <w:szCs w:val="17"/>
                <w:color w:val="auto"/>
              </w:rPr>
            </w:pPr>
          </w:p>
        </w:tc>
        <w:tc>
          <w:tcPr>
            <w:tcW w:w="1840" w:type="dxa"/>
            <w:vAlign w:val="bottom"/>
          </w:tcPr>
          <w:p>
            <w:pPr>
              <w:jc w:val="right"/>
              <w:ind w:right="62"/>
              <w:spacing w:after="0"/>
              <w:rPr>
                <w:sz w:val="20"/>
                <w:szCs w:val="20"/>
                <w:color w:val="auto"/>
              </w:rPr>
            </w:pPr>
            <w:r>
              <w:rPr>
                <w:rFonts w:ascii="Arial" w:cs="Arial" w:eastAsia="Arial" w:hAnsi="Arial"/>
                <w:sz w:val="16"/>
                <w:szCs w:val="16"/>
                <w:color w:val="auto"/>
              </w:rPr>
              <w:t>2,666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60" w:type="dxa"/>
            <w:vAlign w:val="bottom"/>
            <w:gridSpan w:val="2"/>
            <w:vMerge w:val="restart"/>
          </w:tcPr>
          <w:p>
            <w:pPr>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600" w:type="dxa"/>
            <w:vAlign w:val="bottom"/>
            <w:gridSpan w:val="3"/>
            <w:vMerge w:val="restart"/>
          </w:tcPr>
          <w:p>
            <w:pPr>
              <w:jc w:val="right"/>
              <w:ind w:right="12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4060" w:type="dxa"/>
            <w:vAlign w:val="bottom"/>
            <w:gridSpan w:val="2"/>
            <w:vMerge w:val="continue"/>
          </w:tcPr>
          <w:p>
            <w:pPr>
              <w:spacing w:after="0"/>
              <w:rPr>
                <w:sz w:val="17"/>
                <w:szCs w:val="17"/>
                <w:color w:val="auto"/>
              </w:rPr>
            </w:pPr>
          </w:p>
        </w:tc>
        <w:tc>
          <w:tcPr>
            <w:tcW w:w="1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4,576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4,576</w:t>
            </w:r>
          </w:p>
        </w:tc>
        <w:tc>
          <w:tcPr>
            <w:tcW w:w="16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520"/>
          </w:cols>
          <w:pgMar w:left="240" w:top="329" w:right="1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6"/>
        </w:trPr>
        <w:tc>
          <w:tcPr>
            <w:tcW w:w="840" w:type="dxa"/>
            <w:vAlign w:val="bottom"/>
            <w:gridSpan w:val="2"/>
          </w:tcPr>
          <w:p>
            <w:pPr>
              <w:spacing w:after="0"/>
              <w:rPr>
                <w:sz w:val="20"/>
                <w:szCs w:val="20"/>
                <w:color w:val="auto"/>
              </w:rPr>
            </w:pPr>
            <w:r>
              <w:rPr>
                <w:rFonts w:ascii="Arial" w:cs="Arial" w:eastAsia="Arial" w:hAnsi="Arial"/>
                <w:sz w:val="17"/>
                <w:szCs w:val="17"/>
                <w:b w:val="1"/>
                <w:bCs w:val="1"/>
                <w:color w:val="auto"/>
              </w:rPr>
              <w:t>Item 6.</w:t>
            </w:r>
          </w:p>
        </w:tc>
        <w:tc>
          <w:tcPr>
            <w:tcW w:w="10580" w:type="dxa"/>
            <w:vAlign w:val="bottom"/>
            <w:gridSpan w:val="9"/>
          </w:tcPr>
          <w:p>
            <w:pPr>
              <w:ind w:left="180"/>
              <w:spacing w:after="0"/>
              <w:rPr>
                <w:sz w:val="20"/>
                <w:szCs w:val="20"/>
                <w:color w:val="auto"/>
              </w:rPr>
            </w:pPr>
            <w:r>
              <w:rPr>
                <w:rFonts w:ascii="Arial" w:cs="Arial" w:eastAsia="Arial" w:hAnsi="Arial"/>
                <w:sz w:val="17"/>
                <w:szCs w:val="17"/>
                <w:b w:val="1"/>
                <w:bCs w:val="1"/>
                <w:color w:val="auto"/>
              </w:rPr>
              <w:t>Exhibits</w:t>
            </w:r>
          </w:p>
        </w:tc>
      </w:tr>
      <w:tr>
        <w:trPr>
          <w:trHeight w:val="403"/>
        </w:trPr>
        <w:tc>
          <w:tcPr>
            <w:tcW w:w="840" w:type="dxa"/>
            <w:vAlign w:val="bottom"/>
            <w:gridSpan w:val="2"/>
          </w:tcPr>
          <w:p>
            <w:pPr>
              <w:spacing w:after="0"/>
              <w:rPr>
                <w:sz w:val="20"/>
                <w:szCs w:val="20"/>
                <w:color w:val="auto"/>
              </w:rPr>
            </w:pPr>
            <w:r>
              <w:rPr>
                <w:rFonts w:ascii="Arial" w:cs="Arial" w:eastAsia="Arial" w:hAnsi="Arial"/>
                <w:sz w:val="17"/>
                <w:szCs w:val="17"/>
                <w:color w:val="auto"/>
              </w:rPr>
              <w:t>Exhibit</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181"/>
        </w:trPr>
        <w:tc>
          <w:tcPr>
            <w:tcW w:w="580" w:type="dxa"/>
            <w:vAlign w:val="bottom"/>
            <w:tcBorders>
              <w:bottom w:val="single" w:sz="8" w:color="auto"/>
            </w:tcBorders>
          </w:tcPr>
          <w:p>
            <w:pPr>
              <w:spacing w:after="0" w:line="181" w:lineRule="exact"/>
              <w:rPr>
                <w:sz w:val="20"/>
                <w:szCs w:val="20"/>
                <w:color w:val="auto"/>
              </w:rPr>
            </w:pPr>
            <w:r>
              <w:rPr>
                <w:rFonts w:ascii="Arial" w:cs="Arial" w:eastAsia="Arial" w:hAnsi="Arial"/>
                <w:sz w:val="17"/>
                <w:szCs w:val="17"/>
                <w:color w:val="auto"/>
                <w:w w:val="92"/>
              </w:rPr>
              <w:t>Number</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2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7"/>
                <w:szCs w:val="17"/>
                <w:color w:val="auto"/>
                <w:w w:val="95"/>
              </w:rPr>
              <w:t>Description of Exhibits</w:t>
            </w:r>
          </w:p>
        </w:tc>
        <w:tc>
          <w:tcPr>
            <w:tcW w:w="4320" w:type="dxa"/>
            <w:vAlign w:val="bottom"/>
          </w:tcPr>
          <w:p>
            <w:pPr>
              <w:spacing w:after="0"/>
              <w:rPr>
                <w:sz w:val="15"/>
                <w:szCs w:val="15"/>
                <w:color w:val="auto"/>
              </w:rPr>
            </w:pPr>
          </w:p>
        </w:tc>
      </w:tr>
      <w:tr>
        <w:trPr>
          <w:trHeight w:val="395"/>
        </w:trPr>
        <w:tc>
          <w:tcPr>
            <w:tcW w:w="580" w:type="dxa"/>
            <w:vAlign w:val="bottom"/>
          </w:tcPr>
          <w:p>
            <w:pPr>
              <w:jc w:val="right"/>
              <w:ind w:right="94"/>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7"/>
                <w:szCs w:val="17"/>
                <w:color w:val="0000EE"/>
                <w:w w:val="94"/>
              </w:rPr>
            </w:pPr>
            <w:hyperlink r:id="rId71">
              <w:r>
                <w:rPr>
                  <w:rFonts w:ascii="Arial" w:cs="Arial" w:eastAsia="Arial" w:hAnsi="Arial"/>
                  <w:sz w:val="17"/>
                  <w:szCs w:val="17"/>
                  <w:color w:val="0000EE"/>
                  <w:w w:val="94"/>
                </w:rPr>
                <w:t>Amended and Restated Certificate of Incorporation of Yum China Holdings, Inc. (incorporated by reference to Exhibit 3.1 to Yum China Holdings,</w:t>
              </w:r>
            </w:hyperlink>
          </w:p>
        </w:tc>
      </w:tr>
      <w:tr>
        <w:trPr>
          <w:trHeight w:val="188"/>
        </w:trPr>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40" w:type="dxa"/>
            <w:vAlign w:val="bottom"/>
            <w:tcBorders>
              <w:bottom w:val="single" w:sz="8" w:color="0000EE"/>
            </w:tcBorders>
            <w:gridSpan w:val="6"/>
          </w:tcPr>
          <w:p>
            <w:pPr>
              <w:spacing w:after="0" w:line="188" w:lineRule="exact"/>
              <w:rPr>
                <w:rFonts w:ascii="Arial" w:cs="Arial" w:eastAsia="Arial" w:hAnsi="Arial"/>
                <w:sz w:val="17"/>
                <w:szCs w:val="17"/>
                <w:color w:val="0000EE"/>
                <w:w w:val="93"/>
              </w:rPr>
            </w:pPr>
            <w:hyperlink r:id="rId71">
              <w:r>
                <w:rPr>
                  <w:rFonts w:ascii="Arial" w:cs="Arial" w:eastAsia="Arial" w:hAnsi="Arial"/>
                  <w:sz w:val="17"/>
                  <w:szCs w:val="17"/>
                  <w:color w:val="0000EE"/>
                  <w:w w:val="93"/>
                </w:rPr>
                <w:t>Inc.’s Current Report on Form 8-K filed on November 1, 2016).</w:t>
              </w:r>
            </w:hyperlink>
          </w:p>
        </w:tc>
        <w:tc>
          <w:tcPr>
            <w:tcW w:w="5840" w:type="dxa"/>
            <w:vAlign w:val="bottom"/>
            <w:gridSpan w:val="2"/>
          </w:tcPr>
          <w:p>
            <w:pPr>
              <w:spacing w:after="0"/>
              <w:rPr>
                <w:sz w:val="16"/>
                <w:szCs w:val="16"/>
                <w:color w:val="auto"/>
              </w:rPr>
            </w:pPr>
          </w:p>
        </w:tc>
      </w:tr>
      <w:tr>
        <w:trPr>
          <w:trHeight w:val="395"/>
        </w:trPr>
        <w:tc>
          <w:tcPr>
            <w:tcW w:w="580" w:type="dxa"/>
            <w:vAlign w:val="bottom"/>
          </w:tcPr>
          <w:p>
            <w:pPr>
              <w:jc w:val="right"/>
              <w:ind w:right="94"/>
              <w:spacing w:after="0"/>
              <w:rPr>
                <w:sz w:val="20"/>
                <w:szCs w:val="20"/>
                <w:color w:val="auto"/>
              </w:rPr>
            </w:pPr>
            <w:r>
              <w:rPr>
                <w:rFonts w:ascii="Arial" w:cs="Arial" w:eastAsia="Arial" w:hAnsi="Arial"/>
                <w:sz w:val="17"/>
                <w:szCs w:val="17"/>
                <w:color w:val="auto"/>
              </w:rPr>
              <w:t>3.2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7"/>
                <w:szCs w:val="17"/>
                <w:color w:val="0000EE"/>
                <w:w w:val="97"/>
              </w:rPr>
            </w:pPr>
            <w:hyperlink r:id="rId72">
              <w:r>
                <w:rPr>
                  <w:rFonts w:ascii="Arial" w:cs="Arial" w:eastAsia="Arial" w:hAnsi="Arial"/>
                  <w:sz w:val="17"/>
                  <w:szCs w:val="17"/>
                  <w:color w:val="0000EE"/>
                  <w:w w:val="97"/>
                </w:rPr>
                <w:t>Amended and Restated Bylaws of Yum China Holdings, Inc. (incorporated by reference to Exhibit 3.2 to Yum China Holdings, Inc.’s Current</w:t>
              </w:r>
            </w:hyperlink>
          </w:p>
        </w:tc>
      </w:tr>
      <w:tr>
        <w:trPr>
          <w:trHeight w:val="188"/>
        </w:trPr>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tcBorders>
              <w:bottom w:val="single" w:sz="8" w:color="0000EE"/>
            </w:tcBorders>
            <w:gridSpan w:val="4"/>
          </w:tcPr>
          <w:p>
            <w:pPr>
              <w:spacing w:after="0" w:line="188" w:lineRule="exact"/>
              <w:rPr>
                <w:rFonts w:ascii="Arial" w:cs="Arial" w:eastAsia="Arial" w:hAnsi="Arial"/>
                <w:sz w:val="17"/>
                <w:szCs w:val="17"/>
                <w:color w:val="0000EE"/>
                <w:w w:val="93"/>
              </w:rPr>
            </w:pPr>
            <w:hyperlink r:id="rId72">
              <w:r>
                <w:rPr>
                  <w:rFonts w:ascii="Arial" w:cs="Arial" w:eastAsia="Arial" w:hAnsi="Arial"/>
                  <w:sz w:val="17"/>
                  <w:szCs w:val="17"/>
                  <w:color w:val="0000EE"/>
                  <w:w w:val="93"/>
                </w:rPr>
                <w:t>Report on Form 8-K filed on November 1, 2016).</w:t>
              </w:r>
            </w:hyperlink>
          </w:p>
        </w:tc>
        <w:tc>
          <w:tcPr>
            <w:tcW w:w="6840" w:type="dxa"/>
            <w:vAlign w:val="bottom"/>
            <w:gridSpan w:val="4"/>
          </w:tcPr>
          <w:p>
            <w:pPr>
              <w:spacing w:after="0"/>
              <w:rPr>
                <w:sz w:val="16"/>
                <w:szCs w:val="16"/>
                <w:color w:val="auto"/>
              </w:rPr>
            </w:pPr>
          </w:p>
        </w:tc>
      </w:tr>
      <w:tr>
        <w:trPr>
          <w:trHeight w:val="395"/>
        </w:trPr>
        <w:tc>
          <w:tcPr>
            <w:tcW w:w="580" w:type="dxa"/>
            <w:vAlign w:val="bottom"/>
          </w:tcPr>
          <w:p>
            <w:pPr>
              <w:jc w:val="right"/>
              <w:ind w:right="94"/>
              <w:spacing w:after="0"/>
              <w:rPr>
                <w:sz w:val="20"/>
                <w:szCs w:val="20"/>
                <w:color w:val="auto"/>
              </w:rPr>
            </w:pPr>
            <w:r>
              <w:rPr>
                <w:rFonts w:ascii="Arial" w:cs="Arial" w:eastAsia="Arial" w:hAnsi="Arial"/>
                <w:sz w:val="17"/>
                <w:szCs w:val="17"/>
                <w:color w:val="auto"/>
              </w:rPr>
              <w:t>31.1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7"/>
                <w:szCs w:val="17"/>
                <w:color w:val="0000EE"/>
                <w:w w:val="94"/>
              </w:rPr>
            </w:pPr>
            <w:hyperlink w:anchor="page40">
              <w:r>
                <w:rPr>
                  <w:rFonts w:ascii="Arial" w:cs="Arial" w:eastAsia="Arial" w:hAnsi="Arial"/>
                  <w:sz w:val="17"/>
                  <w:szCs w:val="17"/>
                  <w:color w:val="0000EE"/>
                  <w:w w:val="94"/>
                </w:rPr>
                <w:t>Certification of the Chief Executive Officer pursuant to Rule 13a-14(a) of Securities Exchange Act of 1934, as adopted pursuant to Section 302 of</w:t>
              </w:r>
            </w:hyperlink>
          </w:p>
        </w:tc>
      </w:tr>
      <w:tr>
        <w:trPr>
          <w:trHeight w:val="188"/>
        </w:trPr>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80" w:type="dxa"/>
            <w:vAlign w:val="bottom"/>
            <w:gridSpan w:val="8"/>
          </w:tcPr>
          <w:p>
            <w:pPr>
              <w:spacing w:after="0" w:line="188" w:lineRule="exact"/>
              <w:rPr>
                <w:rFonts w:ascii="Arial" w:cs="Arial" w:eastAsia="Arial" w:hAnsi="Arial"/>
                <w:sz w:val="17"/>
                <w:szCs w:val="17"/>
                <w:color w:val="0000EE"/>
              </w:rPr>
            </w:pPr>
            <w:hyperlink w:anchor="page40">
              <w:r>
                <w:rPr>
                  <w:rFonts w:ascii="Arial" w:cs="Arial" w:eastAsia="Arial" w:hAnsi="Arial"/>
                  <w:sz w:val="17"/>
                  <w:szCs w:val="17"/>
                  <w:color w:val="0000EE"/>
                </w:rPr>
                <w:t>the Sarbanes-Oxley Act of 2002.*</w:t>
              </w:r>
            </w:hyperlink>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r>
      <w:tr>
        <w:trPr>
          <w:trHeight w:val="395"/>
        </w:trPr>
        <w:tc>
          <w:tcPr>
            <w:tcW w:w="580" w:type="dxa"/>
            <w:vAlign w:val="bottom"/>
          </w:tcPr>
          <w:p>
            <w:pPr>
              <w:jc w:val="right"/>
              <w:ind w:right="94"/>
              <w:spacing w:after="0"/>
              <w:rPr>
                <w:sz w:val="20"/>
                <w:szCs w:val="20"/>
                <w:color w:val="auto"/>
              </w:rPr>
            </w:pPr>
            <w:r>
              <w:rPr>
                <w:rFonts w:ascii="Arial" w:cs="Arial" w:eastAsia="Arial" w:hAnsi="Arial"/>
                <w:sz w:val="17"/>
                <w:szCs w:val="17"/>
                <w:color w:val="auto"/>
              </w:rPr>
              <w:t>31.2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7"/>
                <w:szCs w:val="17"/>
                <w:color w:val="0000EE"/>
                <w:w w:val="94"/>
              </w:rPr>
            </w:pPr>
            <w:hyperlink w:anchor="page41">
              <w:r>
                <w:rPr>
                  <w:rFonts w:ascii="Arial" w:cs="Arial" w:eastAsia="Arial" w:hAnsi="Arial"/>
                  <w:sz w:val="17"/>
                  <w:szCs w:val="17"/>
                  <w:color w:val="0000EE"/>
                  <w:w w:val="94"/>
                </w:rPr>
                <w:t>Certification of the Chief Financial Officer pursuant to Rule 13a-14(a) of Securities Exchange Act of 1934, as adopted pursuant to Section 302 of</w:t>
              </w:r>
            </w:hyperlink>
          </w:p>
        </w:tc>
      </w:tr>
      <w:tr>
        <w:trPr>
          <w:trHeight w:val="188"/>
        </w:trPr>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80" w:type="dxa"/>
            <w:vAlign w:val="bottom"/>
            <w:gridSpan w:val="8"/>
          </w:tcPr>
          <w:p>
            <w:pPr>
              <w:spacing w:after="0" w:line="188" w:lineRule="exact"/>
              <w:rPr>
                <w:rFonts w:ascii="Arial" w:cs="Arial" w:eastAsia="Arial" w:hAnsi="Arial"/>
                <w:sz w:val="17"/>
                <w:szCs w:val="17"/>
                <w:color w:val="0000EE"/>
              </w:rPr>
            </w:pPr>
            <w:hyperlink w:anchor="page41">
              <w:r>
                <w:rPr>
                  <w:rFonts w:ascii="Arial" w:cs="Arial" w:eastAsia="Arial" w:hAnsi="Arial"/>
                  <w:sz w:val="17"/>
                  <w:szCs w:val="17"/>
                  <w:color w:val="0000EE"/>
                </w:rPr>
                <w:t>the Sarbanes-Oxley Act of 2002.*</w:t>
              </w:r>
            </w:hyperlink>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r>
      <w:tr>
        <w:trPr>
          <w:trHeight w:val="395"/>
        </w:trPr>
        <w:tc>
          <w:tcPr>
            <w:tcW w:w="580" w:type="dxa"/>
            <w:vAlign w:val="bottom"/>
          </w:tcPr>
          <w:p>
            <w:pPr>
              <w:jc w:val="right"/>
              <w:ind w:right="94"/>
              <w:spacing w:after="0"/>
              <w:rPr>
                <w:sz w:val="20"/>
                <w:szCs w:val="20"/>
                <w:color w:val="auto"/>
              </w:rPr>
            </w:pPr>
            <w:r>
              <w:rPr>
                <w:rFonts w:ascii="Arial" w:cs="Arial" w:eastAsia="Arial" w:hAnsi="Arial"/>
                <w:sz w:val="17"/>
                <w:szCs w:val="17"/>
                <w:color w:val="auto"/>
              </w:rPr>
              <w:t>32.1</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7"/>
                <w:szCs w:val="17"/>
                <w:color w:val="0000EE"/>
                <w:w w:val="94"/>
              </w:rPr>
            </w:pPr>
            <w:hyperlink w:anchor="page42">
              <w:r>
                <w:rPr>
                  <w:rFonts w:ascii="Arial" w:cs="Arial" w:eastAsia="Arial" w:hAnsi="Arial"/>
                  <w:sz w:val="17"/>
                  <w:szCs w:val="17"/>
                  <w:color w:val="0000EE"/>
                  <w:w w:val="94"/>
                </w:rPr>
                <w:t>Certification of the Chief Executive Officer pursuant to 18 U.S.C. Section 1350, as adopted pursuant to Section 906 of the Sarbanes-Oxley Act of</w:t>
              </w:r>
            </w:hyperlink>
          </w:p>
        </w:tc>
      </w:tr>
      <w:tr>
        <w:trPr>
          <w:trHeight w:val="188"/>
        </w:trPr>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bottom w:val="single" w:sz="8" w:color="0000EE"/>
            </w:tcBorders>
            <w:gridSpan w:val="2"/>
          </w:tcPr>
          <w:p>
            <w:pPr>
              <w:spacing w:after="0" w:line="188" w:lineRule="exact"/>
              <w:rPr>
                <w:rFonts w:ascii="Arial" w:cs="Arial" w:eastAsia="Arial" w:hAnsi="Arial"/>
                <w:sz w:val="17"/>
                <w:szCs w:val="17"/>
                <w:color w:val="0000EE"/>
                <w:w w:val="97"/>
              </w:rPr>
            </w:pPr>
            <w:hyperlink w:anchor="page42">
              <w:r>
                <w:rPr>
                  <w:rFonts w:ascii="Arial" w:cs="Arial" w:eastAsia="Arial" w:hAnsi="Arial"/>
                  <w:sz w:val="17"/>
                  <w:szCs w:val="17"/>
                  <w:color w:val="0000EE"/>
                  <w:w w:val="97"/>
                </w:rPr>
                <w:t>2002.*</w:t>
              </w:r>
            </w:hyperlink>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320" w:type="dxa"/>
            <w:vAlign w:val="bottom"/>
          </w:tcPr>
          <w:p>
            <w:pPr>
              <w:spacing w:after="0"/>
              <w:rPr>
                <w:sz w:val="16"/>
                <w:szCs w:val="16"/>
                <w:color w:val="auto"/>
              </w:rPr>
            </w:pPr>
          </w:p>
        </w:tc>
      </w:tr>
      <w:tr>
        <w:trPr>
          <w:trHeight w:val="395"/>
        </w:trPr>
        <w:tc>
          <w:tcPr>
            <w:tcW w:w="580" w:type="dxa"/>
            <w:vAlign w:val="bottom"/>
          </w:tcPr>
          <w:p>
            <w:pPr>
              <w:jc w:val="right"/>
              <w:ind w:right="94"/>
              <w:spacing w:after="0"/>
              <w:rPr>
                <w:sz w:val="20"/>
                <w:szCs w:val="20"/>
                <w:color w:val="auto"/>
              </w:rPr>
            </w:pPr>
            <w:r>
              <w:rPr>
                <w:rFonts w:ascii="Arial" w:cs="Arial" w:eastAsia="Arial" w:hAnsi="Arial"/>
                <w:sz w:val="17"/>
                <w:szCs w:val="17"/>
                <w:color w:val="auto"/>
              </w:rPr>
              <w:t>32.2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tcBorders>
              <w:bottom w:val="single" w:sz="8" w:color="0000EE"/>
            </w:tcBorders>
            <w:gridSpan w:val="8"/>
          </w:tcPr>
          <w:p>
            <w:pPr>
              <w:spacing w:after="0"/>
              <w:rPr>
                <w:rFonts w:ascii="Arial" w:cs="Arial" w:eastAsia="Arial" w:hAnsi="Arial"/>
                <w:sz w:val="17"/>
                <w:szCs w:val="17"/>
                <w:color w:val="0000EE"/>
                <w:w w:val="94"/>
              </w:rPr>
            </w:pPr>
            <w:hyperlink w:anchor="page43">
              <w:r>
                <w:rPr>
                  <w:rFonts w:ascii="Arial" w:cs="Arial" w:eastAsia="Arial" w:hAnsi="Arial"/>
                  <w:sz w:val="17"/>
                  <w:szCs w:val="17"/>
                  <w:color w:val="0000EE"/>
                  <w:w w:val="94"/>
                </w:rPr>
                <w:t>Certification of the Chief Financial Officer pursuant to 18 U.S.C. Section 1350, as adopted pursuant to Section 906 of the Sarbanes-Oxley Act of</w:t>
              </w:r>
            </w:hyperlink>
          </w:p>
        </w:tc>
      </w:tr>
      <w:tr>
        <w:trPr>
          <w:trHeight w:val="188"/>
        </w:trPr>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Borders>
              <w:bottom w:val="single" w:sz="8" w:color="0000EE"/>
            </w:tcBorders>
          </w:tcPr>
          <w:p>
            <w:pPr>
              <w:spacing w:after="0" w:line="188" w:lineRule="exact"/>
              <w:rPr>
                <w:rFonts w:ascii="Arial" w:cs="Arial" w:eastAsia="Arial" w:hAnsi="Arial"/>
                <w:sz w:val="17"/>
                <w:szCs w:val="17"/>
                <w:color w:val="0000EE"/>
                <w:w w:val="93"/>
              </w:rPr>
            </w:pPr>
            <w:hyperlink w:anchor="page43">
              <w:r>
                <w:rPr>
                  <w:rFonts w:ascii="Arial" w:cs="Arial" w:eastAsia="Arial" w:hAnsi="Arial"/>
                  <w:sz w:val="17"/>
                  <w:szCs w:val="17"/>
                  <w:color w:val="0000EE"/>
                  <w:w w:val="93"/>
                </w:rPr>
                <w:t>2002.*</w:t>
              </w:r>
            </w:hyperlink>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320" w:type="dxa"/>
            <w:vAlign w:val="bottom"/>
          </w:tcPr>
          <w:p>
            <w:pPr>
              <w:spacing w:after="0"/>
              <w:rPr>
                <w:sz w:val="16"/>
                <w:szCs w:val="16"/>
                <w:color w:val="auto"/>
              </w:rPr>
            </w:pPr>
          </w:p>
        </w:tc>
      </w:tr>
      <w:tr>
        <w:trPr>
          <w:trHeight w:val="434"/>
        </w:trPr>
        <w:tc>
          <w:tcPr>
            <w:tcW w:w="840" w:type="dxa"/>
            <w:vAlign w:val="bottom"/>
            <w:gridSpan w:val="2"/>
          </w:tcPr>
          <w:p>
            <w:pPr>
              <w:spacing w:after="0"/>
              <w:rPr>
                <w:sz w:val="20"/>
                <w:szCs w:val="20"/>
                <w:color w:val="auto"/>
              </w:rPr>
            </w:pPr>
            <w:r>
              <w:rPr>
                <w:rFonts w:ascii="Arial" w:cs="Arial" w:eastAsia="Arial" w:hAnsi="Arial"/>
                <w:sz w:val="17"/>
                <w:szCs w:val="17"/>
                <w:color w:val="auto"/>
              </w:rPr>
              <w:t>101.INS</w:t>
            </w:r>
          </w:p>
        </w:tc>
        <w:tc>
          <w:tcPr>
            <w:tcW w:w="30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7"/>
                <w:szCs w:val="17"/>
                <w:color w:val="auto"/>
              </w:rPr>
              <w:t>XBRL Instance Document *</w:t>
            </w:r>
          </w:p>
        </w:tc>
      </w:tr>
      <w:tr>
        <w:trPr>
          <w:trHeight w:val="415"/>
        </w:trPr>
        <w:tc>
          <w:tcPr>
            <w:tcW w:w="840" w:type="dxa"/>
            <w:vAlign w:val="bottom"/>
            <w:gridSpan w:val="2"/>
          </w:tcPr>
          <w:p>
            <w:pPr>
              <w:spacing w:after="0"/>
              <w:rPr>
                <w:sz w:val="20"/>
                <w:szCs w:val="20"/>
                <w:color w:val="auto"/>
              </w:rPr>
            </w:pPr>
            <w:r>
              <w:rPr>
                <w:rFonts w:ascii="Arial" w:cs="Arial" w:eastAsia="Arial" w:hAnsi="Arial"/>
                <w:sz w:val="17"/>
                <w:szCs w:val="17"/>
                <w:color w:val="auto"/>
              </w:rPr>
              <w:t>101.SCH</w:t>
            </w:r>
          </w:p>
        </w:tc>
        <w:tc>
          <w:tcPr>
            <w:tcW w:w="30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7"/>
                <w:szCs w:val="17"/>
                <w:color w:val="auto"/>
              </w:rPr>
              <w:t>XBRL Taxonomy Extension Schema Document *</w:t>
            </w:r>
          </w:p>
        </w:tc>
      </w:tr>
      <w:tr>
        <w:trPr>
          <w:trHeight w:val="415"/>
        </w:trPr>
        <w:tc>
          <w:tcPr>
            <w:tcW w:w="840" w:type="dxa"/>
            <w:vAlign w:val="bottom"/>
            <w:gridSpan w:val="2"/>
          </w:tcPr>
          <w:p>
            <w:pPr>
              <w:spacing w:after="0"/>
              <w:rPr>
                <w:sz w:val="20"/>
                <w:szCs w:val="20"/>
                <w:color w:val="auto"/>
              </w:rPr>
            </w:pPr>
            <w:r>
              <w:rPr>
                <w:rFonts w:ascii="Arial" w:cs="Arial" w:eastAsia="Arial" w:hAnsi="Arial"/>
                <w:sz w:val="17"/>
                <w:szCs w:val="17"/>
                <w:color w:val="auto"/>
              </w:rPr>
              <w:t>101.CAL</w:t>
            </w:r>
          </w:p>
        </w:tc>
        <w:tc>
          <w:tcPr>
            <w:tcW w:w="30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 *</w:t>
            </w:r>
          </w:p>
        </w:tc>
      </w:tr>
      <w:tr>
        <w:trPr>
          <w:trHeight w:val="415"/>
        </w:trPr>
        <w:tc>
          <w:tcPr>
            <w:tcW w:w="8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30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7"/>
                <w:szCs w:val="17"/>
                <w:color w:val="auto"/>
              </w:rPr>
              <w:t>XBRL Taxonomy Extension Label Linkbase Document *</w:t>
            </w:r>
          </w:p>
        </w:tc>
      </w:tr>
      <w:tr>
        <w:trPr>
          <w:trHeight w:val="415"/>
        </w:trPr>
        <w:tc>
          <w:tcPr>
            <w:tcW w:w="840" w:type="dxa"/>
            <w:vAlign w:val="bottom"/>
            <w:gridSpan w:val="2"/>
          </w:tcPr>
          <w:p>
            <w:pPr>
              <w:spacing w:after="0"/>
              <w:rPr>
                <w:sz w:val="20"/>
                <w:szCs w:val="20"/>
                <w:color w:val="auto"/>
              </w:rPr>
            </w:pPr>
            <w:r>
              <w:rPr>
                <w:rFonts w:ascii="Arial" w:cs="Arial" w:eastAsia="Arial" w:hAnsi="Arial"/>
                <w:sz w:val="17"/>
                <w:szCs w:val="17"/>
                <w:color w:val="auto"/>
              </w:rPr>
              <w:t>101.PRE</w:t>
            </w:r>
          </w:p>
        </w:tc>
        <w:tc>
          <w:tcPr>
            <w:tcW w:w="30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7"/>
                <w:szCs w:val="17"/>
                <w:color w:val="auto"/>
              </w:rPr>
              <w:t>XBRL Taxonomy Extension Presentation Linkbase Document *</w:t>
            </w:r>
          </w:p>
        </w:tc>
      </w:tr>
      <w:tr>
        <w:trPr>
          <w:trHeight w:val="415"/>
        </w:trPr>
        <w:tc>
          <w:tcPr>
            <w:tcW w:w="840" w:type="dxa"/>
            <w:vAlign w:val="bottom"/>
            <w:gridSpan w:val="2"/>
          </w:tcPr>
          <w:p>
            <w:pPr>
              <w:spacing w:after="0"/>
              <w:rPr>
                <w:sz w:val="20"/>
                <w:szCs w:val="20"/>
                <w:color w:val="auto"/>
              </w:rPr>
            </w:pPr>
            <w:r>
              <w:rPr>
                <w:rFonts w:ascii="Arial" w:cs="Arial" w:eastAsia="Arial" w:hAnsi="Arial"/>
                <w:sz w:val="17"/>
                <w:szCs w:val="17"/>
                <w:color w:val="auto"/>
              </w:rPr>
              <w:t>101.DEF</w:t>
            </w:r>
          </w:p>
        </w:tc>
        <w:tc>
          <w:tcPr>
            <w:tcW w:w="300" w:type="dxa"/>
            <w:vAlign w:val="bottom"/>
          </w:tcPr>
          <w:p>
            <w:pPr>
              <w:spacing w:after="0"/>
              <w:rPr>
                <w:sz w:val="24"/>
                <w:szCs w:val="24"/>
                <w:color w:val="auto"/>
              </w:rPr>
            </w:pPr>
          </w:p>
        </w:tc>
        <w:tc>
          <w:tcPr>
            <w:tcW w:w="10280" w:type="dxa"/>
            <w:vAlign w:val="bottom"/>
            <w:gridSpan w:val="8"/>
          </w:tcPr>
          <w:p>
            <w:pPr>
              <w:spacing w:after="0"/>
              <w:rPr>
                <w:sz w:val="20"/>
                <w:szCs w:val="20"/>
                <w:color w:val="auto"/>
              </w:rPr>
            </w:pPr>
            <w:r>
              <w:rPr>
                <w:rFonts w:ascii="Arial" w:cs="Arial" w:eastAsia="Arial" w:hAnsi="Arial"/>
                <w:sz w:val="17"/>
                <w:szCs w:val="17"/>
                <w:color w:val="auto"/>
              </w:rPr>
              <w:t>XBRL Taxonomy Extension Definition Linkbase Document *</w:t>
            </w:r>
          </w:p>
        </w:tc>
      </w:tr>
    </w:tbl>
    <w:p>
      <w:pPr>
        <w:spacing w:after="0" w:line="195" w:lineRule="exact"/>
        <w:rPr>
          <w:sz w:val="20"/>
          <w:szCs w:val="20"/>
          <w:color w:val="auto"/>
        </w:rPr>
      </w:pPr>
    </w:p>
    <w:p>
      <w:pPr>
        <w:ind w:left="720" w:hanging="716"/>
        <w:spacing w:after="0"/>
        <w:tabs>
          <w:tab w:leader="none" w:pos="7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Filed or furnished herewith.</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68580</wp:posOffset>
            </wp:positionV>
            <wp:extent cx="729361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93610" cy="41910"/>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7"/>
          <w:szCs w:val="17"/>
          <w:color w:val="auto"/>
        </w:rPr>
        <w:t>SIGNATURES</w:t>
      </w:r>
    </w:p>
    <w:p>
      <w:pPr>
        <w:spacing w:after="0" w:line="220"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Pursuant to the requirement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4960" w:type="dxa"/>
            <w:vAlign w:val="bottom"/>
          </w:tcPr>
          <w:p>
            <w:pPr>
              <w:spacing w:after="0"/>
              <w:rPr>
                <w:sz w:val="19"/>
                <w:szCs w:val="19"/>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Yum China Holdings, Inc.</w:t>
            </w:r>
          </w:p>
        </w:tc>
      </w:tr>
      <w:tr>
        <w:trPr>
          <w:trHeight w:val="213"/>
        </w:trPr>
        <w:tc>
          <w:tcPr>
            <w:tcW w:w="496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7"/>
                <w:szCs w:val="17"/>
                <w:color w:val="auto"/>
                <w:w w:val="92"/>
              </w:rPr>
              <w:t>(Registrant)</w:t>
            </w:r>
          </w:p>
        </w:tc>
      </w:tr>
      <w:tr>
        <w:trPr>
          <w:trHeight w:val="429"/>
        </w:trPr>
        <w:tc>
          <w:tcPr>
            <w:tcW w:w="4960" w:type="dxa"/>
            <w:vAlign w:val="bottom"/>
          </w:tcPr>
          <w:p>
            <w:pPr>
              <w:spacing w:after="0"/>
              <w:rPr>
                <w:sz w:val="20"/>
                <w:szCs w:val="20"/>
                <w:color w:val="auto"/>
              </w:rPr>
            </w:pPr>
            <w:r>
              <w:rPr>
                <w:rFonts w:ascii="Arial" w:cs="Arial" w:eastAsia="Arial" w:hAnsi="Arial"/>
                <w:sz w:val="17"/>
                <w:szCs w:val="17"/>
                <w:color w:val="auto"/>
              </w:rPr>
              <w:t>Date: November 8,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Xueling Lu</w:t>
            </w:r>
          </w:p>
        </w:tc>
      </w:tr>
      <w:tr>
        <w:trPr>
          <w:trHeight w:val="213"/>
        </w:trPr>
        <w:tc>
          <w:tcPr>
            <w:tcW w:w="496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7"/>
                <w:szCs w:val="17"/>
                <w:color w:val="auto"/>
              </w:rPr>
              <w:t>Controller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33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Joey Wat, certify that:</w:t>
      </w:r>
    </w:p>
    <w:p>
      <w:pPr>
        <w:spacing w:after="0" w:line="220" w:lineRule="exact"/>
        <w:rPr>
          <w:sz w:val="20"/>
          <w:szCs w:val="20"/>
          <w:color w:val="auto"/>
        </w:rPr>
      </w:pPr>
    </w:p>
    <w:p>
      <w:pPr>
        <w:ind w:left="1300" w:hanging="868"/>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Yum China Holdings, Inc.;</w:t>
      </w:r>
    </w:p>
    <w:p>
      <w:pPr>
        <w:spacing w:after="0" w:line="219" w:lineRule="exact"/>
        <w:rPr>
          <w:rFonts w:ascii="Arial" w:cs="Arial" w:eastAsia="Arial" w:hAnsi="Arial"/>
          <w:sz w:val="17"/>
          <w:szCs w:val="17"/>
          <w:color w:val="auto"/>
        </w:rPr>
      </w:pPr>
    </w:p>
    <w:p>
      <w:pPr>
        <w:jc w:val="both"/>
        <w:ind w:left="1300" w:right="60" w:hanging="868"/>
        <w:spacing w:after="0" w:line="270"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7"/>
          <w:szCs w:val="17"/>
          <w:color w:val="auto"/>
        </w:rPr>
      </w:pPr>
    </w:p>
    <w:p>
      <w:pPr>
        <w:ind w:left="1300" w:right="20" w:hanging="868"/>
        <w:spacing w:after="0" w:line="318"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6"/>
          <w:szCs w:val="16"/>
          <w:color w:val="auto"/>
        </w:rPr>
      </w:pPr>
    </w:p>
    <w:p>
      <w:pPr>
        <w:ind w:left="1300" w:right="60" w:hanging="868"/>
        <w:spacing w:after="0" w:line="270" w:lineRule="auto"/>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2180" w:right="20" w:hanging="865"/>
        <w:spacing w:after="0" w:line="270" w:lineRule="auto"/>
        <w:tabs>
          <w:tab w:leader="none" w:pos="21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2180" w:right="80" w:hanging="865"/>
        <w:spacing w:after="0" w:line="270" w:lineRule="auto"/>
        <w:tabs>
          <w:tab w:leader="none" w:pos="21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ind w:left="2180" w:right="160" w:hanging="865"/>
        <w:spacing w:after="0" w:line="270" w:lineRule="auto"/>
        <w:tabs>
          <w:tab w:leader="none" w:pos="21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7"/>
          <w:szCs w:val="17"/>
          <w:color w:val="auto"/>
        </w:rPr>
      </w:pPr>
    </w:p>
    <w:p>
      <w:pPr>
        <w:ind w:left="2180" w:right="260" w:hanging="865"/>
        <w:spacing w:after="0" w:line="294" w:lineRule="auto"/>
        <w:tabs>
          <w:tab w:leader="none" w:pos="21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6"/>
          <w:szCs w:val="16"/>
          <w:color w:val="auto"/>
        </w:rPr>
      </w:pPr>
    </w:p>
    <w:p>
      <w:pPr>
        <w:ind w:left="1300" w:right="200" w:hanging="868"/>
        <w:spacing w:after="0" w:line="318"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2180" w:right="120" w:hanging="865"/>
        <w:spacing w:after="0" w:line="355" w:lineRule="auto"/>
        <w:tabs>
          <w:tab w:leader="none" w:pos="21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5"/>
          <w:szCs w:val="15"/>
          <w:color w:val="auto"/>
        </w:rPr>
      </w:pPr>
    </w:p>
    <w:p>
      <w:pPr>
        <w:ind w:left="2180" w:right="400" w:hanging="865"/>
        <w:spacing w:after="0" w:line="285" w:lineRule="auto"/>
        <w:tabs>
          <w:tab w:leader="none" w:pos="21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Arial" w:cs="Arial" w:eastAsia="Arial" w:hAnsi="Arial"/>
                <w:sz w:val="17"/>
                <w:szCs w:val="17"/>
                <w:color w:val="auto"/>
              </w:rPr>
              <w:t>Date: November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Joey Wat</w:t>
            </w:r>
          </w:p>
        </w:tc>
      </w:tr>
      <w:tr>
        <w:trPr>
          <w:trHeight w:val="188"/>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Joey Wat</w:t>
            </w:r>
          </w:p>
        </w:tc>
      </w:tr>
      <w:tr>
        <w:trPr>
          <w:trHeight w:val="220"/>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420"/>
          </w:cols>
          <w:pgMar w:left="240" w:top="35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Jacky Lo, certify that:</w:t>
      </w:r>
    </w:p>
    <w:p>
      <w:pPr>
        <w:spacing w:after="0" w:line="220" w:lineRule="exact"/>
        <w:rPr>
          <w:sz w:val="20"/>
          <w:szCs w:val="20"/>
          <w:color w:val="auto"/>
        </w:rPr>
      </w:pPr>
    </w:p>
    <w:p>
      <w:pPr>
        <w:ind w:left="1300" w:hanging="868"/>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Yum China Holdings, Inc.;</w:t>
      </w:r>
    </w:p>
    <w:p>
      <w:pPr>
        <w:spacing w:after="0" w:line="219" w:lineRule="exact"/>
        <w:rPr>
          <w:rFonts w:ascii="Arial" w:cs="Arial" w:eastAsia="Arial" w:hAnsi="Arial"/>
          <w:sz w:val="17"/>
          <w:szCs w:val="17"/>
          <w:color w:val="auto"/>
        </w:rPr>
      </w:pPr>
    </w:p>
    <w:p>
      <w:pPr>
        <w:jc w:val="both"/>
        <w:ind w:left="1300" w:right="60" w:hanging="868"/>
        <w:spacing w:after="0" w:line="270"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7"/>
          <w:szCs w:val="17"/>
          <w:color w:val="auto"/>
        </w:rPr>
      </w:pPr>
    </w:p>
    <w:p>
      <w:pPr>
        <w:ind w:left="1300" w:right="20" w:hanging="868"/>
        <w:spacing w:after="0" w:line="318"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6"/>
          <w:szCs w:val="16"/>
          <w:color w:val="auto"/>
        </w:rPr>
      </w:pPr>
    </w:p>
    <w:p>
      <w:pPr>
        <w:ind w:left="1300" w:right="60" w:hanging="868"/>
        <w:spacing w:after="0" w:line="270"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7"/>
          <w:szCs w:val="17"/>
          <w:color w:val="auto"/>
        </w:rPr>
      </w:pPr>
    </w:p>
    <w:p>
      <w:pPr>
        <w:ind w:left="2180" w:right="20" w:hanging="865"/>
        <w:spacing w:after="0" w:line="270" w:lineRule="auto"/>
        <w:tabs>
          <w:tab w:leader="none" w:pos="21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7"/>
          <w:szCs w:val="17"/>
          <w:color w:val="auto"/>
        </w:rPr>
      </w:pPr>
    </w:p>
    <w:p>
      <w:pPr>
        <w:ind w:left="2180" w:right="80" w:hanging="865"/>
        <w:spacing w:after="0" w:line="270" w:lineRule="auto"/>
        <w:tabs>
          <w:tab w:leader="none" w:pos="21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7"/>
          <w:szCs w:val="17"/>
          <w:color w:val="auto"/>
        </w:rPr>
      </w:pPr>
    </w:p>
    <w:p>
      <w:pPr>
        <w:ind w:left="2180" w:right="160" w:hanging="865"/>
        <w:spacing w:after="0" w:line="270" w:lineRule="auto"/>
        <w:tabs>
          <w:tab w:leader="none" w:pos="21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7"/>
          <w:szCs w:val="17"/>
          <w:color w:val="auto"/>
        </w:rPr>
      </w:pPr>
    </w:p>
    <w:p>
      <w:pPr>
        <w:ind w:left="2180" w:right="260" w:hanging="865"/>
        <w:spacing w:after="0" w:line="294" w:lineRule="auto"/>
        <w:tabs>
          <w:tab w:leader="none" w:pos="21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6"/>
          <w:szCs w:val="16"/>
          <w:color w:val="auto"/>
        </w:rPr>
      </w:pPr>
    </w:p>
    <w:p>
      <w:pPr>
        <w:ind w:left="1300" w:right="200" w:hanging="868"/>
        <w:spacing w:after="0" w:line="318"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2180" w:right="120" w:hanging="865"/>
        <w:spacing w:after="0" w:line="355" w:lineRule="auto"/>
        <w:tabs>
          <w:tab w:leader="none" w:pos="21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5"/>
          <w:szCs w:val="15"/>
          <w:color w:val="auto"/>
        </w:rPr>
      </w:pPr>
    </w:p>
    <w:p>
      <w:pPr>
        <w:ind w:left="2180" w:right="400" w:hanging="865"/>
        <w:spacing w:after="0" w:line="285" w:lineRule="auto"/>
        <w:tabs>
          <w:tab w:leader="none" w:pos="21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Arial" w:cs="Arial" w:eastAsia="Arial" w:hAnsi="Arial"/>
                <w:sz w:val="17"/>
                <w:szCs w:val="17"/>
                <w:color w:val="auto"/>
              </w:rPr>
              <w:t>Date: November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Jacky Lo</w:t>
            </w:r>
          </w:p>
        </w:tc>
      </w:tr>
      <w:tr>
        <w:trPr>
          <w:trHeight w:val="188"/>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Jacky Lo</w:t>
            </w:r>
          </w:p>
        </w:tc>
      </w:tr>
      <w:tr>
        <w:trPr>
          <w:trHeight w:val="220"/>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420"/>
          </w:cols>
          <w:pgMar w:left="240" w:top="35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7" w:lineRule="exact"/>
        <w:rPr>
          <w:sz w:val="20"/>
          <w:szCs w:val="20"/>
          <w:color w:val="auto"/>
        </w:rPr>
      </w:pPr>
    </w:p>
    <w:p>
      <w:pPr>
        <w:jc w:val="both"/>
        <w:ind w:right="200"/>
        <w:spacing w:after="0" w:line="270" w:lineRule="auto"/>
        <w:rPr>
          <w:sz w:val="20"/>
          <w:szCs w:val="20"/>
          <w:color w:val="auto"/>
        </w:rPr>
      </w:pPr>
      <w:r>
        <w:rPr>
          <w:rFonts w:ascii="Arial" w:cs="Arial" w:eastAsia="Arial" w:hAnsi="Arial"/>
          <w:sz w:val="17"/>
          <w:szCs w:val="17"/>
          <w:color w:val="auto"/>
        </w:rPr>
        <w:t>In connection with the Quarterly Report of Yum China Holdings, Inc. (the “Company”) on Form 10-Q for the quarter ended September 30, 2018, as filed with the Securities and Exchange Commission on the date hereof (the “Periodic Report”), I, Joey Wat, Chief Executive Officer of the Company, hereby certify, pursuant to 18 U.S.C. Section 1350, as adopted pursuant to Section 906 of the Sarbanes-Oxley Act of 2002, that:</w:t>
      </w:r>
    </w:p>
    <w:p>
      <w:pPr>
        <w:spacing w:after="0" w:line="171" w:lineRule="exact"/>
        <w:rPr>
          <w:sz w:val="20"/>
          <w:szCs w:val="20"/>
          <w:color w:val="auto"/>
        </w:rPr>
      </w:pPr>
    </w:p>
    <w:p>
      <w:pPr>
        <w:ind w:left="860" w:hanging="428"/>
        <w:spacing w:after="0"/>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and</w:t>
      </w:r>
    </w:p>
    <w:p>
      <w:pPr>
        <w:spacing w:after="0" w:line="219" w:lineRule="exact"/>
        <w:rPr>
          <w:rFonts w:ascii="Arial" w:cs="Arial" w:eastAsia="Arial" w:hAnsi="Arial"/>
          <w:sz w:val="17"/>
          <w:szCs w:val="17"/>
          <w:color w:val="auto"/>
        </w:rPr>
      </w:pPr>
    </w:p>
    <w:p>
      <w:pPr>
        <w:ind w:left="860" w:right="660" w:hanging="428"/>
        <w:spacing w:after="0" w:line="285" w:lineRule="auto"/>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Arial" w:cs="Arial" w:eastAsia="Arial" w:hAnsi="Arial"/>
                <w:sz w:val="17"/>
                <w:szCs w:val="17"/>
                <w:color w:val="auto"/>
              </w:rPr>
              <w:t>Date: November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Joey Wat</w:t>
            </w:r>
          </w:p>
        </w:tc>
      </w:tr>
      <w:tr>
        <w:trPr>
          <w:trHeight w:val="188"/>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Joey Wat</w:t>
            </w:r>
          </w:p>
        </w:tc>
      </w:tr>
      <w:tr>
        <w:trPr>
          <w:trHeight w:val="220"/>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pacing w:after="0" w:line="195" w:lineRule="exact"/>
        <w:rPr>
          <w:sz w:val="20"/>
          <w:szCs w:val="20"/>
          <w:color w:val="auto"/>
        </w:rPr>
      </w:pPr>
    </w:p>
    <w:p>
      <w:pPr>
        <w:ind w:right="280"/>
        <w:spacing w:after="0" w:line="285" w:lineRule="auto"/>
        <w:rPr>
          <w:sz w:val="20"/>
          <w:szCs w:val="20"/>
          <w:color w:val="auto"/>
        </w:rPr>
      </w:pPr>
      <w:r>
        <w:rPr>
          <w:rFonts w:ascii="Arial" w:cs="Arial" w:eastAsia="Arial" w:hAnsi="Arial"/>
          <w:sz w:val="17"/>
          <w:szCs w:val="17"/>
          <w:color w:val="auto"/>
        </w:rPr>
        <w:t>A signed original of this written statement required by Section 906 has been provided to Yum China Holdings, Inc. and will be retained by Yum China Holdings,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connection with the Quarterly Report of Yum China Holdings, Inc. (the “Company”) on Form 10-Q for the quarter ended September 30, 2018, as filed with the Securities and Exchange Commission on the date hereof (the “Periodic Report”), I, Jacky Lo, Chief Financial Officer of the Company, hereby certify, pursuant to 18 U.S.C. Section 1350, as adopted pursuant to Section 906 of the Sarbanes-Oxley Act of 2002, that:</w:t>
      </w:r>
    </w:p>
    <w:p>
      <w:pPr>
        <w:spacing w:after="0" w:line="171" w:lineRule="exact"/>
        <w:rPr>
          <w:sz w:val="20"/>
          <w:szCs w:val="20"/>
          <w:color w:val="auto"/>
        </w:rPr>
      </w:pPr>
    </w:p>
    <w:p>
      <w:pPr>
        <w:ind w:left="860" w:hanging="428"/>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and</w:t>
      </w:r>
    </w:p>
    <w:p>
      <w:pPr>
        <w:spacing w:after="0" w:line="219" w:lineRule="exact"/>
        <w:rPr>
          <w:rFonts w:ascii="Arial" w:cs="Arial" w:eastAsia="Arial" w:hAnsi="Arial"/>
          <w:sz w:val="17"/>
          <w:szCs w:val="17"/>
          <w:color w:val="auto"/>
        </w:rPr>
      </w:pPr>
    </w:p>
    <w:p>
      <w:pPr>
        <w:ind w:left="860" w:right="660" w:hanging="428"/>
        <w:spacing w:after="0" w:line="285"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20"/>
                <w:szCs w:val="20"/>
                <w:color w:val="auto"/>
              </w:rPr>
            </w:pPr>
            <w:r>
              <w:rPr>
                <w:rFonts w:ascii="Arial" w:cs="Arial" w:eastAsia="Arial" w:hAnsi="Arial"/>
                <w:sz w:val="17"/>
                <w:szCs w:val="17"/>
                <w:color w:val="auto"/>
              </w:rPr>
              <w:t>Date: November 8,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Jacky Lo</w:t>
            </w:r>
          </w:p>
        </w:tc>
      </w:tr>
      <w:tr>
        <w:trPr>
          <w:trHeight w:val="188"/>
        </w:trPr>
        <w:tc>
          <w:tcPr>
            <w:tcW w:w="6860" w:type="dxa"/>
            <w:vAlign w:val="bottom"/>
          </w:tcPr>
          <w:p>
            <w:pPr>
              <w:spacing w:after="0"/>
              <w:rPr>
                <w:sz w:val="16"/>
                <w:szCs w:val="16"/>
                <w:color w:val="auto"/>
              </w:rPr>
            </w:pPr>
          </w:p>
        </w:tc>
        <w:tc>
          <w:tcPr>
            <w:tcW w:w="4560" w:type="dxa"/>
            <w:vAlign w:val="bottom"/>
          </w:tcPr>
          <w:p>
            <w:pPr>
              <w:spacing w:after="0" w:line="189" w:lineRule="exact"/>
              <w:rPr>
                <w:sz w:val="20"/>
                <w:szCs w:val="20"/>
                <w:color w:val="auto"/>
              </w:rPr>
            </w:pPr>
            <w:r>
              <w:rPr>
                <w:rFonts w:ascii="Arial" w:cs="Arial" w:eastAsia="Arial" w:hAnsi="Arial"/>
                <w:sz w:val="17"/>
                <w:szCs w:val="17"/>
                <w:color w:val="auto"/>
              </w:rPr>
              <w:t>Jacky Lo</w:t>
            </w:r>
          </w:p>
        </w:tc>
      </w:tr>
      <w:tr>
        <w:trPr>
          <w:trHeight w:val="220"/>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pacing w:after="0" w:line="195" w:lineRule="exact"/>
        <w:rPr>
          <w:sz w:val="20"/>
          <w:szCs w:val="20"/>
          <w:color w:val="auto"/>
        </w:rPr>
      </w:pPr>
    </w:p>
    <w:p>
      <w:pPr>
        <w:ind w:right="280"/>
        <w:spacing w:after="0" w:line="285" w:lineRule="auto"/>
        <w:rPr>
          <w:sz w:val="20"/>
          <w:szCs w:val="20"/>
          <w:color w:val="auto"/>
        </w:rPr>
      </w:pPr>
      <w:r>
        <w:rPr>
          <w:rFonts w:ascii="Arial" w:cs="Arial" w:eastAsia="Arial" w:hAnsi="Arial"/>
          <w:sz w:val="17"/>
          <w:szCs w:val="17"/>
          <w:color w:val="auto"/>
        </w:rPr>
        <w:t>A signed original of this written statement required by Section 906 has been provided to Yum China Holdings, Inc. and will be retained by Yum China Holdings,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1"/>
    </w:lvl>
  </w:abstractNum>
  <w:abstractNum w:abstractNumId="5">
    <w:nsid w:val="1BEFD79F"/>
    <w:multiLevelType w:val="hybridMultilevel"/>
    <w:lvl w:ilvl="0">
      <w:lvlJc w:val="left"/>
      <w:lvlText w:val="(%1)"/>
      <w:numFmt w:val="lowerLetter"/>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3"/>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lvl w:ilvl="1">
      <w:lvlJc w:val="left"/>
      <w:lvlText w:val="(%2)"/>
      <w:numFmt w:val="lowerLetter"/>
      <w:start w:val="18"/>
    </w:lvl>
  </w:abstractNum>
  <w:abstractNum w:abstractNumId="17">
    <w:nsid w:val="628C895D"/>
    <w:multiLevelType w:val="hybridMultilevel"/>
    <w:lvl w:ilvl="0">
      <w:lvlJc w:val="left"/>
      <w:lvlText w:val="•"/>
      <w:numFmt w:val="bullet"/>
      <w:start w:val="1"/>
    </w:lvl>
    <w:lvl w:ilvl="1">
      <w:lvlJc w:val="left"/>
      <w:lvlText w:val="(%2)"/>
      <w:numFmt w:val="lowerLetter"/>
      <w:start w:val="20"/>
    </w:lvl>
  </w:abstractNum>
  <w:abstractNum w:abstractNumId="18">
    <w:nsid w:val="333AB105"/>
    <w:multiLevelType w:val="hybridMultilevel"/>
    <w:lvl w:ilvl="0">
      <w:lvlJc w:val="left"/>
      <w:lvlText w:val="•"/>
      <w:numFmt w:val="bullet"/>
      <w:start w:val="1"/>
    </w:lvl>
    <w:lvl w:ilvl="1">
      <w:lvlJc w:val="left"/>
      <w:lvlText w:val="(%2)"/>
      <w:numFmt w:val="lowerLetter"/>
      <w:start w:val="5"/>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3" Type="http://schemas.openxmlformats.org/officeDocument/2006/relationships/image" Target="media/image64.png"/><Relationship Id="rId71" Type="http://schemas.openxmlformats.org/officeDocument/2006/relationships/hyperlink" Target="http://www.sec.gov/Archives/edgar/data/1673358/000104746916016421/a2230169zex-3_1.htm" TargetMode="External"/><Relationship Id="rId72" Type="http://schemas.openxmlformats.org/officeDocument/2006/relationships/hyperlink" Target="http://www.sec.gov/Archives/edgar/data/1673358/000104746916016421/a2230169z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2019-12-28T17:58:28Z</dcterms:created>
  <dcterms:modified xsi:type="dcterms:W3CDTF">2019-12-28T17:58:28Z</dcterms:modified>
</cp:coreProperties>
</file>