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1E3" w:rsidRDefault="00EC630E">
      <w:pPr>
        <w:rPr>
          <w:sz w:val="20"/>
          <w:szCs w:val="20"/>
        </w:rPr>
      </w:pPr>
      <w:bookmarkStart w:id="0" w:name="page1"/>
      <w:bookmarkEnd w:id="0"/>
      <w:r>
        <w:rPr>
          <w:rFonts w:ascii="Arial" w:eastAsia="Arial" w:hAnsi="Arial" w:cs="Arial"/>
          <w:b/>
          <w:bCs/>
          <w:color w:val="0000EE"/>
          <w:sz w:val="18"/>
          <w:szCs w:val="18"/>
          <w:u w:val="single"/>
        </w:rPr>
        <w:t>Table of Contents</w:t>
      </w:r>
    </w:p>
    <w:p w:rsidR="00A621E3" w:rsidRDefault="00EC630E">
      <w:pPr>
        <w:spacing w:line="20" w:lineRule="exact"/>
        <w:rPr>
          <w:sz w:val="24"/>
          <w:szCs w:val="24"/>
        </w:rPr>
      </w:pPr>
      <w:r>
        <w:rPr>
          <w:noProof/>
          <w:sz w:val="24"/>
          <w:szCs w:val="24"/>
        </w:rPr>
        <w:drawing>
          <wp:anchor distT="0" distB="0" distL="114300" distR="114300" simplePos="0" relativeHeight="251227136" behindDoc="1" locked="0" layoutInCell="0" allowOverlap="1">
            <wp:simplePos x="0" y="0"/>
            <wp:positionH relativeFrom="column">
              <wp:posOffset>73660</wp:posOffset>
            </wp:positionH>
            <wp:positionV relativeFrom="paragraph">
              <wp:posOffset>222885</wp:posOffset>
            </wp:positionV>
            <wp:extent cx="6995160" cy="82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blip>
                    <a:srcRect/>
                    <a:stretch>
                      <a:fillRect/>
                    </a:stretch>
                  </pic:blipFill>
                  <pic:spPr bwMode="auto">
                    <a:xfrm>
                      <a:off x="0" y="0"/>
                      <a:ext cx="6995160" cy="8255"/>
                    </a:xfrm>
                    <a:prstGeom prst="rect">
                      <a:avLst/>
                    </a:prstGeom>
                    <a:noFill/>
                  </pic:spPr>
                </pic:pic>
              </a:graphicData>
            </a:graphic>
          </wp:anchor>
        </w:drawing>
      </w:r>
      <w:r>
        <w:rPr>
          <w:noProof/>
          <w:sz w:val="24"/>
          <w:szCs w:val="24"/>
        </w:rPr>
        <w:drawing>
          <wp:anchor distT="0" distB="0" distL="114300" distR="114300" simplePos="0" relativeHeight="251228160" behindDoc="1" locked="0" layoutInCell="0" allowOverlap="1">
            <wp:simplePos x="0" y="0"/>
            <wp:positionH relativeFrom="column">
              <wp:posOffset>73660</wp:posOffset>
            </wp:positionH>
            <wp:positionV relativeFrom="paragraph">
              <wp:posOffset>265430</wp:posOffset>
            </wp:positionV>
            <wp:extent cx="6995160" cy="82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4"/>
          <w:szCs w:val="24"/>
        </w:rPr>
      </w:pPr>
    </w:p>
    <w:p w:rsidR="00A621E3" w:rsidRDefault="00A621E3">
      <w:pPr>
        <w:spacing w:line="279" w:lineRule="exact"/>
        <w:rPr>
          <w:sz w:val="24"/>
          <w:szCs w:val="24"/>
        </w:rPr>
      </w:pPr>
    </w:p>
    <w:p w:rsidR="00A621E3" w:rsidRDefault="00EC630E">
      <w:pPr>
        <w:ind w:right="-1120"/>
        <w:jc w:val="center"/>
        <w:rPr>
          <w:sz w:val="20"/>
          <w:szCs w:val="20"/>
        </w:rPr>
      </w:pPr>
      <w:r>
        <w:rPr>
          <w:rFonts w:ascii="Arial" w:eastAsia="Arial" w:hAnsi="Arial" w:cs="Arial"/>
          <w:b/>
          <w:bCs/>
          <w:sz w:val="32"/>
          <w:szCs w:val="32"/>
        </w:rPr>
        <w:t>UNITED STATES</w:t>
      </w:r>
    </w:p>
    <w:p w:rsidR="00A621E3" w:rsidRDefault="00A621E3">
      <w:pPr>
        <w:spacing w:line="31" w:lineRule="exact"/>
        <w:rPr>
          <w:sz w:val="24"/>
          <w:szCs w:val="24"/>
        </w:rPr>
      </w:pPr>
    </w:p>
    <w:p w:rsidR="00A621E3" w:rsidRDefault="00EC630E">
      <w:pPr>
        <w:ind w:right="-1120"/>
        <w:jc w:val="center"/>
        <w:rPr>
          <w:sz w:val="20"/>
          <w:szCs w:val="20"/>
        </w:rPr>
      </w:pPr>
      <w:r>
        <w:rPr>
          <w:rFonts w:ascii="Arial" w:eastAsia="Arial" w:hAnsi="Arial" w:cs="Arial"/>
          <w:b/>
          <w:bCs/>
          <w:sz w:val="32"/>
          <w:szCs w:val="32"/>
        </w:rPr>
        <w:t>SECURITIES AND EXCHANGE COMMISSION</w:t>
      </w:r>
    </w:p>
    <w:p w:rsidR="00A621E3" w:rsidRDefault="00EC630E">
      <w:pPr>
        <w:ind w:left="4300"/>
        <w:rPr>
          <w:sz w:val="20"/>
          <w:szCs w:val="20"/>
        </w:rPr>
      </w:pPr>
      <w:r>
        <w:rPr>
          <w:rFonts w:ascii="Arial" w:eastAsia="Arial" w:hAnsi="Arial" w:cs="Arial"/>
          <w:b/>
          <w:bCs/>
        </w:rPr>
        <w:t>WASHINGTON, D.C. 20549</w:t>
      </w:r>
    </w:p>
    <w:p w:rsidR="00A621E3" w:rsidRDefault="00EC630E">
      <w:pPr>
        <w:spacing w:line="20" w:lineRule="exact"/>
        <w:rPr>
          <w:sz w:val="24"/>
          <w:szCs w:val="24"/>
        </w:rPr>
      </w:pPr>
      <w:r>
        <w:rPr>
          <w:noProof/>
          <w:sz w:val="24"/>
          <w:szCs w:val="24"/>
        </w:rPr>
        <w:drawing>
          <wp:anchor distT="0" distB="0" distL="114300" distR="114300" simplePos="0" relativeHeight="251229184" behindDoc="1" locked="0" layoutInCell="0" allowOverlap="1">
            <wp:simplePos x="0" y="0"/>
            <wp:positionH relativeFrom="column">
              <wp:posOffset>2834005</wp:posOffset>
            </wp:positionH>
            <wp:positionV relativeFrom="paragraph">
              <wp:posOffset>141605</wp:posOffset>
            </wp:positionV>
            <wp:extent cx="1474470" cy="82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1474470" cy="8255"/>
                    </a:xfrm>
                    <a:prstGeom prst="rect">
                      <a:avLst/>
                    </a:prstGeom>
                    <a:noFill/>
                  </pic:spPr>
                </pic:pic>
              </a:graphicData>
            </a:graphic>
          </wp:anchor>
        </w:drawing>
      </w:r>
    </w:p>
    <w:p w:rsidR="00A621E3" w:rsidRDefault="00A621E3">
      <w:pPr>
        <w:spacing w:line="283" w:lineRule="exact"/>
        <w:rPr>
          <w:sz w:val="24"/>
          <w:szCs w:val="24"/>
        </w:rPr>
      </w:pPr>
    </w:p>
    <w:p w:rsidR="00A621E3" w:rsidRDefault="00EC630E">
      <w:pPr>
        <w:ind w:right="-1120"/>
        <w:jc w:val="center"/>
        <w:rPr>
          <w:sz w:val="20"/>
          <w:szCs w:val="20"/>
        </w:rPr>
      </w:pPr>
      <w:r>
        <w:rPr>
          <w:rFonts w:ascii="Arial" w:eastAsia="Arial" w:hAnsi="Arial" w:cs="Arial"/>
          <w:b/>
          <w:bCs/>
          <w:sz w:val="32"/>
          <w:szCs w:val="32"/>
        </w:rPr>
        <w:t>SCHEDULE 14A</w:t>
      </w:r>
    </w:p>
    <w:p w:rsidR="00A621E3" w:rsidRDefault="00A621E3">
      <w:pPr>
        <w:spacing w:line="118" w:lineRule="exact"/>
        <w:rPr>
          <w:sz w:val="24"/>
          <w:szCs w:val="24"/>
        </w:rPr>
      </w:pPr>
    </w:p>
    <w:p w:rsidR="00A621E3" w:rsidRDefault="00EC630E">
      <w:pPr>
        <w:ind w:right="-1120"/>
        <w:jc w:val="center"/>
        <w:rPr>
          <w:sz w:val="20"/>
          <w:szCs w:val="20"/>
        </w:rPr>
      </w:pPr>
      <w:r>
        <w:rPr>
          <w:rFonts w:ascii="Arial" w:eastAsia="Arial" w:hAnsi="Arial" w:cs="Arial"/>
          <w:b/>
          <w:bCs/>
        </w:rPr>
        <w:t>Proxy Statement Pursuant to Section 14(a) of the</w:t>
      </w:r>
    </w:p>
    <w:p w:rsidR="00A621E3" w:rsidRDefault="00A621E3">
      <w:pPr>
        <w:spacing w:line="14" w:lineRule="exact"/>
        <w:rPr>
          <w:sz w:val="24"/>
          <w:szCs w:val="24"/>
        </w:rPr>
      </w:pPr>
    </w:p>
    <w:p w:rsidR="00A621E3" w:rsidRDefault="00EC630E">
      <w:pPr>
        <w:tabs>
          <w:tab w:val="left" w:pos="260"/>
        </w:tabs>
        <w:ind w:right="-1100"/>
        <w:jc w:val="center"/>
        <w:rPr>
          <w:sz w:val="20"/>
          <w:szCs w:val="20"/>
        </w:rPr>
      </w:pPr>
      <w:r>
        <w:rPr>
          <w:rFonts w:ascii="Arial" w:eastAsia="Arial" w:hAnsi="Arial" w:cs="Arial"/>
          <w:b/>
          <w:bCs/>
          <w:sz w:val="19"/>
          <w:szCs w:val="19"/>
        </w:rPr>
        <w:t>Securities Exchange Act of 1934 (Amendment No.</w:t>
      </w:r>
      <w:r>
        <w:rPr>
          <w:sz w:val="20"/>
          <w:szCs w:val="20"/>
        </w:rPr>
        <w:tab/>
      </w:r>
      <w:r>
        <w:rPr>
          <w:rFonts w:ascii="Arial" w:eastAsia="Arial" w:hAnsi="Arial" w:cs="Arial"/>
          <w:b/>
          <w:bCs/>
          <w:sz w:val="18"/>
          <w:szCs w:val="18"/>
        </w:rPr>
        <w:t>)</w:t>
      </w:r>
    </w:p>
    <w:p w:rsidR="00A621E3" w:rsidRDefault="00EC630E">
      <w:pPr>
        <w:spacing w:line="20" w:lineRule="exact"/>
        <w:rPr>
          <w:sz w:val="24"/>
          <w:szCs w:val="24"/>
        </w:rPr>
      </w:pPr>
      <w:r>
        <w:rPr>
          <w:noProof/>
          <w:sz w:val="24"/>
          <w:szCs w:val="24"/>
        </w:rPr>
        <w:drawing>
          <wp:anchor distT="0" distB="0" distL="114300" distR="114300" simplePos="0" relativeHeight="251230208" behindDoc="1" locked="0" layoutInCell="0" allowOverlap="1">
            <wp:simplePos x="0" y="0"/>
            <wp:positionH relativeFrom="column">
              <wp:posOffset>2834005</wp:posOffset>
            </wp:positionH>
            <wp:positionV relativeFrom="paragraph">
              <wp:posOffset>240665</wp:posOffset>
            </wp:positionV>
            <wp:extent cx="1474470" cy="82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blip>
                    <a:srcRect/>
                    <a:stretch>
                      <a:fillRect/>
                    </a:stretch>
                  </pic:blipFill>
                  <pic:spPr bwMode="auto">
                    <a:xfrm>
                      <a:off x="0" y="0"/>
                      <a:ext cx="1474470" cy="8255"/>
                    </a:xfrm>
                    <a:prstGeom prst="rect">
                      <a:avLst/>
                    </a:prstGeom>
                    <a:noFill/>
                  </pic:spPr>
                </pic:pic>
              </a:graphicData>
            </a:graphic>
          </wp:anchor>
        </w:drawing>
      </w:r>
    </w:p>
    <w:p w:rsidR="00A621E3" w:rsidRDefault="00A621E3">
      <w:pPr>
        <w:spacing w:line="200" w:lineRule="exact"/>
        <w:rPr>
          <w:sz w:val="24"/>
          <w:szCs w:val="24"/>
        </w:rPr>
      </w:pPr>
    </w:p>
    <w:p w:rsidR="00A621E3" w:rsidRDefault="00A621E3">
      <w:pPr>
        <w:spacing w:line="341" w:lineRule="exact"/>
        <w:rPr>
          <w:sz w:val="24"/>
          <w:szCs w:val="24"/>
        </w:rPr>
      </w:pPr>
    </w:p>
    <w:p w:rsidR="00A621E3" w:rsidRDefault="00EC630E">
      <w:pPr>
        <w:tabs>
          <w:tab w:val="left" w:pos="2760"/>
        </w:tabs>
        <w:spacing w:line="207" w:lineRule="exact"/>
        <w:ind w:left="120"/>
        <w:rPr>
          <w:sz w:val="20"/>
          <w:szCs w:val="20"/>
        </w:rPr>
      </w:pPr>
      <w:r>
        <w:rPr>
          <w:rFonts w:ascii="Arial" w:eastAsia="Arial" w:hAnsi="Arial" w:cs="Arial"/>
          <w:sz w:val="18"/>
          <w:szCs w:val="18"/>
        </w:rPr>
        <w:t xml:space="preserve">Filed by the Registrant </w:t>
      </w:r>
      <w:r>
        <w:rPr>
          <w:rFonts w:ascii="MS PGothic" w:eastAsia="MS PGothic" w:hAnsi="MS PGothic" w:cs="MS PGothic"/>
          <w:sz w:val="18"/>
          <w:szCs w:val="18"/>
        </w:rPr>
        <w:t>☒</w:t>
      </w:r>
      <w:r>
        <w:rPr>
          <w:sz w:val="20"/>
          <w:szCs w:val="20"/>
        </w:rPr>
        <w:tab/>
      </w:r>
      <w:r>
        <w:rPr>
          <w:rFonts w:ascii="Arial" w:eastAsia="Arial" w:hAnsi="Arial" w:cs="Arial"/>
          <w:sz w:val="16"/>
          <w:szCs w:val="16"/>
        </w:rPr>
        <w:t xml:space="preserve">Filed by a Party other than the Registrant </w:t>
      </w:r>
      <w:r>
        <w:rPr>
          <w:rFonts w:ascii="MS PGothic" w:eastAsia="MS PGothic" w:hAnsi="MS PGothic" w:cs="MS PGothic"/>
          <w:sz w:val="16"/>
          <w:szCs w:val="16"/>
        </w:rPr>
        <w:t>☐</w:t>
      </w:r>
    </w:p>
    <w:p w:rsidR="00A621E3" w:rsidRDefault="00A621E3">
      <w:pPr>
        <w:spacing w:line="258" w:lineRule="exact"/>
        <w:rPr>
          <w:sz w:val="24"/>
          <w:szCs w:val="24"/>
        </w:rPr>
      </w:pPr>
    </w:p>
    <w:p w:rsidR="00A621E3" w:rsidRDefault="00EC630E">
      <w:pPr>
        <w:ind w:left="120"/>
        <w:rPr>
          <w:sz w:val="20"/>
          <w:szCs w:val="20"/>
        </w:rPr>
      </w:pPr>
      <w:r>
        <w:rPr>
          <w:rFonts w:ascii="Arial" w:eastAsia="Arial" w:hAnsi="Arial" w:cs="Arial"/>
          <w:sz w:val="18"/>
          <w:szCs w:val="18"/>
        </w:rPr>
        <w:t>Check the appropriate box:</w:t>
      </w:r>
    </w:p>
    <w:p w:rsidR="00A621E3" w:rsidRDefault="00A621E3">
      <w:pPr>
        <w:spacing w:line="252" w:lineRule="exact"/>
        <w:rPr>
          <w:sz w:val="24"/>
          <w:szCs w:val="24"/>
        </w:rPr>
      </w:pPr>
    </w:p>
    <w:p w:rsidR="00A621E3" w:rsidRDefault="00EC630E">
      <w:pPr>
        <w:numPr>
          <w:ilvl w:val="0"/>
          <w:numId w:val="1"/>
        </w:numPr>
        <w:tabs>
          <w:tab w:val="left" w:pos="660"/>
        </w:tabs>
        <w:ind w:left="660" w:hanging="544"/>
        <w:rPr>
          <w:rFonts w:ascii="MS PGothic" w:eastAsia="MS PGothic" w:hAnsi="MS PGothic" w:cs="MS PGothic"/>
          <w:sz w:val="18"/>
          <w:szCs w:val="18"/>
        </w:rPr>
      </w:pPr>
      <w:r>
        <w:rPr>
          <w:rFonts w:ascii="Arial" w:eastAsia="Arial" w:hAnsi="Arial" w:cs="Arial"/>
          <w:sz w:val="18"/>
          <w:szCs w:val="18"/>
        </w:rPr>
        <w:t>Preliminary Proxy Statement</w:t>
      </w:r>
    </w:p>
    <w:p w:rsidR="00A621E3" w:rsidRDefault="00A621E3">
      <w:pPr>
        <w:spacing w:line="221" w:lineRule="exact"/>
        <w:rPr>
          <w:rFonts w:ascii="MS PGothic" w:eastAsia="MS PGothic" w:hAnsi="MS PGothic" w:cs="MS PGothic"/>
          <w:sz w:val="18"/>
          <w:szCs w:val="18"/>
        </w:rPr>
      </w:pPr>
    </w:p>
    <w:p w:rsidR="00A621E3" w:rsidRDefault="00EC630E">
      <w:pPr>
        <w:numPr>
          <w:ilvl w:val="0"/>
          <w:numId w:val="1"/>
        </w:numPr>
        <w:tabs>
          <w:tab w:val="left" w:pos="660"/>
        </w:tabs>
        <w:ind w:left="660" w:hanging="544"/>
        <w:rPr>
          <w:rFonts w:ascii="MS PGothic" w:eastAsia="MS PGothic" w:hAnsi="MS PGothic" w:cs="MS PGothic"/>
          <w:sz w:val="18"/>
          <w:szCs w:val="18"/>
        </w:rPr>
      </w:pPr>
      <w:r>
        <w:rPr>
          <w:rFonts w:ascii="Arial" w:eastAsia="Arial" w:hAnsi="Arial" w:cs="Arial"/>
          <w:b/>
          <w:bCs/>
          <w:sz w:val="18"/>
          <w:szCs w:val="18"/>
        </w:rPr>
        <w:t>Confidential, for Use of the Commission Only (as permitted by Rule 14a-6(e)(2))</w:t>
      </w:r>
    </w:p>
    <w:p w:rsidR="00A621E3" w:rsidRDefault="00A621E3">
      <w:pPr>
        <w:spacing w:line="229" w:lineRule="exact"/>
        <w:rPr>
          <w:sz w:val="24"/>
          <w:szCs w:val="24"/>
        </w:rPr>
      </w:pPr>
    </w:p>
    <w:p w:rsidR="00A621E3" w:rsidRDefault="00EC630E">
      <w:pPr>
        <w:numPr>
          <w:ilvl w:val="0"/>
          <w:numId w:val="2"/>
        </w:numPr>
        <w:tabs>
          <w:tab w:val="left" w:pos="660"/>
        </w:tabs>
        <w:ind w:left="660" w:hanging="544"/>
        <w:rPr>
          <w:rFonts w:ascii="MS PGothic" w:eastAsia="MS PGothic" w:hAnsi="MS PGothic" w:cs="MS PGothic"/>
          <w:sz w:val="18"/>
          <w:szCs w:val="18"/>
        </w:rPr>
      </w:pPr>
      <w:r>
        <w:rPr>
          <w:rFonts w:ascii="Arial" w:eastAsia="Arial" w:hAnsi="Arial" w:cs="Arial"/>
          <w:sz w:val="18"/>
          <w:szCs w:val="18"/>
        </w:rPr>
        <w:t>Definitive Proxy Statement</w:t>
      </w:r>
    </w:p>
    <w:p w:rsidR="00A621E3" w:rsidRDefault="00A621E3">
      <w:pPr>
        <w:spacing w:line="225" w:lineRule="exact"/>
        <w:rPr>
          <w:sz w:val="24"/>
          <w:szCs w:val="24"/>
        </w:rPr>
      </w:pPr>
    </w:p>
    <w:p w:rsidR="00A621E3" w:rsidRDefault="00EC630E">
      <w:pPr>
        <w:numPr>
          <w:ilvl w:val="0"/>
          <w:numId w:val="3"/>
        </w:numPr>
        <w:tabs>
          <w:tab w:val="left" w:pos="660"/>
        </w:tabs>
        <w:ind w:left="660" w:hanging="544"/>
        <w:rPr>
          <w:rFonts w:ascii="MS PGothic" w:eastAsia="MS PGothic" w:hAnsi="MS PGothic" w:cs="MS PGothic"/>
          <w:sz w:val="18"/>
          <w:szCs w:val="18"/>
        </w:rPr>
      </w:pPr>
      <w:r>
        <w:rPr>
          <w:rFonts w:ascii="Arial" w:eastAsia="Arial" w:hAnsi="Arial" w:cs="Arial"/>
          <w:sz w:val="18"/>
          <w:szCs w:val="18"/>
        </w:rPr>
        <w:t>Definitive Additional Materials</w:t>
      </w:r>
    </w:p>
    <w:p w:rsidR="00A621E3" w:rsidRDefault="00A621E3">
      <w:pPr>
        <w:spacing w:line="225" w:lineRule="exact"/>
        <w:rPr>
          <w:rFonts w:ascii="MS PGothic" w:eastAsia="MS PGothic" w:hAnsi="MS PGothic" w:cs="MS PGothic"/>
          <w:sz w:val="18"/>
          <w:szCs w:val="18"/>
        </w:rPr>
      </w:pPr>
    </w:p>
    <w:p w:rsidR="00A621E3" w:rsidRDefault="00EC630E">
      <w:pPr>
        <w:numPr>
          <w:ilvl w:val="0"/>
          <w:numId w:val="3"/>
        </w:numPr>
        <w:tabs>
          <w:tab w:val="left" w:pos="660"/>
        </w:tabs>
        <w:ind w:left="660" w:hanging="544"/>
        <w:rPr>
          <w:rFonts w:ascii="MS PGothic" w:eastAsia="MS PGothic" w:hAnsi="MS PGothic" w:cs="MS PGothic"/>
          <w:sz w:val="18"/>
          <w:szCs w:val="18"/>
        </w:rPr>
      </w:pPr>
      <w:r>
        <w:rPr>
          <w:rFonts w:ascii="Arial" w:eastAsia="Arial" w:hAnsi="Arial" w:cs="Arial"/>
          <w:sz w:val="18"/>
          <w:szCs w:val="18"/>
        </w:rPr>
        <w:t xml:space="preserve">Soliciting </w:t>
      </w:r>
      <w:r>
        <w:rPr>
          <w:rFonts w:ascii="Arial" w:eastAsia="Arial" w:hAnsi="Arial" w:cs="Arial"/>
          <w:sz w:val="18"/>
          <w:szCs w:val="18"/>
        </w:rPr>
        <w:t>Material Pursuant to §240.14a-12</w:t>
      </w:r>
    </w:p>
    <w:p w:rsidR="00A621E3" w:rsidRDefault="00A621E3">
      <w:pPr>
        <w:spacing w:line="196" w:lineRule="exact"/>
        <w:rPr>
          <w:sz w:val="24"/>
          <w:szCs w:val="24"/>
        </w:rPr>
      </w:pPr>
    </w:p>
    <w:p w:rsidR="00A621E3" w:rsidRDefault="00EC630E">
      <w:pPr>
        <w:ind w:right="-1120"/>
        <w:jc w:val="center"/>
        <w:rPr>
          <w:sz w:val="20"/>
          <w:szCs w:val="20"/>
        </w:rPr>
      </w:pPr>
      <w:r>
        <w:rPr>
          <w:rFonts w:ascii="Arial" w:eastAsia="Arial" w:hAnsi="Arial" w:cs="Arial"/>
          <w:b/>
          <w:bCs/>
          <w:sz w:val="43"/>
          <w:szCs w:val="43"/>
        </w:rPr>
        <w:t>Yum China Holdings, Inc.</w:t>
      </w:r>
    </w:p>
    <w:p w:rsidR="00A621E3" w:rsidRDefault="00A621E3">
      <w:pPr>
        <w:spacing w:line="50" w:lineRule="exact"/>
        <w:rPr>
          <w:sz w:val="24"/>
          <w:szCs w:val="24"/>
        </w:rPr>
      </w:pPr>
    </w:p>
    <w:p w:rsidR="00A621E3" w:rsidRDefault="00EC630E">
      <w:pPr>
        <w:ind w:right="-1120"/>
        <w:jc w:val="center"/>
        <w:rPr>
          <w:sz w:val="20"/>
          <w:szCs w:val="20"/>
        </w:rPr>
      </w:pPr>
      <w:r>
        <w:rPr>
          <w:rFonts w:ascii="Arial" w:eastAsia="Arial" w:hAnsi="Arial" w:cs="Arial"/>
          <w:b/>
          <w:bCs/>
          <w:sz w:val="18"/>
          <w:szCs w:val="18"/>
        </w:rPr>
        <w:t>(Name of Registrant as Specified in its Charter)</w:t>
      </w:r>
    </w:p>
    <w:p w:rsidR="00A621E3" w:rsidRDefault="00A621E3">
      <w:pPr>
        <w:spacing w:line="7" w:lineRule="exact"/>
        <w:rPr>
          <w:sz w:val="24"/>
          <w:szCs w:val="24"/>
        </w:rPr>
      </w:pPr>
    </w:p>
    <w:p w:rsidR="00A621E3" w:rsidRDefault="00EC630E">
      <w:pPr>
        <w:ind w:right="-1120"/>
        <w:jc w:val="center"/>
        <w:rPr>
          <w:sz w:val="20"/>
          <w:szCs w:val="20"/>
        </w:rPr>
      </w:pPr>
      <w:r>
        <w:rPr>
          <w:rFonts w:ascii="Arial" w:eastAsia="Arial" w:hAnsi="Arial" w:cs="Arial"/>
          <w:b/>
          <w:bCs/>
          <w:sz w:val="18"/>
          <w:szCs w:val="18"/>
        </w:rPr>
        <w:t>(Name of Person(s) Filing Proxy Statement, if Other Than the Registrant)</w:t>
      </w:r>
    </w:p>
    <w:p w:rsidR="00A621E3" w:rsidRDefault="00A621E3">
      <w:pPr>
        <w:spacing w:line="103" w:lineRule="exact"/>
        <w:rPr>
          <w:sz w:val="24"/>
          <w:szCs w:val="24"/>
        </w:rPr>
      </w:pPr>
    </w:p>
    <w:p w:rsidR="00A621E3" w:rsidRDefault="00EC630E">
      <w:pPr>
        <w:ind w:left="120"/>
        <w:rPr>
          <w:sz w:val="20"/>
          <w:szCs w:val="20"/>
        </w:rPr>
      </w:pPr>
      <w:r>
        <w:rPr>
          <w:rFonts w:ascii="Arial" w:eastAsia="Arial" w:hAnsi="Arial" w:cs="Arial"/>
          <w:sz w:val="18"/>
          <w:szCs w:val="18"/>
        </w:rPr>
        <w:t>Payment of Filing Fee (Check all boxes that apply):</w:t>
      </w:r>
    </w:p>
    <w:p w:rsidR="00A621E3" w:rsidRDefault="00A621E3">
      <w:pPr>
        <w:spacing w:line="239" w:lineRule="exact"/>
        <w:rPr>
          <w:sz w:val="24"/>
          <w:szCs w:val="24"/>
        </w:rPr>
      </w:pPr>
    </w:p>
    <w:p w:rsidR="00A621E3" w:rsidRDefault="00EC630E">
      <w:pPr>
        <w:numPr>
          <w:ilvl w:val="0"/>
          <w:numId w:val="4"/>
        </w:numPr>
        <w:tabs>
          <w:tab w:val="left" w:pos="660"/>
        </w:tabs>
        <w:ind w:left="660" w:hanging="544"/>
        <w:rPr>
          <w:rFonts w:ascii="MS PGothic" w:eastAsia="MS PGothic" w:hAnsi="MS PGothic" w:cs="MS PGothic"/>
          <w:sz w:val="18"/>
          <w:szCs w:val="18"/>
        </w:rPr>
      </w:pPr>
      <w:r>
        <w:rPr>
          <w:rFonts w:ascii="Arial" w:eastAsia="Arial" w:hAnsi="Arial" w:cs="Arial"/>
          <w:sz w:val="18"/>
          <w:szCs w:val="18"/>
        </w:rPr>
        <w:t>No fee required.</w:t>
      </w:r>
    </w:p>
    <w:p w:rsidR="00A621E3" w:rsidRDefault="00A621E3">
      <w:pPr>
        <w:spacing w:line="225" w:lineRule="exact"/>
        <w:rPr>
          <w:sz w:val="24"/>
          <w:szCs w:val="24"/>
        </w:rPr>
      </w:pPr>
    </w:p>
    <w:p w:rsidR="00A621E3" w:rsidRDefault="00EC630E">
      <w:pPr>
        <w:numPr>
          <w:ilvl w:val="0"/>
          <w:numId w:val="5"/>
        </w:numPr>
        <w:tabs>
          <w:tab w:val="left" w:pos="660"/>
        </w:tabs>
        <w:ind w:left="660" w:hanging="544"/>
        <w:rPr>
          <w:rFonts w:ascii="MS PGothic" w:eastAsia="MS PGothic" w:hAnsi="MS PGothic" w:cs="MS PGothic"/>
          <w:sz w:val="18"/>
          <w:szCs w:val="18"/>
        </w:rPr>
      </w:pPr>
      <w:r>
        <w:rPr>
          <w:rFonts w:ascii="Arial" w:eastAsia="Arial" w:hAnsi="Arial" w:cs="Arial"/>
          <w:sz w:val="18"/>
          <w:szCs w:val="18"/>
        </w:rPr>
        <w:t>Fee paid previously with preliminary materials.</w:t>
      </w:r>
    </w:p>
    <w:p w:rsidR="00A621E3" w:rsidRDefault="00A621E3">
      <w:pPr>
        <w:spacing w:line="225" w:lineRule="exact"/>
        <w:rPr>
          <w:rFonts w:ascii="MS PGothic" w:eastAsia="MS PGothic" w:hAnsi="MS PGothic" w:cs="MS PGothic"/>
          <w:sz w:val="18"/>
          <w:szCs w:val="18"/>
        </w:rPr>
      </w:pPr>
    </w:p>
    <w:p w:rsidR="00A621E3" w:rsidRDefault="00EC630E">
      <w:pPr>
        <w:numPr>
          <w:ilvl w:val="0"/>
          <w:numId w:val="5"/>
        </w:numPr>
        <w:tabs>
          <w:tab w:val="left" w:pos="660"/>
        </w:tabs>
        <w:ind w:left="660" w:hanging="544"/>
        <w:rPr>
          <w:rFonts w:ascii="MS PGothic" w:eastAsia="MS PGothic" w:hAnsi="MS PGothic" w:cs="MS PGothic"/>
          <w:sz w:val="18"/>
          <w:szCs w:val="18"/>
        </w:rPr>
      </w:pPr>
      <w:r>
        <w:rPr>
          <w:rFonts w:ascii="Arial" w:eastAsia="Arial" w:hAnsi="Arial" w:cs="Arial"/>
          <w:sz w:val="18"/>
          <w:szCs w:val="18"/>
        </w:rPr>
        <w:t>Fee computed on table in exhibit required by Item 25(b) per Exchange Act Rules 14a-6(i)(1) and 0-11.</w:t>
      </w:r>
    </w:p>
    <w:p w:rsidR="00A621E3" w:rsidRDefault="00EC630E">
      <w:pPr>
        <w:spacing w:line="20" w:lineRule="exact"/>
        <w:rPr>
          <w:sz w:val="24"/>
          <w:szCs w:val="24"/>
        </w:rPr>
      </w:pPr>
      <w:r>
        <w:rPr>
          <w:noProof/>
          <w:sz w:val="24"/>
          <w:szCs w:val="24"/>
        </w:rPr>
        <w:drawing>
          <wp:anchor distT="0" distB="0" distL="114300" distR="114300" simplePos="0" relativeHeight="251231232" behindDoc="1" locked="0" layoutInCell="0" allowOverlap="1">
            <wp:simplePos x="0" y="0"/>
            <wp:positionH relativeFrom="column">
              <wp:posOffset>73660</wp:posOffset>
            </wp:positionH>
            <wp:positionV relativeFrom="paragraph">
              <wp:posOffset>177800</wp:posOffset>
            </wp:positionV>
            <wp:extent cx="6995160" cy="82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blip>
                    <a:srcRect/>
                    <a:stretch>
                      <a:fillRect/>
                    </a:stretch>
                  </pic:blipFill>
                  <pic:spPr bwMode="auto">
                    <a:xfrm>
                      <a:off x="0" y="0"/>
                      <a:ext cx="6995160" cy="8255"/>
                    </a:xfrm>
                    <a:prstGeom prst="rect">
                      <a:avLst/>
                    </a:prstGeom>
                    <a:noFill/>
                  </pic:spPr>
                </pic:pic>
              </a:graphicData>
            </a:graphic>
          </wp:anchor>
        </w:drawing>
      </w:r>
      <w:r>
        <w:rPr>
          <w:noProof/>
          <w:sz w:val="24"/>
          <w:szCs w:val="24"/>
        </w:rPr>
        <w:drawing>
          <wp:anchor distT="0" distB="0" distL="114300" distR="114300" simplePos="0" relativeHeight="251232256" behindDoc="1" locked="0" layoutInCell="0" allowOverlap="1">
            <wp:simplePos x="0" y="0"/>
            <wp:positionH relativeFrom="column">
              <wp:posOffset>73660</wp:posOffset>
            </wp:positionH>
            <wp:positionV relativeFrom="paragraph">
              <wp:posOffset>220345</wp:posOffset>
            </wp:positionV>
            <wp:extent cx="6995160" cy="8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230" w:right="1440" w:bottom="1440" w:left="320" w:header="0" w:footer="0" w:gutter="0"/>
          <w:cols w:space="720" w:equalWidth="0">
            <w:col w:w="10139"/>
          </w:cols>
        </w:sectPr>
      </w:pPr>
    </w:p>
    <w:p w:rsidR="00A621E3" w:rsidRDefault="00EC630E">
      <w:pPr>
        <w:rPr>
          <w:sz w:val="20"/>
          <w:szCs w:val="20"/>
        </w:rPr>
      </w:pPr>
      <w:bookmarkStart w:id="1" w:name="page2"/>
      <w:bookmarkEnd w:id="1"/>
      <w:r>
        <w:rPr>
          <w:rFonts w:ascii="Arial" w:eastAsia="Arial" w:hAnsi="Arial" w:cs="Arial"/>
          <w:b/>
          <w:bCs/>
          <w:noProof/>
          <w:color w:val="0000EE"/>
          <w:sz w:val="18"/>
          <w:szCs w:val="18"/>
          <w:u w:val="single"/>
        </w:rPr>
        <w:lastRenderedPageBreak/>
        <w:drawing>
          <wp:anchor distT="0" distB="0" distL="114300" distR="114300" simplePos="0" relativeHeight="25123328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A621E3">
      <w:pPr>
        <w:spacing w:line="307" w:lineRule="exact"/>
        <w:rPr>
          <w:sz w:val="20"/>
          <w:szCs w:val="20"/>
        </w:rPr>
      </w:pPr>
    </w:p>
    <w:p w:rsidR="00A621E3" w:rsidRDefault="00EC630E">
      <w:pPr>
        <w:spacing w:line="250" w:lineRule="auto"/>
        <w:ind w:left="120" w:right="20"/>
        <w:jc w:val="both"/>
        <w:rPr>
          <w:sz w:val="20"/>
          <w:szCs w:val="20"/>
        </w:rPr>
      </w:pPr>
      <w:r>
        <w:rPr>
          <w:rFonts w:ascii="Arial" w:eastAsia="Arial" w:hAnsi="Arial" w:cs="Arial"/>
          <w:i/>
          <w:iCs/>
          <w:sz w:val="20"/>
          <w:szCs w:val="20"/>
        </w:rPr>
        <w:t xml:space="preserve">This document shall also serve as a circular to holders of the </w:t>
      </w:r>
      <w:r>
        <w:rPr>
          <w:rFonts w:ascii="Arial" w:eastAsia="Arial" w:hAnsi="Arial" w:cs="Arial"/>
          <w:i/>
          <w:iCs/>
          <w:sz w:val="20"/>
          <w:szCs w:val="20"/>
        </w:rPr>
        <w:t>common stock of Yum China Holdings, Inc. for the purposes of the Rules Governing the Listing of Securities on The Stock Exchange of Hong Kong Limited (the “Hong Kong Stock Exchange”) (the “Hong Kong Listing Rules”).</w:t>
      </w:r>
    </w:p>
    <w:p w:rsidR="00A621E3" w:rsidRDefault="00A621E3">
      <w:pPr>
        <w:spacing w:line="186" w:lineRule="exact"/>
        <w:rPr>
          <w:sz w:val="20"/>
          <w:szCs w:val="20"/>
        </w:rPr>
      </w:pPr>
    </w:p>
    <w:p w:rsidR="00A621E3" w:rsidRDefault="00EC630E">
      <w:pPr>
        <w:spacing w:line="250" w:lineRule="auto"/>
        <w:ind w:left="120"/>
        <w:jc w:val="both"/>
        <w:rPr>
          <w:sz w:val="20"/>
          <w:szCs w:val="20"/>
        </w:rPr>
      </w:pPr>
      <w:r>
        <w:rPr>
          <w:rFonts w:ascii="Arial" w:eastAsia="Arial" w:hAnsi="Arial" w:cs="Arial"/>
          <w:i/>
          <w:iCs/>
          <w:sz w:val="20"/>
          <w:szCs w:val="20"/>
        </w:rPr>
        <w:t xml:space="preserve">Warning: The contents of this document </w:t>
      </w:r>
      <w:r>
        <w:rPr>
          <w:rFonts w:ascii="Arial" w:eastAsia="Arial" w:hAnsi="Arial" w:cs="Arial"/>
          <w:i/>
          <w:iCs/>
          <w:sz w:val="20"/>
          <w:szCs w:val="20"/>
        </w:rPr>
        <w:t>have not been reviewed by any regulatory authority in Hong Kong. You are advised to exercise caution when dealing in the securities of Yum China Holdings, Inc. If you are in doubt about any of the contents of this document, you should obtain independent pr</w:t>
      </w:r>
      <w:r>
        <w:rPr>
          <w:rFonts w:ascii="Arial" w:eastAsia="Arial" w:hAnsi="Arial" w:cs="Arial"/>
          <w:i/>
          <w:iCs/>
          <w:sz w:val="20"/>
          <w:szCs w:val="20"/>
        </w:rPr>
        <w:t>ofessional advice.</w:t>
      </w:r>
    </w:p>
    <w:p w:rsidR="00A621E3" w:rsidRDefault="00A621E3">
      <w:pPr>
        <w:spacing w:line="186" w:lineRule="exact"/>
        <w:rPr>
          <w:sz w:val="20"/>
          <w:szCs w:val="20"/>
        </w:rPr>
      </w:pPr>
    </w:p>
    <w:p w:rsidR="00A621E3" w:rsidRDefault="00EC630E">
      <w:pPr>
        <w:spacing w:line="250" w:lineRule="auto"/>
        <w:ind w:left="120" w:right="20"/>
        <w:jc w:val="both"/>
        <w:rPr>
          <w:sz w:val="20"/>
          <w:szCs w:val="20"/>
        </w:rPr>
      </w:pPr>
      <w:r>
        <w:rPr>
          <w:rFonts w:ascii="Arial" w:eastAsia="Arial" w:hAnsi="Arial" w:cs="Arial"/>
          <w:i/>
          <w:iCs/>
          <w:sz w:val="20"/>
          <w:szCs w:val="20"/>
        </w:rPr>
        <w:t xml:space="preserve">Hong Kong Exchanges and Clearing Limited and the Hong Kong Stock Exchange take no responsibility for the contents of this document, make no representation as to its accuracy or completeness and expressly disclaim any liability </w:t>
      </w:r>
      <w:r>
        <w:rPr>
          <w:rFonts w:ascii="Arial" w:eastAsia="Arial" w:hAnsi="Arial" w:cs="Arial"/>
          <w:i/>
          <w:iCs/>
          <w:sz w:val="20"/>
          <w:szCs w:val="20"/>
        </w:rPr>
        <w:t>whatsoever for any loss howsoever arising from or in reliance upon the whole or any part of the contents of this document.</w:t>
      </w:r>
    </w:p>
    <w:p w:rsidR="00A621E3" w:rsidRDefault="00EC630E">
      <w:pPr>
        <w:spacing w:line="20" w:lineRule="exact"/>
        <w:rPr>
          <w:sz w:val="20"/>
          <w:szCs w:val="20"/>
        </w:rPr>
      </w:pPr>
      <w:r>
        <w:rPr>
          <w:noProof/>
          <w:sz w:val="20"/>
          <w:szCs w:val="20"/>
        </w:rPr>
        <w:drawing>
          <wp:anchor distT="0" distB="0" distL="114300" distR="114300" simplePos="0" relativeHeight="251234304" behindDoc="1" locked="0" layoutInCell="0" allowOverlap="1">
            <wp:simplePos x="0" y="0"/>
            <wp:positionH relativeFrom="column">
              <wp:posOffset>3185160</wp:posOffset>
            </wp:positionH>
            <wp:positionV relativeFrom="paragraph">
              <wp:posOffset>146050</wp:posOffset>
            </wp:positionV>
            <wp:extent cx="771525" cy="7969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blip>
                    <a:srcRect/>
                    <a:stretch>
                      <a:fillRect/>
                    </a:stretch>
                  </pic:blipFill>
                  <pic:spPr bwMode="auto">
                    <a:xfrm>
                      <a:off x="0" y="0"/>
                      <a:ext cx="771525" cy="79692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58" w:lineRule="exact"/>
        <w:rPr>
          <w:sz w:val="20"/>
          <w:szCs w:val="20"/>
        </w:rPr>
      </w:pPr>
    </w:p>
    <w:tbl>
      <w:tblPr>
        <w:tblW w:w="0" w:type="auto"/>
        <w:tblInd w:w="1400" w:type="dxa"/>
        <w:tblLayout w:type="fixed"/>
        <w:tblCellMar>
          <w:left w:w="0" w:type="dxa"/>
          <w:right w:w="0" w:type="dxa"/>
        </w:tblCellMar>
        <w:tblLook w:val="04A0" w:firstRow="1" w:lastRow="0" w:firstColumn="1" w:lastColumn="0" w:noHBand="0" w:noVBand="1"/>
      </w:tblPr>
      <w:tblGrid>
        <w:gridCol w:w="3060"/>
        <w:gridCol w:w="5160"/>
      </w:tblGrid>
      <w:tr w:rsidR="00A621E3">
        <w:trPr>
          <w:trHeight w:val="239"/>
        </w:trPr>
        <w:tc>
          <w:tcPr>
            <w:tcW w:w="3060" w:type="dxa"/>
            <w:vAlign w:val="bottom"/>
          </w:tcPr>
          <w:p w:rsidR="00A621E3" w:rsidRDefault="00A621E3">
            <w:pPr>
              <w:rPr>
                <w:sz w:val="20"/>
                <w:szCs w:val="20"/>
              </w:rPr>
            </w:pPr>
          </w:p>
        </w:tc>
        <w:tc>
          <w:tcPr>
            <w:tcW w:w="5160" w:type="dxa"/>
            <w:vAlign w:val="bottom"/>
          </w:tcPr>
          <w:p w:rsidR="00A621E3" w:rsidRDefault="00EC630E">
            <w:pPr>
              <w:ind w:left="80"/>
              <w:rPr>
                <w:sz w:val="20"/>
                <w:szCs w:val="20"/>
              </w:rPr>
            </w:pPr>
            <w:r>
              <w:rPr>
                <w:rFonts w:ascii="Arial" w:eastAsia="Arial" w:hAnsi="Arial" w:cs="Arial"/>
                <w:b/>
                <w:bCs/>
                <w:sz w:val="18"/>
                <w:szCs w:val="18"/>
              </w:rPr>
              <w:t>Yum China Holdings, Inc.</w:t>
            </w:r>
          </w:p>
        </w:tc>
      </w:tr>
      <w:tr w:rsidR="00A621E3">
        <w:trPr>
          <w:trHeight w:val="445"/>
        </w:trPr>
        <w:tc>
          <w:tcPr>
            <w:tcW w:w="3060" w:type="dxa"/>
            <w:vAlign w:val="bottom"/>
          </w:tcPr>
          <w:p w:rsidR="00A621E3" w:rsidRDefault="00EC630E">
            <w:pPr>
              <w:jc w:val="center"/>
              <w:rPr>
                <w:sz w:val="20"/>
                <w:szCs w:val="20"/>
              </w:rPr>
            </w:pPr>
            <w:r>
              <w:rPr>
                <w:rFonts w:ascii="Arial" w:eastAsia="Arial" w:hAnsi="Arial" w:cs="Arial"/>
                <w:b/>
                <w:bCs/>
                <w:sz w:val="18"/>
                <w:szCs w:val="18"/>
              </w:rPr>
              <w:t>101 East Park Boulevard, Suite 805</w:t>
            </w:r>
          </w:p>
        </w:tc>
        <w:tc>
          <w:tcPr>
            <w:tcW w:w="5160" w:type="dxa"/>
            <w:vAlign w:val="bottom"/>
          </w:tcPr>
          <w:p w:rsidR="00A621E3" w:rsidRDefault="00EC630E">
            <w:pPr>
              <w:ind w:left="2730"/>
              <w:jc w:val="center"/>
              <w:rPr>
                <w:sz w:val="20"/>
                <w:szCs w:val="20"/>
              </w:rPr>
            </w:pPr>
            <w:r>
              <w:rPr>
                <w:rFonts w:ascii="Arial" w:eastAsia="Arial" w:hAnsi="Arial" w:cs="Arial"/>
                <w:b/>
                <w:bCs/>
                <w:w w:val="99"/>
                <w:sz w:val="18"/>
                <w:szCs w:val="18"/>
              </w:rPr>
              <w:t>Yum China Building</w:t>
            </w:r>
          </w:p>
        </w:tc>
      </w:tr>
      <w:tr w:rsidR="00A621E3">
        <w:trPr>
          <w:trHeight w:val="270"/>
        </w:trPr>
        <w:tc>
          <w:tcPr>
            <w:tcW w:w="3060" w:type="dxa"/>
            <w:vAlign w:val="bottom"/>
          </w:tcPr>
          <w:p w:rsidR="00A621E3" w:rsidRDefault="00EC630E">
            <w:pPr>
              <w:jc w:val="center"/>
              <w:rPr>
                <w:sz w:val="20"/>
                <w:szCs w:val="20"/>
              </w:rPr>
            </w:pPr>
            <w:r>
              <w:rPr>
                <w:rFonts w:ascii="Arial" w:eastAsia="Arial" w:hAnsi="Arial" w:cs="Arial"/>
                <w:b/>
                <w:bCs/>
                <w:w w:val="99"/>
                <w:sz w:val="18"/>
                <w:szCs w:val="18"/>
              </w:rPr>
              <w:t>Plano, Texas 75074</w:t>
            </w:r>
          </w:p>
        </w:tc>
        <w:tc>
          <w:tcPr>
            <w:tcW w:w="5160" w:type="dxa"/>
            <w:vAlign w:val="bottom"/>
          </w:tcPr>
          <w:p w:rsidR="00A621E3" w:rsidRDefault="00EC630E">
            <w:pPr>
              <w:ind w:left="2750"/>
              <w:jc w:val="center"/>
              <w:rPr>
                <w:sz w:val="20"/>
                <w:szCs w:val="20"/>
              </w:rPr>
            </w:pPr>
            <w:r>
              <w:rPr>
                <w:rFonts w:ascii="Arial" w:eastAsia="Arial" w:hAnsi="Arial" w:cs="Arial"/>
                <w:b/>
                <w:bCs/>
                <w:w w:val="98"/>
                <w:sz w:val="18"/>
                <w:szCs w:val="18"/>
              </w:rPr>
              <w:t>20 Tian Yao Qiao Road</w:t>
            </w:r>
          </w:p>
        </w:tc>
      </w:tr>
      <w:tr w:rsidR="00A621E3">
        <w:trPr>
          <w:trHeight w:val="270"/>
        </w:trPr>
        <w:tc>
          <w:tcPr>
            <w:tcW w:w="3060" w:type="dxa"/>
            <w:vAlign w:val="bottom"/>
          </w:tcPr>
          <w:p w:rsidR="00A621E3" w:rsidRDefault="00EC630E">
            <w:pPr>
              <w:jc w:val="center"/>
              <w:rPr>
                <w:sz w:val="20"/>
                <w:szCs w:val="20"/>
              </w:rPr>
            </w:pPr>
            <w:r>
              <w:rPr>
                <w:rFonts w:ascii="Arial" w:eastAsia="Arial" w:hAnsi="Arial" w:cs="Arial"/>
                <w:b/>
                <w:bCs/>
                <w:w w:val="99"/>
                <w:sz w:val="18"/>
                <w:szCs w:val="18"/>
              </w:rPr>
              <w:t>United States of America</w:t>
            </w:r>
          </w:p>
        </w:tc>
        <w:tc>
          <w:tcPr>
            <w:tcW w:w="5160" w:type="dxa"/>
            <w:vAlign w:val="bottom"/>
          </w:tcPr>
          <w:p w:rsidR="00A621E3" w:rsidRDefault="00EC630E">
            <w:pPr>
              <w:ind w:left="2730"/>
              <w:jc w:val="center"/>
              <w:rPr>
                <w:sz w:val="20"/>
                <w:szCs w:val="20"/>
              </w:rPr>
            </w:pPr>
            <w:r>
              <w:rPr>
                <w:rFonts w:ascii="Arial" w:eastAsia="Arial" w:hAnsi="Arial" w:cs="Arial"/>
                <w:b/>
                <w:bCs/>
                <w:w w:val="99"/>
                <w:sz w:val="18"/>
                <w:szCs w:val="18"/>
              </w:rPr>
              <w:t>Shanghai 200030</w:t>
            </w:r>
          </w:p>
        </w:tc>
      </w:tr>
      <w:tr w:rsidR="00A621E3">
        <w:trPr>
          <w:trHeight w:val="270"/>
        </w:trPr>
        <w:tc>
          <w:tcPr>
            <w:tcW w:w="3060" w:type="dxa"/>
            <w:vAlign w:val="bottom"/>
          </w:tcPr>
          <w:p w:rsidR="00A621E3" w:rsidRDefault="00A621E3">
            <w:pPr>
              <w:rPr>
                <w:sz w:val="23"/>
                <w:szCs w:val="23"/>
              </w:rPr>
            </w:pPr>
          </w:p>
        </w:tc>
        <w:tc>
          <w:tcPr>
            <w:tcW w:w="5160" w:type="dxa"/>
            <w:vAlign w:val="bottom"/>
          </w:tcPr>
          <w:p w:rsidR="00A621E3" w:rsidRDefault="00EC630E">
            <w:pPr>
              <w:ind w:left="2750"/>
              <w:jc w:val="center"/>
              <w:rPr>
                <w:sz w:val="20"/>
                <w:szCs w:val="20"/>
              </w:rPr>
            </w:pPr>
            <w:r>
              <w:rPr>
                <w:rFonts w:ascii="Arial" w:eastAsia="Arial" w:hAnsi="Arial" w:cs="Arial"/>
                <w:b/>
                <w:bCs/>
                <w:w w:val="99"/>
                <w:sz w:val="18"/>
                <w:szCs w:val="18"/>
              </w:rPr>
              <w:t>People’s Republic of China</w:t>
            </w:r>
          </w:p>
        </w:tc>
      </w:tr>
    </w:tbl>
    <w:p w:rsidR="00A621E3" w:rsidRDefault="00A621E3">
      <w:pPr>
        <w:spacing w:line="199" w:lineRule="exact"/>
        <w:rPr>
          <w:sz w:val="20"/>
          <w:szCs w:val="20"/>
        </w:rPr>
      </w:pPr>
    </w:p>
    <w:p w:rsidR="00A621E3" w:rsidRDefault="00EC630E">
      <w:pPr>
        <w:ind w:left="120"/>
        <w:rPr>
          <w:sz w:val="20"/>
          <w:szCs w:val="20"/>
        </w:rPr>
      </w:pPr>
      <w:r>
        <w:rPr>
          <w:rFonts w:ascii="Arial" w:eastAsia="Arial" w:hAnsi="Arial" w:cs="Arial"/>
          <w:sz w:val="20"/>
          <w:szCs w:val="20"/>
        </w:rPr>
        <w:t>April 12, 2023</w:t>
      </w:r>
    </w:p>
    <w:p w:rsidR="00A621E3" w:rsidRDefault="00A621E3">
      <w:pPr>
        <w:spacing w:line="216" w:lineRule="exact"/>
        <w:rPr>
          <w:sz w:val="20"/>
          <w:szCs w:val="20"/>
        </w:rPr>
      </w:pPr>
    </w:p>
    <w:p w:rsidR="00A621E3" w:rsidRDefault="00EC630E">
      <w:pPr>
        <w:ind w:left="120"/>
        <w:rPr>
          <w:sz w:val="20"/>
          <w:szCs w:val="20"/>
        </w:rPr>
      </w:pPr>
      <w:r>
        <w:rPr>
          <w:rFonts w:ascii="Arial" w:eastAsia="Arial" w:hAnsi="Arial" w:cs="Arial"/>
          <w:sz w:val="20"/>
          <w:szCs w:val="20"/>
        </w:rPr>
        <w:t>Dear Fellow Stockholders:</w:t>
      </w:r>
    </w:p>
    <w:p w:rsidR="00A621E3" w:rsidRDefault="00A621E3">
      <w:pPr>
        <w:spacing w:line="216" w:lineRule="exact"/>
        <w:rPr>
          <w:sz w:val="20"/>
          <w:szCs w:val="20"/>
        </w:rPr>
      </w:pPr>
    </w:p>
    <w:p w:rsidR="00A621E3" w:rsidRDefault="00EC630E">
      <w:pPr>
        <w:spacing w:line="250" w:lineRule="auto"/>
        <w:ind w:left="120" w:right="20"/>
        <w:jc w:val="both"/>
        <w:rPr>
          <w:sz w:val="20"/>
          <w:szCs w:val="20"/>
        </w:rPr>
      </w:pPr>
      <w:r>
        <w:rPr>
          <w:rFonts w:ascii="Arial" w:eastAsia="Arial" w:hAnsi="Arial" w:cs="Arial"/>
          <w:sz w:val="20"/>
          <w:szCs w:val="20"/>
        </w:rPr>
        <w:t>We are pleased to invite you to attend the 2023 Annual Meeting of Stockholders of Yum China Holdings, Inc. (the “</w:t>
      </w:r>
      <w:r>
        <w:rPr>
          <w:rFonts w:ascii="Arial" w:eastAsia="Arial" w:hAnsi="Arial" w:cs="Arial"/>
          <w:b/>
          <w:bCs/>
          <w:i/>
          <w:iCs/>
          <w:sz w:val="20"/>
          <w:szCs w:val="20"/>
        </w:rPr>
        <w:t>Annual Meeting</w:t>
      </w:r>
      <w:r>
        <w:rPr>
          <w:rFonts w:ascii="Arial" w:eastAsia="Arial" w:hAnsi="Arial" w:cs="Arial"/>
          <w:sz w:val="20"/>
          <w:szCs w:val="20"/>
        </w:rPr>
        <w:t xml:space="preserve">”). The </w:t>
      </w:r>
      <w:r>
        <w:rPr>
          <w:rFonts w:ascii="Arial" w:eastAsia="Arial" w:hAnsi="Arial" w:cs="Arial"/>
          <w:sz w:val="20"/>
          <w:szCs w:val="20"/>
        </w:rPr>
        <w:t>Annual Meeting will be held on Thursday, May 25, 2023, at 8:00 a.m. local time, at Mandarin Oriental Hong Kong, 5 Connaught Road, Central, Hong Kong.</w:t>
      </w:r>
    </w:p>
    <w:p w:rsidR="00A621E3" w:rsidRDefault="00A621E3">
      <w:pPr>
        <w:spacing w:line="186" w:lineRule="exact"/>
        <w:rPr>
          <w:sz w:val="20"/>
          <w:szCs w:val="20"/>
        </w:rPr>
      </w:pPr>
    </w:p>
    <w:p w:rsidR="00A621E3" w:rsidRDefault="00EC630E">
      <w:pPr>
        <w:spacing w:line="250" w:lineRule="auto"/>
        <w:ind w:left="120" w:right="20"/>
        <w:jc w:val="both"/>
        <w:rPr>
          <w:sz w:val="20"/>
          <w:szCs w:val="20"/>
        </w:rPr>
      </w:pPr>
      <w:r>
        <w:rPr>
          <w:rFonts w:ascii="Arial" w:eastAsia="Arial" w:hAnsi="Arial" w:cs="Arial"/>
          <w:sz w:val="20"/>
          <w:szCs w:val="20"/>
        </w:rPr>
        <w:t>The attached notice of Annual Meeting and proxy statement contain details of the business to be conducted</w:t>
      </w:r>
      <w:r>
        <w:rPr>
          <w:rFonts w:ascii="Arial" w:eastAsia="Arial" w:hAnsi="Arial" w:cs="Arial"/>
          <w:sz w:val="20"/>
          <w:szCs w:val="20"/>
        </w:rPr>
        <w:t xml:space="preserve"> at the Annual Meeting. In addition, the Company’s 2022 annual report, which is being made available to you along with the proxy statement, contains information about the Company and its performance.</w:t>
      </w:r>
    </w:p>
    <w:p w:rsidR="00A621E3" w:rsidRDefault="00A621E3">
      <w:pPr>
        <w:spacing w:line="186" w:lineRule="exact"/>
        <w:rPr>
          <w:sz w:val="20"/>
          <w:szCs w:val="20"/>
        </w:rPr>
      </w:pPr>
    </w:p>
    <w:p w:rsidR="00A621E3" w:rsidRDefault="00EC630E">
      <w:pPr>
        <w:spacing w:line="250" w:lineRule="auto"/>
        <w:ind w:left="120" w:right="20"/>
        <w:jc w:val="both"/>
        <w:rPr>
          <w:sz w:val="20"/>
          <w:szCs w:val="20"/>
        </w:rPr>
      </w:pPr>
      <w:r>
        <w:rPr>
          <w:rFonts w:ascii="Arial" w:eastAsia="Arial" w:hAnsi="Arial" w:cs="Arial"/>
          <w:sz w:val="20"/>
          <w:szCs w:val="20"/>
        </w:rPr>
        <w:t>Your vote is important. We encourage you to vote prompt</w:t>
      </w:r>
      <w:r>
        <w:rPr>
          <w:rFonts w:ascii="Arial" w:eastAsia="Arial" w:hAnsi="Arial" w:cs="Arial"/>
          <w:sz w:val="20"/>
          <w:szCs w:val="20"/>
        </w:rPr>
        <w:t>ly, whether or not you plan to attend the Annual Meeting. You may vote your shares over the Internet or via telephone. If you received a paper copy of the proxy materials, you may complete, sign, date and mail the proxy card in the postage-paid envelope pr</w:t>
      </w:r>
      <w:r>
        <w:rPr>
          <w:rFonts w:ascii="Arial" w:eastAsia="Arial" w:hAnsi="Arial" w:cs="Arial"/>
          <w:sz w:val="20"/>
          <w:szCs w:val="20"/>
        </w:rPr>
        <w:t>ovided.</w:t>
      </w:r>
    </w:p>
    <w:p w:rsidR="00A621E3" w:rsidRDefault="00A621E3">
      <w:pPr>
        <w:spacing w:line="186" w:lineRule="exact"/>
        <w:rPr>
          <w:sz w:val="20"/>
          <w:szCs w:val="20"/>
        </w:rPr>
      </w:pPr>
    </w:p>
    <w:p w:rsidR="00A621E3" w:rsidRDefault="00EC630E">
      <w:pPr>
        <w:spacing w:line="278" w:lineRule="auto"/>
        <w:ind w:left="120" w:right="20"/>
        <w:jc w:val="both"/>
        <w:rPr>
          <w:sz w:val="20"/>
          <w:szCs w:val="20"/>
        </w:rPr>
      </w:pPr>
      <w:r>
        <w:rPr>
          <w:rFonts w:ascii="Arial" w:eastAsia="Arial" w:hAnsi="Arial" w:cs="Arial"/>
          <w:sz w:val="18"/>
          <w:szCs w:val="18"/>
        </w:rPr>
        <w:t>If you plan to attend the meeting, you may also vote in person. If you hold your shares through a bank, broker or other nominee, you will be required to show the notice or voting instructions form you received from your bank, broker or other nomin</w:t>
      </w:r>
      <w:r>
        <w:rPr>
          <w:rFonts w:ascii="Arial" w:eastAsia="Arial" w:hAnsi="Arial" w:cs="Arial"/>
          <w:sz w:val="18"/>
          <w:szCs w:val="18"/>
        </w:rPr>
        <w:t>ee or a copy of a statement (such as a brokerage statement or legal proxy) from your bank, broker or other nominee reflecting your stock ownership as of March 27, 2023 in order to be admitted to the meeting. All attendees must bring valid photo identificat</w:t>
      </w:r>
      <w:r>
        <w:rPr>
          <w:rFonts w:ascii="Arial" w:eastAsia="Arial" w:hAnsi="Arial" w:cs="Arial"/>
          <w:sz w:val="18"/>
          <w:szCs w:val="18"/>
        </w:rPr>
        <w:t>ion to gain admission to the meeting. Whether or not you attend the meeting, we encourage you to consider the matters presented in the proxy statement and vote as soon as possible.</w:t>
      </w:r>
    </w:p>
    <w:p w:rsidR="00A621E3" w:rsidRDefault="00A621E3">
      <w:pPr>
        <w:spacing w:line="165" w:lineRule="exact"/>
        <w:rPr>
          <w:sz w:val="20"/>
          <w:szCs w:val="20"/>
        </w:rPr>
      </w:pPr>
    </w:p>
    <w:p w:rsidR="00A621E3" w:rsidRDefault="00EC630E">
      <w:pPr>
        <w:ind w:left="120"/>
        <w:rPr>
          <w:sz w:val="20"/>
          <w:szCs w:val="20"/>
        </w:rPr>
      </w:pPr>
      <w:r>
        <w:rPr>
          <w:rFonts w:ascii="Arial" w:eastAsia="Arial" w:hAnsi="Arial" w:cs="Arial"/>
          <w:sz w:val="20"/>
          <w:szCs w:val="20"/>
        </w:rPr>
        <w:t>Sincerely,</w:t>
      </w:r>
    </w:p>
    <w:p w:rsidR="00A621E3" w:rsidRDefault="00A621E3">
      <w:pPr>
        <w:spacing w:line="20" w:lineRule="exact"/>
        <w:rPr>
          <w:sz w:val="20"/>
          <w:szCs w:val="20"/>
        </w:rPr>
      </w:pPr>
      <w:bookmarkStart w:id="2" w:name="_GoBack"/>
      <w:bookmarkEnd w:id="2"/>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98" w:lineRule="exact"/>
        <w:rPr>
          <w:sz w:val="20"/>
          <w:szCs w:val="20"/>
        </w:rPr>
      </w:pPr>
    </w:p>
    <w:p w:rsidR="00A621E3" w:rsidRDefault="00EC630E">
      <w:pPr>
        <w:ind w:left="120"/>
        <w:rPr>
          <w:sz w:val="20"/>
          <w:szCs w:val="20"/>
        </w:rPr>
      </w:pPr>
      <w:r>
        <w:rPr>
          <w:rFonts w:ascii="Arial" w:eastAsia="Arial" w:hAnsi="Arial" w:cs="Arial"/>
          <w:sz w:val="20"/>
          <w:szCs w:val="20"/>
        </w:rPr>
        <w:t>Joey Wat</w:t>
      </w:r>
    </w:p>
    <w:p w:rsidR="00A621E3" w:rsidRDefault="00A621E3">
      <w:pPr>
        <w:spacing w:line="16" w:lineRule="exact"/>
        <w:rPr>
          <w:sz w:val="20"/>
          <w:szCs w:val="20"/>
        </w:rPr>
      </w:pPr>
    </w:p>
    <w:p w:rsidR="00A621E3" w:rsidRDefault="00EC630E">
      <w:pPr>
        <w:ind w:left="120"/>
        <w:rPr>
          <w:sz w:val="20"/>
          <w:szCs w:val="20"/>
        </w:rPr>
      </w:pPr>
      <w:r>
        <w:rPr>
          <w:rFonts w:ascii="Arial" w:eastAsia="Arial" w:hAnsi="Arial" w:cs="Arial"/>
          <w:i/>
          <w:iCs/>
          <w:sz w:val="18"/>
          <w:szCs w:val="18"/>
        </w:rPr>
        <w:t>Chief Executive Officer</w:t>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3" w:name="page3"/>
      <w:bookmarkEnd w:id="3"/>
      <w:r>
        <w:rPr>
          <w:rFonts w:ascii="Arial" w:eastAsia="Arial" w:hAnsi="Arial" w:cs="Arial"/>
          <w:b/>
          <w:bCs/>
          <w:noProof/>
          <w:color w:val="0000EE"/>
          <w:sz w:val="18"/>
          <w:szCs w:val="18"/>
          <w:u w:val="single"/>
        </w:rPr>
        <w:lastRenderedPageBreak/>
        <w:drawing>
          <wp:anchor distT="0" distB="0" distL="114300" distR="114300" simplePos="0" relativeHeight="251236352"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237376" behindDoc="1" locked="0" layoutInCell="0" allowOverlap="1">
            <wp:simplePos x="0" y="0"/>
            <wp:positionH relativeFrom="column">
              <wp:posOffset>75565</wp:posOffset>
            </wp:positionH>
            <wp:positionV relativeFrom="paragraph">
              <wp:posOffset>207645</wp:posOffset>
            </wp:positionV>
            <wp:extent cx="6990715" cy="8953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blip>
                    <a:srcRect/>
                    <a:stretch>
                      <a:fillRect/>
                    </a:stretch>
                  </pic:blipFill>
                  <pic:spPr bwMode="auto">
                    <a:xfrm>
                      <a:off x="0" y="0"/>
                      <a:ext cx="6990715" cy="895350"/>
                    </a:xfrm>
                    <a:prstGeom prst="rect">
                      <a:avLst/>
                    </a:prstGeom>
                    <a:noFill/>
                  </pic:spPr>
                </pic:pic>
              </a:graphicData>
            </a:graphic>
          </wp:anchor>
        </w:drawing>
      </w:r>
    </w:p>
    <w:p w:rsidR="00A621E3" w:rsidRDefault="00A621E3">
      <w:pPr>
        <w:spacing w:line="362" w:lineRule="exact"/>
        <w:rPr>
          <w:sz w:val="20"/>
          <w:szCs w:val="20"/>
        </w:rPr>
      </w:pPr>
    </w:p>
    <w:p w:rsidR="00A621E3" w:rsidRDefault="00EC630E">
      <w:pPr>
        <w:ind w:right="-99"/>
        <w:jc w:val="center"/>
        <w:rPr>
          <w:sz w:val="20"/>
          <w:szCs w:val="20"/>
        </w:rPr>
      </w:pPr>
      <w:r>
        <w:rPr>
          <w:rFonts w:ascii="Arial" w:eastAsia="Arial" w:hAnsi="Arial" w:cs="Arial"/>
          <w:b/>
          <w:bCs/>
          <w:sz w:val="18"/>
          <w:szCs w:val="18"/>
        </w:rPr>
        <w:t>Yum China Holdings, Inc.</w:t>
      </w:r>
    </w:p>
    <w:p w:rsidR="00A621E3" w:rsidRDefault="00A621E3">
      <w:pPr>
        <w:spacing w:line="187" w:lineRule="exact"/>
        <w:rPr>
          <w:sz w:val="20"/>
          <w:szCs w:val="20"/>
        </w:rPr>
      </w:pPr>
    </w:p>
    <w:p w:rsidR="00A621E3" w:rsidRDefault="00EC630E">
      <w:pPr>
        <w:ind w:right="-99"/>
        <w:jc w:val="center"/>
        <w:rPr>
          <w:sz w:val="20"/>
          <w:szCs w:val="20"/>
        </w:rPr>
      </w:pPr>
      <w:r>
        <w:rPr>
          <w:rFonts w:ascii="Arial" w:eastAsia="Arial" w:hAnsi="Arial" w:cs="Arial"/>
          <w:b/>
          <w:bCs/>
          <w:color w:val="CF0A2C"/>
          <w:sz w:val="36"/>
          <w:szCs w:val="36"/>
        </w:rPr>
        <w:t>Notice Of Annual Meeting</w:t>
      </w:r>
    </w:p>
    <w:p w:rsidR="00A621E3" w:rsidRDefault="00A621E3">
      <w:pPr>
        <w:spacing w:line="51" w:lineRule="exact"/>
        <w:rPr>
          <w:sz w:val="20"/>
          <w:szCs w:val="20"/>
        </w:rPr>
      </w:pPr>
    </w:p>
    <w:p w:rsidR="00A621E3" w:rsidRDefault="00EC630E">
      <w:pPr>
        <w:ind w:right="-99"/>
        <w:jc w:val="center"/>
        <w:rPr>
          <w:sz w:val="20"/>
          <w:szCs w:val="20"/>
        </w:rPr>
      </w:pPr>
      <w:r>
        <w:rPr>
          <w:rFonts w:ascii="Arial" w:eastAsia="Arial" w:hAnsi="Arial" w:cs="Arial"/>
          <w:b/>
          <w:bCs/>
          <w:color w:val="CF0A2C"/>
          <w:sz w:val="36"/>
          <w:szCs w:val="36"/>
        </w:rPr>
        <w:t>Of Stockholders</w:t>
      </w:r>
    </w:p>
    <w:p w:rsidR="00A621E3" w:rsidRDefault="00A621E3">
      <w:pPr>
        <w:spacing w:line="366" w:lineRule="exact"/>
        <w:rPr>
          <w:sz w:val="20"/>
          <w:szCs w:val="20"/>
        </w:rPr>
      </w:pPr>
    </w:p>
    <w:p w:rsidR="00A621E3" w:rsidRDefault="00EC630E">
      <w:pPr>
        <w:tabs>
          <w:tab w:val="left" w:pos="2420"/>
        </w:tabs>
        <w:ind w:left="120"/>
        <w:rPr>
          <w:sz w:val="20"/>
          <w:szCs w:val="20"/>
        </w:rPr>
      </w:pPr>
      <w:r>
        <w:rPr>
          <w:rFonts w:ascii="Arial" w:eastAsia="Arial" w:hAnsi="Arial" w:cs="Arial"/>
          <w:b/>
          <w:bCs/>
          <w:sz w:val="18"/>
          <w:szCs w:val="18"/>
        </w:rPr>
        <w:t>Time and Date:</w:t>
      </w:r>
      <w:r>
        <w:rPr>
          <w:sz w:val="20"/>
          <w:szCs w:val="20"/>
        </w:rPr>
        <w:tab/>
      </w:r>
      <w:r>
        <w:rPr>
          <w:rFonts w:ascii="Arial" w:eastAsia="Arial" w:hAnsi="Arial" w:cs="Arial"/>
          <w:sz w:val="18"/>
          <w:szCs w:val="18"/>
        </w:rPr>
        <w:t>8:00 a.m. (local time) on Thursday, May 25, 2023</w:t>
      </w:r>
    </w:p>
    <w:p w:rsidR="00A621E3" w:rsidRDefault="00A621E3">
      <w:pPr>
        <w:spacing w:line="198" w:lineRule="exact"/>
        <w:rPr>
          <w:sz w:val="20"/>
          <w:szCs w:val="20"/>
        </w:rPr>
      </w:pPr>
    </w:p>
    <w:p w:rsidR="00A621E3" w:rsidRDefault="00EC630E">
      <w:pPr>
        <w:tabs>
          <w:tab w:val="left" w:pos="2420"/>
        </w:tabs>
        <w:ind w:left="120"/>
        <w:rPr>
          <w:sz w:val="20"/>
          <w:szCs w:val="20"/>
        </w:rPr>
      </w:pPr>
      <w:r>
        <w:rPr>
          <w:rFonts w:ascii="Arial" w:eastAsia="Arial" w:hAnsi="Arial" w:cs="Arial"/>
          <w:b/>
          <w:bCs/>
          <w:sz w:val="18"/>
          <w:szCs w:val="18"/>
        </w:rPr>
        <w:t>Location:</w:t>
      </w:r>
      <w:r>
        <w:rPr>
          <w:sz w:val="20"/>
          <w:szCs w:val="20"/>
        </w:rPr>
        <w:tab/>
      </w:r>
      <w:r>
        <w:rPr>
          <w:rFonts w:ascii="Arial" w:eastAsia="Arial" w:hAnsi="Arial" w:cs="Arial"/>
          <w:sz w:val="20"/>
          <w:szCs w:val="20"/>
        </w:rPr>
        <w:t>Mandarin Oriental Hong Kong, 5 Connaught Road, Central, Hong Kong</w:t>
      </w:r>
    </w:p>
    <w:p w:rsidR="00A621E3" w:rsidRDefault="00A621E3">
      <w:pPr>
        <w:spacing w:line="175" w:lineRule="exact"/>
        <w:rPr>
          <w:sz w:val="20"/>
          <w:szCs w:val="20"/>
        </w:rPr>
      </w:pPr>
    </w:p>
    <w:p w:rsidR="00A621E3" w:rsidRDefault="00EC630E">
      <w:pPr>
        <w:tabs>
          <w:tab w:val="left" w:pos="2420"/>
        </w:tabs>
        <w:ind w:left="120"/>
        <w:rPr>
          <w:sz w:val="20"/>
          <w:szCs w:val="20"/>
        </w:rPr>
      </w:pPr>
      <w:r>
        <w:rPr>
          <w:rFonts w:ascii="Arial" w:eastAsia="Arial" w:hAnsi="Arial" w:cs="Arial"/>
          <w:b/>
          <w:bCs/>
          <w:sz w:val="18"/>
          <w:szCs w:val="18"/>
        </w:rPr>
        <w:t>Items of Business:</w:t>
      </w:r>
      <w:r>
        <w:rPr>
          <w:sz w:val="20"/>
          <w:szCs w:val="20"/>
        </w:rPr>
        <w:tab/>
      </w:r>
      <w:r>
        <w:rPr>
          <w:rFonts w:ascii="Arial" w:eastAsia="Arial" w:hAnsi="Arial" w:cs="Arial"/>
          <w:color w:val="CF0A2C"/>
          <w:sz w:val="18"/>
          <w:szCs w:val="18"/>
        </w:rPr>
        <w:t>(1)</w:t>
      </w:r>
      <w:r>
        <w:rPr>
          <w:rFonts w:ascii="Arial" w:eastAsia="Arial" w:hAnsi="Arial" w:cs="Arial"/>
          <w:color w:val="000000"/>
          <w:sz w:val="18"/>
          <w:szCs w:val="18"/>
        </w:rPr>
        <w:t xml:space="preserve">  To elect the nine director nominees named in the accompanying proxy statement to serve for a one-year</w:t>
      </w:r>
    </w:p>
    <w:p w:rsidR="00A621E3" w:rsidRDefault="00A621E3">
      <w:pPr>
        <w:spacing w:line="40" w:lineRule="exact"/>
        <w:rPr>
          <w:sz w:val="20"/>
          <w:szCs w:val="20"/>
        </w:rPr>
      </w:pPr>
    </w:p>
    <w:p w:rsidR="00A621E3" w:rsidRDefault="00EC630E">
      <w:pPr>
        <w:ind w:right="-239"/>
        <w:jc w:val="center"/>
        <w:rPr>
          <w:sz w:val="20"/>
          <w:szCs w:val="20"/>
        </w:rPr>
      </w:pPr>
      <w:r>
        <w:rPr>
          <w:rFonts w:ascii="Arial" w:eastAsia="Arial" w:hAnsi="Arial" w:cs="Arial"/>
          <w:sz w:val="20"/>
          <w:szCs w:val="20"/>
        </w:rPr>
        <w:t>term expiring at the 2024 annual meeting of the Company’s stockholders.</w:t>
      </w:r>
    </w:p>
    <w:p w:rsidR="00A621E3" w:rsidRDefault="00A621E3">
      <w:pPr>
        <w:spacing w:line="92" w:lineRule="exact"/>
        <w:rPr>
          <w:sz w:val="20"/>
          <w:szCs w:val="20"/>
        </w:rPr>
      </w:pPr>
    </w:p>
    <w:p w:rsidR="00A621E3" w:rsidRDefault="00EC630E">
      <w:pPr>
        <w:spacing w:line="260" w:lineRule="auto"/>
        <w:ind w:left="2780" w:right="20" w:hanging="335"/>
        <w:jc w:val="both"/>
        <w:rPr>
          <w:sz w:val="20"/>
          <w:szCs w:val="20"/>
        </w:rPr>
      </w:pPr>
      <w:r>
        <w:rPr>
          <w:rFonts w:ascii="Arial" w:eastAsia="Arial" w:hAnsi="Arial" w:cs="Arial"/>
          <w:color w:val="CF0A2C"/>
          <w:sz w:val="20"/>
          <w:szCs w:val="20"/>
        </w:rPr>
        <w:t>(2)</w:t>
      </w:r>
      <w:r>
        <w:rPr>
          <w:rFonts w:ascii="Arial" w:eastAsia="Arial" w:hAnsi="Arial" w:cs="Arial"/>
          <w:color w:val="000000"/>
          <w:sz w:val="20"/>
          <w:szCs w:val="20"/>
        </w:rPr>
        <w:t xml:space="preserve">  To approve and ratify the appointment of KPMG Huazhen LLP and KPMG as the Company’s</w:t>
      </w:r>
      <w:r>
        <w:rPr>
          <w:rFonts w:ascii="Arial" w:eastAsia="Arial" w:hAnsi="Arial" w:cs="Arial"/>
          <w:color w:val="CF0A2C"/>
          <w:sz w:val="20"/>
          <w:szCs w:val="20"/>
        </w:rPr>
        <w:t xml:space="preserve"> </w:t>
      </w:r>
      <w:r>
        <w:rPr>
          <w:rFonts w:ascii="Arial" w:eastAsia="Arial" w:hAnsi="Arial" w:cs="Arial"/>
          <w:color w:val="000000"/>
          <w:sz w:val="20"/>
          <w:szCs w:val="20"/>
        </w:rPr>
        <w:t>independent auditors for 2023.</w:t>
      </w:r>
    </w:p>
    <w:p w:rsidR="00A621E3" w:rsidRDefault="00A621E3">
      <w:pPr>
        <w:spacing w:line="69" w:lineRule="exact"/>
        <w:rPr>
          <w:sz w:val="20"/>
          <w:szCs w:val="20"/>
        </w:rPr>
      </w:pPr>
    </w:p>
    <w:p w:rsidR="00A621E3" w:rsidRDefault="00EC630E">
      <w:pPr>
        <w:ind w:left="2440"/>
        <w:rPr>
          <w:sz w:val="20"/>
          <w:szCs w:val="20"/>
        </w:rPr>
      </w:pPr>
      <w:r>
        <w:rPr>
          <w:rFonts w:ascii="Arial" w:eastAsia="Arial" w:hAnsi="Arial" w:cs="Arial"/>
          <w:color w:val="CF0A2C"/>
          <w:sz w:val="20"/>
          <w:szCs w:val="20"/>
        </w:rPr>
        <w:t>(3)</w:t>
      </w:r>
      <w:r>
        <w:rPr>
          <w:rFonts w:ascii="Arial" w:eastAsia="Arial" w:hAnsi="Arial" w:cs="Arial"/>
          <w:color w:val="000000"/>
          <w:sz w:val="20"/>
          <w:szCs w:val="20"/>
        </w:rPr>
        <w:t xml:space="preserve">  To approve, on an advisory basis, the Company’s named executive officer compensation.</w:t>
      </w:r>
    </w:p>
    <w:p w:rsidR="00A621E3" w:rsidRDefault="00A621E3">
      <w:pPr>
        <w:spacing w:line="108" w:lineRule="exact"/>
        <w:rPr>
          <w:sz w:val="20"/>
          <w:szCs w:val="20"/>
        </w:rPr>
      </w:pPr>
    </w:p>
    <w:p w:rsidR="00A621E3" w:rsidRDefault="00EC630E">
      <w:pPr>
        <w:spacing w:line="260" w:lineRule="auto"/>
        <w:ind w:left="2780" w:right="20" w:hanging="335"/>
        <w:jc w:val="both"/>
        <w:rPr>
          <w:sz w:val="20"/>
          <w:szCs w:val="20"/>
        </w:rPr>
      </w:pPr>
      <w:r>
        <w:rPr>
          <w:rFonts w:ascii="Arial" w:eastAsia="Arial" w:hAnsi="Arial" w:cs="Arial"/>
          <w:color w:val="CF0A2C"/>
          <w:sz w:val="20"/>
          <w:szCs w:val="20"/>
        </w:rPr>
        <w:t>(4)</w:t>
      </w:r>
      <w:r>
        <w:rPr>
          <w:rFonts w:ascii="Arial" w:eastAsia="Arial" w:hAnsi="Arial" w:cs="Arial"/>
          <w:color w:val="000000"/>
          <w:sz w:val="20"/>
          <w:szCs w:val="20"/>
        </w:rPr>
        <w:t xml:space="preserve">  To approve, on an advisory basis, the frequency of the advisory vote to approve the Company’s named</w:t>
      </w:r>
      <w:r>
        <w:rPr>
          <w:rFonts w:ascii="Arial" w:eastAsia="Arial" w:hAnsi="Arial" w:cs="Arial"/>
          <w:color w:val="CF0A2C"/>
          <w:sz w:val="20"/>
          <w:szCs w:val="20"/>
        </w:rPr>
        <w:t xml:space="preserve"> </w:t>
      </w:r>
      <w:r>
        <w:rPr>
          <w:rFonts w:ascii="Arial" w:eastAsia="Arial" w:hAnsi="Arial" w:cs="Arial"/>
          <w:color w:val="000000"/>
          <w:sz w:val="20"/>
          <w:szCs w:val="20"/>
        </w:rPr>
        <w:t>executive officer compensation.</w:t>
      </w:r>
    </w:p>
    <w:p w:rsidR="00A621E3" w:rsidRDefault="00A621E3">
      <w:pPr>
        <w:spacing w:line="69" w:lineRule="exact"/>
        <w:rPr>
          <w:sz w:val="20"/>
          <w:szCs w:val="20"/>
        </w:rPr>
      </w:pPr>
    </w:p>
    <w:p w:rsidR="00A621E3" w:rsidRDefault="00EC630E">
      <w:pPr>
        <w:spacing w:line="260" w:lineRule="auto"/>
        <w:ind w:left="2780" w:right="20" w:hanging="335"/>
        <w:jc w:val="both"/>
        <w:rPr>
          <w:sz w:val="20"/>
          <w:szCs w:val="20"/>
        </w:rPr>
      </w:pPr>
      <w:r>
        <w:rPr>
          <w:rFonts w:ascii="Arial" w:eastAsia="Arial" w:hAnsi="Arial" w:cs="Arial"/>
          <w:color w:val="CF0A2C"/>
          <w:sz w:val="19"/>
          <w:szCs w:val="19"/>
        </w:rPr>
        <w:t>(5)</w:t>
      </w:r>
      <w:r>
        <w:rPr>
          <w:rFonts w:ascii="Arial" w:eastAsia="Arial" w:hAnsi="Arial" w:cs="Arial"/>
          <w:color w:val="000000"/>
          <w:sz w:val="19"/>
          <w:szCs w:val="19"/>
        </w:rPr>
        <w:t xml:space="preserve">  To approve, pursuant to the rules of the Hong Kong Stock Exchange, the Board’s continuing authority to</w:t>
      </w:r>
      <w:r>
        <w:rPr>
          <w:rFonts w:ascii="Arial" w:eastAsia="Arial" w:hAnsi="Arial" w:cs="Arial"/>
          <w:color w:val="CF0A2C"/>
          <w:sz w:val="19"/>
          <w:szCs w:val="19"/>
        </w:rPr>
        <w:t xml:space="preserve"> </w:t>
      </w:r>
      <w:r>
        <w:rPr>
          <w:rFonts w:ascii="Arial" w:eastAsia="Arial" w:hAnsi="Arial" w:cs="Arial"/>
          <w:color w:val="000000"/>
          <w:sz w:val="19"/>
          <w:szCs w:val="19"/>
        </w:rPr>
        <w:t>approve the C</w:t>
      </w:r>
      <w:r>
        <w:rPr>
          <w:rFonts w:ascii="Arial" w:eastAsia="Arial" w:hAnsi="Arial" w:cs="Arial"/>
          <w:color w:val="000000"/>
          <w:sz w:val="19"/>
          <w:szCs w:val="19"/>
        </w:rPr>
        <w:t>ompany’s issuance of shares of its common stock or securities convertible into common stock in an amount not to exceed 20% of the total number of outstanding shares of common stock of the Company as of the date of the Annual Meeting, effective from date of</w:t>
      </w:r>
      <w:r>
        <w:rPr>
          <w:rFonts w:ascii="Arial" w:eastAsia="Arial" w:hAnsi="Arial" w:cs="Arial"/>
          <w:color w:val="000000"/>
          <w:sz w:val="19"/>
          <w:szCs w:val="19"/>
        </w:rPr>
        <w:t xml:space="preserve"> the Annual Meeting until the earlier of the date the next annual meeting is held or June 25, 2024.</w:t>
      </w:r>
    </w:p>
    <w:p w:rsidR="00A621E3" w:rsidRDefault="00A621E3">
      <w:pPr>
        <w:spacing w:line="72" w:lineRule="exact"/>
        <w:rPr>
          <w:sz w:val="20"/>
          <w:szCs w:val="20"/>
        </w:rPr>
      </w:pPr>
    </w:p>
    <w:p w:rsidR="00A621E3" w:rsidRDefault="00EC630E">
      <w:pPr>
        <w:spacing w:line="244" w:lineRule="auto"/>
        <w:ind w:left="2780" w:hanging="335"/>
        <w:jc w:val="both"/>
        <w:rPr>
          <w:sz w:val="20"/>
          <w:szCs w:val="20"/>
        </w:rPr>
      </w:pPr>
      <w:r>
        <w:rPr>
          <w:rFonts w:ascii="Arial" w:eastAsia="Arial" w:hAnsi="Arial" w:cs="Arial"/>
          <w:color w:val="CF0A2C"/>
          <w:sz w:val="20"/>
          <w:szCs w:val="20"/>
        </w:rPr>
        <w:t>(6)</w:t>
      </w:r>
      <w:r>
        <w:rPr>
          <w:rFonts w:ascii="Arial" w:eastAsia="Arial" w:hAnsi="Arial" w:cs="Arial"/>
          <w:color w:val="000000"/>
          <w:sz w:val="20"/>
          <w:szCs w:val="20"/>
        </w:rPr>
        <w:t xml:space="preserve">  To approve, pursuant to the rules of the Hong Kong Stock Exchange, the Board’s continuing authority to</w:t>
      </w:r>
      <w:r>
        <w:rPr>
          <w:rFonts w:ascii="Arial" w:eastAsia="Arial" w:hAnsi="Arial" w:cs="Arial"/>
          <w:color w:val="CF0A2C"/>
          <w:sz w:val="20"/>
          <w:szCs w:val="20"/>
        </w:rPr>
        <w:t xml:space="preserve"> </w:t>
      </w:r>
      <w:r>
        <w:rPr>
          <w:rFonts w:ascii="Arial" w:eastAsia="Arial" w:hAnsi="Arial" w:cs="Arial"/>
          <w:color w:val="000000"/>
          <w:sz w:val="20"/>
          <w:szCs w:val="20"/>
        </w:rPr>
        <w:t>approve the Company’s repurchase of shares of i</w:t>
      </w:r>
      <w:r>
        <w:rPr>
          <w:rFonts w:ascii="Arial" w:eastAsia="Arial" w:hAnsi="Arial" w:cs="Arial"/>
          <w:color w:val="000000"/>
          <w:sz w:val="20"/>
          <w:szCs w:val="20"/>
        </w:rPr>
        <w:t>ts common stock in an amount not to exceed 10% of the total number of outstanding shares of common stock of the Company as of the date of the Annual Meeting, effective from date of the Annual Meeting until the earlier of the date the next annual meeting is</w:t>
      </w:r>
      <w:r>
        <w:rPr>
          <w:rFonts w:ascii="Arial" w:eastAsia="Arial" w:hAnsi="Arial" w:cs="Arial"/>
          <w:color w:val="000000"/>
          <w:sz w:val="20"/>
          <w:szCs w:val="20"/>
        </w:rPr>
        <w:t xml:space="preserve"> held or June 25, 2024.</w:t>
      </w:r>
    </w:p>
    <w:p w:rsidR="00A621E3" w:rsidRDefault="00A621E3">
      <w:pPr>
        <w:spacing w:line="86" w:lineRule="exact"/>
        <w:rPr>
          <w:sz w:val="20"/>
          <w:szCs w:val="20"/>
        </w:rPr>
      </w:pPr>
    </w:p>
    <w:p w:rsidR="00A621E3" w:rsidRDefault="00EC630E">
      <w:pPr>
        <w:spacing w:line="260" w:lineRule="auto"/>
        <w:ind w:left="2780" w:right="20" w:hanging="335"/>
        <w:jc w:val="both"/>
        <w:rPr>
          <w:sz w:val="20"/>
          <w:szCs w:val="20"/>
        </w:rPr>
      </w:pPr>
      <w:r>
        <w:rPr>
          <w:rFonts w:ascii="Arial" w:eastAsia="Arial" w:hAnsi="Arial" w:cs="Arial"/>
          <w:color w:val="CF0A2C"/>
          <w:sz w:val="20"/>
          <w:szCs w:val="20"/>
        </w:rPr>
        <w:t>(7)</w:t>
      </w:r>
      <w:r>
        <w:rPr>
          <w:rFonts w:ascii="Arial" w:eastAsia="Arial" w:hAnsi="Arial" w:cs="Arial"/>
          <w:color w:val="000000"/>
          <w:sz w:val="20"/>
          <w:szCs w:val="20"/>
        </w:rPr>
        <w:t xml:space="preserve">  To transact such other business as may properly come before the meeting or any adjournment or</w:t>
      </w:r>
      <w:r>
        <w:rPr>
          <w:rFonts w:ascii="Arial" w:eastAsia="Arial" w:hAnsi="Arial" w:cs="Arial"/>
          <w:color w:val="CF0A2C"/>
          <w:sz w:val="20"/>
          <w:szCs w:val="20"/>
        </w:rPr>
        <w:t xml:space="preserve"> </w:t>
      </w:r>
      <w:r>
        <w:rPr>
          <w:rFonts w:ascii="Arial" w:eastAsia="Arial" w:hAnsi="Arial" w:cs="Arial"/>
          <w:color w:val="000000"/>
          <w:sz w:val="20"/>
          <w:szCs w:val="20"/>
        </w:rPr>
        <w:t>postponement thereof.</w:t>
      </w:r>
    </w:p>
    <w:p w:rsidR="00A621E3" w:rsidRDefault="00A621E3">
      <w:pPr>
        <w:spacing w:line="135" w:lineRule="exact"/>
        <w:rPr>
          <w:sz w:val="20"/>
          <w:szCs w:val="20"/>
        </w:rPr>
      </w:pPr>
    </w:p>
    <w:p w:rsidR="00A621E3" w:rsidRDefault="00EC630E">
      <w:pPr>
        <w:tabs>
          <w:tab w:val="left" w:pos="2420"/>
        </w:tabs>
        <w:ind w:left="120"/>
        <w:rPr>
          <w:sz w:val="20"/>
          <w:szCs w:val="20"/>
        </w:rPr>
      </w:pPr>
      <w:r>
        <w:rPr>
          <w:rFonts w:ascii="Arial" w:eastAsia="Arial" w:hAnsi="Arial" w:cs="Arial"/>
          <w:b/>
          <w:bCs/>
          <w:sz w:val="18"/>
          <w:szCs w:val="18"/>
        </w:rPr>
        <w:t>Who Can Vote:</w:t>
      </w:r>
      <w:r>
        <w:rPr>
          <w:sz w:val="20"/>
          <w:szCs w:val="20"/>
        </w:rPr>
        <w:tab/>
      </w:r>
      <w:r>
        <w:rPr>
          <w:rFonts w:ascii="Arial" w:eastAsia="Arial" w:hAnsi="Arial" w:cs="Arial"/>
          <w:sz w:val="16"/>
          <w:szCs w:val="16"/>
        </w:rPr>
        <w:t>You can vote if you were a stockholder of record as of the close of business on March 27, 2023.</w:t>
      </w:r>
    </w:p>
    <w:p w:rsidR="00A621E3" w:rsidRDefault="00A621E3">
      <w:pPr>
        <w:spacing w:line="198" w:lineRule="exact"/>
        <w:rPr>
          <w:sz w:val="20"/>
          <w:szCs w:val="20"/>
        </w:rPr>
      </w:pPr>
    </w:p>
    <w:p w:rsidR="00A621E3" w:rsidRDefault="00EC630E">
      <w:pPr>
        <w:tabs>
          <w:tab w:val="left" w:pos="2420"/>
        </w:tabs>
        <w:spacing w:line="282" w:lineRule="auto"/>
        <w:ind w:left="2440" w:right="20" w:hanging="2321"/>
        <w:jc w:val="both"/>
        <w:rPr>
          <w:sz w:val="20"/>
          <w:szCs w:val="20"/>
        </w:rPr>
      </w:pPr>
      <w:r>
        <w:rPr>
          <w:rFonts w:ascii="Arial" w:eastAsia="Arial" w:hAnsi="Arial" w:cs="Arial"/>
          <w:b/>
          <w:bCs/>
          <w:sz w:val="18"/>
          <w:szCs w:val="18"/>
        </w:rPr>
        <w:t>How to Vote:</w:t>
      </w:r>
      <w:r>
        <w:rPr>
          <w:sz w:val="20"/>
          <w:szCs w:val="20"/>
        </w:rPr>
        <w:tab/>
      </w:r>
      <w:r>
        <w:rPr>
          <w:rFonts w:ascii="Arial" w:eastAsia="Arial" w:hAnsi="Arial" w:cs="Arial"/>
          <w:sz w:val="18"/>
          <w:szCs w:val="18"/>
        </w:rPr>
        <w:t>You may vote over the Internet or via telephone by following the instructions set forth in the accompanying proxy statement. If you received a paper copy of the proxy materials, you may also vote by completing, signing, dating and returning the proxy card.</w:t>
      </w:r>
      <w:r>
        <w:rPr>
          <w:rFonts w:ascii="Arial" w:eastAsia="Arial" w:hAnsi="Arial" w:cs="Arial"/>
          <w:sz w:val="18"/>
          <w:szCs w:val="18"/>
        </w:rPr>
        <w:t xml:space="preserve"> If you attend the Annual Meeting, you may vote in person. </w:t>
      </w:r>
      <w:r>
        <w:rPr>
          <w:rFonts w:ascii="Arial" w:eastAsia="Arial" w:hAnsi="Arial" w:cs="Arial"/>
          <w:b/>
          <w:bCs/>
          <w:i/>
          <w:iCs/>
          <w:sz w:val="18"/>
          <w:szCs w:val="18"/>
        </w:rPr>
        <w:t>Your</w:t>
      </w:r>
      <w:r>
        <w:rPr>
          <w:rFonts w:ascii="Arial" w:eastAsia="Arial" w:hAnsi="Arial" w:cs="Arial"/>
          <w:sz w:val="18"/>
          <w:szCs w:val="18"/>
        </w:rPr>
        <w:t xml:space="preserve"> </w:t>
      </w:r>
      <w:r>
        <w:rPr>
          <w:rFonts w:ascii="Arial" w:eastAsia="Arial" w:hAnsi="Arial" w:cs="Arial"/>
          <w:b/>
          <w:bCs/>
          <w:i/>
          <w:iCs/>
          <w:sz w:val="18"/>
          <w:szCs w:val="18"/>
        </w:rPr>
        <w:t>vote is important. Whether or not you plan to attend the Annual Meeting, please vote promptly.</w:t>
      </w:r>
    </w:p>
    <w:p w:rsidR="00A621E3" w:rsidRDefault="00A621E3">
      <w:pPr>
        <w:spacing w:line="121" w:lineRule="exact"/>
        <w:rPr>
          <w:sz w:val="20"/>
          <w:szCs w:val="20"/>
        </w:rPr>
      </w:pPr>
    </w:p>
    <w:p w:rsidR="00A621E3" w:rsidRDefault="00EC630E">
      <w:pPr>
        <w:tabs>
          <w:tab w:val="left" w:pos="2420"/>
        </w:tabs>
        <w:spacing w:line="260" w:lineRule="auto"/>
        <w:ind w:left="2440" w:right="20" w:hanging="2321"/>
        <w:jc w:val="both"/>
        <w:rPr>
          <w:sz w:val="20"/>
          <w:szCs w:val="20"/>
        </w:rPr>
      </w:pPr>
      <w:r>
        <w:rPr>
          <w:rFonts w:ascii="Arial" w:eastAsia="Arial" w:hAnsi="Arial" w:cs="Arial"/>
          <w:b/>
          <w:bCs/>
          <w:sz w:val="18"/>
          <w:szCs w:val="18"/>
        </w:rPr>
        <w:t>Date of Mailing:</w:t>
      </w:r>
      <w:r>
        <w:rPr>
          <w:sz w:val="20"/>
          <w:szCs w:val="20"/>
        </w:rPr>
        <w:tab/>
      </w:r>
      <w:r>
        <w:rPr>
          <w:rFonts w:ascii="Arial" w:eastAsia="Arial" w:hAnsi="Arial" w:cs="Arial"/>
          <w:sz w:val="20"/>
          <w:szCs w:val="20"/>
        </w:rPr>
        <w:t>This notice of Annual Meeting, the accompanying proxy statement and the form of</w:t>
      </w:r>
      <w:r>
        <w:rPr>
          <w:rFonts w:ascii="Arial" w:eastAsia="Arial" w:hAnsi="Arial" w:cs="Arial"/>
          <w:sz w:val="20"/>
          <w:szCs w:val="20"/>
        </w:rPr>
        <w:t xml:space="preserve"> proxy are first being mailed to stockholders on or about April 12, 2023.</w:t>
      </w:r>
    </w:p>
    <w:p w:rsidR="00A621E3" w:rsidRDefault="00A621E3">
      <w:pPr>
        <w:spacing w:line="178" w:lineRule="exact"/>
        <w:rPr>
          <w:sz w:val="20"/>
          <w:szCs w:val="20"/>
        </w:rPr>
      </w:pPr>
    </w:p>
    <w:p w:rsidR="00A621E3" w:rsidRDefault="00EC630E">
      <w:pPr>
        <w:jc w:val="right"/>
        <w:rPr>
          <w:sz w:val="20"/>
          <w:szCs w:val="20"/>
        </w:rPr>
      </w:pPr>
      <w:r>
        <w:rPr>
          <w:rFonts w:ascii="Arial" w:eastAsia="Arial" w:hAnsi="Arial" w:cs="Arial"/>
          <w:sz w:val="20"/>
          <w:szCs w:val="20"/>
        </w:rPr>
        <w:t>By Order of the Board of Directors,</w:t>
      </w:r>
    </w:p>
    <w:p w:rsidR="00A621E3" w:rsidRDefault="00EC630E">
      <w:pPr>
        <w:spacing w:line="20" w:lineRule="exact"/>
        <w:rPr>
          <w:sz w:val="20"/>
          <w:szCs w:val="20"/>
        </w:rPr>
      </w:pPr>
      <w:r>
        <w:rPr>
          <w:noProof/>
          <w:sz w:val="20"/>
          <w:szCs w:val="20"/>
        </w:rPr>
        <w:drawing>
          <wp:anchor distT="0" distB="0" distL="114300" distR="114300" simplePos="0" relativeHeight="251238400" behindDoc="1" locked="0" layoutInCell="0" allowOverlap="1">
            <wp:simplePos x="0" y="0"/>
            <wp:positionH relativeFrom="column">
              <wp:posOffset>5354320</wp:posOffset>
            </wp:positionH>
            <wp:positionV relativeFrom="paragraph">
              <wp:posOffset>164465</wp:posOffset>
            </wp:positionV>
            <wp:extent cx="1714500" cy="4718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blip>
                    <a:srcRect/>
                    <a:stretch>
                      <a:fillRect/>
                    </a:stretch>
                  </pic:blipFill>
                  <pic:spPr bwMode="auto">
                    <a:xfrm>
                      <a:off x="0" y="0"/>
                      <a:ext cx="1714500" cy="47180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81" w:lineRule="exact"/>
        <w:rPr>
          <w:sz w:val="20"/>
          <w:szCs w:val="20"/>
        </w:rPr>
      </w:pPr>
    </w:p>
    <w:p w:rsidR="00A621E3" w:rsidRDefault="00EC630E">
      <w:pPr>
        <w:jc w:val="right"/>
        <w:rPr>
          <w:sz w:val="20"/>
          <w:szCs w:val="20"/>
        </w:rPr>
      </w:pPr>
      <w:r>
        <w:rPr>
          <w:rFonts w:ascii="Arial" w:eastAsia="Arial" w:hAnsi="Arial" w:cs="Arial"/>
          <w:sz w:val="20"/>
          <w:szCs w:val="20"/>
        </w:rPr>
        <w:t>Joseph Chan</w:t>
      </w:r>
    </w:p>
    <w:p w:rsidR="00A621E3" w:rsidRDefault="00A621E3">
      <w:pPr>
        <w:spacing w:line="16" w:lineRule="exact"/>
        <w:rPr>
          <w:sz w:val="20"/>
          <w:szCs w:val="20"/>
        </w:rPr>
      </w:pPr>
    </w:p>
    <w:p w:rsidR="00A621E3" w:rsidRDefault="00EC630E">
      <w:pPr>
        <w:jc w:val="right"/>
        <w:rPr>
          <w:sz w:val="20"/>
          <w:szCs w:val="20"/>
        </w:rPr>
      </w:pPr>
      <w:r>
        <w:rPr>
          <w:rFonts w:ascii="Arial" w:eastAsia="Arial" w:hAnsi="Arial" w:cs="Arial"/>
          <w:i/>
          <w:iCs/>
          <w:sz w:val="20"/>
          <w:szCs w:val="20"/>
        </w:rPr>
        <w:t>Chief Legal Officer</w:t>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4" w:name="page4"/>
      <w:bookmarkEnd w:id="4"/>
      <w:r>
        <w:rPr>
          <w:rFonts w:ascii="Arial" w:eastAsia="Arial" w:hAnsi="Arial" w:cs="Arial"/>
          <w:b/>
          <w:bCs/>
          <w:noProof/>
          <w:color w:val="0000EE"/>
          <w:sz w:val="18"/>
          <w:szCs w:val="18"/>
          <w:u w:val="single"/>
        </w:rPr>
        <w:lastRenderedPageBreak/>
        <w:drawing>
          <wp:anchor distT="0" distB="0" distL="114300" distR="114300" simplePos="0" relativeHeight="25123942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240448" behindDoc="1" locked="0" layoutInCell="0" allowOverlap="1">
            <wp:simplePos x="0" y="0"/>
            <wp:positionH relativeFrom="column">
              <wp:posOffset>73660</wp:posOffset>
            </wp:positionH>
            <wp:positionV relativeFrom="paragraph">
              <wp:posOffset>205740</wp:posOffset>
            </wp:positionV>
            <wp:extent cx="6995160" cy="5060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6995160" cy="50609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11" w:lineRule="exact"/>
        <w:rPr>
          <w:sz w:val="20"/>
          <w:szCs w:val="20"/>
        </w:rPr>
      </w:pPr>
    </w:p>
    <w:p w:rsidR="00A621E3" w:rsidRDefault="00EC630E">
      <w:pPr>
        <w:ind w:left="200"/>
        <w:rPr>
          <w:sz w:val="20"/>
          <w:szCs w:val="20"/>
        </w:rPr>
      </w:pPr>
      <w:r>
        <w:rPr>
          <w:rFonts w:ascii="Arial" w:eastAsia="Arial" w:hAnsi="Arial" w:cs="Arial"/>
          <w:b/>
          <w:bCs/>
          <w:color w:val="FFFFFF"/>
          <w:sz w:val="32"/>
          <w:szCs w:val="32"/>
        </w:rPr>
        <w:t>PROXY STATEMENT – TABLE OF CONTENTS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6"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00"/>
        <w:gridCol w:w="680"/>
        <w:gridCol w:w="720"/>
        <w:gridCol w:w="560"/>
        <w:gridCol w:w="100"/>
        <w:gridCol w:w="100"/>
        <w:gridCol w:w="20"/>
        <w:gridCol w:w="180"/>
        <w:gridCol w:w="240"/>
        <w:gridCol w:w="20"/>
        <w:gridCol w:w="320"/>
        <w:gridCol w:w="120"/>
        <w:gridCol w:w="40"/>
        <w:gridCol w:w="240"/>
        <w:gridCol w:w="160"/>
        <w:gridCol w:w="140"/>
        <w:gridCol w:w="200"/>
        <w:gridCol w:w="160"/>
        <w:gridCol w:w="460"/>
        <w:gridCol w:w="260"/>
        <w:gridCol w:w="80"/>
        <w:gridCol w:w="160"/>
        <w:gridCol w:w="20"/>
        <w:gridCol w:w="100"/>
        <w:gridCol w:w="240"/>
        <w:gridCol w:w="100"/>
        <w:gridCol w:w="680"/>
        <w:gridCol w:w="400"/>
        <w:gridCol w:w="140"/>
        <w:gridCol w:w="620"/>
        <w:gridCol w:w="2500"/>
        <w:gridCol w:w="380"/>
        <w:gridCol w:w="680"/>
      </w:tblGrid>
      <w:tr w:rsidR="00A621E3">
        <w:trPr>
          <w:trHeight w:val="253"/>
        </w:trPr>
        <w:tc>
          <w:tcPr>
            <w:tcW w:w="10340" w:type="dxa"/>
            <w:gridSpan w:val="32"/>
            <w:vAlign w:val="bottom"/>
          </w:tcPr>
          <w:p w:rsidR="00A621E3" w:rsidRDefault="00EC630E">
            <w:pPr>
              <w:rPr>
                <w:sz w:val="20"/>
                <w:szCs w:val="20"/>
              </w:rPr>
            </w:pPr>
            <w:r>
              <w:rPr>
                <w:rFonts w:ascii="Arial" w:eastAsia="Arial" w:hAnsi="Arial" w:cs="Arial"/>
                <w:b/>
                <w:bCs/>
                <w:color w:val="0000EE"/>
              </w:rPr>
              <w:t xml:space="preserve">PROXY STATEMENT </w:t>
            </w:r>
            <w:r>
              <w:rPr>
                <w:rFonts w:ascii="Arial" w:eastAsia="Arial" w:hAnsi="Arial" w:cs="Arial"/>
                <w:b/>
                <w:bCs/>
                <w:color w:val="0000EE"/>
              </w:rPr>
              <w:t>SUMMARY</w:t>
            </w:r>
          </w:p>
        </w:tc>
        <w:tc>
          <w:tcPr>
            <w:tcW w:w="680" w:type="dxa"/>
            <w:vAlign w:val="bottom"/>
          </w:tcPr>
          <w:p w:rsidR="00A621E3" w:rsidRDefault="00EC630E">
            <w:pPr>
              <w:jc w:val="right"/>
              <w:rPr>
                <w:sz w:val="20"/>
                <w:szCs w:val="20"/>
              </w:rPr>
            </w:pPr>
            <w:r>
              <w:rPr>
                <w:rFonts w:ascii="Arial" w:eastAsia="Arial" w:hAnsi="Arial" w:cs="Arial"/>
                <w:b/>
                <w:bCs/>
                <w:color w:val="CF0A2C"/>
              </w:rPr>
              <w:t>1</w:t>
            </w:r>
          </w:p>
        </w:tc>
      </w:tr>
      <w:tr w:rsidR="00A621E3">
        <w:trPr>
          <w:trHeight w:val="21"/>
        </w:trPr>
        <w:tc>
          <w:tcPr>
            <w:tcW w:w="2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68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7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5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8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3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40" w:type="dxa"/>
            <w:tcBorders>
              <w:bottom w:val="single" w:sz="8" w:space="0" w:color="CF0A2C"/>
            </w:tcBorders>
            <w:vAlign w:val="bottom"/>
          </w:tcPr>
          <w:p w:rsidR="00A621E3" w:rsidRDefault="00A621E3">
            <w:pPr>
              <w:spacing w:line="20" w:lineRule="exact"/>
              <w:rPr>
                <w:sz w:val="1"/>
                <w:szCs w:val="1"/>
              </w:rPr>
            </w:pPr>
          </w:p>
        </w:tc>
        <w:tc>
          <w:tcPr>
            <w:tcW w:w="240" w:type="dxa"/>
            <w:tcBorders>
              <w:bottom w:val="single" w:sz="8" w:space="0" w:color="CF0A2C"/>
            </w:tcBorders>
            <w:vAlign w:val="bottom"/>
          </w:tcPr>
          <w:p w:rsidR="00A621E3" w:rsidRDefault="00A621E3">
            <w:pPr>
              <w:spacing w:line="20" w:lineRule="exact"/>
              <w:rPr>
                <w:sz w:val="1"/>
                <w:szCs w:val="1"/>
              </w:rPr>
            </w:pPr>
          </w:p>
        </w:tc>
        <w:tc>
          <w:tcPr>
            <w:tcW w:w="160" w:type="dxa"/>
            <w:tcBorders>
              <w:bottom w:val="single" w:sz="8" w:space="0" w:color="CF0A2C"/>
            </w:tcBorders>
            <w:vAlign w:val="bottom"/>
          </w:tcPr>
          <w:p w:rsidR="00A621E3" w:rsidRDefault="00A621E3">
            <w:pPr>
              <w:spacing w:line="20" w:lineRule="exact"/>
              <w:rPr>
                <w:sz w:val="1"/>
                <w:szCs w:val="1"/>
              </w:rPr>
            </w:pPr>
          </w:p>
        </w:tc>
        <w:tc>
          <w:tcPr>
            <w:tcW w:w="140" w:type="dxa"/>
            <w:tcBorders>
              <w:bottom w:val="single" w:sz="8" w:space="0" w:color="CF0A2C"/>
            </w:tcBorders>
            <w:vAlign w:val="bottom"/>
          </w:tcPr>
          <w:p w:rsidR="00A621E3" w:rsidRDefault="00A621E3">
            <w:pPr>
              <w:spacing w:line="20" w:lineRule="exact"/>
              <w:rPr>
                <w:sz w:val="1"/>
                <w:szCs w:val="1"/>
              </w:rPr>
            </w:pPr>
          </w:p>
        </w:tc>
        <w:tc>
          <w:tcPr>
            <w:tcW w:w="200" w:type="dxa"/>
            <w:tcBorders>
              <w:bottom w:val="single" w:sz="8" w:space="0" w:color="CF0A2C"/>
            </w:tcBorders>
            <w:vAlign w:val="bottom"/>
          </w:tcPr>
          <w:p w:rsidR="00A621E3" w:rsidRDefault="00A621E3">
            <w:pPr>
              <w:spacing w:line="20" w:lineRule="exact"/>
              <w:rPr>
                <w:sz w:val="1"/>
                <w:szCs w:val="1"/>
              </w:rPr>
            </w:pPr>
          </w:p>
        </w:tc>
        <w:tc>
          <w:tcPr>
            <w:tcW w:w="160" w:type="dxa"/>
            <w:tcBorders>
              <w:bottom w:val="single" w:sz="8" w:space="0" w:color="CF0A2C"/>
            </w:tcBorders>
            <w:vAlign w:val="bottom"/>
          </w:tcPr>
          <w:p w:rsidR="00A621E3" w:rsidRDefault="00A621E3">
            <w:pPr>
              <w:spacing w:line="20" w:lineRule="exact"/>
              <w:rPr>
                <w:sz w:val="1"/>
                <w:szCs w:val="1"/>
              </w:rPr>
            </w:pPr>
          </w:p>
        </w:tc>
        <w:tc>
          <w:tcPr>
            <w:tcW w:w="460" w:type="dxa"/>
            <w:tcBorders>
              <w:bottom w:val="single" w:sz="8" w:space="0" w:color="CF0A2C"/>
            </w:tcBorders>
            <w:vAlign w:val="bottom"/>
          </w:tcPr>
          <w:p w:rsidR="00A621E3" w:rsidRDefault="00A621E3">
            <w:pPr>
              <w:spacing w:line="20" w:lineRule="exact"/>
              <w:rPr>
                <w:sz w:val="1"/>
                <w:szCs w:val="1"/>
              </w:rPr>
            </w:pPr>
          </w:p>
        </w:tc>
        <w:tc>
          <w:tcPr>
            <w:tcW w:w="260" w:type="dxa"/>
            <w:tcBorders>
              <w:bottom w:val="single" w:sz="8" w:space="0" w:color="CF0A2C"/>
            </w:tcBorders>
            <w:vAlign w:val="bottom"/>
          </w:tcPr>
          <w:p w:rsidR="00A621E3" w:rsidRDefault="00A621E3">
            <w:pPr>
              <w:spacing w:line="20" w:lineRule="exact"/>
              <w:rPr>
                <w:sz w:val="1"/>
                <w:szCs w:val="1"/>
              </w:rPr>
            </w:pPr>
          </w:p>
        </w:tc>
        <w:tc>
          <w:tcPr>
            <w:tcW w:w="80" w:type="dxa"/>
            <w:tcBorders>
              <w:bottom w:val="single" w:sz="8" w:space="0" w:color="CF0A2C"/>
            </w:tcBorders>
            <w:vAlign w:val="bottom"/>
          </w:tcPr>
          <w:p w:rsidR="00A621E3" w:rsidRDefault="00A621E3">
            <w:pPr>
              <w:spacing w:line="20" w:lineRule="exact"/>
              <w:rPr>
                <w:sz w:val="1"/>
                <w:szCs w:val="1"/>
              </w:rPr>
            </w:pPr>
          </w:p>
        </w:tc>
        <w:tc>
          <w:tcPr>
            <w:tcW w:w="160" w:type="dxa"/>
            <w:tcBorders>
              <w:bottom w:val="single" w:sz="8" w:space="0" w:color="CF0A2C"/>
            </w:tcBorders>
            <w:vAlign w:val="bottom"/>
          </w:tcPr>
          <w:p w:rsidR="00A621E3" w:rsidRDefault="00A621E3">
            <w:pPr>
              <w:spacing w:line="20" w:lineRule="exact"/>
              <w:rPr>
                <w:sz w:val="1"/>
                <w:szCs w:val="1"/>
              </w:rPr>
            </w:pPr>
          </w:p>
        </w:tc>
        <w:tc>
          <w:tcPr>
            <w:tcW w:w="20" w:type="dxa"/>
            <w:tcBorders>
              <w:bottom w:val="single" w:sz="8" w:space="0" w:color="CF0A2C"/>
            </w:tcBorders>
            <w:vAlign w:val="bottom"/>
          </w:tcPr>
          <w:p w:rsidR="00A621E3" w:rsidRDefault="00A621E3">
            <w:pPr>
              <w:spacing w:line="20" w:lineRule="exact"/>
              <w:rPr>
                <w:sz w:val="1"/>
                <w:szCs w:val="1"/>
              </w:rPr>
            </w:pPr>
          </w:p>
        </w:tc>
        <w:tc>
          <w:tcPr>
            <w:tcW w:w="100" w:type="dxa"/>
            <w:tcBorders>
              <w:bottom w:val="single" w:sz="8" w:space="0" w:color="CF0A2C"/>
            </w:tcBorders>
            <w:vAlign w:val="bottom"/>
          </w:tcPr>
          <w:p w:rsidR="00A621E3" w:rsidRDefault="00A621E3">
            <w:pPr>
              <w:spacing w:line="20" w:lineRule="exact"/>
              <w:rPr>
                <w:sz w:val="1"/>
                <w:szCs w:val="1"/>
              </w:rPr>
            </w:pPr>
          </w:p>
        </w:tc>
        <w:tc>
          <w:tcPr>
            <w:tcW w:w="240" w:type="dxa"/>
            <w:tcBorders>
              <w:bottom w:val="single" w:sz="8" w:space="0" w:color="CF0A2C"/>
            </w:tcBorders>
            <w:vAlign w:val="bottom"/>
          </w:tcPr>
          <w:p w:rsidR="00A621E3" w:rsidRDefault="00A621E3">
            <w:pPr>
              <w:spacing w:line="20" w:lineRule="exact"/>
              <w:rPr>
                <w:sz w:val="1"/>
                <w:szCs w:val="1"/>
              </w:rPr>
            </w:pPr>
          </w:p>
        </w:tc>
        <w:tc>
          <w:tcPr>
            <w:tcW w:w="100" w:type="dxa"/>
            <w:tcBorders>
              <w:bottom w:val="single" w:sz="8" w:space="0" w:color="CF0A2C"/>
            </w:tcBorders>
            <w:vAlign w:val="bottom"/>
          </w:tcPr>
          <w:p w:rsidR="00A621E3" w:rsidRDefault="00A621E3">
            <w:pPr>
              <w:spacing w:line="20" w:lineRule="exact"/>
              <w:rPr>
                <w:sz w:val="1"/>
                <w:szCs w:val="1"/>
              </w:rPr>
            </w:pPr>
          </w:p>
        </w:tc>
        <w:tc>
          <w:tcPr>
            <w:tcW w:w="680" w:type="dxa"/>
            <w:tcBorders>
              <w:bottom w:val="single" w:sz="8" w:space="0" w:color="CF0A2C"/>
            </w:tcBorders>
            <w:vAlign w:val="bottom"/>
          </w:tcPr>
          <w:p w:rsidR="00A621E3" w:rsidRDefault="00A621E3">
            <w:pPr>
              <w:spacing w:line="20" w:lineRule="exact"/>
              <w:rPr>
                <w:sz w:val="1"/>
                <w:szCs w:val="1"/>
              </w:rPr>
            </w:pPr>
          </w:p>
        </w:tc>
        <w:tc>
          <w:tcPr>
            <w:tcW w:w="400" w:type="dxa"/>
            <w:tcBorders>
              <w:bottom w:val="single" w:sz="8" w:space="0" w:color="CF0A2C"/>
            </w:tcBorders>
            <w:vAlign w:val="bottom"/>
          </w:tcPr>
          <w:p w:rsidR="00A621E3" w:rsidRDefault="00A621E3">
            <w:pPr>
              <w:spacing w:line="20" w:lineRule="exact"/>
              <w:rPr>
                <w:sz w:val="1"/>
                <w:szCs w:val="1"/>
              </w:rPr>
            </w:pPr>
          </w:p>
        </w:tc>
        <w:tc>
          <w:tcPr>
            <w:tcW w:w="140" w:type="dxa"/>
            <w:tcBorders>
              <w:bottom w:val="single" w:sz="8" w:space="0" w:color="CF0A2C"/>
            </w:tcBorders>
            <w:vAlign w:val="bottom"/>
          </w:tcPr>
          <w:p w:rsidR="00A621E3" w:rsidRDefault="00A621E3">
            <w:pPr>
              <w:spacing w:line="20" w:lineRule="exact"/>
              <w:rPr>
                <w:sz w:val="1"/>
                <w:szCs w:val="1"/>
              </w:rPr>
            </w:pPr>
          </w:p>
        </w:tc>
        <w:tc>
          <w:tcPr>
            <w:tcW w:w="620" w:type="dxa"/>
            <w:tcBorders>
              <w:bottom w:val="single" w:sz="8" w:space="0" w:color="CF0A2C"/>
            </w:tcBorders>
            <w:vAlign w:val="bottom"/>
          </w:tcPr>
          <w:p w:rsidR="00A621E3" w:rsidRDefault="00A621E3">
            <w:pPr>
              <w:spacing w:line="20" w:lineRule="exact"/>
              <w:rPr>
                <w:sz w:val="1"/>
                <w:szCs w:val="1"/>
              </w:rPr>
            </w:pPr>
          </w:p>
        </w:tc>
        <w:tc>
          <w:tcPr>
            <w:tcW w:w="2500" w:type="dxa"/>
            <w:tcBorders>
              <w:bottom w:val="single" w:sz="8" w:space="0" w:color="CF0A2C"/>
            </w:tcBorders>
            <w:vAlign w:val="bottom"/>
          </w:tcPr>
          <w:p w:rsidR="00A621E3" w:rsidRDefault="00A621E3">
            <w:pPr>
              <w:spacing w:line="20" w:lineRule="exact"/>
              <w:rPr>
                <w:sz w:val="1"/>
                <w:szCs w:val="1"/>
              </w:rPr>
            </w:pPr>
          </w:p>
        </w:tc>
        <w:tc>
          <w:tcPr>
            <w:tcW w:w="380" w:type="dxa"/>
            <w:tcBorders>
              <w:bottom w:val="single" w:sz="8" w:space="0" w:color="CF0A2C"/>
            </w:tcBorders>
            <w:vAlign w:val="bottom"/>
          </w:tcPr>
          <w:p w:rsidR="00A621E3" w:rsidRDefault="00A621E3">
            <w:pPr>
              <w:spacing w:line="20" w:lineRule="exact"/>
              <w:rPr>
                <w:sz w:val="1"/>
                <w:szCs w:val="1"/>
              </w:rPr>
            </w:pPr>
          </w:p>
        </w:tc>
        <w:tc>
          <w:tcPr>
            <w:tcW w:w="680" w:type="dxa"/>
            <w:tcBorders>
              <w:bottom w:val="single" w:sz="8" w:space="0" w:color="CF0A2C"/>
            </w:tcBorders>
            <w:vAlign w:val="bottom"/>
          </w:tcPr>
          <w:p w:rsidR="00A621E3" w:rsidRDefault="00A621E3">
            <w:pPr>
              <w:spacing w:line="20" w:lineRule="exact"/>
              <w:rPr>
                <w:sz w:val="1"/>
                <w:szCs w:val="1"/>
              </w:rPr>
            </w:pPr>
          </w:p>
        </w:tc>
      </w:tr>
      <w:tr w:rsidR="00A621E3">
        <w:trPr>
          <w:trHeight w:val="398"/>
        </w:trPr>
        <w:tc>
          <w:tcPr>
            <w:tcW w:w="10340" w:type="dxa"/>
            <w:gridSpan w:val="32"/>
            <w:vAlign w:val="bottom"/>
          </w:tcPr>
          <w:p w:rsidR="00A621E3" w:rsidRDefault="00EC630E">
            <w:pPr>
              <w:rPr>
                <w:sz w:val="20"/>
                <w:szCs w:val="20"/>
              </w:rPr>
            </w:pPr>
            <w:r>
              <w:rPr>
                <w:rFonts w:ascii="Arial" w:eastAsia="Arial" w:hAnsi="Arial" w:cs="Arial"/>
                <w:b/>
                <w:bCs/>
                <w:color w:val="0000EE"/>
              </w:rPr>
              <w:t>QUESTIONS AND ANSWERS ABOUT THE MEETING AND VOTING</w:t>
            </w:r>
          </w:p>
        </w:tc>
        <w:tc>
          <w:tcPr>
            <w:tcW w:w="680" w:type="dxa"/>
            <w:vAlign w:val="bottom"/>
          </w:tcPr>
          <w:p w:rsidR="00A621E3" w:rsidRDefault="00EC630E">
            <w:pPr>
              <w:jc w:val="right"/>
              <w:rPr>
                <w:sz w:val="20"/>
                <w:szCs w:val="20"/>
              </w:rPr>
            </w:pPr>
            <w:r>
              <w:rPr>
                <w:rFonts w:ascii="Arial" w:eastAsia="Arial" w:hAnsi="Arial" w:cs="Arial"/>
                <w:b/>
                <w:bCs/>
                <w:color w:val="CF0A2C"/>
              </w:rPr>
              <w:t>6</w:t>
            </w:r>
          </w:p>
        </w:tc>
      </w:tr>
      <w:tr w:rsidR="00A621E3">
        <w:trPr>
          <w:trHeight w:val="21"/>
        </w:trPr>
        <w:tc>
          <w:tcPr>
            <w:tcW w:w="2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68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7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5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8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3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4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8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68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4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40" w:type="dxa"/>
            <w:tcBorders>
              <w:bottom w:val="single" w:sz="8" w:space="0" w:color="CF0A2C"/>
            </w:tcBorders>
            <w:vAlign w:val="bottom"/>
          </w:tcPr>
          <w:p w:rsidR="00A621E3" w:rsidRDefault="00A621E3">
            <w:pPr>
              <w:spacing w:line="20" w:lineRule="exact"/>
              <w:rPr>
                <w:sz w:val="1"/>
                <w:szCs w:val="1"/>
              </w:rPr>
            </w:pPr>
          </w:p>
        </w:tc>
        <w:tc>
          <w:tcPr>
            <w:tcW w:w="620" w:type="dxa"/>
            <w:tcBorders>
              <w:bottom w:val="single" w:sz="8" w:space="0" w:color="CF0A2C"/>
            </w:tcBorders>
            <w:vAlign w:val="bottom"/>
          </w:tcPr>
          <w:p w:rsidR="00A621E3" w:rsidRDefault="00A621E3">
            <w:pPr>
              <w:spacing w:line="20" w:lineRule="exact"/>
              <w:rPr>
                <w:sz w:val="1"/>
                <w:szCs w:val="1"/>
              </w:rPr>
            </w:pPr>
          </w:p>
        </w:tc>
        <w:tc>
          <w:tcPr>
            <w:tcW w:w="2500" w:type="dxa"/>
            <w:tcBorders>
              <w:bottom w:val="single" w:sz="8" w:space="0" w:color="CF0A2C"/>
            </w:tcBorders>
            <w:vAlign w:val="bottom"/>
          </w:tcPr>
          <w:p w:rsidR="00A621E3" w:rsidRDefault="00A621E3">
            <w:pPr>
              <w:spacing w:line="20" w:lineRule="exact"/>
              <w:rPr>
                <w:sz w:val="1"/>
                <w:szCs w:val="1"/>
              </w:rPr>
            </w:pPr>
          </w:p>
        </w:tc>
        <w:tc>
          <w:tcPr>
            <w:tcW w:w="380" w:type="dxa"/>
            <w:tcBorders>
              <w:bottom w:val="single" w:sz="8" w:space="0" w:color="CF0A2C"/>
            </w:tcBorders>
            <w:vAlign w:val="bottom"/>
          </w:tcPr>
          <w:p w:rsidR="00A621E3" w:rsidRDefault="00A621E3">
            <w:pPr>
              <w:spacing w:line="20" w:lineRule="exact"/>
              <w:rPr>
                <w:sz w:val="1"/>
                <w:szCs w:val="1"/>
              </w:rPr>
            </w:pPr>
          </w:p>
        </w:tc>
        <w:tc>
          <w:tcPr>
            <w:tcW w:w="680" w:type="dxa"/>
            <w:tcBorders>
              <w:bottom w:val="single" w:sz="8" w:space="0" w:color="CF0A2C"/>
            </w:tcBorders>
            <w:vAlign w:val="bottom"/>
          </w:tcPr>
          <w:p w:rsidR="00A621E3" w:rsidRDefault="00A621E3">
            <w:pPr>
              <w:spacing w:line="20" w:lineRule="exact"/>
              <w:rPr>
                <w:sz w:val="1"/>
                <w:szCs w:val="1"/>
              </w:rPr>
            </w:pPr>
          </w:p>
        </w:tc>
      </w:tr>
      <w:tr w:rsidR="00A621E3">
        <w:trPr>
          <w:trHeight w:val="398"/>
        </w:trPr>
        <w:tc>
          <w:tcPr>
            <w:tcW w:w="10340" w:type="dxa"/>
            <w:gridSpan w:val="32"/>
            <w:vAlign w:val="bottom"/>
          </w:tcPr>
          <w:p w:rsidR="00A621E3" w:rsidRDefault="00EC630E">
            <w:pPr>
              <w:rPr>
                <w:sz w:val="20"/>
                <w:szCs w:val="20"/>
              </w:rPr>
            </w:pPr>
            <w:r>
              <w:rPr>
                <w:rFonts w:ascii="Arial" w:eastAsia="Arial" w:hAnsi="Arial" w:cs="Arial"/>
                <w:b/>
                <w:bCs/>
                <w:color w:val="0000EE"/>
              </w:rPr>
              <w:t>GOVERNANCE OF THE COMPANY</w:t>
            </w:r>
          </w:p>
        </w:tc>
        <w:tc>
          <w:tcPr>
            <w:tcW w:w="680" w:type="dxa"/>
            <w:vAlign w:val="bottom"/>
          </w:tcPr>
          <w:p w:rsidR="00A621E3" w:rsidRDefault="00EC630E">
            <w:pPr>
              <w:jc w:val="right"/>
              <w:rPr>
                <w:sz w:val="20"/>
                <w:szCs w:val="20"/>
              </w:rPr>
            </w:pPr>
            <w:r>
              <w:rPr>
                <w:rFonts w:ascii="Arial" w:eastAsia="Arial" w:hAnsi="Arial" w:cs="Arial"/>
                <w:b/>
                <w:bCs/>
                <w:color w:val="CF0A2C"/>
              </w:rPr>
              <w:t>11</w:t>
            </w:r>
          </w:p>
        </w:tc>
      </w:tr>
      <w:tr w:rsidR="00A621E3">
        <w:trPr>
          <w:trHeight w:val="20"/>
        </w:trPr>
        <w:tc>
          <w:tcPr>
            <w:tcW w:w="2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68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7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5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8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3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60" w:type="dxa"/>
            <w:tcBorders>
              <w:bottom w:val="single" w:sz="8" w:space="0" w:color="CF0A2C"/>
            </w:tcBorders>
            <w:vAlign w:val="bottom"/>
          </w:tcPr>
          <w:p w:rsidR="00A621E3" w:rsidRDefault="00A621E3">
            <w:pPr>
              <w:spacing w:line="20" w:lineRule="exact"/>
              <w:rPr>
                <w:sz w:val="1"/>
                <w:szCs w:val="1"/>
              </w:rPr>
            </w:pPr>
          </w:p>
        </w:tc>
        <w:tc>
          <w:tcPr>
            <w:tcW w:w="140" w:type="dxa"/>
            <w:tcBorders>
              <w:bottom w:val="single" w:sz="8" w:space="0" w:color="CF0A2C"/>
            </w:tcBorders>
            <w:vAlign w:val="bottom"/>
          </w:tcPr>
          <w:p w:rsidR="00A621E3" w:rsidRDefault="00A621E3">
            <w:pPr>
              <w:spacing w:line="20" w:lineRule="exact"/>
              <w:rPr>
                <w:sz w:val="1"/>
                <w:szCs w:val="1"/>
              </w:rPr>
            </w:pPr>
          </w:p>
        </w:tc>
        <w:tc>
          <w:tcPr>
            <w:tcW w:w="200" w:type="dxa"/>
            <w:tcBorders>
              <w:bottom w:val="single" w:sz="8" w:space="0" w:color="CF0A2C"/>
            </w:tcBorders>
            <w:vAlign w:val="bottom"/>
          </w:tcPr>
          <w:p w:rsidR="00A621E3" w:rsidRDefault="00A621E3">
            <w:pPr>
              <w:spacing w:line="20" w:lineRule="exact"/>
              <w:rPr>
                <w:sz w:val="1"/>
                <w:szCs w:val="1"/>
              </w:rPr>
            </w:pPr>
          </w:p>
        </w:tc>
        <w:tc>
          <w:tcPr>
            <w:tcW w:w="160" w:type="dxa"/>
            <w:tcBorders>
              <w:bottom w:val="single" w:sz="8" w:space="0" w:color="CF0A2C"/>
            </w:tcBorders>
            <w:vAlign w:val="bottom"/>
          </w:tcPr>
          <w:p w:rsidR="00A621E3" w:rsidRDefault="00A621E3">
            <w:pPr>
              <w:spacing w:line="20" w:lineRule="exact"/>
              <w:rPr>
                <w:sz w:val="1"/>
                <w:szCs w:val="1"/>
              </w:rPr>
            </w:pPr>
          </w:p>
        </w:tc>
        <w:tc>
          <w:tcPr>
            <w:tcW w:w="460" w:type="dxa"/>
            <w:tcBorders>
              <w:bottom w:val="single" w:sz="8" w:space="0" w:color="CF0A2C"/>
            </w:tcBorders>
            <w:vAlign w:val="bottom"/>
          </w:tcPr>
          <w:p w:rsidR="00A621E3" w:rsidRDefault="00A621E3">
            <w:pPr>
              <w:spacing w:line="20" w:lineRule="exact"/>
              <w:rPr>
                <w:sz w:val="1"/>
                <w:szCs w:val="1"/>
              </w:rPr>
            </w:pPr>
          </w:p>
        </w:tc>
        <w:tc>
          <w:tcPr>
            <w:tcW w:w="260" w:type="dxa"/>
            <w:tcBorders>
              <w:bottom w:val="single" w:sz="8" w:space="0" w:color="CF0A2C"/>
            </w:tcBorders>
            <w:vAlign w:val="bottom"/>
          </w:tcPr>
          <w:p w:rsidR="00A621E3" w:rsidRDefault="00A621E3">
            <w:pPr>
              <w:spacing w:line="20" w:lineRule="exact"/>
              <w:rPr>
                <w:sz w:val="1"/>
                <w:szCs w:val="1"/>
              </w:rPr>
            </w:pPr>
          </w:p>
        </w:tc>
        <w:tc>
          <w:tcPr>
            <w:tcW w:w="80" w:type="dxa"/>
            <w:tcBorders>
              <w:bottom w:val="single" w:sz="8" w:space="0" w:color="CF0A2C"/>
            </w:tcBorders>
            <w:vAlign w:val="bottom"/>
          </w:tcPr>
          <w:p w:rsidR="00A621E3" w:rsidRDefault="00A621E3">
            <w:pPr>
              <w:spacing w:line="20" w:lineRule="exact"/>
              <w:rPr>
                <w:sz w:val="1"/>
                <w:szCs w:val="1"/>
              </w:rPr>
            </w:pPr>
          </w:p>
        </w:tc>
        <w:tc>
          <w:tcPr>
            <w:tcW w:w="160" w:type="dxa"/>
            <w:tcBorders>
              <w:bottom w:val="single" w:sz="8" w:space="0" w:color="CF0A2C"/>
            </w:tcBorders>
            <w:vAlign w:val="bottom"/>
          </w:tcPr>
          <w:p w:rsidR="00A621E3" w:rsidRDefault="00A621E3">
            <w:pPr>
              <w:spacing w:line="20" w:lineRule="exact"/>
              <w:rPr>
                <w:sz w:val="1"/>
                <w:szCs w:val="1"/>
              </w:rPr>
            </w:pPr>
          </w:p>
        </w:tc>
        <w:tc>
          <w:tcPr>
            <w:tcW w:w="20" w:type="dxa"/>
            <w:tcBorders>
              <w:bottom w:val="single" w:sz="8" w:space="0" w:color="CF0A2C"/>
            </w:tcBorders>
            <w:vAlign w:val="bottom"/>
          </w:tcPr>
          <w:p w:rsidR="00A621E3" w:rsidRDefault="00A621E3">
            <w:pPr>
              <w:spacing w:line="20" w:lineRule="exact"/>
              <w:rPr>
                <w:sz w:val="1"/>
                <w:szCs w:val="1"/>
              </w:rPr>
            </w:pPr>
          </w:p>
        </w:tc>
        <w:tc>
          <w:tcPr>
            <w:tcW w:w="100" w:type="dxa"/>
            <w:tcBorders>
              <w:bottom w:val="single" w:sz="8" w:space="0" w:color="CF0A2C"/>
            </w:tcBorders>
            <w:vAlign w:val="bottom"/>
          </w:tcPr>
          <w:p w:rsidR="00A621E3" w:rsidRDefault="00A621E3">
            <w:pPr>
              <w:spacing w:line="20" w:lineRule="exact"/>
              <w:rPr>
                <w:sz w:val="1"/>
                <w:szCs w:val="1"/>
              </w:rPr>
            </w:pPr>
          </w:p>
        </w:tc>
        <w:tc>
          <w:tcPr>
            <w:tcW w:w="240" w:type="dxa"/>
            <w:tcBorders>
              <w:bottom w:val="single" w:sz="8" w:space="0" w:color="CF0A2C"/>
            </w:tcBorders>
            <w:vAlign w:val="bottom"/>
          </w:tcPr>
          <w:p w:rsidR="00A621E3" w:rsidRDefault="00A621E3">
            <w:pPr>
              <w:spacing w:line="20" w:lineRule="exact"/>
              <w:rPr>
                <w:sz w:val="1"/>
                <w:szCs w:val="1"/>
              </w:rPr>
            </w:pPr>
          </w:p>
        </w:tc>
        <w:tc>
          <w:tcPr>
            <w:tcW w:w="100" w:type="dxa"/>
            <w:tcBorders>
              <w:bottom w:val="single" w:sz="8" w:space="0" w:color="CF0A2C"/>
            </w:tcBorders>
            <w:vAlign w:val="bottom"/>
          </w:tcPr>
          <w:p w:rsidR="00A621E3" w:rsidRDefault="00A621E3">
            <w:pPr>
              <w:spacing w:line="20" w:lineRule="exact"/>
              <w:rPr>
                <w:sz w:val="1"/>
                <w:szCs w:val="1"/>
              </w:rPr>
            </w:pPr>
          </w:p>
        </w:tc>
        <w:tc>
          <w:tcPr>
            <w:tcW w:w="680" w:type="dxa"/>
            <w:tcBorders>
              <w:bottom w:val="single" w:sz="8" w:space="0" w:color="CF0A2C"/>
            </w:tcBorders>
            <w:vAlign w:val="bottom"/>
          </w:tcPr>
          <w:p w:rsidR="00A621E3" w:rsidRDefault="00A621E3">
            <w:pPr>
              <w:spacing w:line="20" w:lineRule="exact"/>
              <w:rPr>
                <w:sz w:val="1"/>
                <w:szCs w:val="1"/>
              </w:rPr>
            </w:pPr>
          </w:p>
        </w:tc>
        <w:tc>
          <w:tcPr>
            <w:tcW w:w="400" w:type="dxa"/>
            <w:tcBorders>
              <w:bottom w:val="single" w:sz="8" w:space="0" w:color="CF0A2C"/>
            </w:tcBorders>
            <w:vAlign w:val="bottom"/>
          </w:tcPr>
          <w:p w:rsidR="00A621E3" w:rsidRDefault="00A621E3">
            <w:pPr>
              <w:spacing w:line="20" w:lineRule="exact"/>
              <w:rPr>
                <w:sz w:val="1"/>
                <w:szCs w:val="1"/>
              </w:rPr>
            </w:pPr>
          </w:p>
        </w:tc>
        <w:tc>
          <w:tcPr>
            <w:tcW w:w="140" w:type="dxa"/>
            <w:tcBorders>
              <w:bottom w:val="single" w:sz="8" w:space="0" w:color="CF0A2C"/>
            </w:tcBorders>
            <w:vAlign w:val="bottom"/>
          </w:tcPr>
          <w:p w:rsidR="00A621E3" w:rsidRDefault="00A621E3">
            <w:pPr>
              <w:spacing w:line="20" w:lineRule="exact"/>
              <w:rPr>
                <w:sz w:val="1"/>
                <w:szCs w:val="1"/>
              </w:rPr>
            </w:pPr>
          </w:p>
        </w:tc>
        <w:tc>
          <w:tcPr>
            <w:tcW w:w="620" w:type="dxa"/>
            <w:tcBorders>
              <w:bottom w:val="single" w:sz="8" w:space="0" w:color="CF0A2C"/>
            </w:tcBorders>
            <w:vAlign w:val="bottom"/>
          </w:tcPr>
          <w:p w:rsidR="00A621E3" w:rsidRDefault="00A621E3">
            <w:pPr>
              <w:spacing w:line="20" w:lineRule="exact"/>
              <w:rPr>
                <w:sz w:val="1"/>
                <w:szCs w:val="1"/>
              </w:rPr>
            </w:pPr>
          </w:p>
        </w:tc>
        <w:tc>
          <w:tcPr>
            <w:tcW w:w="2500" w:type="dxa"/>
            <w:tcBorders>
              <w:bottom w:val="single" w:sz="8" w:space="0" w:color="CF0A2C"/>
            </w:tcBorders>
            <w:vAlign w:val="bottom"/>
          </w:tcPr>
          <w:p w:rsidR="00A621E3" w:rsidRDefault="00A621E3">
            <w:pPr>
              <w:spacing w:line="20" w:lineRule="exact"/>
              <w:rPr>
                <w:sz w:val="1"/>
                <w:szCs w:val="1"/>
              </w:rPr>
            </w:pPr>
          </w:p>
        </w:tc>
        <w:tc>
          <w:tcPr>
            <w:tcW w:w="380" w:type="dxa"/>
            <w:tcBorders>
              <w:bottom w:val="single" w:sz="8" w:space="0" w:color="CF0A2C"/>
            </w:tcBorders>
            <w:vAlign w:val="bottom"/>
          </w:tcPr>
          <w:p w:rsidR="00A621E3" w:rsidRDefault="00A621E3">
            <w:pPr>
              <w:spacing w:line="20" w:lineRule="exact"/>
              <w:rPr>
                <w:sz w:val="1"/>
                <w:szCs w:val="1"/>
              </w:rPr>
            </w:pPr>
          </w:p>
        </w:tc>
        <w:tc>
          <w:tcPr>
            <w:tcW w:w="680" w:type="dxa"/>
            <w:tcBorders>
              <w:bottom w:val="single" w:sz="8" w:space="0" w:color="CF0A2C"/>
            </w:tcBorders>
            <w:vAlign w:val="bottom"/>
          </w:tcPr>
          <w:p w:rsidR="00A621E3" w:rsidRDefault="00A621E3">
            <w:pPr>
              <w:spacing w:line="20" w:lineRule="exact"/>
              <w:rPr>
                <w:sz w:val="1"/>
                <w:szCs w:val="1"/>
              </w:rPr>
            </w:pPr>
          </w:p>
        </w:tc>
      </w:tr>
      <w:tr w:rsidR="00A621E3">
        <w:trPr>
          <w:trHeight w:val="385"/>
        </w:trPr>
        <w:tc>
          <w:tcPr>
            <w:tcW w:w="200" w:type="dxa"/>
            <w:vAlign w:val="bottom"/>
          </w:tcPr>
          <w:p w:rsidR="00A621E3" w:rsidRDefault="00A621E3">
            <w:pPr>
              <w:rPr>
                <w:sz w:val="24"/>
                <w:szCs w:val="24"/>
              </w:rPr>
            </w:pPr>
          </w:p>
        </w:tc>
        <w:tc>
          <w:tcPr>
            <w:tcW w:w="2180" w:type="dxa"/>
            <w:gridSpan w:val="6"/>
            <w:tcBorders>
              <w:bottom w:val="single" w:sz="8" w:space="0" w:color="0000EE"/>
            </w:tcBorders>
            <w:vAlign w:val="bottom"/>
          </w:tcPr>
          <w:p w:rsidR="00A621E3" w:rsidRDefault="00EC630E">
            <w:pPr>
              <w:rPr>
                <w:sz w:val="20"/>
                <w:szCs w:val="20"/>
              </w:rPr>
            </w:pPr>
            <w:r>
              <w:rPr>
                <w:rFonts w:ascii="Arial" w:eastAsia="Arial" w:hAnsi="Arial" w:cs="Arial"/>
                <w:b/>
                <w:bCs/>
                <w:color w:val="0000EE"/>
                <w:w w:val="98"/>
                <w:sz w:val="20"/>
                <w:szCs w:val="20"/>
              </w:rPr>
              <w:t>Governance Highlights</w:t>
            </w:r>
          </w:p>
        </w:tc>
        <w:tc>
          <w:tcPr>
            <w:tcW w:w="7960" w:type="dxa"/>
            <w:gridSpan w:val="25"/>
            <w:vAlign w:val="bottom"/>
          </w:tcPr>
          <w:p w:rsidR="00A621E3" w:rsidRDefault="00A621E3">
            <w:pPr>
              <w:rPr>
                <w:sz w:val="24"/>
                <w:szCs w:val="24"/>
              </w:rPr>
            </w:pPr>
          </w:p>
        </w:tc>
        <w:tc>
          <w:tcPr>
            <w:tcW w:w="680" w:type="dxa"/>
            <w:vAlign w:val="bottom"/>
          </w:tcPr>
          <w:p w:rsidR="00A621E3" w:rsidRDefault="00EC630E">
            <w:pPr>
              <w:jc w:val="right"/>
              <w:rPr>
                <w:sz w:val="20"/>
                <w:szCs w:val="20"/>
              </w:rPr>
            </w:pPr>
            <w:r>
              <w:rPr>
                <w:rFonts w:ascii="Arial" w:eastAsia="Arial" w:hAnsi="Arial" w:cs="Arial"/>
                <w:sz w:val="20"/>
                <w:szCs w:val="20"/>
              </w:rPr>
              <w:t>11</w:t>
            </w:r>
          </w:p>
        </w:tc>
      </w:tr>
      <w:tr w:rsidR="00A621E3">
        <w:trPr>
          <w:trHeight w:val="250"/>
        </w:trPr>
        <w:tc>
          <w:tcPr>
            <w:tcW w:w="200" w:type="dxa"/>
            <w:vAlign w:val="bottom"/>
          </w:tcPr>
          <w:p w:rsidR="00A621E3" w:rsidRDefault="00A621E3">
            <w:pPr>
              <w:rPr>
                <w:sz w:val="21"/>
                <w:szCs w:val="21"/>
              </w:rPr>
            </w:pPr>
          </w:p>
        </w:tc>
        <w:tc>
          <w:tcPr>
            <w:tcW w:w="4000" w:type="dxa"/>
            <w:gridSpan w:val="17"/>
            <w:tcBorders>
              <w:bottom w:val="single" w:sz="8" w:space="0" w:color="0000EE"/>
            </w:tcBorders>
            <w:vAlign w:val="bottom"/>
          </w:tcPr>
          <w:p w:rsidR="00A621E3" w:rsidRDefault="00EC630E">
            <w:pPr>
              <w:rPr>
                <w:sz w:val="20"/>
                <w:szCs w:val="20"/>
              </w:rPr>
            </w:pPr>
            <w:r>
              <w:rPr>
                <w:rFonts w:ascii="Arial" w:eastAsia="Arial" w:hAnsi="Arial" w:cs="Arial"/>
                <w:b/>
                <w:bCs/>
                <w:color w:val="0000EE"/>
                <w:w w:val="98"/>
                <w:sz w:val="20"/>
                <w:szCs w:val="20"/>
              </w:rPr>
              <w:t>Board Composition and Director</w:t>
            </w:r>
            <w:r>
              <w:rPr>
                <w:rFonts w:ascii="Arial" w:eastAsia="Arial" w:hAnsi="Arial" w:cs="Arial"/>
                <w:b/>
                <w:bCs/>
                <w:color w:val="0000EE"/>
                <w:w w:val="98"/>
                <w:sz w:val="20"/>
                <w:szCs w:val="20"/>
              </w:rPr>
              <w:t xml:space="preserve"> Elections</w:t>
            </w:r>
          </w:p>
        </w:tc>
        <w:tc>
          <w:tcPr>
            <w:tcW w:w="6140" w:type="dxa"/>
            <w:gridSpan w:val="14"/>
            <w:vAlign w:val="bottom"/>
          </w:tcPr>
          <w:p w:rsidR="00A621E3" w:rsidRDefault="00A621E3">
            <w:pPr>
              <w:rPr>
                <w:sz w:val="21"/>
                <w:szCs w:val="21"/>
              </w:rPr>
            </w:pPr>
          </w:p>
        </w:tc>
        <w:tc>
          <w:tcPr>
            <w:tcW w:w="680" w:type="dxa"/>
            <w:vAlign w:val="bottom"/>
          </w:tcPr>
          <w:p w:rsidR="00A621E3" w:rsidRDefault="00EC630E">
            <w:pPr>
              <w:jc w:val="right"/>
              <w:rPr>
                <w:sz w:val="20"/>
                <w:szCs w:val="20"/>
              </w:rPr>
            </w:pPr>
            <w:r>
              <w:rPr>
                <w:rFonts w:ascii="Arial" w:eastAsia="Arial" w:hAnsi="Arial" w:cs="Arial"/>
                <w:sz w:val="20"/>
                <w:szCs w:val="20"/>
              </w:rPr>
              <w:t>12</w:t>
            </w:r>
          </w:p>
        </w:tc>
      </w:tr>
      <w:tr w:rsidR="00A621E3">
        <w:trPr>
          <w:trHeight w:val="250"/>
        </w:trPr>
        <w:tc>
          <w:tcPr>
            <w:tcW w:w="200" w:type="dxa"/>
            <w:vAlign w:val="bottom"/>
          </w:tcPr>
          <w:p w:rsidR="00A621E3" w:rsidRDefault="00A621E3">
            <w:pPr>
              <w:rPr>
                <w:sz w:val="21"/>
                <w:szCs w:val="21"/>
              </w:rPr>
            </w:pPr>
          </w:p>
        </w:tc>
        <w:tc>
          <w:tcPr>
            <w:tcW w:w="10140" w:type="dxa"/>
            <w:gridSpan w:val="31"/>
            <w:vAlign w:val="bottom"/>
          </w:tcPr>
          <w:p w:rsidR="00A621E3" w:rsidRDefault="00EC630E">
            <w:pPr>
              <w:rPr>
                <w:sz w:val="20"/>
                <w:szCs w:val="20"/>
              </w:rPr>
            </w:pPr>
            <w:r>
              <w:rPr>
                <w:rFonts w:ascii="Arial" w:eastAsia="Arial" w:hAnsi="Arial" w:cs="Arial"/>
                <w:b/>
                <w:bCs/>
                <w:color w:val="0000EE"/>
                <w:sz w:val="20"/>
                <w:szCs w:val="20"/>
              </w:rPr>
              <w:t>Board Meetings and Director Attendance</w:t>
            </w:r>
          </w:p>
        </w:tc>
        <w:tc>
          <w:tcPr>
            <w:tcW w:w="680" w:type="dxa"/>
            <w:vAlign w:val="bottom"/>
          </w:tcPr>
          <w:p w:rsidR="00A621E3" w:rsidRDefault="00EC630E">
            <w:pPr>
              <w:jc w:val="right"/>
              <w:rPr>
                <w:sz w:val="20"/>
                <w:szCs w:val="20"/>
              </w:rPr>
            </w:pPr>
            <w:r>
              <w:rPr>
                <w:rFonts w:ascii="Arial" w:eastAsia="Arial" w:hAnsi="Arial" w:cs="Arial"/>
                <w:sz w:val="20"/>
                <w:szCs w:val="20"/>
              </w:rPr>
              <w:t>12</w:t>
            </w:r>
          </w:p>
        </w:tc>
      </w:tr>
      <w:tr w:rsidR="00A621E3">
        <w:trPr>
          <w:trHeight w:val="250"/>
        </w:trPr>
        <w:tc>
          <w:tcPr>
            <w:tcW w:w="200" w:type="dxa"/>
            <w:vAlign w:val="bottom"/>
          </w:tcPr>
          <w:p w:rsidR="00A621E3" w:rsidRDefault="00A621E3">
            <w:pPr>
              <w:rPr>
                <w:sz w:val="21"/>
                <w:szCs w:val="21"/>
              </w:rPr>
            </w:pPr>
          </w:p>
        </w:tc>
        <w:tc>
          <w:tcPr>
            <w:tcW w:w="3840" w:type="dxa"/>
            <w:gridSpan w:val="16"/>
            <w:tcBorders>
              <w:top w:val="single" w:sz="8" w:space="0" w:color="0000EE"/>
            </w:tcBorders>
            <w:vAlign w:val="bottom"/>
          </w:tcPr>
          <w:p w:rsidR="00A621E3" w:rsidRDefault="00EC630E">
            <w:pPr>
              <w:rPr>
                <w:sz w:val="20"/>
                <w:szCs w:val="20"/>
              </w:rPr>
            </w:pPr>
            <w:r>
              <w:rPr>
                <w:rFonts w:ascii="Arial" w:eastAsia="Arial" w:hAnsi="Arial" w:cs="Arial"/>
                <w:b/>
                <w:bCs/>
                <w:color w:val="0000EE"/>
                <w:sz w:val="20"/>
                <w:szCs w:val="20"/>
              </w:rPr>
              <w:t>Selection of Director Nominees</w:t>
            </w:r>
          </w:p>
        </w:tc>
        <w:tc>
          <w:tcPr>
            <w:tcW w:w="6300" w:type="dxa"/>
            <w:gridSpan w:val="15"/>
            <w:vAlign w:val="bottom"/>
          </w:tcPr>
          <w:p w:rsidR="00A621E3" w:rsidRDefault="00A621E3">
            <w:pPr>
              <w:rPr>
                <w:sz w:val="21"/>
                <w:szCs w:val="21"/>
              </w:rPr>
            </w:pPr>
          </w:p>
        </w:tc>
        <w:tc>
          <w:tcPr>
            <w:tcW w:w="680" w:type="dxa"/>
            <w:vAlign w:val="bottom"/>
          </w:tcPr>
          <w:p w:rsidR="00A621E3" w:rsidRDefault="00EC630E">
            <w:pPr>
              <w:jc w:val="right"/>
              <w:rPr>
                <w:sz w:val="20"/>
                <w:szCs w:val="20"/>
              </w:rPr>
            </w:pPr>
            <w:r>
              <w:rPr>
                <w:rFonts w:ascii="Arial" w:eastAsia="Arial" w:hAnsi="Arial" w:cs="Arial"/>
                <w:sz w:val="20"/>
                <w:szCs w:val="20"/>
              </w:rPr>
              <w:t>12</w:t>
            </w:r>
          </w:p>
        </w:tc>
      </w:tr>
      <w:tr w:rsidR="00A621E3">
        <w:trPr>
          <w:trHeight w:val="20"/>
        </w:trPr>
        <w:tc>
          <w:tcPr>
            <w:tcW w:w="200" w:type="dxa"/>
            <w:vAlign w:val="bottom"/>
          </w:tcPr>
          <w:p w:rsidR="00A621E3" w:rsidRDefault="00A621E3">
            <w:pPr>
              <w:spacing w:line="20" w:lineRule="exact"/>
              <w:rPr>
                <w:sz w:val="1"/>
                <w:szCs w:val="1"/>
              </w:rPr>
            </w:pPr>
          </w:p>
        </w:tc>
        <w:tc>
          <w:tcPr>
            <w:tcW w:w="680" w:type="dxa"/>
            <w:shd w:val="clear" w:color="auto" w:fill="0000EE"/>
            <w:vAlign w:val="bottom"/>
          </w:tcPr>
          <w:p w:rsidR="00A621E3" w:rsidRDefault="00A621E3">
            <w:pPr>
              <w:spacing w:line="20" w:lineRule="exact"/>
              <w:rPr>
                <w:sz w:val="1"/>
                <w:szCs w:val="1"/>
              </w:rPr>
            </w:pPr>
          </w:p>
        </w:tc>
        <w:tc>
          <w:tcPr>
            <w:tcW w:w="720" w:type="dxa"/>
            <w:shd w:val="clear" w:color="auto" w:fill="0000EE"/>
            <w:vAlign w:val="bottom"/>
          </w:tcPr>
          <w:p w:rsidR="00A621E3" w:rsidRDefault="00A621E3">
            <w:pPr>
              <w:spacing w:line="20" w:lineRule="exact"/>
              <w:rPr>
                <w:sz w:val="1"/>
                <w:szCs w:val="1"/>
              </w:rPr>
            </w:pPr>
          </w:p>
        </w:tc>
        <w:tc>
          <w:tcPr>
            <w:tcW w:w="560" w:type="dxa"/>
            <w:shd w:val="clear" w:color="auto" w:fill="0000EE"/>
            <w:vAlign w:val="bottom"/>
          </w:tcPr>
          <w:p w:rsidR="00A621E3" w:rsidRDefault="00A621E3">
            <w:pPr>
              <w:spacing w:line="20" w:lineRule="exact"/>
              <w:rPr>
                <w:sz w:val="1"/>
                <w:szCs w:val="1"/>
              </w:rPr>
            </w:pPr>
          </w:p>
        </w:tc>
        <w:tc>
          <w:tcPr>
            <w:tcW w:w="100" w:type="dxa"/>
            <w:shd w:val="clear" w:color="auto" w:fill="0000EE"/>
            <w:vAlign w:val="bottom"/>
          </w:tcPr>
          <w:p w:rsidR="00A621E3" w:rsidRDefault="00A621E3">
            <w:pPr>
              <w:spacing w:line="20" w:lineRule="exact"/>
              <w:rPr>
                <w:sz w:val="1"/>
                <w:szCs w:val="1"/>
              </w:rPr>
            </w:pPr>
          </w:p>
        </w:tc>
        <w:tc>
          <w:tcPr>
            <w:tcW w:w="100" w:type="dxa"/>
            <w:shd w:val="clear" w:color="auto" w:fill="0000EE"/>
            <w:vAlign w:val="bottom"/>
          </w:tcPr>
          <w:p w:rsidR="00A621E3" w:rsidRDefault="00A621E3">
            <w:pPr>
              <w:spacing w:line="20" w:lineRule="exact"/>
              <w:rPr>
                <w:sz w:val="1"/>
                <w:szCs w:val="1"/>
              </w:rPr>
            </w:pPr>
          </w:p>
        </w:tc>
        <w:tc>
          <w:tcPr>
            <w:tcW w:w="200" w:type="dxa"/>
            <w:gridSpan w:val="2"/>
            <w:shd w:val="clear" w:color="auto" w:fill="0000EE"/>
            <w:vAlign w:val="bottom"/>
          </w:tcPr>
          <w:p w:rsidR="00A621E3" w:rsidRDefault="00A621E3">
            <w:pPr>
              <w:spacing w:line="20" w:lineRule="exact"/>
              <w:rPr>
                <w:sz w:val="1"/>
                <w:szCs w:val="1"/>
              </w:rPr>
            </w:pPr>
          </w:p>
        </w:tc>
        <w:tc>
          <w:tcPr>
            <w:tcW w:w="240" w:type="dxa"/>
            <w:shd w:val="clear" w:color="auto" w:fill="0000EE"/>
            <w:vAlign w:val="bottom"/>
          </w:tcPr>
          <w:p w:rsidR="00A621E3" w:rsidRDefault="00A621E3">
            <w:pPr>
              <w:spacing w:line="20" w:lineRule="exact"/>
              <w:rPr>
                <w:sz w:val="1"/>
                <w:szCs w:val="1"/>
              </w:rPr>
            </w:pPr>
          </w:p>
        </w:tc>
        <w:tc>
          <w:tcPr>
            <w:tcW w:w="20" w:type="dxa"/>
            <w:shd w:val="clear" w:color="auto" w:fill="0000EE"/>
            <w:vAlign w:val="bottom"/>
          </w:tcPr>
          <w:p w:rsidR="00A621E3" w:rsidRDefault="00A621E3">
            <w:pPr>
              <w:spacing w:line="20" w:lineRule="exact"/>
              <w:rPr>
                <w:sz w:val="1"/>
                <w:szCs w:val="1"/>
              </w:rPr>
            </w:pPr>
          </w:p>
        </w:tc>
        <w:tc>
          <w:tcPr>
            <w:tcW w:w="320" w:type="dxa"/>
            <w:shd w:val="clear" w:color="auto" w:fill="0000EE"/>
            <w:vAlign w:val="bottom"/>
          </w:tcPr>
          <w:p w:rsidR="00A621E3" w:rsidRDefault="00A621E3">
            <w:pPr>
              <w:spacing w:line="20" w:lineRule="exact"/>
              <w:rPr>
                <w:sz w:val="1"/>
                <w:szCs w:val="1"/>
              </w:rPr>
            </w:pPr>
          </w:p>
        </w:tc>
        <w:tc>
          <w:tcPr>
            <w:tcW w:w="160" w:type="dxa"/>
            <w:gridSpan w:val="2"/>
            <w:vAlign w:val="bottom"/>
          </w:tcPr>
          <w:p w:rsidR="00A621E3" w:rsidRDefault="00A621E3">
            <w:pPr>
              <w:spacing w:line="20" w:lineRule="exact"/>
              <w:rPr>
                <w:sz w:val="1"/>
                <w:szCs w:val="1"/>
              </w:rPr>
            </w:pPr>
          </w:p>
        </w:tc>
        <w:tc>
          <w:tcPr>
            <w:tcW w:w="400" w:type="dxa"/>
            <w:gridSpan w:val="2"/>
            <w:vAlign w:val="bottom"/>
          </w:tcPr>
          <w:p w:rsidR="00A621E3" w:rsidRDefault="00A621E3">
            <w:pPr>
              <w:spacing w:line="20" w:lineRule="exact"/>
              <w:rPr>
                <w:sz w:val="1"/>
                <w:szCs w:val="1"/>
              </w:rPr>
            </w:pPr>
          </w:p>
        </w:tc>
        <w:tc>
          <w:tcPr>
            <w:tcW w:w="140" w:type="dxa"/>
            <w:vAlign w:val="bottom"/>
          </w:tcPr>
          <w:p w:rsidR="00A621E3" w:rsidRDefault="00A621E3">
            <w:pPr>
              <w:spacing w:line="20" w:lineRule="exact"/>
              <w:rPr>
                <w:sz w:val="1"/>
                <w:szCs w:val="1"/>
              </w:rPr>
            </w:pPr>
          </w:p>
        </w:tc>
        <w:tc>
          <w:tcPr>
            <w:tcW w:w="820" w:type="dxa"/>
            <w:gridSpan w:val="3"/>
            <w:vAlign w:val="bottom"/>
          </w:tcPr>
          <w:p w:rsidR="00A621E3" w:rsidRDefault="00A621E3">
            <w:pPr>
              <w:spacing w:line="20" w:lineRule="exact"/>
              <w:rPr>
                <w:sz w:val="1"/>
                <w:szCs w:val="1"/>
              </w:rPr>
            </w:pPr>
          </w:p>
        </w:tc>
        <w:tc>
          <w:tcPr>
            <w:tcW w:w="260" w:type="dxa"/>
            <w:vAlign w:val="bottom"/>
          </w:tcPr>
          <w:p w:rsidR="00A621E3" w:rsidRDefault="00A621E3">
            <w:pPr>
              <w:spacing w:line="20" w:lineRule="exact"/>
              <w:rPr>
                <w:sz w:val="1"/>
                <w:szCs w:val="1"/>
              </w:rPr>
            </w:pPr>
          </w:p>
        </w:tc>
        <w:tc>
          <w:tcPr>
            <w:tcW w:w="80" w:type="dxa"/>
            <w:vAlign w:val="bottom"/>
          </w:tcPr>
          <w:p w:rsidR="00A621E3" w:rsidRDefault="00A621E3">
            <w:pPr>
              <w:spacing w:line="20" w:lineRule="exact"/>
              <w:rPr>
                <w:sz w:val="1"/>
                <w:szCs w:val="1"/>
              </w:rPr>
            </w:pPr>
          </w:p>
        </w:tc>
        <w:tc>
          <w:tcPr>
            <w:tcW w:w="160" w:type="dxa"/>
            <w:vAlign w:val="bottom"/>
          </w:tcPr>
          <w:p w:rsidR="00A621E3" w:rsidRDefault="00A621E3">
            <w:pPr>
              <w:spacing w:line="20" w:lineRule="exact"/>
              <w:rPr>
                <w:sz w:val="1"/>
                <w:szCs w:val="1"/>
              </w:rPr>
            </w:pPr>
          </w:p>
        </w:tc>
        <w:tc>
          <w:tcPr>
            <w:tcW w:w="20" w:type="dxa"/>
            <w:vAlign w:val="bottom"/>
          </w:tcPr>
          <w:p w:rsidR="00A621E3" w:rsidRDefault="00A621E3">
            <w:pPr>
              <w:spacing w:line="20" w:lineRule="exact"/>
              <w:rPr>
                <w:sz w:val="1"/>
                <w:szCs w:val="1"/>
              </w:rPr>
            </w:pPr>
          </w:p>
        </w:tc>
        <w:tc>
          <w:tcPr>
            <w:tcW w:w="100" w:type="dxa"/>
            <w:vAlign w:val="bottom"/>
          </w:tcPr>
          <w:p w:rsidR="00A621E3" w:rsidRDefault="00A621E3">
            <w:pPr>
              <w:spacing w:line="20" w:lineRule="exact"/>
              <w:rPr>
                <w:sz w:val="1"/>
                <w:szCs w:val="1"/>
              </w:rPr>
            </w:pPr>
          </w:p>
        </w:tc>
        <w:tc>
          <w:tcPr>
            <w:tcW w:w="240" w:type="dxa"/>
            <w:vAlign w:val="bottom"/>
          </w:tcPr>
          <w:p w:rsidR="00A621E3" w:rsidRDefault="00A621E3">
            <w:pPr>
              <w:spacing w:line="20" w:lineRule="exact"/>
              <w:rPr>
                <w:sz w:val="1"/>
                <w:szCs w:val="1"/>
              </w:rPr>
            </w:pPr>
          </w:p>
        </w:tc>
        <w:tc>
          <w:tcPr>
            <w:tcW w:w="100" w:type="dxa"/>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c>
          <w:tcPr>
            <w:tcW w:w="540" w:type="dxa"/>
            <w:gridSpan w:val="2"/>
            <w:vAlign w:val="bottom"/>
          </w:tcPr>
          <w:p w:rsidR="00A621E3" w:rsidRDefault="00A621E3">
            <w:pPr>
              <w:spacing w:line="20" w:lineRule="exact"/>
              <w:rPr>
                <w:sz w:val="1"/>
                <w:szCs w:val="1"/>
              </w:rPr>
            </w:pPr>
          </w:p>
        </w:tc>
        <w:tc>
          <w:tcPr>
            <w:tcW w:w="620" w:type="dxa"/>
            <w:vAlign w:val="bottom"/>
          </w:tcPr>
          <w:p w:rsidR="00A621E3" w:rsidRDefault="00A621E3">
            <w:pPr>
              <w:spacing w:line="20" w:lineRule="exact"/>
              <w:rPr>
                <w:sz w:val="1"/>
                <w:szCs w:val="1"/>
              </w:rPr>
            </w:pPr>
          </w:p>
        </w:tc>
        <w:tc>
          <w:tcPr>
            <w:tcW w:w="2500" w:type="dxa"/>
            <w:vAlign w:val="bottom"/>
          </w:tcPr>
          <w:p w:rsidR="00A621E3" w:rsidRDefault="00A621E3">
            <w:pPr>
              <w:spacing w:line="20" w:lineRule="exact"/>
              <w:rPr>
                <w:sz w:val="1"/>
                <w:szCs w:val="1"/>
              </w:rPr>
            </w:pPr>
          </w:p>
        </w:tc>
        <w:tc>
          <w:tcPr>
            <w:tcW w:w="380" w:type="dxa"/>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r>
      <w:tr w:rsidR="00A621E3">
        <w:trPr>
          <w:trHeight w:val="250"/>
        </w:trPr>
        <w:tc>
          <w:tcPr>
            <w:tcW w:w="200" w:type="dxa"/>
            <w:vAlign w:val="bottom"/>
          </w:tcPr>
          <w:p w:rsidR="00A621E3" w:rsidRDefault="00A621E3">
            <w:pPr>
              <w:rPr>
                <w:sz w:val="21"/>
                <w:szCs w:val="21"/>
              </w:rPr>
            </w:pPr>
          </w:p>
        </w:tc>
        <w:tc>
          <w:tcPr>
            <w:tcW w:w="10140" w:type="dxa"/>
            <w:gridSpan w:val="31"/>
            <w:vAlign w:val="bottom"/>
          </w:tcPr>
          <w:p w:rsidR="00A621E3" w:rsidRDefault="00EC630E">
            <w:pPr>
              <w:rPr>
                <w:sz w:val="20"/>
                <w:szCs w:val="20"/>
              </w:rPr>
            </w:pPr>
            <w:r>
              <w:rPr>
                <w:rFonts w:ascii="Arial" w:eastAsia="Arial" w:hAnsi="Arial" w:cs="Arial"/>
                <w:b/>
                <w:bCs/>
                <w:color w:val="0000EE"/>
                <w:sz w:val="20"/>
                <w:szCs w:val="20"/>
              </w:rPr>
              <w:t>Director Qualifications and Skills</w:t>
            </w:r>
          </w:p>
        </w:tc>
        <w:tc>
          <w:tcPr>
            <w:tcW w:w="680" w:type="dxa"/>
            <w:vAlign w:val="bottom"/>
          </w:tcPr>
          <w:p w:rsidR="00A621E3" w:rsidRDefault="00EC630E">
            <w:pPr>
              <w:jc w:val="right"/>
              <w:rPr>
                <w:sz w:val="20"/>
                <w:szCs w:val="20"/>
              </w:rPr>
            </w:pPr>
            <w:r>
              <w:rPr>
                <w:rFonts w:ascii="Arial" w:eastAsia="Arial" w:hAnsi="Arial" w:cs="Arial"/>
                <w:sz w:val="20"/>
                <w:szCs w:val="20"/>
              </w:rPr>
              <w:t>13</w:t>
            </w:r>
          </w:p>
        </w:tc>
      </w:tr>
      <w:tr w:rsidR="00A621E3">
        <w:trPr>
          <w:trHeight w:val="250"/>
        </w:trPr>
        <w:tc>
          <w:tcPr>
            <w:tcW w:w="200" w:type="dxa"/>
            <w:vAlign w:val="bottom"/>
          </w:tcPr>
          <w:p w:rsidR="00A621E3" w:rsidRDefault="00A621E3">
            <w:pPr>
              <w:rPr>
                <w:sz w:val="21"/>
                <w:szCs w:val="21"/>
              </w:rPr>
            </w:pPr>
          </w:p>
        </w:tc>
        <w:tc>
          <w:tcPr>
            <w:tcW w:w="3100" w:type="dxa"/>
            <w:gridSpan w:val="12"/>
            <w:tcBorders>
              <w:top w:val="single" w:sz="8" w:space="0" w:color="0000EE"/>
            </w:tcBorders>
            <w:vAlign w:val="bottom"/>
          </w:tcPr>
          <w:p w:rsidR="00A621E3" w:rsidRDefault="00EC630E">
            <w:pPr>
              <w:rPr>
                <w:sz w:val="20"/>
                <w:szCs w:val="20"/>
              </w:rPr>
            </w:pPr>
            <w:r>
              <w:rPr>
                <w:rFonts w:ascii="Arial" w:eastAsia="Arial" w:hAnsi="Arial" w:cs="Arial"/>
                <w:b/>
                <w:bCs/>
                <w:color w:val="0000EE"/>
                <w:sz w:val="20"/>
                <w:szCs w:val="20"/>
              </w:rPr>
              <w:t>Diversity of the Board</w:t>
            </w:r>
          </w:p>
        </w:tc>
        <w:tc>
          <w:tcPr>
            <w:tcW w:w="7040" w:type="dxa"/>
            <w:gridSpan w:val="19"/>
            <w:vAlign w:val="bottom"/>
          </w:tcPr>
          <w:p w:rsidR="00A621E3" w:rsidRDefault="00A621E3">
            <w:pPr>
              <w:rPr>
                <w:sz w:val="21"/>
                <w:szCs w:val="21"/>
              </w:rPr>
            </w:pPr>
          </w:p>
        </w:tc>
        <w:tc>
          <w:tcPr>
            <w:tcW w:w="680" w:type="dxa"/>
            <w:vAlign w:val="bottom"/>
          </w:tcPr>
          <w:p w:rsidR="00A621E3" w:rsidRDefault="00EC630E">
            <w:pPr>
              <w:jc w:val="right"/>
              <w:rPr>
                <w:sz w:val="20"/>
                <w:szCs w:val="20"/>
              </w:rPr>
            </w:pPr>
            <w:r>
              <w:rPr>
                <w:rFonts w:ascii="Arial" w:eastAsia="Arial" w:hAnsi="Arial" w:cs="Arial"/>
                <w:sz w:val="20"/>
                <w:szCs w:val="20"/>
              </w:rPr>
              <w:t>13</w:t>
            </w:r>
          </w:p>
        </w:tc>
      </w:tr>
      <w:tr w:rsidR="00A621E3">
        <w:trPr>
          <w:trHeight w:val="20"/>
        </w:trPr>
        <w:tc>
          <w:tcPr>
            <w:tcW w:w="200" w:type="dxa"/>
            <w:vAlign w:val="bottom"/>
          </w:tcPr>
          <w:p w:rsidR="00A621E3" w:rsidRDefault="00A621E3">
            <w:pPr>
              <w:spacing w:line="20" w:lineRule="exact"/>
              <w:rPr>
                <w:sz w:val="1"/>
                <w:szCs w:val="1"/>
              </w:rPr>
            </w:pPr>
          </w:p>
        </w:tc>
        <w:tc>
          <w:tcPr>
            <w:tcW w:w="680" w:type="dxa"/>
            <w:shd w:val="clear" w:color="auto" w:fill="0000EE"/>
            <w:vAlign w:val="bottom"/>
          </w:tcPr>
          <w:p w:rsidR="00A621E3" w:rsidRDefault="00A621E3">
            <w:pPr>
              <w:spacing w:line="20" w:lineRule="exact"/>
              <w:rPr>
                <w:sz w:val="1"/>
                <w:szCs w:val="1"/>
              </w:rPr>
            </w:pPr>
          </w:p>
        </w:tc>
        <w:tc>
          <w:tcPr>
            <w:tcW w:w="720" w:type="dxa"/>
            <w:shd w:val="clear" w:color="auto" w:fill="0000EE"/>
            <w:vAlign w:val="bottom"/>
          </w:tcPr>
          <w:p w:rsidR="00A621E3" w:rsidRDefault="00A621E3">
            <w:pPr>
              <w:spacing w:line="20" w:lineRule="exact"/>
              <w:rPr>
                <w:sz w:val="1"/>
                <w:szCs w:val="1"/>
              </w:rPr>
            </w:pPr>
          </w:p>
        </w:tc>
        <w:tc>
          <w:tcPr>
            <w:tcW w:w="560" w:type="dxa"/>
            <w:shd w:val="clear" w:color="auto" w:fill="0000EE"/>
            <w:vAlign w:val="bottom"/>
          </w:tcPr>
          <w:p w:rsidR="00A621E3" w:rsidRDefault="00A621E3">
            <w:pPr>
              <w:spacing w:line="20" w:lineRule="exact"/>
              <w:rPr>
                <w:sz w:val="1"/>
                <w:szCs w:val="1"/>
              </w:rPr>
            </w:pPr>
          </w:p>
        </w:tc>
        <w:tc>
          <w:tcPr>
            <w:tcW w:w="100" w:type="dxa"/>
            <w:shd w:val="clear" w:color="auto" w:fill="0000EE"/>
            <w:vAlign w:val="bottom"/>
          </w:tcPr>
          <w:p w:rsidR="00A621E3" w:rsidRDefault="00A621E3">
            <w:pPr>
              <w:spacing w:line="20" w:lineRule="exact"/>
              <w:rPr>
                <w:sz w:val="1"/>
                <w:szCs w:val="1"/>
              </w:rPr>
            </w:pPr>
          </w:p>
        </w:tc>
        <w:tc>
          <w:tcPr>
            <w:tcW w:w="100" w:type="dxa"/>
            <w:vAlign w:val="bottom"/>
          </w:tcPr>
          <w:p w:rsidR="00A621E3" w:rsidRDefault="00A621E3">
            <w:pPr>
              <w:spacing w:line="20" w:lineRule="exact"/>
              <w:rPr>
                <w:sz w:val="1"/>
                <w:szCs w:val="1"/>
              </w:rPr>
            </w:pPr>
          </w:p>
        </w:tc>
        <w:tc>
          <w:tcPr>
            <w:tcW w:w="200" w:type="dxa"/>
            <w:gridSpan w:val="2"/>
            <w:vAlign w:val="bottom"/>
          </w:tcPr>
          <w:p w:rsidR="00A621E3" w:rsidRDefault="00A621E3">
            <w:pPr>
              <w:spacing w:line="20" w:lineRule="exact"/>
              <w:rPr>
                <w:sz w:val="1"/>
                <w:szCs w:val="1"/>
              </w:rPr>
            </w:pPr>
          </w:p>
        </w:tc>
        <w:tc>
          <w:tcPr>
            <w:tcW w:w="240" w:type="dxa"/>
            <w:vAlign w:val="bottom"/>
          </w:tcPr>
          <w:p w:rsidR="00A621E3" w:rsidRDefault="00A621E3">
            <w:pPr>
              <w:spacing w:line="20" w:lineRule="exact"/>
              <w:rPr>
                <w:sz w:val="1"/>
                <w:szCs w:val="1"/>
              </w:rPr>
            </w:pPr>
          </w:p>
        </w:tc>
        <w:tc>
          <w:tcPr>
            <w:tcW w:w="20" w:type="dxa"/>
            <w:vAlign w:val="bottom"/>
          </w:tcPr>
          <w:p w:rsidR="00A621E3" w:rsidRDefault="00A621E3">
            <w:pPr>
              <w:spacing w:line="20" w:lineRule="exact"/>
              <w:rPr>
                <w:sz w:val="1"/>
                <w:szCs w:val="1"/>
              </w:rPr>
            </w:pPr>
          </w:p>
        </w:tc>
        <w:tc>
          <w:tcPr>
            <w:tcW w:w="880" w:type="dxa"/>
            <w:gridSpan w:val="5"/>
            <w:vAlign w:val="bottom"/>
          </w:tcPr>
          <w:p w:rsidR="00A621E3" w:rsidRDefault="00A621E3">
            <w:pPr>
              <w:spacing w:line="20" w:lineRule="exact"/>
              <w:rPr>
                <w:sz w:val="1"/>
                <w:szCs w:val="1"/>
              </w:rPr>
            </w:pPr>
          </w:p>
        </w:tc>
        <w:tc>
          <w:tcPr>
            <w:tcW w:w="140" w:type="dxa"/>
            <w:vAlign w:val="bottom"/>
          </w:tcPr>
          <w:p w:rsidR="00A621E3" w:rsidRDefault="00A621E3">
            <w:pPr>
              <w:spacing w:line="20" w:lineRule="exact"/>
              <w:rPr>
                <w:sz w:val="1"/>
                <w:szCs w:val="1"/>
              </w:rPr>
            </w:pPr>
          </w:p>
        </w:tc>
        <w:tc>
          <w:tcPr>
            <w:tcW w:w="820" w:type="dxa"/>
            <w:gridSpan w:val="3"/>
            <w:vAlign w:val="bottom"/>
          </w:tcPr>
          <w:p w:rsidR="00A621E3" w:rsidRDefault="00A621E3">
            <w:pPr>
              <w:spacing w:line="20" w:lineRule="exact"/>
              <w:rPr>
                <w:sz w:val="1"/>
                <w:szCs w:val="1"/>
              </w:rPr>
            </w:pPr>
          </w:p>
        </w:tc>
        <w:tc>
          <w:tcPr>
            <w:tcW w:w="260" w:type="dxa"/>
            <w:vAlign w:val="bottom"/>
          </w:tcPr>
          <w:p w:rsidR="00A621E3" w:rsidRDefault="00A621E3">
            <w:pPr>
              <w:spacing w:line="20" w:lineRule="exact"/>
              <w:rPr>
                <w:sz w:val="1"/>
                <w:szCs w:val="1"/>
              </w:rPr>
            </w:pPr>
          </w:p>
        </w:tc>
        <w:tc>
          <w:tcPr>
            <w:tcW w:w="80" w:type="dxa"/>
            <w:vAlign w:val="bottom"/>
          </w:tcPr>
          <w:p w:rsidR="00A621E3" w:rsidRDefault="00A621E3">
            <w:pPr>
              <w:spacing w:line="20" w:lineRule="exact"/>
              <w:rPr>
                <w:sz w:val="1"/>
                <w:szCs w:val="1"/>
              </w:rPr>
            </w:pPr>
          </w:p>
        </w:tc>
        <w:tc>
          <w:tcPr>
            <w:tcW w:w="160" w:type="dxa"/>
            <w:vAlign w:val="bottom"/>
          </w:tcPr>
          <w:p w:rsidR="00A621E3" w:rsidRDefault="00A621E3">
            <w:pPr>
              <w:spacing w:line="20" w:lineRule="exact"/>
              <w:rPr>
                <w:sz w:val="1"/>
                <w:szCs w:val="1"/>
              </w:rPr>
            </w:pPr>
          </w:p>
        </w:tc>
        <w:tc>
          <w:tcPr>
            <w:tcW w:w="20" w:type="dxa"/>
            <w:vAlign w:val="bottom"/>
          </w:tcPr>
          <w:p w:rsidR="00A621E3" w:rsidRDefault="00A621E3">
            <w:pPr>
              <w:spacing w:line="20" w:lineRule="exact"/>
              <w:rPr>
                <w:sz w:val="1"/>
                <w:szCs w:val="1"/>
              </w:rPr>
            </w:pPr>
          </w:p>
        </w:tc>
        <w:tc>
          <w:tcPr>
            <w:tcW w:w="100" w:type="dxa"/>
            <w:vAlign w:val="bottom"/>
          </w:tcPr>
          <w:p w:rsidR="00A621E3" w:rsidRDefault="00A621E3">
            <w:pPr>
              <w:spacing w:line="20" w:lineRule="exact"/>
              <w:rPr>
                <w:sz w:val="1"/>
                <w:szCs w:val="1"/>
              </w:rPr>
            </w:pPr>
          </w:p>
        </w:tc>
        <w:tc>
          <w:tcPr>
            <w:tcW w:w="240" w:type="dxa"/>
            <w:vAlign w:val="bottom"/>
          </w:tcPr>
          <w:p w:rsidR="00A621E3" w:rsidRDefault="00A621E3">
            <w:pPr>
              <w:spacing w:line="20" w:lineRule="exact"/>
              <w:rPr>
                <w:sz w:val="1"/>
                <w:szCs w:val="1"/>
              </w:rPr>
            </w:pPr>
          </w:p>
        </w:tc>
        <w:tc>
          <w:tcPr>
            <w:tcW w:w="100" w:type="dxa"/>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c>
          <w:tcPr>
            <w:tcW w:w="540" w:type="dxa"/>
            <w:gridSpan w:val="2"/>
            <w:vAlign w:val="bottom"/>
          </w:tcPr>
          <w:p w:rsidR="00A621E3" w:rsidRDefault="00A621E3">
            <w:pPr>
              <w:spacing w:line="20" w:lineRule="exact"/>
              <w:rPr>
                <w:sz w:val="1"/>
                <w:szCs w:val="1"/>
              </w:rPr>
            </w:pPr>
          </w:p>
        </w:tc>
        <w:tc>
          <w:tcPr>
            <w:tcW w:w="620" w:type="dxa"/>
            <w:vAlign w:val="bottom"/>
          </w:tcPr>
          <w:p w:rsidR="00A621E3" w:rsidRDefault="00A621E3">
            <w:pPr>
              <w:spacing w:line="20" w:lineRule="exact"/>
              <w:rPr>
                <w:sz w:val="1"/>
                <w:szCs w:val="1"/>
              </w:rPr>
            </w:pPr>
          </w:p>
        </w:tc>
        <w:tc>
          <w:tcPr>
            <w:tcW w:w="2500" w:type="dxa"/>
            <w:vAlign w:val="bottom"/>
          </w:tcPr>
          <w:p w:rsidR="00A621E3" w:rsidRDefault="00A621E3">
            <w:pPr>
              <w:spacing w:line="20" w:lineRule="exact"/>
              <w:rPr>
                <w:sz w:val="1"/>
                <w:szCs w:val="1"/>
              </w:rPr>
            </w:pPr>
          </w:p>
        </w:tc>
        <w:tc>
          <w:tcPr>
            <w:tcW w:w="380" w:type="dxa"/>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r>
      <w:tr w:rsidR="00A621E3">
        <w:trPr>
          <w:trHeight w:val="250"/>
        </w:trPr>
        <w:tc>
          <w:tcPr>
            <w:tcW w:w="200" w:type="dxa"/>
            <w:vAlign w:val="bottom"/>
          </w:tcPr>
          <w:p w:rsidR="00A621E3" w:rsidRDefault="00A621E3">
            <w:pPr>
              <w:rPr>
                <w:sz w:val="21"/>
                <w:szCs w:val="21"/>
              </w:rPr>
            </w:pPr>
          </w:p>
        </w:tc>
        <w:tc>
          <w:tcPr>
            <w:tcW w:w="10140" w:type="dxa"/>
            <w:gridSpan w:val="31"/>
            <w:vAlign w:val="bottom"/>
          </w:tcPr>
          <w:p w:rsidR="00A621E3" w:rsidRDefault="00EC630E">
            <w:pPr>
              <w:rPr>
                <w:sz w:val="20"/>
                <w:szCs w:val="20"/>
              </w:rPr>
            </w:pPr>
            <w:r>
              <w:rPr>
                <w:rFonts w:ascii="Arial" w:eastAsia="Arial" w:hAnsi="Arial" w:cs="Arial"/>
                <w:b/>
                <w:bCs/>
                <w:color w:val="0000EE"/>
                <w:sz w:val="20"/>
                <w:szCs w:val="20"/>
              </w:rPr>
              <w:t xml:space="preserve">Stockholder Nominations for </w:t>
            </w:r>
            <w:r>
              <w:rPr>
                <w:rFonts w:ascii="Arial" w:eastAsia="Arial" w:hAnsi="Arial" w:cs="Arial"/>
                <w:b/>
                <w:bCs/>
                <w:color w:val="0000EE"/>
                <w:sz w:val="20"/>
                <w:szCs w:val="20"/>
              </w:rPr>
              <w:t>Directors</w:t>
            </w:r>
          </w:p>
        </w:tc>
        <w:tc>
          <w:tcPr>
            <w:tcW w:w="680" w:type="dxa"/>
            <w:vAlign w:val="bottom"/>
          </w:tcPr>
          <w:p w:rsidR="00A621E3" w:rsidRDefault="00EC630E">
            <w:pPr>
              <w:jc w:val="right"/>
              <w:rPr>
                <w:sz w:val="20"/>
                <w:szCs w:val="20"/>
              </w:rPr>
            </w:pPr>
            <w:r>
              <w:rPr>
                <w:rFonts w:ascii="Arial" w:eastAsia="Arial" w:hAnsi="Arial" w:cs="Arial"/>
                <w:sz w:val="20"/>
                <w:szCs w:val="20"/>
              </w:rPr>
              <w:t>14</w:t>
            </w:r>
          </w:p>
        </w:tc>
      </w:tr>
      <w:tr w:rsidR="00A621E3">
        <w:trPr>
          <w:trHeight w:val="250"/>
        </w:trPr>
        <w:tc>
          <w:tcPr>
            <w:tcW w:w="200" w:type="dxa"/>
            <w:vAlign w:val="bottom"/>
          </w:tcPr>
          <w:p w:rsidR="00A621E3" w:rsidRDefault="00A621E3">
            <w:pPr>
              <w:rPr>
                <w:sz w:val="21"/>
                <w:szCs w:val="21"/>
              </w:rPr>
            </w:pPr>
          </w:p>
        </w:tc>
        <w:tc>
          <w:tcPr>
            <w:tcW w:w="3640" w:type="dxa"/>
            <w:gridSpan w:val="15"/>
            <w:tcBorders>
              <w:top w:val="single" w:sz="8" w:space="0" w:color="0000EE"/>
            </w:tcBorders>
            <w:vAlign w:val="bottom"/>
          </w:tcPr>
          <w:p w:rsidR="00A621E3" w:rsidRDefault="00EC630E">
            <w:pPr>
              <w:rPr>
                <w:sz w:val="20"/>
                <w:szCs w:val="20"/>
              </w:rPr>
            </w:pPr>
            <w:r>
              <w:rPr>
                <w:rFonts w:ascii="Arial" w:eastAsia="Arial" w:hAnsi="Arial" w:cs="Arial"/>
                <w:b/>
                <w:bCs/>
                <w:color w:val="0000EE"/>
                <w:sz w:val="20"/>
                <w:szCs w:val="20"/>
              </w:rPr>
              <w:t>Board Leadership Structure</w:t>
            </w:r>
          </w:p>
        </w:tc>
        <w:tc>
          <w:tcPr>
            <w:tcW w:w="6500" w:type="dxa"/>
            <w:gridSpan w:val="16"/>
            <w:vAlign w:val="bottom"/>
          </w:tcPr>
          <w:p w:rsidR="00A621E3" w:rsidRDefault="00A621E3">
            <w:pPr>
              <w:rPr>
                <w:sz w:val="21"/>
                <w:szCs w:val="21"/>
              </w:rPr>
            </w:pPr>
          </w:p>
        </w:tc>
        <w:tc>
          <w:tcPr>
            <w:tcW w:w="680" w:type="dxa"/>
            <w:vAlign w:val="bottom"/>
          </w:tcPr>
          <w:p w:rsidR="00A621E3" w:rsidRDefault="00EC630E">
            <w:pPr>
              <w:jc w:val="right"/>
              <w:rPr>
                <w:sz w:val="20"/>
                <w:szCs w:val="20"/>
              </w:rPr>
            </w:pPr>
            <w:r>
              <w:rPr>
                <w:rFonts w:ascii="Arial" w:eastAsia="Arial" w:hAnsi="Arial" w:cs="Arial"/>
                <w:sz w:val="20"/>
                <w:szCs w:val="20"/>
              </w:rPr>
              <w:t>14</w:t>
            </w:r>
          </w:p>
        </w:tc>
      </w:tr>
      <w:tr w:rsidR="00A621E3">
        <w:trPr>
          <w:trHeight w:val="250"/>
        </w:trPr>
        <w:tc>
          <w:tcPr>
            <w:tcW w:w="200" w:type="dxa"/>
            <w:vAlign w:val="bottom"/>
          </w:tcPr>
          <w:p w:rsidR="00A621E3" w:rsidRDefault="00A621E3">
            <w:pPr>
              <w:rPr>
                <w:sz w:val="21"/>
                <w:szCs w:val="21"/>
              </w:rPr>
            </w:pPr>
          </w:p>
        </w:tc>
        <w:tc>
          <w:tcPr>
            <w:tcW w:w="1960" w:type="dxa"/>
            <w:gridSpan w:val="3"/>
            <w:tcBorders>
              <w:top w:val="single" w:sz="8" w:space="0" w:color="0000EE"/>
              <w:bottom w:val="single" w:sz="8" w:space="0" w:color="0000EE"/>
            </w:tcBorders>
            <w:vAlign w:val="bottom"/>
          </w:tcPr>
          <w:p w:rsidR="00A621E3" w:rsidRDefault="00EC630E">
            <w:pPr>
              <w:rPr>
                <w:sz w:val="20"/>
                <w:szCs w:val="20"/>
              </w:rPr>
            </w:pPr>
            <w:r>
              <w:rPr>
                <w:rFonts w:ascii="Arial" w:eastAsia="Arial" w:hAnsi="Arial" w:cs="Arial"/>
                <w:b/>
                <w:bCs/>
                <w:color w:val="0000EE"/>
                <w:w w:val="98"/>
                <w:sz w:val="20"/>
                <w:szCs w:val="20"/>
              </w:rPr>
              <w:t>Governance Policies</w:t>
            </w:r>
          </w:p>
        </w:tc>
        <w:tc>
          <w:tcPr>
            <w:tcW w:w="660" w:type="dxa"/>
            <w:gridSpan w:val="6"/>
            <w:tcBorders>
              <w:top w:val="single" w:sz="8" w:space="0" w:color="0000EE"/>
            </w:tcBorders>
            <w:vAlign w:val="bottom"/>
          </w:tcPr>
          <w:p w:rsidR="00A621E3" w:rsidRDefault="00A621E3">
            <w:pPr>
              <w:rPr>
                <w:sz w:val="21"/>
                <w:szCs w:val="21"/>
              </w:rPr>
            </w:pPr>
          </w:p>
        </w:tc>
        <w:tc>
          <w:tcPr>
            <w:tcW w:w="7520" w:type="dxa"/>
            <w:gridSpan w:val="22"/>
            <w:vAlign w:val="bottom"/>
          </w:tcPr>
          <w:p w:rsidR="00A621E3" w:rsidRDefault="00A621E3">
            <w:pPr>
              <w:rPr>
                <w:sz w:val="21"/>
                <w:szCs w:val="21"/>
              </w:rPr>
            </w:pPr>
          </w:p>
        </w:tc>
        <w:tc>
          <w:tcPr>
            <w:tcW w:w="680" w:type="dxa"/>
            <w:vAlign w:val="bottom"/>
          </w:tcPr>
          <w:p w:rsidR="00A621E3" w:rsidRDefault="00EC630E">
            <w:pPr>
              <w:jc w:val="right"/>
              <w:rPr>
                <w:sz w:val="20"/>
                <w:szCs w:val="20"/>
              </w:rPr>
            </w:pPr>
            <w:r>
              <w:rPr>
                <w:rFonts w:ascii="Arial" w:eastAsia="Arial" w:hAnsi="Arial" w:cs="Arial"/>
                <w:sz w:val="20"/>
                <w:szCs w:val="20"/>
              </w:rPr>
              <w:t>14</w:t>
            </w:r>
          </w:p>
        </w:tc>
      </w:tr>
      <w:tr w:rsidR="00A621E3">
        <w:trPr>
          <w:trHeight w:val="250"/>
        </w:trPr>
        <w:tc>
          <w:tcPr>
            <w:tcW w:w="200" w:type="dxa"/>
            <w:vAlign w:val="bottom"/>
          </w:tcPr>
          <w:p w:rsidR="00A621E3" w:rsidRDefault="00A621E3">
            <w:pPr>
              <w:rPr>
                <w:sz w:val="21"/>
                <w:szCs w:val="21"/>
              </w:rPr>
            </w:pPr>
          </w:p>
        </w:tc>
        <w:tc>
          <w:tcPr>
            <w:tcW w:w="10140" w:type="dxa"/>
            <w:gridSpan w:val="31"/>
            <w:vAlign w:val="bottom"/>
          </w:tcPr>
          <w:p w:rsidR="00A621E3" w:rsidRDefault="00EC630E">
            <w:pPr>
              <w:rPr>
                <w:sz w:val="20"/>
                <w:szCs w:val="20"/>
              </w:rPr>
            </w:pPr>
            <w:r>
              <w:rPr>
                <w:rFonts w:ascii="Arial" w:eastAsia="Arial" w:hAnsi="Arial" w:cs="Arial"/>
                <w:b/>
                <w:bCs/>
                <w:color w:val="0000EE"/>
                <w:sz w:val="20"/>
                <w:szCs w:val="20"/>
              </w:rPr>
              <w:t>Risk Oversight</w:t>
            </w:r>
          </w:p>
        </w:tc>
        <w:tc>
          <w:tcPr>
            <w:tcW w:w="680" w:type="dxa"/>
            <w:vAlign w:val="bottom"/>
          </w:tcPr>
          <w:p w:rsidR="00A621E3" w:rsidRDefault="00EC630E">
            <w:pPr>
              <w:jc w:val="right"/>
              <w:rPr>
                <w:sz w:val="20"/>
                <w:szCs w:val="20"/>
              </w:rPr>
            </w:pPr>
            <w:r>
              <w:rPr>
                <w:rFonts w:ascii="Arial" w:eastAsia="Arial" w:hAnsi="Arial" w:cs="Arial"/>
                <w:sz w:val="20"/>
                <w:szCs w:val="20"/>
              </w:rPr>
              <w:t>16</w:t>
            </w:r>
          </w:p>
        </w:tc>
      </w:tr>
      <w:tr w:rsidR="00A621E3">
        <w:trPr>
          <w:trHeight w:val="20"/>
        </w:trPr>
        <w:tc>
          <w:tcPr>
            <w:tcW w:w="200" w:type="dxa"/>
            <w:vAlign w:val="bottom"/>
          </w:tcPr>
          <w:p w:rsidR="00A621E3" w:rsidRDefault="00A621E3">
            <w:pPr>
              <w:spacing w:line="20" w:lineRule="exact"/>
              <w:rPr>
                <w:sz w:val="1"/>
                <w:szCs w:val="1"/>
              </w:rPr>
            </w:pPr>
          </w:p>
        </w:tc>
        <w:tc>
          <w:tcPr>
            <w:tcW w:w="680" w:type="dxa"/>
            <w:shd w:val="clear" w:color="auto" w:fill="0000EE"/>
            <w:vAlign w:val="bottom"/>
          </w:tcPr>
          <w:p w:rsidR="00A621E3" w:rsidRDefault="00A621E3">
            <w:pPr>
              <w:spacing w:line="20" w:lineRule="exact"/>
              <w:rPr>
                <w:sz w:val="1"/>
                <w:szCs w:val="1"/>
              </w:rPr>
            </w:pPr>
          </w:p>
        </w:tc>
        <w:tc>
          <w:tcPr>
            <w:tcW w:w="720" w:type="dxa"/>
            <w:shd w:val="clear" w:color="auto" w:fill="0000EE"/>
            <w:vAlign w:val="bottom"/>
          </w:tcPr>
          <w:p w:rsidR="00A621E3" w:rsidRDefault="00A621E3">
            <w:pPr>
              <w:spacing w:line="20" w:lineRule="exact"/>
              <w:rPr>
                <w:sz w:val="1"/>
                <w:szCs w:val="1"/>
              </w:rPr>
            </w:pPr>
          </w:p>
        </w:tc>
        <w:tc>
          <w:tcPr>
            <w:tcW w:w="760" w:type="dxa"/>
            <w:gridSpan w:val="3"/>
            <w:vAlign w:val="bottom"/>
          </w:tcPr>
          <w:p w:rsidR="00A621E3" w:rsidRDefault="00A621E3">
            <w:pPr>
              <w:spacing w:line="20" w:lineRule="exact"/>
              <w:rPr>
                <w:sz w:val="1"/>
                <w:szCs w:val="1"/>
              </w:rPr>
            </w:pPr>
          </w:p>
        </w:tc>
        <w:tc>
          <w:tcPr>
            <w:tcW w:w="200" w:type="dxa"/>
            <w:gridSpan w:val="2"/>
            <w:vAlign w:val="bottom"/>
          </w:tcPr>
          <w:p w:rsidR="00A621E3" w:rsidRDefault="00A621E3">
            <w:pPr>
              <w:spacing w:line="20" w:lineRule="exact"/>
              <w:rPr>
                <w:sz w:val="1"/>
                <w:szCs w:val="1"/>
              </w:rPr>
            </w:pPr>
          </w:p>
        </w:tc>
        <w:tc>
          <w:tcPr>
            <w:tcW w:w="240" w:type="dxa"/>
            <w:vAlign w:val="bottom"/>
          </w:tcPr>
          <w:p w:rsidR="00A621E3" w:rsidRDefault="00A621E3">
            <w:pPr>
              <w:spacing w:line="20" w:lineRule="exact"/>
              <w:rPr>
                <w:sz w:val="1"/>
                <w:szCs w:val="1"/>
              </w:rPr>
            </w:pPr>
          </w:p>
        </w:tc>
        <w:tc>
          <w:tcPr>
            <w:tcW w:w="900" w:type="dxa"/>
            <w:gridSpan w:val="6"/>
            <w:vAlign w:val="bottom"/>
          </w:tcPr>
          <w:p w:rsidR="00A621E3" w:rsidRDefault="00A621E3">
            <w:pPr>
              <w:spacing w:line="20" w:lineRule="exact"/>
              <w:rPr>
                <w:sz w:val="1"/>
                <w:szCs w:val="1"/>
              </w:rPr>
            </w:pPr>
          </w:p>
        </w:tc>
        <w:tc>
          <w:tcPr>
            <w:tcW w:w="960" w:type="dxa"/>
            <w:gridSpan w:val="4"/>
            <w:vAlign w:val="bottom"/>
          </w:tcPr>
          <w:p w:rsidR="00A621E3" w:rsidRDefault="00A621E3">
            <w:pPr>
              <w:spacing w:line="20" w:lineRule="exact"/>
              <w:rPr>
                <w:sz w:val="1"/>
                <w:szCs w:val="1"/>
              </w:rPr>
            </w:pPr>
          </w:p>
        </w:tc>
        <w:tc>
          <w:tcPr>
            <w:tcW w:w="260" w:type="dxa"/>
            <w:vAlign w:val="bottom"/>
          </w:tcPr>
          <w:p w:rsidR="00A621E3" w:rsidRDefault="00A621E3">
            <w:pPr>
              <w:spacing w:line="20" w:lineRule="exact"/>
              <w:rPr>
                <w:sz w:val="1"/>
                <w:szCs w:val="1"/>
              </w:rPr>
            </w:pPr>
          </w:p>
        </w:tc>
        <w:tc>
          <w:tcPr>
            <w:tcW w:w="80" w:type="dxa"/>
            <w:vAlign w:val="bottom"/>
          </w:tcPr>
          <w:p w:rsidR="00A621E3" w:rsidRDefault="00A621E3">
            <w:pPr>
              <w:spacing w:line="20" w:lineRule="exact"/>
              <w:rPr>
                <w:sz w:val="1"/>
                <w:szCs w:val="1"/>
              </w:rPr>
            </w:pPr>
          </w:p>
        </w:tc>
        <w:tc>
          <w:tcPr>
            <w:tcW w:w="160" w:type="dxa"/>
            <w:vAlign w:val="bottom"/>
          </w:tcPr>
          <w:p w:rsidR="00A621E3" w:rsidRDefault="00A621E3">
            <w:pPr>
              <w:spacing w:line="20" w:lineRule="exact"/>
              <w:rPr>
                <w:sz w:val="1"/>
                <w:szCs w:val="1"/>
              </w:rPr>
            </w:pPr>
          </w:p>
        </w:tc>
        <w:tc>
          <w:tcPr>
            <w:tcW w:w="20" w:type="dxa"/>
            <w:vAlign w:val="bottom"/>
          </w:tcPr>
          <w:p w:rsidR="00A621E3" w:rsidRDefault="00A621E3">
            <w:pPr>
              <w:spacing w:line="20" w:lineRule="exact"/>
              <w:rPr>
                <w:sz w:val="1"/>
                <w:szCs w:val="1"/>
              </w:rPr>
            </w:pPr>
          </w:p>
        </w:tc>
        <w:tc>
          <w:tcPr>
            <w:tcW w:w="100" w:type="dxa"/>
            <w:vAlign w:val="bottom"/>
          </w:tcPr>
          <w:p w:rsidR="00A621E3" w:rsidRDefault="00A621E3">
            <w:pPr>
              <w:spacing w:line="20" w:lineRule="exact"/>
              <w:rPr>
                <w:sz w:val="1"/>
                <w:szCs w:val="1"/>
              </w:rPr>
            </w:pPr>
          </w:p>
        </w:tc>
        <w:tc>
          <w:tcPr>
            <w:tcW w:w="240" w:type="dxa"/>
            <w:vAlign w:val="bottom"/>
          </w:tcPr>
          <w:p w:rsidR="00A621E3" w:rsidRDefault="00A621E3">
            <w:pPr>
              <w:spacing w:line="20" w:lineRule="exact"/>
              <w:rPr>
                <w:sz w:val="1"/>
                <w:szCs w:val="1"/>
              </w:rPr>
            </w:pPr>
          </w:p>
        </w:tc>
        <w:tc>
          <w:tcPr>
            <w:tcW w:w="100" w:type="dxa"/>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c>
          <w:tcPr>
            <w:tcW w:w="540" w:type="dxa"/>
            <w:gridSpan w:val="2"/>
            <w:vAlign w:val="bottom"/>
          </w:tcPr>
          <w:p w:rsidR="00A621E3" w:rsidRDefault="00A621E3">
            <w:pPr>
              <w:spacing w:line="20" w:lineRule="exact"/>
              <w:rPr>
                <w:sz w:val="1"/>
                <w:szCs w:val="1"/>
              </w:rPr>
            </w:pPr>
          </w:p>
        </w:tc>
        <w:tc>
          <w:tcPr>
            <w:tcW w:w="620" w:type="dxa"/>
            <w:vAlign w:val="bottom"/>
          </w:tcPr>
          <w:p w:rsidR="00A621E3" w:rsidRDefault="00A621E3">
            <w:pPr>
              <w:spacing w:line="20" w:lineRule="exact"/>
              <w:rPr>
                <w:sz w:val="1"/>
                <w:szCs w:val="1"/>
              </w:rPr>
            </w:pPr>
          </w:p>
        </w:tc>
        <w:tc>
          <w:tcPr>
            <w:tcW w:w="2500" w:type="dxa"/>
            <w:vAlign w:val="bottom"/>
          </w:tcPr>
          <w:p w:rsidR="00A621E3" w:rsidRDefault="00A621E3">
            <w:pPr>
              <w:spacing w:line="20" w:lineRule="exact"/>
              <w:rPr>
                <w:sz w:val="1"/>
                <w:szCs w:val="1"/>
              </w:rPr>
            </w:pPr>
          </w:p>
        </w:tc>
        <w:tc>
          <w:tcPr>
            <w:tcW w:w="380" w:type="dxa"/>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r>
      <w:tr w:rsidR="00A621E3">
        <w:trPr>
          <w:trHeight w:val="250"/>
        </w:trPr>
        <w:tc>
          <w:tcPr>
            <w:tcW w:w="200" w:type="dxa"/>
            <w:vAlign w:val="bottom"/>
          </w:tcPr>
          <w:p w:rsidR="00A621E3" w:rsidRDefault="00A621E3">
            <w:pPr>
              <w:rPr>
                <w:sz w:val="21"/>
                <w:szCs w:val="21"/>
              </w:rPr>
            </w:pPr>
          </w:p>
        </w:tc>
        <w:tc>
          <w:tcPr>
            <w:tcW w:w="4980" w:type="dxa"/>
            <w:gridSpan w:val="22"/>
            <w:tcBorders>
              <w:bottom w:val="single" w:sz="8" w:space="0" w:color="0000EE"/>
            </w:tcBorders>
            <w:vAlign w:val="bottom"/>
          </w:tcPr>
          <w:p w:rsidR="00A621E3" w:rsidRDefault="00EC630E">
            <w:pPr>
              <w:rPr>
                <w:sz w:val="20"/>
                <w:szCs w:val="20"/>
              </w:rPr>
            </w:pPr>
            <w:r>
              <w:rPr>
                <w:rFonts w:ascii="Arial" w:eastAsia="Arial" w:hAnsi="Arial" w:cs="Arial"/>
                <w:b/>
                <w:bCs/>
                <w:color w:val="0000EE"/>
                <w:w w:val="98"/>
                <w:sz w:val="20"/>
                <w:szCs w:val="20"/>
              </w:rPr>
              <w:t>Management Development and Succession Planning</w:t>
            </w:r>
          </w:p>
        </w:tc>
        <w:tc>
          <w:tcPr>
            <w:tcW w:w="5160" w:type="dxa"/>
            <w:gridSpan w:val="9"/>
            <w:vAlign w:val="bottom"/>
          </w:tcPr>
          <w:p w:rsidR="00A621E3" w:rsidRDefault="00A621E3">
            <w:pPr>
              <w:rPr>
                <w:sz w:val="21"/>
                <w:szCs w:val="21"/>
              </w:rPr>
            </w:pPr>
          </w:p>
        </w:tc>
        <w:tc>
          <w:tcPr>
            <w:tcW w:w="680" w:type="dxa"/>
            <w:vAlign w:val="bottom"/>
          </w:tcPr>
          <w:p w:rsidR="00A621E3" w:rsidRDefault="00EC630E">
            <w:pPr>
              <w:jc w:val="right"/>
              <w:rPr>
                <w:sz w:val="20"/>
                <w:szCs w:val="20"/>
              </w:rPr>
            </w:pPr>
            <w:r>
              <w:rPr>
                <w:rFonts w:ascii="Arial" w:eastAsia="Arial" w:hAnsi="Arial" w:cs="Arial"/>
                <w:sz w:val="20"/>
                <w:szCs w:val="20"/>
              </w:rPr>
              <w:t>19</w:t>
            </w:r>
          </w:p>
        </w:tc>
      </w:tr>
      <w:tr w:rsidR="00A621E3">
        <w:trPr>
          <w:trHeight w:val="250"/>
        </w:trPr>
        <w:tc>
          <w:tcPr>
            <w:tcW w:w="200" w:type="dxa"/>
            <w:vAlign w:val="bottom"/>
          </w:tcPr>
          <w:p w:rsidR="00A621E3" w:rsidRDefault="00A621E3">
            <w:pPr>
              <w:rPr>
                <w:sz w:val="21"/>
                <w:szCs w:val="21"/>
              </w:rPr>
            </w:pPr>
          </w:p>
        </w:tc>
        <w:tc>
          <w:tcPr>
            <w:tcW w:w="2160" w:type="dxa"/>
            <w:gridSpan w:val="5"/>
            <w:tcBorders>
              <w:bottom w:val="single" w:sz="8" w:space="0" w:color="0000EE"/>
            </w:tcBorders>
            <w:vAlign w:val="bottom"/>
          </w:tcPr>
          <w:p w:rsidR="00A621E3" w:rsidRDefault="00EC630E">
            <w:pPr>
              <w:rPr>
                <w:sz w:val="20"/>
                <w:szCs w:val="20"/>
              </w:rPr>
            </w:pPr>
            <w:r>
              <w:rPr>
                <w:rFonts w:ascii="Arial" w:eastAsia="Arial" w:hAnsi="Arial" w:cs="Arial"/>
                <w:b/>
                <w:bCs/>
                <w:color w:val="0000EE"/>
                <w:w w:val="98"/>
                <w:sz w:val="20"/>
                <w:szCs w:val="20"/>
              </w:rPr>
              <w:t>Director Independence</w:t>
            </w:r>
          </w:p>
        </w:tc>
        <w:tc>
          <w:tcPr>
            <w:tcW w:w="7980" w:type="dxa"/>
            <w:gridSpan w:val="26"/>
            <w:vAlign w:val="bottom"/>
          </w:tcPr>
          <w:p w:rsidR="00A621E3" w:rsidRDefault="00A621E3">
            <w:pPr>
              <w:rPr>
                <w:sz w:val="21"/>
                <w:szCs w:val="21"/>
              </w:rPr>
            </w:pPr>
          </w:p>
        </w:tc>
        <w:tc>
          <w:tcPr>
            <w:tcW w:w="680" w:type="dxa"/>
            <w:vAlign w:val="bottom"/>
          </w:tcPr>
          <w:p w:rsidR="00A621E3" w:rsidRDefault="00EC630E">
            <w:pPr>
              <w:jc w:val="right"/>
              <w:rPr>
                <w:sz w:val="20"/>
                <w:szCs w:val="20"/>
              </w:rPr>
            </w:pPr>
            <w:r>
              <w:rPr>
                <w:rFonts w:ascii="Arial" w:eastAsia="Arial" w:hAnsi="Arial" w:cs="Arial"/>
                <w:sz w:val="20"/>
                <w:szCs w:val="20"/>
              </w:rPr>
              <w:t>19</w:t>
            </w:r>
          </w:p>
        </w:tc>
      </w:tr>
      <w:tr w:rsidR="00A621E3">
        <w:trPr>
          <w:trHeight w:val="250"/>
        </w:trPr>
        <w:tc>
          <w:tcPr>
            <w:tcW w:w="200" w:type="dxa"/>
            <w:vAlign w:val="bottom"/>
          </w:tcPr>
          <w:p w:rsidR="00A621E3" w:rsidRDefault="00A621E3">
            <w:pPr>
              <w:rPr>
                <w:sz w:val="21"/>
                <w:szCs w:val="21"/>
              </w:rPr>
            </w:pPr>
          </w:p>
        </w:tc>
        <w:tc>
          <w:tcPr>
            <w:tcW w:w="10140" w:type="dxa"/>
            <w:gridSpan w:val="31"/>
            <w:vAlign w:val="bottom"/>
          </w:tcPr>
          <w:p w:rsidR="00A621E3" w:rsidRDefault="00EC630E">
            <w:pPr>
              <w:rPr>
                <w:sz w:val="20"/>
                <w:szCs w:val="20"/>
              </w:rPr>
            </w:pPr>
            <w:r>
              <w:rPr>
                <w:rFonts w:ascii="Arial" w:eastAsia="Arial" w:hAnsi="Arial" w:cs="Arial"/>
                <w:b/>
                <w:bCs/>
                <w:color w:val="0000EE"/>
                <w:sz w:val="20"/>
                <w:szCs w:val="20"/>
              </w:rPr>
              <w:t>Stockholder Communications and Engagement</w:t>
            </w:r>
          </w:p>
        </w:tc>
        <w:tc>
          <w:tcPr>
            <w:tcW w:w="680" w:type="dxa"/>
            <w:vAlign w:val="bottom"/>
          </w:tcPr>
          <w:p w:rsidR="00A621E3" w:rsidRDefault="00EC630E">
            <w:pPr>
              <w:jc w:val="right"/>
              <w:rPr>
                <w:sz w:val="20"/>
                <w:szCs w:val="20"/>
              </w:rPr>
            </w:pPr>
            <w:r>
              <w:rPr>
                <w:rFonts w:ascii="Arial" w:eastAsia="Arial" w:hAnsi="Arial" w:cs="Arial"/>
                <w:sz w:val="20"/>
                <w:szCs w:val="20"/>
              </w:rPr>
              <w:t>20</w:t>
            </w:r>
          </w:p>
        </w:tc>
      </w:tr>
      <w:tr w:rsidR="00A621E3">
        <w:trPr>
          <w:trHeight w:val="20"/>
        </w:trPr>
        <w:tc>
          <w:tcPr>
            <w:tcW w:w="200" w:type="dxa"/>
            <w:vAlign w:val="bottom"/>
          </w:tcPr>
          <w:p w:rsidR="00A621E3" w:rsidRDefault="00A621E3">
            <w:pPr>
              <w:spacing w:line="20" w:lineRule="exact"/>
              <w:rPr>
                <w:sz w:val="1"/>
                <w:szCs w:val="1"/>
              </w:rPr>
            </w:pPr>
          </w:p>
        </w:tc>
        <w:tc>
          <w:tcPr>
            <w:tcW w:w="680" w:type="dxa"/>
            <w:shd w:val="clear" w:color="auto" w:fill="0000EE"/>
            <w:vAlign w:val="bottom"/>
          </w:tcPr>
          <w:p w:rsidR="00A621E3" w:rsidRDefault="00A621E3">
            <w:pPr>
              <w:spacing w:line="20" w:lineRule="exact"/>
              <w:rPr>
                <w:sz w:val="1"/>
                <w:szCs w:val="1"/>
              </w:rPr>
            </w:pPr>
          </w:p>
        </w:tc>
        <w:tc>
          <w:tcPr>
            <w:tcW w:w="1680" w:type="dxa"/>
            <w:gridSpan w:val="6"/>
            <w:shd w:val="clear" w:color="auto" w:fill="0000EE"/>
            <w:vAlign w:val="bottom"/>
          </w:tcPr>
          <w:p w:rsidR="00A621E3" w:rsidRDefault="00A621E3">
            <w:pPr>
              <w:spacing w:line="20" w:lineRule="exact"/>
              <w:rPr>
                <w:sz w:val="1"/>
                <w:szCs w:val="1"/>
              </w:rPr>
            </w:pPr>
          </w:p>
        </w:tc>
        <w:tc>
          <w:tcPr>
            <w:tcW w:w="240" w:type="dxa"/>
            <w:shd w:val="clear" w:color="auto" w:fill="0000EE"/>
            <w:vAlign w:val="bottom"/>
          </w:tcPr>
          <w:p w:rsidR="00A621E3" w:rsidRDefault="00A621E3">
            <w:pPr>
              <w:spacing w:line="20" w:lineRule="exact"/>
              <w:rPr>
                <w:sz w:val="1"/>
                <w:szCs w:val="1"/>
              </w:rPr>
            </w:pPr>
          </w:p>
        </w:tc>
        <w:tc>
          <w:tcPr>
            <w:tcW w:w="900" w:type="dxa"/>
            <w:gridSpan w:val="6"/>
            <w:shd w:val="clear" w:color="auto" w:fill="0000EE"/>
            <w:vAlign w:val="bottom"/>
          </w:tcPr>
          <w:p w:rsidR="00A621E3" w:rsidRDefault="00A621E3">
            <w:pPr>
              <w:spacing w:line="20" w:lineRule="exact"/>
              <w:rPr>
                <w:sz w:val="1"/>
                <w:szCs w:val="1"/>
              </w:rPr>
            </w:pPr>
          </w:p>
        </w:tc>
        <w:tc>
          <w:tcPr>
            <w:tcW w:w="960" w:type="dxa"/>
            <w:gridSpan w:val="4"/>
            <w:shd w:val="clear" w:color="auto" w:fill="0000EE"/>
            <w:vAlign w:val="bottom"/>
          </w:tcPr>
          <w:p w:rsidR="00A621E3" w:rsidRDefault="00A621E3">
            <w:pPr>
              <w:spacing w:line="20" w:lineRule="exact"/>
              <w:rPr>
                <w:sz w:val="1"/>
                <w:szCs w:val="1"/>
              </w:rPr>
            </w:pPr>
          </w:p>
        </w:tc>
        <w:tc>
          <w:tcPr>
            <w:tcW w:w="260" w:type="dxa"/>
            <w:vAlign w:val="bottom"/>
          </w:tcPr>
          <w:p w:rsidR="00A621E3" w:rsidRDefault="00A621E3">
            <w:pPr>
              <w:spacing w:line="20" w:lineRule="exact"/>
              <w:rPr>
                <w:sz w:val="1"/>
                <w:szCs w:val="1"/>
              </w:rPr>
            </w:pPr>
          </w:p>
        </w:tc>
        <w:tc>
          <w:tcPr>
            <w:tcW w:w="80" w:type="dxa"/>
            <w:vAlign w:val="bottom"/>
          </w:tcPr>
          <w:p w:rsidR="00A621E3" w:rsidRDefault="00A621E3">
            <w:pPr>
              <w:spacing w:line="20" w:lineRule="exact"/>
              <w:rPr>
                <w:sz w:val="1"/>
                <w:szCs w:val="1"/>
              </w:rPr>
            </w:pPr>
          </w:p>
        </w:tc>
        <w:tc>
          <w:tcPr>
            <w:tcW w:w="160" w:type="dxa"/>
            <w:vAlign w:val="bottom"/>
          </w:tcPr>
          <w:p w:rsidR="00A621E3" w:rsidRDefault="00A621E3">
            <w:pPr>
              <w:spacing w:line="20" w:lineRule="exact"/>
              <w:rPr>
                <w:sz w:val="1"/>
                <w:szCs w:val="1"/>
              </w:rPr>
            </w:pPr>
          </w:p>
        </w:tc>
        <w:tc>
          <w:tcPr>
            <w:tcW w:w="120" w:type="dxa"/>
            <w:gridSpan w:val="2"/>
            <w:vAlign w:val="bottom"/>
          </w:tcPr>
          <w:p w:rsidR="00A621E3" w:rsidRDefault="00A621E3">
            <w:pPr>
              <w:spacing w:line="20" w:lineRule="exact"/>
              <w:rPr>
                <w:sz w:val="1"/>
                <w:szCs w:val="1"/>
              </w:rPr>
            </w:pPr>
          </w:p>
        </w:tc>
        <w:tc>
          <w:tcPr>
            <w:tcW w:w="240" w:type="dxa"/>
            <w:vAlign w:val="bottom"/>
          </w:tcPr>
          <w:p w:rsidR="00A621E3" w:rsidRDefault="00A621E3">
            <w:pPr>
              <w:spacing w:line="20" w:lineRule="exact"/>
              <w:rPr>
                <w:sz w:val="1"/>
                <w:szCs w:val="1"/>
              </w:rPr>
            </w:pPr>
          </w:p>
        </w:tc>
        <w:tc>
          <w:tcPr>
            <w:tcW w:w="100" w:type="dxa"/>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c>
          <w:tcPr>
            <w:tcW w:w="540" w:type="dxa"/>
            <w:gridSpan w:val="2"/>
            <w:vAlign w:val="bottom"/>
          </w:tcPr>
          <w:p w:rsidR="00A621E3" w:rsidRDefault="00A621E3">
            <w:pPr>
              <w:spacing w:line="20" w:lineRule="exact"/>
              <w:rPr>
                <w:sz w:val="1"/>
                <w:szCs w:val="1"/>
              </w:rPr>
            </w:pPr>
          </w:p>
        </w:tc>
        <w:tc>
          <w:tcPr>
            <w:tcW w:w="620" w:type="dxa"/>
            <w:vAlign w:val="bottom"/>
          </w:tcPr>
          <w:p w:rsidR="00A621E3" w:rsidRDefault="00A621E3">
            <w:pPr>
              <w:spacing w:line="20" w:lineRule="exact"/>
              <w:rPr>
                <w:sz w:val="1"/>
                <w:szCs w:val="1"/>
              </w:rPr>
            </w:pPr>
          </w:p>
        </w:tc>
        <w:tc>
          <w:tcPr>
            <w:tcW w:w="2500" w:type="dxa"/>
            <w:vAlign w:val="bottom"/>
          </w:tcPr>
          <w:p w:rsidR="00A621E3" w:rsidRDefault="00A621E3">
            <w:pPr>
              <w:spacing w:line="20" w:lineRule="exact"/>
              <w:rPr>
                <w:sz w:val="1"/>
                <w:szCs w:val="1"/>
              </w:rPr>
            </w:pPr>
          </w:p>
        </w:tc>
        <w:tc>
          <w:tcPr>
            <w:tcW w:w="380" w:type="dxa"/>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r>
      <w:tr w:rsidR="00A621E3">
        <w:trPr>
          <w:trHeight w:val="250"/>
        </w:trPr>
        <w:tc>
          <w:tcPr>
            <w:tcW w:w="200" w:type="dxa"/>
            <w:vAlign w:val="bottom"/>
          </w:tcPr>
          <w:p w:rsidR="00A621E3" w:rsidRDefault="00A621E3">
            <w:pPr>
              <w:rPr>
                <w:sz w:val="21"/>
                <w:szCs w:val="21"/>
              </w:rPr>
            </w:pPr>
          </w:p>
        </w:tc>
        <w:tc>
          <w:tcPr>
            <w:tcW w:w="4960" w:type="dxa"/>
            <w:gridSpan w:val="21"/>
            <w:tcBorders>
              <w:bottom w:val="single" w:sz="8" w:space="0" w:color="0000EE"/>
            </w:tcBorders>
            <w:vAlign w:val="bottom"/>
          </w:tcPr>
          <w:p w:rsidR="00A621E3" w:rsidRDefault="00EC630E">
            <w:pPr>
              <w:rPr>
                <w:sz w:val="20"/>
                <w:szCs w:val="20"/>
              </w:rPr>
            </w:pPr>
            <w:r>
              <w:rPr>
                <w:rFonts w:ascii="Arial" w:eastAsia="Arial" w:hAnsi="Arial" w:cs="Arial"/>
                <w:b/>
                <w:bCs/>
                <w:color w:val="0000EE"/>
                <w:w w:val="98"/>
                <w:sz w:val="20"/>
                <w:szCs w:val="20"/>
              </w:rPr>
              <w:t>Policies Regarding Accounting and Auditing Matters</w:t>
            </w:r>
          </w:p>
        </w:tc>
        <w:tc>
          <w:tcPr>
            <w:tcW w:w="5180" w:type="dxa"/>
            <w:gridSpan w:val="10"/>
            <w:vAlign w:val="bottom"/>
          </w:tcPr>
          <w:p w:rsidR="00A621E3" w:rsidRDefault="00A621E3">
            <w:pPr>
              <w:rPr>
                <w:sz w:val="21"/>
                <w:szCs w:val="21"/>
              </w:rPr>
            </w:pPr>
          </w:p>
        </w:tc>
        <w:tc>
          <w:tcPr>
            <w:tcW w:w="680" w:type="dxa"/>
            <w:vAlign w:val="bottom"/>
          </w:tcPr>
          <w:p w:rsidR="00A621E3" w:rsidRDefault="00EC630E">
            <w:pPr>
              <w:jc w:val="right"/>
              <w:rPr>
                <w:sz w:val="20"/>
                <w:szCs w:val="20"/>
              </w:rPr>
            </w:pPr>
            <w:r>
              <w:rPr>
                <w:rFonts w:ascii="Arial" w:eastAsia="Arial" w:hAnsi="Arial" w:cs="Arial"/>
                <w:sz w:val="20"/>
                <w:szCs w:val="20"/>
              </w:rPr>
              <w:t>21</w:t>
            </w:r>
          </w:p>
        </w:tc>
      </w:tr>
      <w:tr w:rsidR="00A621E3">
        <w:trPr>
          <w:trHeight w:val="250"/>
        </w:trPr>
        <w:tc>
          <w:tcPr>
            <w:tcW w:w="200" w:type="dxa"/>
            <w:vAlign w:val="bottom"/>
          </w:tcPr>
          <w:p w:rsidR="00A621E3" w:rsidRDefault="00A621E3">
            <w:pPr>
              <w:rPr>
                <w:sz w:val="21"/>
                <w:szCs w:val="21"/>
              </w:rPr>
            </w:pPr>
          </w:p>
        </w:tc>
        <w:tc>
          <w:tcPr>
            <w:tcW w:w="10140" w:type="dxa"/>
            <w:gridSpan w:val="31"/>
            <w:vAlign w:val="bottom"/>
          </w:tcPr>
          <w:p w:rsidR="00A621E3" w:rsidRDefault="00EC630E">
            <w:pPr>
              <w:rPr>
                <w:sz w:val="20"/>
                <w:szCs w:val="20"/>
              </w:rPr>
            </w:pPr>
            <w:r>
              <w:rPr>
                <w:rFonts w:ascii="Arial" w:eastAsia="Arial" w:hAnsi="Arial" w:cs="Arial"/>
                <w:b/>
                <w:bCs/>
                <w:color w:val="0000EE"/>
                <w:sz w:val="20"/>
                <w:szCs w:val="20"/>
              </w:rPr>
              <w:t>Committees of the Board</w:t>
            </w:r>
          </w:p>
        </w:tc>
        <w:tc>
          <w:tcPr>
            <w:tcW w:w="680" w:type="dxa"/>
            <w:vAlign w:val="bottom"/>
          </w:tcPr>
          <w:p w:rsidR="00A621E3" w:rsidRDefault="00EC630E">
            <w:pPr>
              <w:jc w:val="right"/>
              <w:rPr>
                <w:sz w:val="20"/>
                <w:szCs w:val="20"/>
              </w:rPr>
            </w:pPr>
            <w:r>
              <w:rPr>
                <w:rFonts w:ascii="Arial" w:eastAsia="Arial" w:hAnsi="Arial" w:cs="Arial"/>
                <w:sz w:val="20"/>
                <w:szCs w:val="20"/>
              </w:rPr>
              <w:t>21</w:t>
            </w:r>
          </w:p>
        </w:tc>
      </w:tr>
      <w:tr w:rsidR="00A621E3">
        <w:trPr>
          <w:trHeight w:val="20"/>
        </w:trPr>
        <w:tc>
          <w:tcPr>
            <w:tcW w:w="200" w:type="dxa"/>
            <w:vAlign w:val="bottom"/>
          </w:tcPr>
          <w:p w:rsidR="00A621E3" w:rsidRDefault="00A621E3">
            <w:pPr>
              <w:spacing w:line="20" w:lineRule="exact"/>
              <w:rPr>
                <w:sz w:val="1"/>
                <w:szCs w:val="1"/>
              </w:rPr>
            </w:pPr>
          </w:p>
        </w:tc>
        <w:tc>
          <w:tcPr>
            <w:tcW w:w="680" w:type="dxa"/>
            <w:shd w:val="clear" w:color="auto" w:fill="0000EE"/>
            <w:vAlign w:val="bottom"/>
          </w:tcPr>
          <w:p w:rsidR="00A621E3" w:rsidRDefault="00A621E3">
            <w:pPr>
              <w:spacing w:line="20" w:lineRule="exact"/>
              <w:rPr>
                <w:sz w:val="1"/>
                <w:szCs w:val="1"/>
              </w:rPr>
            </w:pPr>
          </w:p>
        </w:tc>
        <w:tc>
          <w:tcPr>
            <w:tcW w:w="1680" w:type="dxa"/>
            <w:gridSpan w:val="6"/>
            <w:shd w:val="clear" w:color="auto" w:fill="0000EE"/>
            <w:vAlign w:val="bottom"/>
          </w:tcPr>
          <w:p w:rsidR="00A621E3" w:rsidRDefault="00A621E3">
            <w:pPr>
              <w:spacing w:line="20" w:lineRule="exact"/>
              <w:rPr>
                <w:sz w:val="1"/>
                <w:szCs w:val="1"/>
              </w:rPr>
            </w:pPr>
          </w:p>
        </w:tc>
        <w:tc>
          <w:tcPr>
            <w:tcW w:w="240" w:type="dxa"/>
            <w:vAlign w:val="bottom"/>
          </w:tcPr>
          <w:p w:rsidR="00A621E3" w:rsidRDefault="00A621E3">
            <w:pPr>
              <w:spacing w:line="20" w:lineRule="exact"/>
              <w:rPr>
                <w:sz w:val="1"/>
                <w:szCs w:val="1"/>
              </w:rPr>
            </w:pPr>
          </w:p>
        </w:tc>
        <w:tc>
          <w:tcPr>
            <w:tcW w:w="900" w:type="dxa"/>
            <w:gridSpan w:val="6"/>
            <w:vAlign w:val="bottom"/>
          </w:tcPr>
          <w:p w:rsidR="00A621E3" w:rsidRDefault="00A621E3">
            <w:pPr>
              <w:spacing w:line="20" w:lineRule="exact"/>
              <w:rPr>
                <w:sz w:val="1"/>
                <w:szCs w:val="1"/>
              </w:rPr>
            </w:pPr>
          </w:p>
        </w:tc>
        <w:tc>
          <w:tcPr>
            <w:tcW w:w="1220" w:type="dxa"/>
            <w:gridSpan w:val="5"/>
            <w:vAlign w:val="bottom"/>
          </w:tcPr>
          <w:p w:rsidR="00A621E3" w:rsidRDefault="00A621E3">
            <w:pPr>
              <w:spacing w:line="20" w:lineRule="exact"/>
              <w:rPr>
                <w:sz w:val="1"/>
                <w:szCs w:val="1"/>
              </w:rPr>
            </w:pPr>
          </w:p>
        </w:tc>
        <w:tc>
          <w:tcPr>
            <w:tcW w:w="80" w:type="dxa"/>
            <w:vAlign w:val="bottom"/>
          </w:tcPr>
          <w:p w:rsidR="00A621E3" w:rsidRDefault="00A621E3">
            <w:pPr>
              <w:spacing w:line="20" w:lineRule="exact"/>
              <w:rPr>
                <w:sz w:val="1"/>
                <w:szCs w:val="1"/>
              </w:rPr>
            </w:pPr>
          </w:p>
        </w:tc>
        <w:tc>
          <w:tcPr>
            <w:tcW w:w="280" w:type="dxa"/>
            <w:gridSpan w:val="3"/>
            <w:vAlign w:val="bottom"/>
          </w:tcPr>
          <w:p w:rsidR="00A621E3" w:rsidRDefault="00A621E3">
            <w:pPr>
              <w:spacing w:line="20" w:lineRule="exact"/>
              <w:rPr>
                <w:sz w:val="1"/>
                <w:szCs w:val="1"/>
              </w:rPr>
            </w:pPr>
          </w:p>
        </w:tc>
        <w:tc>
          <w:tcPr>
            <w:tcW w:w="240" w:type="dxa"/>
            <w:vAlign w:val="bottom"/>
          </w:tcPr>
          <w:p w:rsidR="00A621E3" w:rsidRDefault="00A621E3">
            <w:pPr>
              <w:spacing w:line="20" w:lineRule="exact"/>
              <w:rPr>
                <w:sz w:val="1"/>
                <w:szCs w:val="1"/>
              </w:rPr>
            </w:pPr>
          </w:p>
        </w:tc>
        <w:tc>
          <w:tcPr>
            <w:tcW w:w="100" w:type="dxa"/>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c>
          <w:tcPr>
            <w:tcW w:w="540" w:type="dxa"/>
            <w:gridSpan w:val="2"/>
            <w:vAlign w:val="bottom"/>
          </w:tcPr>
          <w:p w:rsidR="00A621E3" w:rsidRDefault="00A621E3">
            <w:pPr>
              <w:spacing w:line="20" w:lineRule="exact"/>
              <w:rPr>
                <w:sz w:val="1"/>
                <w:szCs w:val="1"/>
              </w:rPr>
            </w:pPr>
          </w:p>
        </w:tc>
        <w:tc>
          <w:tcPr>
            <w:tcW w:w="620" w:type="dxa"/>
            <w:vAlign w:val="bottom"/>
          </w:tcPr>
          <w:p w:rsidR="00A621E3" w:rsidRDefault="00A621E3">
            <w:pPr>
              <w:spacing w:line="20" w:lineRule="exact"/>
              <w:rPr>
                <w:sz w:val="1"/>
                <w:szCs w:val="1"/>
              </w:rPr>
            </w:pPr>
          </w:p>
        </w:tc>
        <w:tc>
          <w:tcPr>
            <w:tcW w:w="2500" w:type="dxa"/>
            <w:vAlign w:val="bottom"/>
          </w:tcPr>
          <w:p w:rsidR="00A621E3" w:rsidRDefault="00A621E3">
            <w:pPr>
              <w:spacing w:line="20" w:lineRule="exact"/>
              <w:rPr>
                <w:sz w:val="1"/>
                <w:szCs w:val="1"/>
              </w:rPr>
            </w:pPr>
          </w:p>
        </w:tc>
        <w:tc>
          <w:tcPr>
            <w:tcW w:w="380" w:type="dxa"/>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r>
      <w:tr w:rsidR="00A621E3">
        <w:trPr>
          <w:trHeight w:val="250"/>
        </w:trPr>
        <w:tc>
          <w:tcPr>
            <w:tcW w:w="200" w:type="dxa"/>
            <w:vAlign w:val="bottom"/>
          </w:tcPr>
          <w:p w:rsidR="00A621E3" w:rsidRDefault="00A621E3">
            <w:pPr>
              <w:rPr>
                <w:sz w:val="21"/>
                <w:szCs w:val="21"/>
              </w:rPr>
            </w:pPr>
          </w:p>
        </w:tc>
        <w:tc>
          <w:tcPr>
            <w:tcW w:w="5080" w:type="dxa"/>
            <w:gridSpan w:val="23"/>
            <w:tcBorders>
              <w:bottom w:val="single" w:sz="8" w:space="0" w:color="0000EE"/>
            </w:tcBorders>
            <w:vAlign w:val="bottom"/>
          </w:tcPr>
          <w:p w:rsidR="00A621E3" w:rsidRDefault="00EC630E">
            <w:pPr>
              <w:rPr>
                <w:sz w:val="20"/>
                <w:szCs w:val="20"/>
              </w:rPr>
            </w:pPr>
            <w:r>
              <w:rPr>
                <w:rFonts w:ascii="Arial" w:eastAsia="Arial" w:hAnsi="Arial" w:cs="Arial"/>
                <w:b/>
                <w:bCs/>
                <w:color w:val="0000EE"/>
                <w:w w:val="98"/>
                <w:sz w:val="20"/>
                <w:szCs w:val="20"/>
              </w:rPr>
              <w:t>Related Person Transactions Policies and Procedures</w:t>
            </w:r>
          </w:p>
        </w:tc>
        <w:tc>
          <w:tcPr>
            <w:tcW w:w="5060" w:type="dxa"/>
            <w:gridSpan w:val="8"/>
            <w:vAlign w:val="bottom"/>
          </w:tcPr>
          <w:p w:rsidR="00A621E3" w:rsidRDefault="00A621E3">
            <w:pPr>
              <w:rPr>
                <w:sz w:val="21"/>
                <w:szCs w:val="21"/>
              </w:rPr>
            </w:pPr>
          </w:p>
        </w:tc>
        <w:tc>
          <w:tcPr>
            <w:tcW w:w="680" w:type="dxa"/>
            <w:vAlign w:val="bottom"/>
          </w:tcPr>
          <w:p w:rsidR="00A621E3" w:rsidRDefault="00EC630E">
            <w:pPr>
              <w:jc w:val="right"/>
              <w:rPr>
                <w:sz w:val="20"/>
                <w:szCs w:val="20"/>
              </w:rPr>
            </w:pPr>
            <w:r>
              <w:rPr>
                <w:rFonts w:ascii="Arial" w:eastAsia="Arial" w:hAnsi="Arial" w:cs="Arial"/>
                <w:sz w:val="20"/>
                <w:szCs w:val="20"/>
              </w:rPr>
              <w:t>23</w:t>
            </w:r>
          </w:p>
        </w:tc>
      </w:tr>
      <w:tr w:rsidR="00A621E3">
        <w:trPr>
          <w:trHeight w:val="250"/>
        </w:trPr>
        <w:tc>
          <w:tcPr>
            <w:tcW w:w="200" w:type="dxa"/>
            <w:vAlign w:val="bottom"/>
          </w:tcPr>
          <w:p w:rsidR="00A621E3" w:rsidRDefault="00A621E3">
            <w:pPr>
              <w:rPr>
                <w:sz w:val="21"/>
                <w:szCs w:val="21"/>
              </w:rPr>
            </w:pPr>
          </w:p>
        </w:tc>
        <w:tc>
          <w:tcPr>
            <w:tcW w:w="5320" w:type="dxa"/>
            <w:gridSpan w:val="24"/>
            <w:tcBorders>
              <w:bottom w:val="single" w:sz="8" w:space="0" w:color="0000EE"/>
            </w:tcBorders>
            <w:vAlign w:val="bottom"/>
          </w:tcPr>
          <w:p w:rsidR="00A621E3" w:rsidRDefault="00EC630E">
            <w:pPr>
              <w:rPr>
                <w:sz w:val="20"/>
                <w:szCs w:val="20"/>
              </w:rPr>
            </w:pPr>
            <w:r>
              <w:rPr>
                <w:rFonts w:ascii="Arial" w:eastAsia="Arial" w:hAnsi="Arial" w:cs="Arial"/>
                <w:b/>
                <w:bCs/>
                <w:color w:val="0000EE"/>
                <w:w w:val="98"/>
                <w:sz w:val="20"/>
                <w:szCs w:val="20"/>
              </w:rPr>
              <w:t>Director and Executive Officer Stock Ownership Policies</w:t>
            </w:r>
          </w:p>
        </w:tc>
        <w:tc>
          <w:tcPr>
            <w:tcW w:w="4820" w:type="dxa"/>
            <w:gridSpan w:val="7"/>
            <w:vAlign w:val="bottom"/>
          </w:tcPr>
          <w:p w:rsidR="00A621E3" w:rsidRDefault="00A621E3">
            <w:pPr>
              <w:rPr>
                <w:sz w:val="21"/>
                <w:szCs w:val="21"/>
              </w:rPr>
            </w:pPr>
          </w:p>
        </w:tc>
        <w:tc>
          <w:tcPr>
            <w:tcW w:w="680" w:type="dxa"/>
            <w:vAlign w:val="bottom"/>
          </w:tcPr>
          <w:p w:rsidR="00A621E3" w:rsidRDefault="00EC630E">
            <w:pPr>
              <w:jc w:val="right"/>
              <w:rPr>
                <w:sz w:val="20"/>
                <w:szCs w:val="20"/>
              </w:rPr>
            </w:pPr>
            <w:r>
              <w:rPr>
                <w:rFonts w:ascii="Arial" w:eastAsia="Arial" w:hAnsi="Arial" w:cs="Arial"/>
                <w:sz w:val="20"/>
                <w:szCs w:val="20"/>
              </w:rPr>
              <w:t>24</w:t>
            </w:r>
          </w:p>
        </w:tc>
      </w:tr>
      <w:tr w:rsidR="00A621E3">
        <w:trPr>
          <w:trHeight w:val="250"/>
        </w:trPr>
        <w:tc>
          <w:tcPr>
            <w:tcW w:w="200" w:type="dxa"/>
            <w:vAlign w:val="bottom"/>
          </w:tcPr>
          <w:p w:rsidR="00A621E3" w:rsidRDefault="00A621E3">
            <w:pPr>
              <w:rPr>
                <w:sz w:val="21"/>
                <w:szCs w:val="21"/>
              </w:rPr>
            </w:pPr>
          </w:p>
        </w:tc>
        <w:tc>
          <w:tcPr>
            <w:tcW w:w="10140" w:type="dxa"/>
            <w:gridSpan w:val="31"/>
            <w:vAlign w:val="bottom"/>
          </w:tcPr>
          <w:p w:rsidR="00A621E3" w:rsidRDefault="00EC630E">
            <w:pPr>
              <w:rPr>
                <w:sz w:val="20"/>
                <w:szCs w:val="20"/>
              </w:rPr>
            </w:pPr>
            <w:r>
              <w:rPr>
                <w:rFonts w:ascii="Arial" w:eastAsia="Arial" w:hAnsi="Arial" w:cs="Arial"/>
                <w:b/>
                <w:bCs/>
                <w:color w:val="0000EE"/>
                <w:sz w:val="20"/>
                <w:szCs w:val="20"/>
              </w:rPr>
              <w:t xml:space="preserve">Policy Regarding Hedging </w:t>
            </w:r>
            <w:r>
              <w:rPr>
                <w:rFonts w:ascii="Arial" w:eastAsia="Arial" w:hAnsi="Arial" w:cs="Arial"/>
                <w:b/>
                <w:bCs/>
                <w:color w:val="0000EE"/>
                <w:sz w:val="20"/>
                <w:szCs w:val="20"/>
              </w:rPr>
              <w:t>and Speculative Trading</w:t>
            </w:r>
          </w:p>
        </w:tc>
        <w:tc>
          <w:tcPr>
            <w:tcW w:w="680" w:type="dxa"/>
            <w:vAlign w:val="bottom"/>
          </w:tcPr>
          <w:p w:rsidR="00A621E3" w:rsidRDefault="00EC630E">
            <w:pPr>
              <w:jc w:val="right"/>
              <w:rPr>
                <w:sz w:val="20"/>
                <w:szCs w:val="20"/>
              </w:rPr>
            </w:pPr>
            <w:r>
              <w:rPr>
                <w:rFonts w:ascii="Arial" w:eastAsia="Arial" w:hAnsi="Arial" w:cs="Arial"/>
                <w:sz w:val="20"/>
                <w:szCs w:val="20"/>
              </w:rPr>
              <w:t>24</w:t>
            </w:r>
          </w:p>
        </w:tc>
      </w:tr>
      <w:tr w:rsidR="00A621E3">
        <w:trPr>
          <w:trHeight w:val="20"/>
        </w:trPr>
        <w:tc>
          <w:tcPr>
            <w:tcW w:w="200" w:type="dxa"/>
            <w:vAlign w:val="bottom"/>
          </w:tcPr>
          <w:p w:rsidR="00A621E3" w:rsidRDefault="00A621E3">
            <w:pPr>
              <w:spacing w:line="20" w:lineRule="exact"/>
              <w:rPr>
                <w:sz w:val="1"/>
                <w:szCs w:val="1"/>
              </w:rPr>
            </w:pPr>
          </w:p>
        </w:tc>
        <w:tc>
          <w:tcPr>
            <w:tcW w:w="680" w:type="dxa"/>
            <w:shd w:val="clear" w:color="auto" w:fill="0000EE"/>
            <w:vAlign w:val="bottom"/>
          </w:tcPr>
          <w:p w:rsidR="00A621E3" w:rsidRDefault="00A621E3">
            <w:pPr>
              <w:spacing w:line="20" w:lineRule="exact"/>
              <w:rPr>
                <w:sz w:val="1"/>
                <w:szCs w:val="1"/>
              </w:rPr>
            </w:pPr>
          </w:p>
        </w:tc>
        <w:tc>
          <w:tcPr>
            <w:tcW w:w="1920" w:type="dxa"/>
            <w:gridSpan w:val="7"/>
            <w:shd w:val="clear" w:color="auto" w:fill="0000EE"/>
            <w:vAlign w:val="bottom"/>
          </w:tcPr>
          <w:p w:rsidR="00A621E3" w:rsidRDefault="00A621E3">
            <w:pPr>
              <w:spacing w:line="20" w:lineRule="exact"/>
              <w:rPr>
                <w:sz w:val="1"/>
                <w:szCs w:val="1"/>
              </w:rPr>
            </w:pPr>
          </w:p>
        </w:tc>
        <w:tc>
          <w:tcPr>
            <w:tcW w:w="900" w:type="dxa"/>
            <w:gridSpan w:val="6"/>
            <w:shd w:val="clear" w:color="auto" w:fill="0000EE"/>
            <w:vAlign w:val="bottom"/>
          </w:tcPr>
          <w:p w:rsidR="00A621E3" w:rsidRDefault="00A621E3">
            <w:pPr>
              <w:spacing w:line="20" w:lineRule="exact"/>
              <w:rPr>
                <w:sz w:val="1"/>
                <w:szCs w:val="1"/>
              </w:rPr>
            </w:pPr>
          </w:p>
        </w:tc>
        <w:tc>
          <w:tcPr>
            <w:tcW w:w="1220" w:type="dxa"/>
            <w:gridSpan w:val="5"/>
            <w:shd w:val="clear" w:color="auto" w:fill="0000EE"/>
            <w:vAlign w:val="bottom"/>
          </w:tcPr>
          <w:p w:rsidR="00A621E3" w:rsidRDefault="00A621E3">
            <w:pPr>
              <w:spacing w:line="20" w:lineRule="exact"/>
              <w:rPr>
                <w:sz w:val="1"/>
                <w:szCs w:val="1"/>
              </w:rPr>
            </w:pPr>
          </w:p>
        </w:tc>
        <w:tc>
          <w:tcPr>
            <w:tcW w:w="80" w:type="dxa"/>
            <w:shd w:val="clear" w:color="auto" w:fill="0000EE"/>
            <w:vAlign w:val="bottom"/>
          </w:tcPr>
          <w:p w:rsidR="00A621E3" w:rsidRDefault="00A621E3">
            <w:pPr>
              <w:spacing w:line="20" w:lineRule="exact"/>
              <w:rPr>
                <w:sz w:val="1"/>
                <w:szCs w:val="1"/>
              </w:rPr>
            </w:pPr>
          </w:p>
        </w:tc>
        <w:tc>
          <w:tcPr>
            <w:tcW w:w="620" w:type="dxa"/>
            <w:gridSpan w:val="5"/>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c>
          <w:tcPr>
            <w:tcW w:w="540" w:type="dxa"/>
            <w:gridSpan w:val="2"/>
            <w:vAlign w:val="bottom"/>
          </w:tcPr>
          <w:p w:rsidR="00A621E3" w:rsidRDefault="00A621E3">
            <w:pPr>
              <w:spacing w:line="20" w:lineRule="exact"/>
              <w:rPr>
                <w:sz w:val="1"/>
                <w:szCs w:val="1"/>
              </w:rPr>
            </w:pPr>
          </w:p>
        </w:tc>
        <w:tc>
          <w:tcPr>
            <w:tcW w:w="620" w:type="dxa"/>
            <w:vAlign w:val="bottom"/>
          </w:tcPr>
          <w:p w:rsidR="00A621E3" w:rsidRDefault="00A621E3">
            <w:pPr>
              <w:spacing w:line="20" w:lineRule="exact"/>
              <w:rPr>
                <w:sz w:val="1"/>
                <w:szCs w:val="1"/>
              </w:rPr>
            </w:pPr>
          </w:p>
        </w:tc>
        <w:tc>
          <w:tcPr>
            <w:tcW w:w="2500" w:type="dxa"/>
            <w:vAlign w:val="bottom"/>
          </w:tcPr>
          <w:p w:rsidR="00A621E3" w:rsidRDefault="00A621E3">
            <w:pPr>
              <w:spacing w:line="20" w:lineRule="exact"/>
              <w:rPr>
                <w:sz w:val="1"/>
                <w:szCs w:val="1"/>
              </w:rPr>
            </w:pPr>
          </w:p>
        </w:tc>
        <w:tc>
          <w:tcPr>
            <w:tcW w:w="380" w:type="dxa"/>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r>
      <w:tr w:rsidR="00A621E3">
        <w:trPr>
          <w:trHeight w:val="425"/>
        </w:trPr>
        <w:tc>
          <w:tcPr>
            <w:tcW w:w="10340" w:type="dxa"/>
            <w:gridSpan w:val="32"/>
            <w:vAlign w:val="bottom"/>
          </w:tcPr>
          <w:p w:rsidR="00A621E3" w:rsidRDefault="00EC630E">
            <w:pPr>
              <w:rPr>
                <w:sz w:val="20"/>
                <w:szCs w:val="20"/>
              </w:rPr>
            </w:pPr>
            <w:r>
              <w:rPr>
                <w:rFonts w:ascii="Arial" w:eastAsia="Arial" w:hAnsi="Arial" w:cs="Arial"/>
                <w:b/>
                <w:bCs/>
                <w:color w:val="0000EE"/>
              </w:rPr>
              <w:t>MATTERS REQUIRING STOCKHOLDER ACTION</w:t>
            </w:r>
          </w:p>
        </w:tc>
        <w:tc>
          <w:tcPr>
            <w:tcW w:w="680" w:type="dxa"/>
            <w:vAlign w:val="bottom"/>
          </w:tcPr>
          <w:p w:rsidR="00A621E3" w:rsidRDefault="00EC630E">
            <w:pPr>
              <w:jc w:val="right"/>
              <w:rPr>
                <w:sz w:val="20"/>
                <w:szCs w:val="20"/>
              </w:rPr>
            </w:pPr>
            <w:r>
              <w:rPr>
                <w:rFonts w:ascii="Arial" w:eastAsia="Arial" w:hAnsi="Arial" w:cs="Arial"/>
                <w:b/>
                <w:bCs/>
                <w:color w:val="CF0A2C"/>
              </w:rPr>
              <w:t>25</w:t>
            </w:r>
          </w:p>
        </w:tc>
      </w:tr>
      <w:tr w:rsidR="00A621E3">
        <w:trPr>
          <w:trHeight w:val="20"/>
        </w:trPr>
        <w:tc>
          <w:tcPr>
            <w:tcW w:w="2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68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7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5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8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3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4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80" w:type="dxa"/>
            <w:tcBorders>
              <w:bottom w:val="single" w:sz="8" w:space="0" w:color="CF0A2C"/>
            </w:tcBorders>
            <w:vAlign w:val="bottom"/>
          </w:tcPr>
          <w:p w:rsidR="00A621E3" w:rsidRDefault="00A621E3">
            <w:pPr>
              <w:spacing w:line="20" w:lineRule="exact"/>
              <w:rPr>
                <w:sz w:val="1"/>
                <w:szCs w:val="1"/>
              </w:rPr>
            </w:pPr>
          </w:p>
        </w:tc>
        <w:tc>
          <w:tcPr>
            <w:tcW w:w="160" w:type="dxa"/>
            <w:tcBorders>
              <w:bottom w:val="single" w:sz="8" w:space="0" w:color="CF0A2C"/>
            </w:tcBorders>
            <w:vAlign w:val="bottom"/>
          </w:tcPr>
          <w:p w:rsidR="00A621E3" w:rsidRDefault="00A621E3">
            <w:pPr>
              <w:spacing w:line="20" w:lineRule="exact"/>
              <w:rPr>
                <w:sz w:val="1"/>
                <w:szCs w:val="1"/>
              </w:rPr>
            </w:pPr>
          </w:p>
        </w:tc>
        <w:tc>
          <w:tcPr>
            <w:tcW w:w="20" w:type="dxa"/>
            <w:tcBorders>
              <w:bottom w:val="single" w:sz="8" w:space="0" w:color="CF0A2C"/>
            </w:tcBorders>
            <w:vAlign w:val="bottom"/>
          </w:tcPr>
          <w:p w:rsidR="00A621E3" w:rsidRDefault="00A621E3">
            <w:pPr>
              <w:spacing w:line="20" w:lineRule="exact"/>
              <w:rPr>
                <w:sz w:val="1"/>
                <w:szCs w:val="1"/>
              </w:rPr>
            </w:pPr>
          </w:p>
        </w:tc>
        <w:tc>
          <w:tcPr>
            <w:tcW w:w="100" w:type="dxa"/>
            <w:tcBorders>
              <w:bottom w:val="single" w:sz="8" w:space="0" w:color="CF0A2C"/>
            </w:tcBorders>
            <w:vAlign w:val="bottom"/>
          </w:tcPr>
          <w:p w:rsidR="00A621E3" w:rsidRDefault="00A621E3">
            <w:pPr>
              <w:spacing w:line="20" w:lineRule="exact"/>
              <w:rPr>
                <w:sz w:val="1"/>
                <w:szCs w:val="1"/>
              </w:rPr>
            </w:pPr>
          </w:p>
        </w:tc>
        <w:tc>
          <w:tcPr>
            <w:tcW w:w="240" w:type="dxa"/>
            <w:tcBorders>
              <w:bottom w:val="single" w:sz="8" w:space="0" w:color="CF0A2C"/>
            </w:tcBorders>
            <w:vAlign w:val="bottom"/>
          </w:tcPr>
          <w:p w:rsidR="00A621E3" w:rsidRDefault="00A621E3">
            <w:pPr>
              <w:spacing w:line="20" w:lineRule="exact"/>
              <w:rPr>
                <w:sz w:val="1"/>
                <w:szCs w:val="1"/>
              </w:rPr>
            </w:pPr>
          </w:p>
        </w:tc>
        <w:tc>
          <w:tcPr>
            <w:tcW w:w="100" w:type="dxa"/>
            <w:tcBorders>
              <w:bottom w:val="single" w:sz="8" w:space="0" w:color="CF0A2C"/>
            </w:tcBorders>
            <w:vAlign w:val="bottom"/>
          </w:tcPr>
          <w:p w:rsidR="00A621E3" w:rsidRDefault="00A621E3">
            <w:pPr>
              <w:spacing w:line="20" w:lineRule="exact"/>
              <w:rPr>
                <w:sz w:val="1"/>
                <w:szCs w:val="1"/>
              </w:rPr>
            </w:pPr>
          </w:p>
        </w:tc>
        <w:tc>
          <w:tcPr>
            <w:tcW w:w="680" w:type="dxa"/>
            <w:tcBorders>
              <w:bottom w:val="single" w:sz="8" w:space="0" w:color="CF0A2C"/>
            </w:tcBorders>
            <w:vAlign w:val="bottom"/>
          </w:tcPr>
          <w:p w:rsidR="00A621E3" w:rsidRDefault="00A621E3">
            <w:pPr>
              <w:spacing w:line="20" w:lineRule="exact"/>
              <w:rPr>
                <w:sz w:val="1"/>
                <w:szCs w:val="1"/>
              </w:rPr>
            </w:pPr>
          </w:p>
        </w:tc>
        <w:tc>
          <w:tcPr>
            <w:tcW w:w="400" w:type="dxa"/>
            <w:tcBorders>
              <w:bottom w:val="single" w:sz="8" w:space="0" w:color="CF0A2C"/>
            </w:tcBorders>
            <w:vAlign w:val="bottom"/>
          </w:tcPr>
          <w:p w:rsidR="00A621E3" w:rsidRDefault="00A621E3">
            <w:pPr>
              <w:spacing w:line="20" w:lineRule="exact"/>
              <w:rPr>
                <w:sz w:val="1"/>
                <w:szCs w:val="1"/>
              </w:rPr>
            </w:pPr>
          </w:p>
        </w:tc>
        <w:tc>
          <w:tcPr>
            <w:tcW w:w="140" w:type="dxa"/>
            <w:tcBorders>
              <w:bottom w:val="single" w:sz="8" w:space="0" w:color="CF0A2C"/>
            </w:tcBorders>
            <w:vAlign w:val="bottom"/>
          </w:tcPr>
          <w:p w:rsidR="00A621E3" w:rsidRDefault="00A621E3">
            <w:pPr>
              <w:spacing w:line="20" w:lineRule="exact"/>
              <w:rPr>
                <w:sz w:val="1"/>
                <w:szCs w:val="1"/>
              </w:rPr>
            </w:pPr>
          </w:p>
        </w:tc>
        <w:tc>
          <w:tcPr>
            <w:tcW w:w="620" w:type="dxa"/>
            <w:tcBorders>
              <w:bottom w:val="single" w:sz="8" w:space="0" w:color="CF0A2C"/>
            </w:tcBorders>
            <w:vAlign w:val="bottom"/>
          </w:tcPr>
          <w:p w:rsidR="00A621E3" w:rsidRDefault="00A621E3">
            <w:pPr>
              <w:spacing w:line="20" w:lineRule="exact"/>
              <w:rPr>
                <w:sz w:val="1"/>
                <w:szCs w:val="1"/>
              </w:rPr>
            </w:pPr>
          </w:p>
        </w:tc>
        <w:tc>
          <w:tcPr>
            <w:tcW w:w="2500" w:type="dxa"/>
            <w:tcBorders>
              <w:bottom w:val="single" w:sz="8" w:space="0" w:color="CF0A2C"/>
            </w:tcBorders>
            <w:vAlign w:val="bottom"/>
          </w:tcPr>
          <w:p w:rsidR="00A621E3" w:rsidRDefault="00A621E3">
            <w:pPr>
              <w:spacing w:line="20" w:lineRule="exact"/>
              <w:rPr>
                <w:sz w:val="1"/>
                <w:szCs w:val="1"/>
              </w:rPr>
            </w:pPr>
          </w:p>
        </w:tc>
        <w:tc>
          <w:tcPr>
            <w:tcW w:w="380" w:type="dxa"/>
            <w:tcBorders>
              <w:bottom w:val="single" w:sz="8" w:space="0" w:color="CF0A2C"/>
            </w:tcBorders>
            <w:vAlign w:val="bottom"/>
          </w:tcPr>
          <w:p w:rsidR="00A621E3" w:rsidRDefault="00A621E3">
            <w:pPr>
              <w:spacing w:line="20" w:lineRule="exact"/>
              <w:rPr>
                <w:sz w:val="1"/>
                <w:szCs w:val="1"/>
              </w:rPr>
            </w:pPr>
          </w:p>
        </w:tc>
        <w:tc>
          <w:tcPr>
            <w:tcW w:w="680" w:type="dxa"/>
            <w:tcBorders>
              <w:bottom w:val="single" w:sz="8" w:space="0" w:color="CF0A2C"/>
            </w:tcBorders>
            <w:vAlign w:val="bottom"/>
          </w:tcPr>
          <w:p w:rsidR="00A621E3" w:rsidRDefault="00A621E3">
            <w:pPr>
              <w:spacing w:line="20" w:lineRule="exact"/>
              <w:rPr>
                <w:sz w:val="1"/>
                <w:szCs w:val="1"/>
              </w:rPr>
            </w:pPr>
          </w:p>
        </w:tc>
      </w:tr>
      <w:tr w:rsidR="00A621E3">
        <w:trPr>
          <w:trHeight w:val="385"/>
        </w:trPr>
        <w:tc>
          <w:tcPr>
            <w:tcW w:w="10340" w:type="dxa"/>
            <w:gridSpan w:val="32"/>
            <w:vAlign w:val="bottom"/>
          </w:tcPr>
          <w:p w:rsidR="00A621E3" w:rsidRDefault="00EC630E">
            <w:pPr>
              <w:rPr>
                <w:sz w:val="20"/>
                <w:szCs w:val="20"/>
              </w:rPr>
            </w:pPr>
            <w:r>
              <w:rPr>
                <w:rFonts w:ascii="Arial" w:eastAsia="Arial" w:hAnsi="Arial" w:cs="Arial"/>
                <w:b/>
                <w:bCs/>
                <w:sz w:val="20"/>
                <w:szCs w:val="20"/>
              </w:rPr>
              <w:t xml:space="preserve">ITEM 1  </w:t>
            </w:r>
            <w:r>
              <w:rPr>
                <w:rFonts w:ascii="Arial" w:eastAsia="Arial" w:hAnsi="Arial" w:cs="Arial"/>
                <w:b/>
                <w:bCs/>
                <w:color w:val="0000EE"/>
                <w:sz w:val="20"/>
                <w:szCs w:val="20"/>
              </w:rPr>
              <w:t>Election of Directors</w:t>
            </w:r>
          </w:p>
        </w:tc>
        <w:tc>
          <w:tcPr>
            <w:tcW w:w="680" w:type="dxa"/>
            <w:vAlign w:val="bottom"/>
          </w:tcPr>
          <w:p w:rsidR="00A621E3" w:rsidRDefault="00EC630E">
            <w:pPr>
              <w:jc w:val="right"/>
              <w:rPr>
                <w:sz w:val="20"/>
                <w:szCs w:val="20"/>
              </w:rPr>
            </w:pPr>
            <w:r>
              <w:rPr>
                <w:rFonts w:ascii="Arial" w:eastAsia="Arial" w:hAnsi="Arial" w:cs="Arial"/>
                <w:sz w:val="20"/>
                <w:szCs w:val="20"/>
              </w:rPr>
              <w:t>25</w:t>
            </w:r>
          </w:p>
        </w:tc>
      </w:tr>
      <w:tr w:rsidR="00A621E3">
        <w:trPr>
          <w:trHeight w:val="20"/>
        </w:trPr>
        <w:tc>
          <w:tcPr>
            <w:tcW w:w="880" w:type="dxa"/>
            <w:gridSpan w:val="2"/>
            <w:vAlign w:val="bottom"/>
          </w:tcPr>
          <w:p w:rsidR="00A621E3" w:rsidRDefault="00A621E3">
            <w:pPr>
              <w:spacing w:line="20" w:lineRule="exact"/>
              <w:rPr>
                <w:sz w:val="1"/>
                <w:szCs w:val="1"/>
              </w:rPr>
            </w:pPr>
          </w:p>
        </w:tc>
        <w:tc>
          <w:tcPr>
            <w:tcW w:w="1920" w:type="dxa"/>
            <w:gridSpan w:val="7"/>
            <w:shd w:val="clear" w:color="auto" w:fill="0000EE"/>
            <w:vAlign w:val="bottom"/>
          </w:tcPr>
          <w:p w:rsidR="00A621E3" w:rsidRDefault="00A621E3">
            <w:pPr>
              <w:spacing w:line="20" w:lineRule="exact"/>
              <w:rPr>
                <w:sz w:val="1"/>
                <w:szCs w:val="1"/>
              </w:rPr>
            </w:pPr>
          </w:p>
        </w:tc>
        <w:tc>
          <w:tcPr>
            <w:tcW w:w="900" w:type="dxa"/>
            <w:gridSpan w:val="6"/>
            <w:vAlign w:val="bottom"/>
          </w:tcPr>
          <w:p w:rsidR="00A621E3" w:rsidRDefault="00A621E3">
            <w:pPr>
              <w:spacing w:line="20" w:lineRule="exact"/>
              <w:rPr>
                <w:sz w:val="1"/>
                <w:szCs w:val="1"/>
              </w:rPr>
            </w:pPr>
          </w:p>
        </w:tc>
        <w:tc>
          <w:tcPr>
            <w:tcW w:w="1920" w:type="dxa"/>
            <w:gridSpan w:val="11"/>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c>
          <w:tcPr>
            <w:tcW w:w="540" w:type="dxa"/>
            <w:gridSpan w:val="2"/>
            <w:vAlign w:val="bottom"/>
          </w:tcPr>
          <w:p w:rsidR="00A621E3" w:rsidRDefault="00A621E3">
            <w:pPr>
              <w:spacing w:line="20" w:lineRule="exact"/>
              <w:rPr>
                <w:sz w:val="1"/>
                <w:szCs w:val="1"/>
              </w:rPr>
            </w:pPr>
          </w:p>
        </w:tc>
        <w:tc>
          <w:tcPr>
            <w:tcW w:w="620" w:type="dxa"/>
            <w:vAlign w:val="bottom"/>
          </w:tcPr>
          <w:p w:rsidR="00A621E3" w:rsidRDefault="00A621E3">
            <w:pPr>
              <w:spacing w:line="20" w:lineRule="exact"/>
              <w:rPr>
                <w:sz w:val="1"/>
                <w:szCs w:val="1"/>
              </w:rPr>
            </w:pPr>
          </w:p>
        </w:tc>
        <w:tc>
          <w:tcPr>
            <w:tcW w:w="2500" w:type="dxa"/>
            <w:vAlign w:val="bottom"/>
          </w:tcPr>
          <w:p w:rsidR="00A621E3" w:rsidRDefault="00A621E3">
            <w:pPr>
              <w:spacing w:line="20" w:lineRule="exact"/>
              <w:rPr>
                <w:sz w:val="1"/>
                <w:szCs w:val="1"/>
              </w:rPr>
            </w:pPr>
          </w:p>
        </w:tc>
        <w:tc>
          <w:tcPr>
            <w:tcW w:w="380" w:type="dxa"/>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r>
      <w:tr w:rsidR="00A621E3">
        <w:trPr>
          <w:trHeight w:val="250"/>
        </w:trPr>
        <w:tc>
          <w:tcPr>
            <w:tcW w:w="10340" w:type="dxa"/>
            <w:gridSpan w:val="32"/>
            <w:vAlign w:val="bottom"/>
          </w:tcPr>
          <w:p w:rsidR="00A621E3" w:rsidRDefault="00EC630E">
            <w:pPr>
              <w:rPr>
                <w:sz w:val="20"/>
                <w:szCs w:val="20"/>
              </w:rPr>
            </w:pPr>
            <w:r>
              <w:rPr>
                <w:rFonts w:ascii="Arial" w:eastAsia="Arial" w:hAnsi="Arial" w:cs="Arial"/>
                <w:b/>
                <w:bCs/>
                <w:sz w:val="20"/>
                <w:szCs w:val="20"/>
              </w:rPr>
              <w:t xml:space="preserve">ITEM 2  </w:t>
            </w:r>
            <w:r>
              <w:rPr>
                <w:rFonts w:ascii="Arial" w:eastAsia="Arial" w:hAnsi="Arial" w:cs="Arial"/>
                <w:b/>
                <w:bCs/>
                <w:color w:val="0000EE"/>
                <w:sz w:val="20"/>
                <w:szCs w:val="20"/>
              </w:rPr>
              <w:t>Approval and Ratification of Independent Auditors</w:t>
            </w:r>
          </w:p>
        </w:tc>
        <w:tc>
          <w:tcPr>
            <w:tcW w:w="680" w:type="dxa"/>
            <w:vAlign w:val="bottom"/>
          </w:tcPr>
          <w:p w:rsidR="00A621E3" w:rsidRDefault="00EC630E">
            <w:pPr>
              <w:jc w:val="right"/>
              <w:rPr>
                <w:sz w:val="20"/>
                <w:szCs w:val="20"/>
              </w:rPr>
            </w:pPr>
            <w:r>
              <w:rPr>
                <w:rFonts w:ascii="Arial" w:eastAsia="Arial" w:hAnsi="Arial" w:cs="Arial"/>
                <w:sz w:val="20"/>
                <w:szCs w:val="20"/>
              </w:rPr>
              <w:t>31</w:t>
            </w:r>
          </w:p>
        </w:tc>
      </w:tr>
      <w:tr w:rsidR="00A621E3">
        <w:trPr>
          <w:trHeight w:val="20"/>
        </w:trPr>
        <w:tc>
          <w:tcPr>
            <w:tcW w:w="880" w:type="dxa"/>
            <w:gridSpan w:val="2"/>
            <w:vAlign w:val="bottom"/>
          </w:tcPr>
          <w:p w:rsidR="00A621E3" w:rsidRDefault="00A621E3">
            <w:pPr>
              <w:spacing w:line="20" w:lineRule="exact"/>
              <w:rPr>
                <w:sz w:val="1"/>
                <w:szCs w:val="1"/>
              </w:rPr>
            </w:pPr>
          </w:p>
        </w:tc>
        <w:tc>
          <w:tcPr>
            <w:tcW w:w="2820" w:type="dxa"/>
            <w:gridSpan w:val="13"/>
            <w:shd w:val="clear" w:color="auto" w:fill="0000EE"/>
            <w:vAlign w:val="bottom"/>
          </w:tcPr>
          <w:p w:rsidR="00A621E3" w:rsidRDefault="00A621E3">
            <w:pPr>
              <w:spacing w:line="20" w:lineRule="exact"/>
              <w:rPr>
                <w:sz w:val="1"/>
                <w:szCs w:val="1"/>
              </w:rPr>
            </w:pPr>
          </w:p>
        </w:tc>
        <w:tc>
          <w:tcPr>
            <w:tcW w:w="1920" w:type="dxa"/>
            <w:gridSpan w:val="11"/>
            <w:shd w:val="clear" w:color="auto" w:fill="0000EE"/>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c>
          <w:tcPr>
            <w:tcW w:w="540" w:type="dxa"/>
            <w:gridSpan w:val="2"/>
            <w:vAlign w:val="bottom"/>
          </w:tcPr>
          <w:p w:rsidR="00A621E3" w:rsidRDefault="00A621E3">
            <w:pPr>
              <w:spacing w:line="20" w:lineRule="exact"/>
              <w:rPr>
                <w:sz w:val="1"/>
                <w:szCs w:val="1"/>
              </w:rPr>
            </w:pPr>
          </w:p>
        </w:tc>
        <w:tc>
          <w:tcPr>
            <w:tcW w:w="620" w:type="dxa"/>
            <w:vAlign w:val="bottom"/>
          </w:tcPr>
          <w:p w:rsidR="00A621E3" w:rsidRDefault="00A621E3">
            <w:pPr>
              <w:spacing w:line="20" w:lineRule="exact"/>
              <w:rPr>
                <w:sz w:val="1"/>
                <w:szCs w:val="1"/>
              </w:rPr>
            </w:pPr>
          </w:p>
        </w:tc>
        <w:tc>
          <w:tcPr>
            <w:tcW w:w="2500" w:type="dxa"/>
            <w:vAlign w:val="bottom"/>
          </w:tcPr>
          <w:p w:rsidR="00A621E3" w:rsidRDefault="00A621E3">
            <w:pPr>
              <w:spacing w:line="20" w:lineRule="exact"/>
              <w:rPr>
                <w:sz w:val="1"/>
                <w:szCs w:val="1"/>
              </w:rPr>
            </w:pPr>
          </w:p>
        </w:tc>
        <w:tc>
          <w:tcPr>
            <w:tcW w:w="380" w:type="dxa"/>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r>
      <w:tr w:rsidR="00A621E3">
        <w:trPr>
          <w:trHeight w:val="250"/>
        </w:trPr>
        <w:tc>
          <w:tcPr>
            <w:tcW w:w="10340" w:type="dxa"/>
            <w:gridSpan w:val="32"/>
            <w:vAlign w:val="bottom"/>
          </w:tcPr>
          <w:p w:rsidR="00A621E3" w:rsidRDefault="00EC630E">
            <w:pPr>
              <w:rPr>
                <w:sz w:val="20"/>
                <w:szCs w:val="20"/>
              </w:rPr>
            </w:pPr>
            <w:r>
              <w:rPr>
                <w:rFonts w:ascii="Arial" w:eastAsia="Arial" w:hAnsi="Arial" w:cs="Arial"/>
                <w:b/>
                <w:bCs/>
                <w:sz w:val="20"/>
                <w:szCs w:val="20"/>
              </w:rPr>
              <w:t xml:space="preserve">ITEM 3  </w:t>
            </w:r>
            <w:r>
              <w:rPr>
                <w:rFonts w:ascii="Arial" w:eastAsia="Arial" w:hAnsi="Arial" w:cs="Arial"/>
                <w:b/>
                <w:bCs/>
                <w:color w:val="0000EE"/>
                <w:sz w:val="20"/>
                <w:szCs w:val="20"/>
              </w:rPr>
              <w:t xml:space="preserve">Advisory Vote </w:t>
            </w:r>
            <w:r>
              <w:rPr>
                <w:rFonts w:ascii="Arial" w:eastAsia="Arial" w:hAnsi="Arial" w:cs="Arial"/>
                <w:b/>
                <w:bCs/>
                <w:color w:val="0000EE"/>
                <w:sz w:val="20"/>
                <w:szCs w:val="20"/>
              </w:rPr>
              <w:t>on Named Executive Officer Compensation</w:t>
            </w:r>
          </w:p>
        </w:tc>
        <w:tc>
          <w:tcPr>
            <w:tcW w:w="680" w:type="dxa"/>
            <w:vAlign w:val="bottom"/>
          </w:tcPr>
          <w:p w:rsidR="00A621E3" w:rsidRDefault="00EC630E">
            <w:pPr>
              <w:jc w:val="right"/>
              <w:rPr>
                <w:sz w:val="20"/>
                <w:szCs w:val="20"/>
              </w:rPr>
            </w:pPr>
            <w:r>
              <w:rPr>
                <w:rFonts w:ascii="Arial" w:eastAsia="Arial" w:hAnsi="Arial" w:cs="Arial"/>
                <w:sz w:val="20"/>
                <w:szCs w:val="20"/>
              </w:rPr>
              <w:t>33</w:t>
            </w:r>
          </w:p>
        </w:tc>
      </w:tr>
      <w:tr w:rsidR="00A621E3">
        <w:trPr>
          <w:trHeight w:val="20"/>
        </w:trPr>
        <w:tc>
          <w:tcPr>
            <w:tcW w:w="880" w:type="dxa"/>
            <w:gridSpan w:val="2"/>
            <w:vAlign w:val="bottom"/>
          </w:tcPr>
          <w:p w:rsidR="00A621E3" w:rsidRDefault="00A621E3">
            <w:pPr>
              <w:spacing w:line="20" w:lineRule="exact"/>
              <w:rPr>
                <w:sz w:val="1"/>
                <w:szCs w:val="1"/>
              </w:rPr>
            </w:pPr>
          </w:p>
        </w:tc>
        <w:tc>
          <w:tcPr>
            <w:tcW w:w="2820" w:type="dxa"/>
            <w:gridSpan w:val="13"/>
            <w:shd w:val="clear" w:color="auto" w:fill="0000EE"/>
            <w:vAlign w:val="bottom"/>
          </w:tcPr>
          <w:p w:rsidR="00A621E3" w:rsidRDefault="00A621E3">
            <w:pPr>
              <w:spacing w:line="20" w:lineRule="exact"/>
              <w:rPr>
                <w:sz w:val="1"/>
                <w:szCs w:val="1"/>
              </w:rPr>
            </w:pPr>
          </w:p>
        </w:tc>
        <w:tc>
          <w:tcPr>
            <w:tcW w:w="2600" w:type="dxa"/>
            <w:gridSpan w:val="12"/>
            <w:shd w:val="clear" w:color="auto" w:fill="0000EE"/>
            <w:vAlign w:val="bottom"/>
          </w:tcPr>
          <w:p w:rsidR="00A621E3" w:rsidRDefault="00A621E3">
            <w:pPr>
              <w:spacing w:line="20" w:lineRule="exact"/>
              <w:rPr>
                <w:sz w:val="1"/>
                <w:szCs w:val="1"/>
              </w:rPr>
            </w:pPr>
          </w:p>
        </w:tc>
        <w:tc>
          <w:tcPr>
            <w:tcW w:w="540" w:type="dxa"/>
            <w:gridSpan w:val="2"/>
            <w:vAlign w:val="bottom"/>
          </w:tcPr>
          <w:p w:rsidR="00A621E3" w:rsidRDefault="00A621E3">
            <w:pPr>
              <w:spacing w:line="20" w:lineRule="exact"/>
              <w:rPr>
                <w:sz w:val="1"/>
                <w:szCs w:val="1"/>
              </w:rPr>
            </w:pPr>
          </w:p>
        </w:tc>
        <w:tc>
          <w:tcPr>
            <w:tcW w:w="620" w:type="dxa"/>
            <w:vAlign w:val="bottom"/>
          </w:tcPr>
          <w:p w:rsidR="00A621E3" w:rsidRDefault="00A621E3">
            <w:pPr>
              <w:spacing w:line="20" w:lineRule="exact"/>
              <w:rPr>
                <w:sz w:val="1"/>
                <w:szCs w:val="1"/>
              </w:rPr>
            </w:pPr>
          </w:p>
        </w:tc>
        <w:tc>
          <w:tcPr>
            <w:tcW w:w="2500" w:type="dxa"/>
            <w:vAlign w:val="bottom"/>
          </w:tcPr>
          <w:p w:rsidR="00A621E3" w:rsidRDefault="00A621E3">
            <w:pPr>
              <w:spacing w:line="20" w:lineRule="exact"/>
              <w:rPr>
                <w:sz w:val="1"/>
                <w:szCs w:val="1"/>
              </w:rPr>
            </w:pPr>
          </w:p>
        </w:tc>
        <w:tc>
          <w:tcPr>
            <w:tcW w:w="380" w:type="dxa"/>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r>
      <w:tr w:rsidR="00A621E3">
        <w:trPr>
          <w:trHeight w:val="250"/>
        </w:trPr>
        <w:tc>
          <w:tcPr>
            <w:tcW w:w="10340" w:type="dxa"/>
            <w:gridSpan w:val="32"/>
            <w:vAlign w:val="bottom"/>
          </w:tcPr>
          <w:p w:rsidR="00A621E3" w:rsidRDefault="00EC630E">
            <w:pPr>
              <w:rPr>
                <w:sz w:val="20"/>
                <w:szCs w:val="20"/>
              </w:rPr>
            </w:pPr>
            <w:r>
              <w:rPr>
                <w:rFonts w:ascii="Arial" w:eastAsia="Arial" w:hAnsi="Arial" w:cs="Arial"/>
                <w:b/>
                <w:bCs/>
                <w:sz w:val="20"/>
                <w:szCs w:val="20"/>
              </w:rPr>
              <w:t xml:space="preserve">ITEM 4  </w:t>
            </w:r>
            <w:r>
              <w:rPr>
                <w:rFonts w:ascii="Arial" w:eastAsia="Arial" w:hAnsi="Arial" w:cs="Arial"/>
                <w:b/>
                <w:bCs/>
                <w:color w:val="0000EE"/>
                <w:sz w:val="20"/>
                <w:szCs w:val="20"/>
              </w:rPr>
              <w:t>Advisory Vote on the Frequency of the Advisory Vote on Named Executive Officer Compensation</w:t>
            </w:r>
          </w:p>
        </w:tc>
        <w:tc>
          <w:tcPr>
            <w:tcW w:w="680" w:type="dxa"/>
            <w:vAlign w:val="bottom"/>
          </w:tcPr>
          <w:p w:rsidR="00A621E3" w:rsidRDefault="00EC630E">
            <w:pPr>
              <w:jc w:val="right"/>
              <w:rPr>
                <w:sz w:val="20"/>
                <w:szCs w:val="20"/>
              </w:rPr>
            </w:pPr>
            <w:r>
              <w:rPr>
                <w:rFonts w:ascii="Arial" w:eastAsia="Arial" w:hAnsi="Arial" w:cs="Arial"/>
                <w:sz w:val="20"/>
                <w:szCs w:val="20"/>
              </w:rPr>
              <w:t>34</w:t>
            </w:r>
          </w:p>
        </w:tc>
      </w:tr>
      <w:tr w:rsidR="00A621E3">
        <w:trPr>
          <w:trHeight w:val="20"/>
        </w:trPr>
        <w:tc>
          <w:tcPr>
            <w:tcW w:w="880" w:type="dxa"/>
            <w:gridSpan w:val="2"/>
            <w:vAlign w:val="bottom"/>
          </w:tcPr>
          <w:p w:rsidR="00A621E3" w:rsidRDefault="00A621E3">
            <w:pPr>
              <w:spacing w:line="20" w:lineRule="exact"/>
              <w:rPr>
                <w:sz w:val="1"/>
                <w:szCs w:val="1"/>
              </w:rPr>
            </w:pPr>
          </w:p>
        </w:tc>
        <w:tc>
          <w:tcPr>
            <w:tcW w:w="2820" w:type="dxa"/>
            <w:gridSpan w:val="13"/>
            <w:shd w:val="clear" w:color="auto" w:fill="0000EE"/>
            <w:vAlign w:val="bottom"/>
          </w:tcPr>
          <w:p w:rsidR="00A621E3" w:rsidRDefault="00A621E3">
            <w:pPr>
              <w:spacing w:line="20" w:lineRule="exact"/>
              <w:rPr>
                <w:sz w:val="1"/>
                <w:szCs w:val="1"/>
              </w:rPr>
            </w:pPr>
          </w:p>
        </w:tc>
        <w:tc>
          <w:tcPr>
            <w:tcW w:w="3140" w:type="dxa"/>
            <w:gridSpan w:val="14"/>
            <w:shd w:val="clear" w:color="auto" w:fill="0000EE"/>
            <w:vAlign w:val="bottom"/>
          </w:tcPr>
          <w:p w:rsidR="00A621E3" w:rsidRDefault="00A621E3">
            <w:pPr>
              <w:spacing w:line="20" w:lineRule="exact"/>
              <w:rPr>
                <w:sz w:val="1"/>
                <w:szCs w:val="1"/>
              </w:rPr>
            </w:pPr>
          </w:p>
        </w:tc>
        <w:tc>
          <w:tcPr>
            <w:tcW w:w="620" w:type="dxa"/>
            <w:shd w:val="clear" w:color="auto" w:fill="0000EE"/>
            <w:vAlign w:val="bottom"/>
          </w:tcPr>
          <w:p w:rsidR="00A621E3" w:rsidRDefault="00A621E3">
            <w:pPr>
              <w:spacing w:line="20" w:lineRule="exact"/>
              <w:rPr>
                <w:sz w:val="1"/>
                <w:szCs w:val="1"/>
              </w:rPr>
            </w:pPr>
          </w:p>
        </w:tc>
        <w:tc>
          <w:tcPr>
            <w:tcW w:w="2500" w:type="dxa"/>
            <w:shd w:val="clear" w:color="auto" w:fill="0000EE"/>
            <w:vAlign w:val="bottom"/>
          </w:tcPr>
          <w:p w:rsidR="00A621E3" w:rsidRDefault="00A621E3">
            <w:pPr>
              <w:spacing w:line="20" w:lineRule="exact"/>
              <w:rPr>
                <w:sz w:val="1"/>
                <w:szCs w:val="1"/>
              </w:rPr>
            </w:pPr>
          </w:p>
        </w:tc>
        <w:tc>
          <w:tcPr>
            <w:tcW w:w="380" w:type="dxa"/>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r>
      <w:tr w:rsidR="00A621E3">
        <w:trPr>
          <w:trHeight w:val="250"/>
        </w:trPr>
        <w:tc>
          <w:tcPr>
            <w:tcW w:w="10340" w:type="dxa"/>
            <w:gridSpan w:val="32"/>
            <w:vAlign w:val="bottom"/>
          </w:tcPr>
          <w:p w:rsidR="00A621E3" w:rsidRDefault="00EC630E">
            <w:pPr>
              <w:rPr>
                <w:sz w:val="20"/>
                <w:szCs w:val="20"/>
              </w:rPr>
            </w:pPr>
            <w:r>
              <w:rPr>
                <w:rFonts w:ascii="Arial" w:eastAsia="Arial" w:hAnsi="Arial" w:cs="Arial"/>
                <w:b/>
                <w:bCs/>
                <w:sz w:val="20"/>
                <w:szCs w:val="20"/>
              </w:rPr>
              <w:t xml:space="preserve">ITEM 5  </w:t>
            </w:r>
            <w:r>
              <w:rPr>
                <w:rFonts w:ascii="Arial" w:eastAsia="Arial" w:hAnsi="Arial" w:cs="Arial"/>
                <w:b/>
                <w:bCs/>
                <w:color w:val="0000EE"/>
                <w:sz w:val="20"/>
                <w:szCs w:val="20"/>
              </w:rPr>
              <w:t>Authorization to Issue Shares up to 20% of Outstanding Shares</w:t>
            </w:r>
          </w:p>
        </w:tc>
        <w:tc>
          <w:tcPr>
            <w:tcW w:w="680" w:type="dxa"/>
            <w:vAlign w:val="bottom"/>
          </w:tcPr>
          <w:p w:rsidR="00A621E3" w:rsidRDefault="00EC630E">
            <w:pPr>
              <w:jc w:val="right"/>
              <w:rPr>
                <w:sz w:val="20"/>
                <w:szCs w:val="20"/>
              </w:rPr>
            </w:pPr>
            <w:r>
              <w:rPr>
                <w:rFonts w:ascii="Arial" w:eastAsia="Arial" w:hAnsi="Arial" w:cs="Arial"/>
                <w:sz w:val="20"/>
                <w:szCs w:val="20"/>
              </w:rPr>
              <w:t>35</w:t>
            </w:r>
          </w:p>
        </w:tc>
      </w:tr>
      <w:tr w:rsidR="00A621E3">
        <w:trPr>
          <w:trHeight w:val="20"/>
        </w:trPr>
        <w:tc>
          <w:tcPr>
            <w:tcW w:w="880" w:type="dxa"/>
            <w:gridSpan w:val="2"/>
            <w:vAlign w:val="bottom"/>
          </w:tcPr>
          <w:p w:rsidR="00A621E3" w:rsidRDefault="00A621E3">
            <w:pPr>
              <w:spacing w:line="20" w:lineRule="exact"/>
              <w:rPr>
                <w:sz w:val="1"/>
                <w:szCs w:val="1"/>
              </w:rPr>
            </w:pPr>
          </w:p>
        </w:tc>
        <w:tc>
          <w:tcPr>
            <w:tcW w:w="2820" w:type="dxa"/>
            <w:gridSpan w:val="13"/>
            <w:shd w:val="clear" w:color="auto" w:fill="0000EE"/>
            <w:vAlign w:val="bottom"/>
          </w:tcPr>
          <w:p w:rsidR="00A621E3" w:rsidRDefault="00A621E3">
            <w:pPr>
              <w:spacing w:line="20" w:lineRule="exact"/>
              <w:rPr>
                <w:sz w:val="1"/>
                <w:szCs w:val="1"/>
              </w:rPr>
            </w:pPr>
          </w:p>
        </w:tc>
        <w:tc>
          <w:tcPr>
            <w:tcW w:w="3140" w:type="dxa"/>
            <w:gridSpan w:val="14"/>
            <w:shd w:val="clear" w:color="auto" w:fill="0000EE"/>
            <w:vAlign w:val="bottom"/>
          </w:tcPr>
          <w:p w:rsidR="00A621E3" w:rsidRDefault="00A621E3">
            <w:pPr>
              <w:spacing w:line="20" w:lineRule="exact"/>
              <w:rPr>
                <w:sz w:val="1"/>
                <w:szCs w:val="1"/>
              </w:rPr>
            </w:pPr>
          </w:p>
        </w:tc>
        <w:tc>
          <w:tcPr>
            <w:tcW w:w="620" w:type="dxa"/>
            <w:vAlign w:val="bottom"/>
          </w:tcPr>
          <w:p w:rsidR="00A621E3" w:rsidRDefault="00A621E3">
            <w:pPr>
              <w:spacing w:line="20" w:lineRule="exact"/>
              <w:rPr>
                <w:sz w:val="1"/>
                <w:szCs w:val="1"/>
              </w:rPr>
            </w:pPr>
          </w:p>
        </w:tc>
        <w:tc>
          <w:tcPr>
            <w:tcW w:w="2880" w:type="dxa"/>
            <w:gridSpan w:val="2"/>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r>
      <w:tr w:rsidR="00A621E3">
        <w:trPr>
          <w:trHeight w:val="250"/>
        </w:trPr>
        <w:tc>
          <w:tcPr>
            <w:tcW w:w="10340" w:type="dxa"/>
            <w:gridSpan w:val="32"/>
            <w:vAlign w:val="bottom"/>
          </w:tcPr>
          <w:p w:rsidR="00A621E3" w:rsidRDefault="00EC630E">
            <w:pPr>
              <w:rPr>
                <w:sz w:val="20"/>
                <w:szCs w:val="20"/>
              </w:rPr>
            </w:pPr>
            <w:r>
              <w:rPr>
                <w:rFonts w:ascii="Arial" w:eastAsia="Arial" w:hAnsi="Arial" w:cs="Arial"/>
                <w:b/>
                <w:bCs/>
                <w:sz w:val="20"/>
                <w:szCs w:val="20"/>
              </w:rPr>
              <w:t xml:space="preserve">ITEM 6  </w:t>
            </w:r>
            <w:r>
              <w:rPr>
                <w:rFonts w:ascii="Arial" w:eastAsia="Arial" w:hAnsi="Arial" w:cs="Arial"/>
                <w:b/>
                <w:bCs/>
                <w:color w:val="0000EE"/>
                <w:sz w:val="20"/>
                <w:szCs w:val="20"/>
              </w:rPr>
              <w:t>Authorization to Repurchase Shares up to 10% of Outstanding Shares</w:t>
            </w:r>
          </w:p>
        </w:tc>
        <w:tc>
          <w:tcPr>
            <w:tcW w:w="680" w:type="dxa"/>
            <w:vAlign w:val="bottom"/>
          </w:tcPr>
          <w:p w:rsidR="00A621E3" w:rsidRDefault="00EC630E">
            <w:pPr>
              <w:jc w:val="right"/>
              <w:rPr>
                <w:sz w:val="20"/>
                <w:szCs w:val="20"/>
              </w:rPr>
            </w:pPr>
            <w:r>
              <w:rPr>
                <w:rFonts w:ascii="Arial" w:eastAsia="Arial" w:hAnsi="Arial" w:cs="Arial"/>
                <w:sz w:val="20"/>
                <w:szCs w:val="20"/>
              </w:rPr>
              <w:t>37</w:t>
            </w:r>
          </w:p>
        </w:tc>
      </w:tr>
      <w:tr w:rsidR="00A621E3">
        <w:trPr>
          <w:trHeight w:val="20"/>
        </w:trPr>
        <w:tc>
          <w:tcPr>
            <w:tcW w:w="880" w:type="dxa"/>
            <w:gridSpan w:val="2"/>
            <w:vAlign w:val="bottom"/>
          </w:tcPr>
          <w:p w:rsidR="00A621E3" w:rsidRDefault="00A621E3">
            <w:pPr>
              <w:spacing w:line="20" w:lineRule="exact"/>
              <w:rPr>
                <w:sz w:val="1"/>
                <w:szCs w:val="1"/>
              </w:rPr>
            </w:pPr>
          </w:p>
        </w:tc>
        <w:tc>
          <w:tcPr>
            <w:tcW w:w="2820" w:type="dxa"/>
            <w:gridSpan w:val="13"/>
            <w:shd w:val="clear" w:color="auto" w:fill="0000EE"/>
            <w:vAlign w:val="bottom"/>
          </w:tcPr>
          <w:p w:rsidR="00A621E3" w:rsidRDefault="00A621E3">
            <w:pPr>
              <w:spacing w:line="20" w:lineRule="exact"/>
              <w:rPr>
                <w:sz w:val="1"/>
                <w:szCs w:val="1"/>
              </w:rPr>
            </w:pPr>
          </w:p>
        </w:tc>
        <w:tc>
          <w:tcPr>
            <w:tcW w:w="3760" w:type="dxa"/>
            <w:gridSpan w:val="15"/>
            <w:shd w:val="clear" w:color="auto" w:fill="0000EE"/>
            <w:vAlign w:val="bottom"/>
          </w:tcPr>
          <w:p w:rsidR="00A621E3" w:rsidRDefault="00A621E3">
            <w:pPr>
              <w:spacing w:line="20" w:lineRule="exact"/>
              <w:rPr>
                <w:sz w:val="1"/>
                <w:szCs w:val="1"/>
              </w:rPr>
            </w:pPr>
          </w:p>
        </w:tc>
        <w:tc>
          <w:tcPr>
            <w:tcW w:w="2880" w:type="dxa"/>
            <w:gridSpan w:val="2"/>
            <w:vAlign w:val="bottom"/>
          </w:tcPr>
          <w:p w:rsidR="00A621E3" w:rsidRDefault="00A621E3">
            <w:pPr>
              <w:spacing w:line="20" w:lineRule="exact"/>
              <w:rPr>
                <w:sz w:val="1"/>
                <w:szCs w:val="1"/>
              </w:rPr>
            </w:pPr>
          </w:p>
        </w:tc>
        <w:tc>
          <w:tcPr>
            <w:tcW w:w="680" w:type="dxa"/>
            <w:vAlign w:val="bottom"/>
          </w:tcPr>
          <w:p w:rsidR="00A621E3" w:rsidRDefault="00A621E3">
            <w:pPr>
              <w:spacing w:line="20" w:lineRule="exact"/>
              <w:rPr>
                <w:sz w:val="1"/>
                <w:szCs w:val="1"/>
              </w:rPr>
            </w:pPr>
          </w:p>
        </w:tc>
      </w:tr>
      <w:tr w:rsidR="00A621E3">
        <w:trPr>
          <w:trHeight w:val="425"/>
        </w:trPr>
        <w:tc>
          <w:tcPr>
            <w:tcW w:w="10340" w:type="dxa"/>
            <w:gridSpan w:val="32"/>
            <w:vAlign w:val="bottom"/>
          </w:tcPr>
          <w:p w:rsidR="00A621E3" w:rsidRDefault="00EC630E">
            <w:pPr>
              <w:rPr>
                <w:sz w:val="20"/>
                <w:szCs w:val="20"/>
              </w:rPr>
            </w:pPr>
            <w:r>
              <w:rPr>
                <w:rFonts w:ascii="Arial" w:eastAsia="Arial" w:hAnsi="Arial" w:cs="Arial"/>
                <w:b/>
                <w:bCs/>
                <w:color w:val="0000EE"/>
              </w:rPr>
              <w:t>STOCK OWNERSHIP INFORMATION</w:t>
            </w:r>
          </w:p>
        </w:tc>
        <w:tc>
          <w:tcPr>
            <w:tcW w:w="680" w:type="dxa"/>
            <w:vAlign w:val="bottom"/>
          </w:tcPr>
          <w:p w:rsidR="00A621E3" w:rsidRDefault="00EC630E">
            <w:pPr>
              <w:jc w:val="right"/>
              <w:rPr>
                <w:sz w:val="20"/>
                <w:szCs w:val="20"/>
              </w:rPr>
            </w:pPr>
            <w:r>
              <w:rPr>
                <w:rFonts w:ascii="Arial" w:eastAsia="Arial" w:hAnsi="Arial" w:cs="Arial"/>
                <w:b/>
                <w:bCs/>
                <w:color w:val="CF0A2C"/>
              </w:rPr>
              <w:t>40</w:t>
            </w:r>
          </w:p>
        </w:tc>
      </w:tr>
      <w:tr w:rsidR="00A621E3">
        <w:trPr>
          <w:trHeight w:val="20"/>
        </w:trPr>
        <w:tc>
          <w:tcPr>
            <w:tcW w:w="2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68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7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5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8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3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40" w:type="dxa"/>
            <w:tcBorders>
              <w:bottom w:val="single" w:sz="8" w:space="0" w:color="CF0A2C"/>
            </w:tcBorders>
            <w:vAlign w:val="bottom"/>
          </w:tcPr>
          <w:p w:rsidR="00A621E3" w:rsidRDefault="00A621E3">
            <w:pPr>
              <w:spacing w:line="20" w:lineRule="exact"/>
              <w:rPr>
                <w:sz w:val="1"/>
                <w:szCs w:val="1"/>
              </w:rPr>
            </w:pPr>
          </w:p>
        </w:tc>
        <w:tc>
          <w:tcPr>
            <w:tcW w:w="200" w:type="dxa"/>
            <w:tcBorders>
              <w:bottom w:val="single" w:sz="8" w:space="0" w:color="CF0A2C"/>
            </w:tcBorders>
            <w:vAlign w:val="bottom"/>
          </w:tcPr>
          <w:p w:rsidR="00A621E3" w:rsidRDefault="00A621E3">
            <w:pPr>
              <w:spacing w:line="20" w:lineRule="exact"/>
              <w:rPr>
                <w:sz w:val="1"/>
                <w:szCs w:val="1"/>
              </w:rPr>
            </w:pPr>
          </w:p>
        </w:tc>
        <w:tc>
          <w:tcPr>
            <w:tcW w:w="160" w:type="dxa"/>
            <w:tcBorders>
              <w:bottom w:val="single" w:sz="8" w:space="0" w:color="CF0A2C"/>
            </w:tcBorders>
            <w:vAlign w:val="bottom"/>
          </w:tcPr>
          <w:p w:rsidR="00A621E3" w:rsidRDefault="00A621E3">
            <w:pPr>
              <w:spacing w:line="20" w:lineRule="exact"/>
              <w:rPr>
                <w:sz w:val="1"/>
                <w:szCs w:val="1"/>
              </w:rPr>
            </w:pPr>
          </w:p>
        </w:tc>
        <w:tc>
          <w:tcPr>
            <w:tcW w:w="460" w:type="dxa"/>
            <w:tcBorders>
              <w:bottom w:val="single" w:sz="8" w:space="0" w:color="CF0A2C"/>
            </w:tcBorders>
            <w:vAlign w:val="bottom"/>
          </w:tcPr>
          <w:p w:rsidR="00A621E3" w:rsidRDefault="00A621E3">
            <w:pPr>
              <w:spacing w:line="20" w:lineRule="exact"/>
              <w:rPr>
                <w:sz w:val="1"/>
                <w:szCs w:val="1"/>
              </w:rPr>
            </w:pPr>
          </w:p>
        </w:tc>
        <w:tc>
          <w:tcPr>
            <w:tcW w:w="260" w:type="dxa"/>
            <w:tcBorders>
              <w:bottom w:val="single" w:sz="8" w:space="0" w:color="CF0A2C"/>
            </w:tcBorders>
            <w:vAlign w:val="bottom"/>
          </w:tcPr>
          <w:p w:rsidR="00A621E3" w:rsidRDefault="00A621E3">
            <w:pPr>
              <w:spacing w:line="20" w:lineRule="exact"/>
              <w:rPr>
                <w:sz w:val="1"/>
                <w:szCs w:val="1"/>
              </w:rPr>
            </w:pPr>
          </w:p>
        </w:tc>
        <w:tc>
          <w:tcPr>
            <w:tcW w:w="80" w:type="dxa"/>
            <w:tcBorders>
              <w:bottom w:val="single" w:sz="8" w:space="0" w:color="CF0A2C"/>
            </w:tcBorders>
            <w:vAlign w:val="bottom"/>
          </w:tcPr>
          <w:p w:rsidR="00A621E3" w:rsidRDefault="00A621E3">
            <w:pPr>
              <w:spacing w:line="20" w:lineRule="exact"/>
              <w:rPr>
                <w:sz w:val="1"/>
                <w:szCs w:val="1"/>
              </w:rPr>
            </w:pPr>
          </w:p>
        </w:tc>
        <w:tc>
          <w:tcPr>
            <w:tcW w:w="160" w:type="dxa"/>
            <w:tcBorders>
              <w:bottom w:val="single" w:sz="8" w:space="0" w:color="CF0A2C"/>
            </w:tcBorders>
            <w:vAlign w:val="bottom"/>
          </w:tcPr>
          <w:p w:rsidR="00A621E3" w:rsidRDefault="00A621E3">
            <w:pPr>
              <w:spacing w:line="20" w:lineRule="exact"/>
              <w:rPr>
                <w:sz w:val="1"/>
                <w:szCs w:val="1"/>
              </w:rPr>
            </w:pPr>
          </w:p>
        </w:tc>
        <w:tc>
          <w:tcPr>
            <w:tcW w:w="20" w:type="dxa"/>
            <w:tcBorders>
              <w:bottom w:val="single" w:sz="8" w:space="0" w:color="CF0A2C"/>
            </w:tcBorders>
            <w:vAlign w:val="bottom"/>
          </w:tcPr>
          <w:p w:rsidR="00A621E3" w:rsidRDefault="00A621E3">
            <w:pPr>
              <w:spacing w:line="20" w:lineRule="exact"/>
              <w:rPr>
                <w:sz w:val="1"/>
                <w:szCs w:val="1"/>
              </w:rPr>
            </w:pPr>
          </w:p>
        </w:tc>
        <w:tc>
          <w:tcPr>
            <w:tcW w:w="100" w:type="dxa"/>
            <w:tcBorders>
              <w:bottom w:val="single" w:sz="8" w:space="0" w:color="CF0A2C"/>
            </w:tcBorders>
            <w:vAlign w:val="bottom"/>
          </w:tcPr>
          <w:p w:rsidR="00A621E3" w:rsidRDefault="00A621E3">
            <w:pPr>
              <w:spacing w:line="20" w:lineRule="exact"/>
              <w:rPr>
                <w:sz w:val="1"/>
                <w:szCs w:val="1"/>
              </w:rPr>
            </w:pPr>
          </w:p>
        </w:tc>
        <w:tc>
          <w:tcPr>
            <w:tcW w:w="240" w:type="dxa"/>
            <w:tcBorders>
              <w:bottom w:val="single" w:sz="8" w:space="0" w:color="CF0A2C"/>
            </w:tcBorders>
            <w:vAlign w:val="bottom"/>
          </w:tcPr>
          <w:p w:rsidR="00A621E3" w:rsidRDefault="00A621E3">
            <w:pPr>
              <w:spacing w:line="20" w:lineRule="exact"/>
              <w:rPr>
                <w:sz w:val="1"/>
                <w:szCs w:val="1"/>
              </w:rPr>
            </w:pPr>
          </w:p>
        </w:tc>
        <w:tc>
          <w:tcPr>
            <w:tcW w:w="100" w:type="dxa"/>
            <w:tcBorders>
              <w:bottom w:val="single" w:sz="8" w:space="0" w:color="CF0A2C"/>
            </w:tcBorders>
            <w:vAlign w:val="bottom"/>
          </w:tcPr>
          <w:p w:rsidR="00A621E3" w:rsidRDefault="00A621E3">
            <w:pPr>
              <w:spacing w:line="20" w:lineRule="exact"/>
              <w:rPr>
                <w:sz w:val="1"/>
                <w:szCs w:val="1"/>
              </w:rPr>
            </w:pPr>
          </w:p>
        </w:tc>
        <w:tc>
          <w:tcPr>
            <w:tcW w:w="680" w:type="dxa"/>
            <w:tcBorders>
              <w:bottom w:val="single" w:sz="8" w:space="0" w:color="CF0A2C"/>
            </w:tcBorders>
            <w:vAlign w:val="bottom"/>
          </w:tcPr>
          <w:p w:rsidR="00A621E3" w:rsidRDefault="00A621E3">
            <w:pPr>
              <w:spacing w:line="20" w:lineRule="exact"/>
              <w:rPr>
                <w:sz w:val="1"/>
                <w:szCs w:val="1"/>
              </w:rPr>
            </w:pPr>
          </w:p>
        </w:tc>
        <w:tc>
          <w:tcPr>
            <w:tcW w:w="400" w:type="dxa"/>
            <w:tcBorders>
              <w:bottom w:val="single" w:sz="8" w:space="0" w:color="CF0A2C"/>
            </w:tcBorders>
            <w:vAlign w:val="bottom"/>
          </w:tcPr>
          <w:p w:rsidR="00A621E3" w:rsidRDefault="00A621E3">
            <w:pPr>
              <w:spacing w:line="20" w:lineRule="exact"/>
              <w:rPr>
                <w:sz w:val="1"/>
                <w:szCs w:val="1"/>
              </w:rPr>
            </w:pPr>
          </w:p>
        </w:tc>
        <w:tc>
          <w:tcPr>
            <w:tcW w:w="140" w:type="dxa"/>
            <w:tcBorders>
              <w:bottom w:val="single" w:sz="8" w:space="0" w:color="CF0A2C"/>
            </w:tcBorders>
            <w:vAlign w:val="bottom"/>
          </w:tcPr>
          <w:p w:rsidR="00A621E3" w:rsidRDefault="00A621E3">
            <w:pPr>
              <w:spacing w:line="20" w:lineRule="exact"/>
              <w:rPr>
                <w:sz w:val="1"/>
                <w:szCs w:val="1"/>
              </w:rPr>
            </w:pPr>
          </w:p>
        </w:tc>
        <w:tc>
          <w:tcPr>
            <w:tcW w:w="620" w:type="dxa"/>
            <w:tcBorders>
              <w:bottom w:val="single" w:sz="8" w:space="0" w:color="CF0A2C"/>
            </w:tcBorders>
            <w:vAlign w:val="bottom"/>
          </w:tcPr>
          <w:p w:rsidR="00A621E3" w:rsidRDefault="00A621E3">
            <w:pPr>
              <w:spacing w:line="20" w:lineRule="exact"/>
              <w:rPr>
                <w:sz w:val="1"/>
                <w:szCs w:val="1"/>
              </w:rPr>
            </w:pPr>
          </w:p>
        </w:tc>
        <w:tc>
          <w:tcPr>
            <w:tcW w:w="2500" w:type="dxa"/>
            <w:tcBorders>
              <w:bottom w:val="single" w:sz="8" w:space="0" w:color="CF0A2C"/>
            </w:tcBorders>
            <w:vAlign w:val="bottom"/>
          </w:tcPr>
          <w:p w:rsidR="00A621E3" w:rsidRDefault="00A621E3">
            <w:pPr>
              <w:spacing w:line="20" w:lineRule="exact"/>
              <w:rPr>
                <w:sz w:val="1"/>
                <w:szCs w:val="1"/>
              </w:rPr>
            </w:pPr>
          </w:p>
        </w:tc>
        <w:tc>
          <w:tcPr>
            <w:tcW w:w="380" w:type="dxa"/>
            <w:tcBorders>
              <w:bottom w:val="single" w:sz="8" w:space="0" w:color="CF0A2C"/>
            </w:tcBorders>
            <w:vAlign w:val="bottom"/>
          </w:tcPr>
          <w:p w:rsidR="00A621E3" w:rsidRDefault="00A621E3">
            <w:pPr>
              <w:spacing w:line="20" w:lineRule="exact"/>
              <w:rPr>
                <w:sz w:val="1"/>
                <w:szCs w:val="1"/>
              </w:rPr>
            </w:pPr>
          </w:p>
        </w:tc>
        <w:tc>
          <w:tcPr>
            <w:tcW w:w="680" w:type="dxa"/>
            <w:tcBorders>
              <w:bottom w:val="single" w:sz="8" w:space="0" w:color="CF0A2C"/>
            </w:tcBorders>
            <w:vAlign w:val="bottom"/>
          </w:tcPr>
          <w:p w:rsidR="00A621E3" w:rsidRDefault="00A621E3">
            <w:pPr>
              <w:spacing w:line="20" w:lineRule="exact"/>
              <w:rPr>
                <w:sz w:val="1"/>
                <w:szCs w:val="1"/>
              </w:rPr>
            </w:pPr>
          </w:p>
        </w:tc>
      </w:tr>
    </w:tbl>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5" w:name="page5"/>
      <w:bookmarkEnd w:id="5"/>
      <w:r>
        <w:rPr>
          <w:rFonts w:ascii="Arial" w:eastAsia="Arial" w:hAnsi="Arial" w:cs="Arial"/>
          <w:b/>
          <w:bCs/>
          <w:noProof/>
          <w:color w:val="0000EE"/>
          <w:sz w:val="18"/>
          <w:szCs w:val="18"/>
          <w:u w:val="single"/>
        </w:rPr>
        <w:lastRenderedPageBreak/>
        <w:drawing>
          <wp:anchor distT="0" distB="0" distL="114300" distR="114300" simplePos="0" relativeHeight="25124147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A621E3">
      <w:pPr>
        <w:spacing w:line="29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00"/>
        <w:gridCol w:w="1620"/>
        <w:gridCol w:w="360"/>
        <w:gridCol w:w="200"/>
        <w:gridCol w:w="140"/>
        <w:gridCol w:w="120"/>
        <w:gridCol w:w="260"/>
        <w:gridCol w:w="80"/>
        <w:gridCol w:w="240"/>
        <w:gridCol w:w="100"/>
        <w:gridCol w:w="40"/>
        <w:gridCol w:w="100"/>
        <w:gridCol w:w="40"/>
        <w:gridCol w:w="480"/>
        <w:gridCol w:w="740"/>
        <w:gridCol w:w="100"/>
        <w:gridCol w:w="140"/>
        <w:gridCol w:w="900"/>
        <w:gridCol w:w="1240"/>
        <w:gridCol w:w="240"/>
        <w:gridCol w:w="1620"/>
        <w:gridCol w:w="2060"/>
      </w:tblGrid>
      <w:tr w:rsidR="00A621E3">
        <w:trPr>
          <w:trHeight w:val="275"/>
        </w:trPr>
        <w:tc>
          <w:tcPr>
            <w:tcW w:w="8960" w:type="dxa"/>
            <w:gridSpan w:val="21"/>
            <w:tcBorders>
              <w:bottom w:val="single" w:sz="8" w:space="0" w:color="CF0A2C"/>
            </w:tcBorders>
            <w:vAlign w:val="bottom"/>
          </w:tcPr>
          <w:p w:rsidR="00A621E3" w:rsidRDefault="00EC630E">
            <w:pPr>
              <w:rPr>
                <w:sz w:val="20"/>
                <w:szCs w:val="20"/>
              </w:rPr>
            </w:pPr>
            <w:r>
              <w:rPr>
                <w:rFonts w:ascii="Arial" w:eastAsia="Arial" w:hAnsi="Arial" w:cs="Arial"/>
                <w:b/>
                <w:bCs/>
                <w:color w:val="CF0A2C"/>
              </w:rPr>
              <w:t>EXECUTIVE COMPENSATION</w:t>
            </w:r>
          </w:p>
        </w:tc>
        <w:tc>
          <w:tcPr>
            <w:tcW w:w="2060" w:type="dxa"/>
            <w:tcBorders>
              <w:bottom w:val="single" w:sz="8" w:space="0" w:color="CF0A2C"/>
            </w:tcBorders>
            <w:vAlign w:val="bottom"/>
          </w:tcPr>
          <w:p w:rsidR="00A621E3" w:rsidRDefault="00EC630E">
            <w:pPr>
              <w:jc w:val="right"/>
              <w:rPr>
                <w:sz w:val="20"/>
                <w:szCs w:val="20"/>
              </w:rPr>
            </w:pPr>
            <w:r>
              <w:rPr>
                <w:rFonts w:ascii="Arial" w:eastAsia="Arial" w:hAnsi="Arial" w:cs="Arial"/>
                <w:b/>
                <w:bCs/>
                <w:color w:val="CF0A2C"/>
              </w:rPr>
              <w:t>42</w:t>
            </w:r>
          </w:p>
        </w:tc>
      </w:tr>
      <w:tr w:rsidR="00A621E3">
        <w:trPr>
          <w:trHeight w:val="385"/>
        </w:trPr>
        <w:tc>
          <w:tcPr>
            <w:tcW w:w="200" w:type="dxa"/>
            <w:vAlign w:val="bottom"/>
          </w:tcPr>
          <w:p w:rsidR="00A621E3" w:rsidRDefault="00A621E3">
            <w:pPr>
              <w:rPr>
                <w:sz w:val="24"/>
                <w:szCs w:val="24"/>
              </w:rPr>
            </w:pPr>
          </w:p>
        </w:tc>
        <w:tc>
          <w:tcPr>
            <w:tcW w:w="8760" w:type="dxa"/>
            <w:gridSpan w:val="20"/>
            <w:vAlign w:val="bottom"/>
          </w:tcPr>
          <w:p w:rsidR="00A621E3" w:rsidRDefault="00EC630E">
            <w:pPr>
              <w:rPr>
                <w:sz w:val="20"/>
                <w:szCs w:val="20"/>
              </w:rPr>
            </w:pPr>
            <w:r>
              <w:rPr>
                <w:rFonts w:ascii="Arial" w:eastAsia="Arial" w:hAnsi="Arial" w:cs="Arial"/>
                <w:b/>
                <w:bCs/>
                <w:color w:val="0000EE"/>
                <w:sz w:val="20"/>
                <w:szCs w:val="20"/>
              </w:rPr>
              <w:t>Named Executive Officers</w:t>
            </w:r>
          </w:p>
        </w:tc>
        <w:tc>
          <w:tcPr>
            <w:tcW w:w="2060" w:type="dxa"/>
            <w:vAlign w:val="bottom"/>
          </w:tcPr>
          <w:p w:rsidR="00A621E3" w:rsidRDefault="00EC630E">
            <w:pPr>
              <w:jc w:val="right"/>
              <w:rPr>
                <w:sz w:val="20"/>
                <w:szCs w:val="20"/>
              </w:rPr>
            </w:pPr>
            <w:r>
              <w:rPr>
                <w:rFonts w:ascii="Arial" w:eastAsia="Arial" w:hAnsi="Arial" w:cs="Arial"/>
                <w:sz w:val="20"/>
                <w:szCs w:val="20"/>
              </w:rPr>
              <w:t>42</w:t>
            </w:r>
          </w:p>
        </w:tc>
      </w:tr>
      <w:tr w:rsidR="00A621E3">
        <w:trPr>
          <w:trHeight w:val="20"/>
        </w:trPr>
        <w:tc>
          <w:tcPr>
            <w:tcW w:w="200" w:type="dxa"/>
            <w:vAlign w:val="bottom"/>
          </w:tcPr>
          <w:p w:rsidR="00A621E3" w:rsidRDefault="00A621E3">
            <w:pPr>
              <w:spacing w:line="20" w:lineRule="exact"/>
              <w:rPr>
                <w:sz w:val="1"/>
                <w:szCs w:val="1"/>
              </w:rPr>
            </w:pPr>
          </w:p>
        </w:tc>
        <w:tc>
          <w:tcPr>
            <w:tcW w:w="1620" w:type="dxa"/>
            <w:shd w:val="clear" w:color="auto" w:fill="0000EE"/>
            <w:vAlign w:val="bottom"/>
          </w:tcPr>
          <w:p w:rsidR="00A621E3" w:rsidRDefault="00A621E3">
            <w:pPr>
              <w:spacing w:line="20" w:lineRule="exact"/>
              <w:rPr>
                <w:sz w:val="1"/>
                <w:szCs w:val="1"/>
              </w:rPr>
            </w:pPr>
          </w:p>
        </w:tc>
        <w:tc>
          <w:tcPr>
            <w:tcW w:w="360" w:type="dxa"/>
            <w:shd w:val="clear" w:color="auto" w:fill="0000EE"/>
            <w:vAlign w:val="bottom"/>
          </w:tcPr>
          <w:p w:rsidR="00A621E3" w:rsidRDefault="00A621E3">
            <w:pPr>
              <w:spacing w:line="20" w:lineRule="exact"/>
              <w:rPr>
                <w:sz w:val="1"/>
                <w:szCs w:val="1"/>
              </w:rPr>
            </w:pPr>
          </w:p>
        </w:tc>
        <w:tc>
          <w:tcPr>
            <w:tcW w:w="200" w:type="dxa"/>
            <w:shd w:val="clear" w:color="auto" w:fill="0000EE"/>
            <w:vAlign w:val="bottom"/>
          </w:tcPr>
          <w:p w:rsidR="00A621E3" w:rsidRDefault="00A621E3">
            <w:pPr>
              <w:spacing w:line="20" w:lineRule="exact"/>
              <w:rPr>
                <w:sz w:val="1"/>
                <w:szCs w:val="1"/>
              </w:rPr>
            </w:pPr>
          </w:p>
        </w:tc>
        <w:tc>
          <w:tcPr>
            <w:tcW w:w="140" w:type="dxa"/>
            <w:shd w:val="clear" w:color="auto" w:fill="0000EE"/>
            <w:vAlign w:val="bottom"/>
          </w:tcPr>
          <w:p w:rsidR="00A621E3" w:rsidRDefault="00A621E3">
            <w:pPr>
              <w:spacing w:line="20" w:lineRule="exact"/>
              <w:rPr>
                <w:sz w:val="1"/>
                <w:szCs w:val="1"/>
              </w:rPr>
            </w:pPr>
          </w:p>
        </w:tc>
        <w:tc>
          <w:tcPr>
            <w:tcW w:w="120" w:type="dxa"/>
            <w:tcBorders>
              <w:right w:val="single" w:sz="8" w:space="0" w:color="0000EE"/>
            </w:tcBorders>
            <w:shd w:val="clear" w:color="auto" w:fill="0000EE"/>
            <w:vAlign w:val="bottom"/>
          </w:tcPr>
          <w:p w:rsidR="00A621E3" w:rsidRDefault="00A621E3">
            <w:pPr>
              <w:spacing w:line="20" w:lineRule="exact"/>
              <w:rPr>
                <w:sz w:val="1"/>
                <w:szCs w:val="1"/>
              </w:rPr>
            </w:pPr>
          </w:p>
        </w:tc>
        <w:tc>
          <w:tcPr>
            <w:tcW w:w="260" w:type="dxa"/>
            <w:vAlign w:val="bottom"/>
          </w:tcPr>
          <w:p w:rsidR="00A621E3" w:rsidRDefault="00A621E3">
            <w:pPr>
              <w:spacing w:line="20" w:lineRule="exact"/>
              <w:rPr>
                <w:sz w:val="1"/>
                <w:szCs w:val="1"/>
              </w:rPr>
            </w:pPr>
          </w:p>
        </w:tc>
        <w:tc>
          <w:tcPr>
            <w:tcW w:w="80" w:type="dxa"/>
            <w:vAlign w:val="bottom"/>
          </w:tcPr>
          <w:p w:rsidR="00A621E3" w:rsidRDefault="00A621E3">
            <w:pPr>
              <w:spacing w:line="20" w:lineRule="exact"/>
              <w:rPr>
                <w:sz w:val="1"/>
                <w:szCs w:val="1"/>
              </w:rPr>
            </w:pPr>
          </w:p>
        </w:tc>
        <w:tc>
          <w:tcPr>
            <w:tcW w:w="240" w:type="dxa"/>
            <w:vAlign w:val="bottom"/>
          </w:tcPr>
          <w:p w:rsidR="00A621E3" w:rsidRDefault="00A621E3">
            <w:pPr>
              <w:spacing w:line="20" w:lineRule="exact"/>
              <w:rPr>
                <w:sz w:val="1"/>
                <w:szCs w:val="1"/>
              </w:rPr>
            </w:pPr>
          </w:p>
        </w:tc>
        <w:tc>
          <w:tcPr>
            <w:tcW w:w="100" w:type="dxa"/>
            <w:vAlign w:val="bottom"/>
          </w:tcPr>
          <w:p w:rsidR="00A621E3" w:rsidRDefault="00A621E3">
            <w:pPr>
              <w:spacing w:line="20" w:lineRule="exact"/>
              <w:rPr>
                <w:sz w:val="1"/>
                <w:szCs w:val="1"/>
              </w:rPr>
            </w:pPr>
          </w:p>
        </w:tc>
        <w:tc>
          <w:tcPr>
            <w:tcW w:w="40" w:type="dxa"/>
            <w:vAlign w:val="bottom"/>
          </w:tcPr>
          <w:p w:rsidR="00A621E3" w:rsidRDefault="00A621E3">
            <w:pPr>
              <w:spacing w:line="20" w:lineRule="exact"/>
              <w:rPr>
                <w:sz w:val="1"/>
                <w:szCs w:val="1"/>
              </w:rPr>
            </w:pPr>
          </w:p>
        </w:tc>
        <w:tc>
          <w:tcPr>
            <w:tcW w:w="100" w:type="dxa"/>
            <w:vAlign w:val="bottom"/>
          </w:tcPr>
          <w:p w:rsidR="00A621E3" w:rsidRDefault="00A621E3">
            <w:pPr>
              <w:spacing w:line="20" w:lineRule="exact"/>
              <w:rPr>
                <w:sz w:val="1"/>
                <w:szCs w:val="1"/>
              </w:rPr>
            </w:pPr>
          </w:p>
        </w:tc>
        <w:tc>
          <w:tcPr>
            <w:tcW w:w="40" w:type="dxa"/>
            <w:vAlign w:val="bottom"/>
          </w:tcPr>
          <w:p w:rsidR="00A621E3" w:rsidRDefault="00A621E3">
            <w:pPr>
              <w:spacing w:line="20" w:lineRule="exact"/>
              <w:rPr>
                <w:sz w:val="1"/>
                <w:szCs w:val="1"/>
              </w:rPr>
            </w:pPr>
          </w:p>
        </w:tc>
        <w:tc>
          <w:tcPr>
            <w:tcW w:w="480" w:type="dxa"/>
            <w:vAlign w:val="bottom"/>
          </w:tcPr>
          <w:p w:rsidR="00A621E3" w:rsidRDefault="00A621E3">
            <w:pPr>
              <w:spacing w:line="20" w:lineRule="exact"/>
              <w:rPr>
                <w:sz w:val="1"/>
                <w:szCs w:val="1"/>
              </w:rPr>
            </w:pPr>
          </w:p>
        </w:tc>
        <w:tc>
          <w:tcPr>
            <w:tcW w:w="740" w:type="dxa"/>
            <w:vAlign w:val="bottom"/>
          </w:tcPr>
          <w:p w:rsidR="00A621E3" w:rsidRDefault="00A621E3">
            <w:pPr>
              <w:spacing w:line="20" w:lineRule="exact"/>
              <w:rPr>
                <w:sz w:val="1"/>
                <w:szCs w:val="1"/>
              </w:rPr>
            </w:pPr>
          </w:p>
        </w:tc>
        <w:tc>
          <w:tcPr>
            <w:tcW w:w="100" w:type="dxa"/>
            <w:vAlign w:val="bottom"/>
          </w:tcPr>
          <w:p w:rsidR="00A621E3" w:rsidRDefault="00A621E3">
            <w:pPr>
              <w:spacing w:line="20" w:lineRule="exact"/>
              <w:rPr>
                <w:sz w:val="1"/>
                <w:szCs w:val="1"/>
              </w:rPr>
            </w:pPr>
          </w:p>
        </w:tc>
        <w:tc>
          <w:tcPr>
            <w:tcW w:w="140" w:type="dxa"/>
            <w:vAlign w:val="bottom"/>
          </w:tcPr>
          <w:p w:rsidR="00A621E3" w:rsidRDefault="00A621E3">
            <w:pPr>
              <w:spacing w:line="20" w:lineRule="exact"/>
              <w:rPr>
                <w:sz w:val="1"/>
                <w:szCs w:val="1"/>
              </w:rPr>
            </w:pPr>
          </w:p>
        </w:tc>
        <w:tc>
          <w:tcPr>
            <w:tcW w:w="900" w:type="dxa"/>
            <w:vAlign w:val="bottom"/>
          </w:tcPr>
          <w:p w:rsidR="00A621E3" w:rsidRDefault="00A621E3">
            <w:pPr>
              <w:spacing w:line="20" w:lineRule="exact"/>
              <w:rPr>
                <w:sz w:val="1"/>
                <w:szCs w:val="1"/>
              </w:rPr>
            </w:pPr>
          </w:p>
        </w:tc>
        <w:tc>
          <w:tcPr>
            <w:tcW w:w="1240" w:type="dxa"/>
            <w:vAlign w:val="bottom"/>
          </w:tcPr>
          <w:p w:rsidR="00A621E3" w:rsidRDefault="00A621E3">
            <w:pPr>
              <w:spacing w:line="20" w:lineRule="exact"/>
              <w:rPr>
                <w:sz w:val="1"/>
                <w:szCs w:val="1"/>
              </w:rPr>
            </w:pPr>
          </w:p>
        </w:tc>
        <w:tc>
          <w:tcPr>
            <w:tcW w:w="240" w:type="dxa"/>
            <w:vAlign w:val="bottom"/>
          </w:tcPr>
          <w:p w:rsidR="00A621E3" w:rsidRDefault="00A621E3">
            <w:pPr>
              <w:spacing w:line="20" w:lineRule="exact"/>
              <w:rPr>
                <w:sz w:val="1"/>
                <w:szCs w:val="1"/>
              </w:rPr>
            </w:pPr>
          </w:p>
        </w:tc>
        <w:tc>
          <w:tcPr>
            <w:tcW w:w="1620" w:type="dxa"/>
            <w:vAlign w:val="bottom"/>
          </w:tcPr>
          <w:p w:rsidR="00A621E3" w:rsidRDefault="00A621E3">
            <w:pPr>
              <w:spacing w:line="20" w:lineRule="exact"/>
              <w:rPr>
                <w:sz w:val="1"/>
                <w:szCs w:val="1"/>
              </w:rPr>
            </w:pPr>
          </w:p>
        </w:tc>
        <w:tc>
          <w:tcPr>
            <w:tcW w:w="2060" w:type="dxa"/>
            <w:vAlign w:val="bottom"/>
          </w:tcPr>
          <w:p w:rsidR="00A621E3" w:rsidRDefault="00A621E3">
            <w:pPr>
              <w:spacing w:line="20" w:lineRule="exact"/>
              <w:rPr>
                <w:sz w:val="1"/>
                <w:szCs w:val="1"/>
              </w:rPr>
            </w:pPr>
          </w:p>
        </w:tc>
      </w:tr>
      <w:tr w:rsidR="00A621E3">
        <w:trPr>
          <w:trHeight w:val="250"/>
        </w:trPr>
        <w:tc>
          <w:tcPr>
            <w:tcW w:w="200" w:type="dxa"/>
            <w:vAlign w:val="bottom"/>
          </w:tcPr>
          <w:p w:rsidR="00A621E3" w:rsidRDefault="00A621E3">
            <w:pPr>
              <w:rPr>
                <w:sz w:val="21"/>
                <w:szCs w:val="21"/>
              </w:rPr>
            </w:pPr>
          </w:p>
        </w:tc>
        <w:tc>
          <w:tcPr>
            <w:tcW w:w="8760" w:type="dxa"/>
            <w:gridSpan w:val="20"/>
            <w:vAlign w:val="bottom"/>
          </w:tcPr>
          <w:p w:rsidR="00A621E3" w:rsidRDefault="00EC630E">
            <w:pPr>
              <w:rPr>
                <w:sz w:val="20"/>
                <w:szCs w:val="20"/>
              </w:rPr>
            </w:pPr>
            <w:r>
              <w:rPr>
                <w:rFonts w:ascii="Arial" w:eastAsia="Arial" w:hAnsi="Arial" w:cs="Arial"/>
                <w:b/>
                <w:bCs/>
                <w:color w:val="0000EE"/>
                <w:sz w:val="20"/>
                <w:szCs w:val="20"/>
              </w:rPr>
              <w:t>Context for Determining Executive Compensation Decisions</w:t>
            </w:r>
          </w:p>
        </w:tc>
        <w:tc>
          <w:tcPr>
            <w:tcW w:w="2060" w:type="dxa"/>
            <w:vAlign w:val="bottom"/>
          </w:tcPr>
          <w:p w:rsidR="00A621E3" w:rsidRDefault="00EC630E">
            <w:pPr>
              <w:jc w:val="right"/>
              <w:rPr>
                <w:sz w:val="20"/>
                <w:szCs w:val="20"/>
              </w:rPr>
            </w:pPr>
            <w:r>
              <w:rPr>
                <w:rFonts w:ascii="Arial" w:eastAsia="Arial" w:hAnsi="Arial" w:cs="Arial"/>
                <w:sz w:val="20"/>
                <w:szCs w:val="20"/>
              </w:rPr>
              <w:t>43</w:t>
            </w:r>
          </w:p>
        </w:tc>
      </w:tr>
      <w:tr w:rsidR="00A621E3">
        <w:trPr>
          <w:trHeight w:val="250"/>
        </w:trPr>
        <w:tc>
          <w:tcPr>
            <w:tcW w:w="200" w:type="dxa"/>
            <w:vAlign w:val="bottom"/>
          </w:tcPr>
          <w:p w:rsidR="00A621E3" w:rsidRDefault="00A621E3">
            <w:pPr>
              <w:rPr>
                <w:sz w:val="21"/>
                <w:szCs w:val="21"/>
              </w:rPr>
            </w:pPr>
          </w:p>
        </w:tc>
        <w:tc>
          <w:tcPr>
            <w:tcW w:w="4520" w:type="dxa"/>
            <w:gridSpan w:val="14"/>
            <w:tcBorders>
              <w:top w:val="single" w:sz="8" w:space="0" w:color="0000EE"/>
              <w:bottom w:val="single" w:sz="8" w:space="0" w:color="0000EE"/>
            </w:tcBorders>
            <w:vAlign w:val="bottom"/>
          </w:tcPr>
          <w:p w:rsidR="00A621E3" w:rsidRDefault="00EC630E">
            <w:pPr>
              <w:rPr>
                <w:sz w:val="20"/>
                <w:szCs w:val="20"/>
              </w:rPr>
            </w:pPr>
            <w:r>
              <w:rPr>
                <w:rFonts w:ascii="Arial" w:eastAsia="Arial" w:hAnsi="Arial" w:cs="Arial"/>
                <w:b/>
                <w:bCs/>
                <w:color w:val="0000EE"/>
                <w:w w:val="98"/>
                <w:sz w:val="20"/>
                <w:szCs w:val="20"/>
              </w:rPr>
              <w:t>Business Overview and Performance Highlights</w:t>
            </w:r>
          </w:p>
        </w:tc>
        <w:tc>
          <w:tcPr>
            <w:tcW w:w="1140" w:type="dxa"/>
            <w:gridSpan w:val="3"/>
            <w:tcBorders>
              <w:top w:val="single" w:sz="8" w:space="0" w:color="0000EE"/>
            </w:tcBorders>
            <w:vAlign w:val="bottom"/>
          </w:tcPr>
          <w:p w:rsidR="00A621E3" w:rsidRDefault="00A621E3">
            <w:pPr>
              <w:rPr>
                <w:sz w:val="21"/>
                <w:szCs w:val="21"/>
              </w:rPr>
            </w:pPr>
          </w:p>
        </w:tc>
        <w:tc>
          <w:tcPr>
            <w:tcW w:w="3100" w:type="dxa"/>
            <w:gridSpan w:val="3"/>
            <w:vAlign w:val="bottom"/>
          </w:tcPr>
          <w:p w:rsidR="00A621E3" w:rsidRDefault="00A621E3">
            <w:pPr>
              <w:rPr>
                <w:sz w:val="21"/>
                <w:szCs w:val="21"/>
              </w:rPr>
            </w:pPr>
          </w:p>
        </w:tc>
        <w:tc>
          <w:tcPr>
            <w:tcW w:w="2060" w:type="dxa"/>
            <w:vAlign w:val="bottom"/>
          </w:tcPr>
          <w:p w:rsidR="00A621E3" w:rsidRDefault="00EC630E">
            <w:pPr>
              <w:jc w:val="right"/>
              <w:rPr>
                <w:sz w:val="20"/>
                <w:szCs w:val="20"/>
              </w:rPr>
            </w:pPr>
            <w:r>
              <w:rPr>
                <w:rFonts w:ascii="Arial" w:eastAsia="Arial" w:hAnsi="Arial" w:cs="Arial"/>
                <w:sz w:val="20"/>
                <w:szCs w:val="20"/>
              </w:rPr>
              <w:t>46</w:t>
            </w:r>
          </w:p>
        </w:tc>
      </w:tr>
      <w:tr w:rsidR="00A621E3">
        <w:trPr>
          <w:trHeight w:val="250"/>
        </w:trPr>
        <w:tc>
          <w:tcPr>
            <w:tcW w:w="200" w:type="dxa"/>
            <w:vAlign w:val="bottom"/>
          </w:tcPr>
          <w:p w:rsidR="00A621E3" w:rsidRDefault="00A621E3">
            <w:pPr>
              <w:rPr>
                <w:sz w:val="21"/>
                <w:szCs w:val="21"/>
              </w:rPr>
            </w:pPr>
          </w:p>
        </w:tc>
        <w:tc>
          <w:tcPr>
            <w:tcW w:w="3120" w:type="dxa"/>
            <w:gridSpan w:val="9"/>
            <w:tcBorders>
              <w:bottom w:val="single" w:sz="8" w:space="0" w:color="0000EE"/>
            </w:tcBorders>
            <w:vAlign w:val="bottom"/>
          </w:tcPr>
          <w:p w:rsidR="00A621E3" w:rsidRDefault="00EC630E">
            <w:pPr>
              <w:rPr>
                <w:sz w:val="20"/>
                <w:szCs w:val="20"/>
              </w:rPr>
            </w:pPr>
            <w:r>
              <w:rPr>
                <w:rFonts w:ascii="Arial" w:eastAsia="Arial" w:hAnsi="Arial" w:cs="Arial"/>
                <w:b/>
                <w:bCs/>
                <w:color w:val="0000EE"/>
                <w:w w:val="98"/>
                <w:sz w:val="20"/>
                <w:szCs w:val="20"/>
              </w:rPr>
              <w:t>Recent Compensation Highlights</w:t>
            </w:r>
          </w:p>
        </w:tc>
        <w:tc>
          <w:tcPr>
            <w:tcW w:w="5640" w:type="dxa"/>
            <w:gridSpan w:val="11"/>
            <w:vAlign w:val="bottom"/>
          </w:tcPr>
          <w:p w:rsidR="00A621E3" w:rsidRDefault="00A621E3">
            <w:pPr>
              <w:rPr>
                <w:sz w:val="21"/>
                <w:szCs w:val="21"/>
              </w:rPr>
            </w:pPr>
          </w:p>
        </w:tc>
        <w:tc>
          <w:tcPr>
            <w:tcW w:w="2060" w:type="dxa"/>
            <w:vAlign w:val="bottom"/>
          </w:tcPr>
          <w:p w:rsidR="00A621E3" w:rsidRDefault="00EC630E">
            <w:pPr>
              <w:jc w:val="right"/>
              <w:rPr>
                <w:sz w:val="20"/>
                <w:szCs w:val="20"/>
              </w:rPr>
            </w:pPr>
            <w:r>
              <w:rPr>
                <w:rFonts w:ascii="Arial" w:eastAsia="Arial" w:hAnsi="Arial" w:cs="Arial"/>
                <w:sz w:val="20"/>
                <w:szCs w:val="20"/>
              </w:rPr>
              <w:t>48</w:t>
            </w:r>
          </w:p>
        </w:tc>
      </w:tr>
      <w:tr w:rsidR="00A621E3">
        <w:trPr>
          <w:trHeight w:val="250"/>
        </w:trPr>
        <w:tc>
          <w:tcPr>
            <w:tcW w:w="200" w:type="dxa"/>
            <w:vAlign w:val="bottom"/>
          </w:tcPr>
          <w:p w:rsidR="00A621E3" w:rsidRDefault="00A621E3">
            <w:pPr>
              <w:rPr>
                <w:sz w:val="21"/>
                <w:szCs w:val="21"/>
              </w:rPr>
            </w:pPr>
          </w:p>
        </w:tc>
        <w:tc>
          <w:tcPr>
            <w:tcW w:w="8760" w:type="dxa"/>
            <w:gridSpan w:val="20"/>
            <w:vAlign w:val="bottom"/>
          </w:tcPr>
          <w:p w:rsidR="00A621E3" w:rsidRDefault="00EC630E">
            <w:pPr>
              <w:rPr>
                <w:sz w:val="20"/>
                <w:szCs w:val="20"/>
              </w:rPr>
            </w:pPr>
            <w:r>
              <w:rPr>
                <w:rFonts w:ascii="Arial" w:eastAsia="Arial" w:hAnsi="Arial" w:cs="Arial"/>
                <w:b/>
                <w:bCs/>
                <w:color w:val="0000EE"/>
                <w:sz w:val="20"/>
                <w:szCs w:val="20"/>
              </w:rPr>
              <w:t>Alignment of Executive Compensation Program with Business Performance</w:t>
            </w:r>
          </w:p>
        </w:tc>
        <w:tc>
          <w:tcPr>
            <w:tcW w:w="2060" w:type="dxa"/>
            <w:vAlign w:val="bottom"/>
          </w:tcPr>
          <w:p w:rsidR="00A621E3" w:rsidRDefault="00EC630E">
            <w:pPr>
              <w:jc w:val="right"/>
              <w:rPr>
                <w:sz w:val="20"/>
                <w:szCs w:val="20"/>
              </w:rPr>
            </w:pPr>
            <w:r>
              <w:rPr>
                <w:rFonts w:ascii="Arial" w:eastAsia="Arial" w:hAnsi="Arial" w:cs="Arial"/>
                <w:sz w:val="20"/>
                <w:szCs w:val="20"/>
              </w:rPr>
              <w:t>51</w:t>
            </w:r>
          </w:p>
        </w:tc>
      </w:tr>
      <w:tr w:rsidR="00A621E3">
        <w:trPr>
          <w:trHeight w:val="250"/>
        </w:trPr>
        <w:tc>
          <w:tcPr>
            <w:tcW w:w="200" w:type="dxa"/>
            <w:vAlign w:val="bottom"/>
          </w:tcPr>
          <w:p w:rsidR="00A621E3" w:rsidRDefault="00A621E3">
            <w:pPr>
              <w:rPr>
                <w:sz w:val="21"/>
                <w:szCs w:val="21"/>
              </w:rPr>
            </w:pPr>
          </w:p>
        </w:tc>
        <w:tc>
          <w:tcPr>
            <w:tcW w:w="7140" w:type="dxa"/>
            <w:gridSpan w:val="19"/>
            <w:tcBorders>
              <w:top w:val="single" w:sz="8" w:space="0" w:color="0000EE"/>
            </w:tcBorders>
            <w:vAlign w:val="bottom"/>
          </w:tcPr>
          <w:p w:rsidR="00A621E3" w:rsidRDefault="00EC630E">
            <w:pPr>
              <w:rPr>
                <w:sz w:val="20"/>
                <w:szCs w:val="20"/>
              </w:rPr>
            </w:pPr>
            <w:r>
              <w:rPr>
                <w:rFonts w:ascii="Arial" w:eastAsia="Arial" w:hAnsi="Arial" w:cs="Arial"/>
                <w:b/>
                <w:bCs/>
                <w:color w:val="0000EE"/>
                <w:sz w:val="20"/>
                <w:szCs w:val="20"/>
              </w:rPr>
              <w:t>Pay Components</w:t>
            </w:r>
          </w:p>
        </w:tc>
        <w:tc>
          <w:tcPr>
            <w:tcW w:w="1620" w:type="dxa"/>
            <w:vAlign w:val="bottom"/>
          </w:tcPr>
          <w:p w:rsidR="00A621E3" w:rsidRDefault="00A621E3">
            <w:pPr>
              <w:rPr>
                <w:sz w:val="21"/>
                <w:szCs w:val="21"/>
              </w:rPr>
            </w:pPr>
          </w:p>
        </w:tc>
        <w:tc>
          <w:tcPr>
            <w:tcW w:w="2060" w:type="dxa"/>
            <w:vAlign w:val="bottom"/>
          </w:tcPr>
          <w:p w:rsidR="00A621E3" w:rsidRDefault="00EC630E">
            <w:pPr>
              <w:jc w:val="right"/>
              <w:rPr>
                <w:sz w:val="20"/>
                <w:szCs w:val="20"/>
              </w:rPr>
            </w:pPr>
            <w:r>
              <w:rPr>
                <w:rFonts w:ascii="Arial" w:eastAsia="Arial" w:hAnsi="Arial" w:cs="Arial"/>
                <w:sz w:val="20"/>
                <w:szCs w:val="20"/>
              </w:rPr>
              <w:t>52</w:t>
            </w:r>
          </w:p>
        </w:tc>
      </w:tr>
      <w:tr w:rsidR="00A621E3">
        <w:trPr>
          <w:trHeight w:val="20"/>
        </w:trPr>
        <w:tc>
          <w:tcPr>
            <w:tcW w:w="200" w:type="dxa"/>
            <w:vAlign w:val="bottom"/>
          </w:tcPr>
          <w:p w:rsidR="00A621E3" w:rsidRDefault="00A621E3">
            <w:pPr>
              <w:spacing w:line="20" w:lineRule="exact"/>
              <w:rPr>
                <w:sz w:val="1"/>
                <w:szCs w:val="1"/>
              </w:rPr>
            </w:pPr>
          </w:p>
        </w:tc>
        <w:tc>
          <w:tcPr>
            <w:tcW w:w="1620" w:type="dxa"/>
            <w:shd w:val="clear" w:color="auto" w:fill="0000EE"/>
            <w:vAlign w:val="bottom"/>
          </w:tcPr>
          <w:p w:rsidR="00A621E3" w:rsidRDefault="00A621E3">
            <w:pPr>
              <w:spacing w:line="20" w:lineRule="exact"/>
              <w:rPr>
                <w:sz w:val="1"/>
                <w:szCs w:val="1"/>
              </w:rPr>
            </w:pPr>
          </w:p>
        </w:tc>
        <w:tc>
          <w:tcPr>
            <w:tcW w:w="360" w:type="dxa"/>
            <w:vAlign w:val="bottom"/>
          </w:tcPr>
          <w:p w:rsidR="00A621E3" w:rsidRDefault="00A621E3">
            <w:pPr>
              <w:spacing w:line="20" w:lineRule="exact"/>
              <w:rPr>
                <w:sz w:val="1"/>
                <w:szCs w:val="1"/>
              </w:rPr>
            </w:pPr>
          </w:p>
        </w:tc>
        <w:tc>
          <w:tcPr>
            <w:tcW w:w="200" w:type="dxa"/>
            <w:vAlign w:val="bottom"/>
          </w:tcPr>
          <w:p w:rsidR="00A621E3" w:rsidRDefault="00A621E3">
            <w:pPr>
              <w:spacing w:line="20" w:lineRule="exact"/>
              <w:rPr>
                <w:sz w:val="1"/>
                <w:szCs w:val="1"/>
              </w:rPr>
            </w:pPr>
          </w:p>
        </w:tc>
        <w:tc>
          <w:tcPr>
            <w:tcW w:w="140" w:type="dxa"/>
            <w:vAlign w:val="bottom"/>
          </w:tcPr>
          <w:p w:rsidR="00A621E3" w:rsidRDefault="00A621E3">
            <w:pPr>
              <w:spacing w:line="20" w:lineRule="exact"/>
              <w:rPr>
                <w:sz w:val="1"/>
                <w:szCs w:val="1"/>
              </w:rPr>
            </w:pPr>
          </w:p>
        </w:tc>
        <w:tc>
          <w:tcPr>
            <w:tcW w:w="120" w:type="dxa"/>
            <w:vAlign w:val="bottom"/>
          </w:tcPr>
          <w:p w:rsidR="00A621E3" w:rsidRDefault="00A621E3">
            <w:pPr>
              <w:spacing w:line="20" w:lineRule="exact"/>
              <w:rPr>
                <w:sz w:val="1"/>
                <w:szCs w:val="1"/>
              </w:rPr>
            </w:pPr>
          </w:p>
        </w:tc>
        <w:tc>
          <w:tcPr>
            <w:tcW w:w="260" w:type="dxa"/>
            <w:vAlign w:val="bottom"/>
          </w:tcPr>
          <w:p w:rsidR="00A621E3" w:rsidRDefault="00A621E3">
            <w:pPr>
              <w:spacing w:line="20" w:lineRule="exact"/>
              <w:rPr>
                <w:sz w:val="1"/>
                <w:szCs w:val="1"/>
              </w:rPr>
            </w:pPr>
          </w:p>
        </w:tc>
        <w:tc>
          <w:tcPr>
            <w:tcW w:w="80" w:type="dxa"/>
            <w:vAlign w:val="bottom"/>
          </w:tcPr>
          <w:p w:rsidR="00A621E3" w:rsidRDefault="00A621E3">
            <w:pPr>
              <w:spacing w:line="20" w:lineRule="exact"/>
              <w:rPr>
                <w:sz w:val="1"/>
                <w:szCs w:val="1"/>
              </w:rPr>
            </w:pPr>
          </w:p>
        </w:tc>
        <w:tc>
          <w:tcPr>
            <w:tcW w:w="240" w:type="dxa"/>
            <w:vAlign w:val="bottom"/>
          </w:tcPr>
          <w:p w:rsidR="00A621E3" w:rsidRDefault="00A621E3">
            <w:pPr>
              <w:spacing w:line="20" w:lineRule="exact"/>
              <w:rPr>
                <w:sz w:val="1"/>
                <w:szCs w:val="1"/>
              </w:rPr>
            </w:pPr>
          </w:p>
        </w:tc>
        <w:tc>
          <w:tcPr>
            <w:tcW w:w="140" w:type="dxa"/>
            <w:gridSpan w:val="2"/>
            <w:vAlign w:val="bottom"/>
          </w:tcPr>
          <w:p w:rsidR="00A621E3" w:rsidRDefault="00A621E3">
            <w:pPr>
              <w:spacing w:line="20" w:lineRule="exact"/>
              <w:rPr>
                <w:sz w:val="1"/>
                <w:szCs w:val="1"/>
              </w:rPr>
            </w:pPr>
          </w:p>
        </w:tc>
        <w:tc>
          <w:tcPr>
            <w:tcW w:w="100" w:type="dxa"/>
            <w:vAlign w:val="bottom"/>
          </w:tcPr>
          <w:p w:rsidR="00A621E3" w:rsidRDefault="00A621E3">
            <w:pPr>
              <w:spacing w:line="20" w:lineRule="exact"/>
              <w:rPr>
                <w:sz w:val="1"/>
                <w:szCs w:val="1"/>
              </w:rPr>
            </w:pPr>
          </w:p>
        </w:tc>
        <w:tc>
          <w:tcPr>
            <w:tcW w:w="40" w:type="dxa"/>
            <w:vAlign w:val="bottom"/>
          </w:tcPr>
          <w:p w:rsidR="00A621E3" w:rsidRDefault="00A621E3">
            <w:pPr>
              <w:spacing w:line="20" w:lineRule="exact"/>
              <w:rPr>
                <w:sz w:val="1"/>
                <w:szCs w:val="1"/>
              </w:rPr>
            </w:pPr>
          </w:p>
        </w:tc>
        <w:tc>
          <w:tcPr>
            <w:tcW w:w="480" w:type="dxa"/>
            <w:vAlign w:val="bottom"/>
          </w:tcPr>
          <w:p w:rsidR="00A621E3" w:rsidRDefault="00A621E3">
            <w:pPr>
              <w:spacing w:line="20" w:lineRule="exact"/>
              <w:rPr>
                <w:sz w:val="1"/>
                <w:szCs w:val="1"/>
              </w:rPr>
            </w:pPr>
          </w:p>
        </w:tc>
        <w:tc>
          <w:tcPr>
            <w:tcW w:w="840" w:type="dxa"/>
            <w:gridSpan w:val="2"/>
            <w:vAlign w:val="bottom"/>
          </w:tcPr>
          <w:p w:rsidR="00A621E3" w:rsidRDefault="00A621E3">
            <w:pPr>
              <w:spacing w:line="20" w:lineRule="exact"/>
              <w:rPr>
                <w:sz w:val="1"/>
                <w:szCs w:val="1"/>
              </w:rPr>
            </w:pPr>
          </w:p>
        </w:tc>
        <w:tc>
          <w:tcPr>
            <w:tcW w:w="140" w:type="dxa"/>
            <w:vAlign w:val="bottom"/>
          </w:tcPr>
          <w:p w:rsidR="00A621E3" w:rsidRDefault="00A621E3">
            <w:pPr>
              <w:spacing w:line="20" w:lineRule="exact"/>
              <w:rPr>
                <w:sz w:val="1"/>
                <w:szCs w:val="1"/>
              </w:rPr>
            </w:pPr>
          </w:p>
        </w:tc>
        <w:tc>
          <w:tcPr>
            <w:tcW w:w="2140" w:type="dxa"/>
            <w:gridSpan w:val="2"/>
            <w:vAlign w:val="bottom"/>
          </w:tcPr>
          <w:p w:rsidR="00A621E3" w:rsidRDefault="00A621E3">
            <w:pPr>
              <w:spacing w:line="20" w:lineRule="exact"/>
              <w:rPr>
                <w:sz w:val="1"/>
                <w:szCs w:val="1"/>
              </w:rPr>
            </w:pPr>
          </w:p>
        </w:tc>
        <w:tc>
          <w:tcPr>
            <w:tcW w:w="1860" w:type="dxa"/>
            <w:gridSpan w:val="2"/>
            <w:vAlign w:val="bottom"/>
          </w:tcPr>
          <w:p w:rsidR="00A621E3" w:rsidRDefault="00A621E3">
            <w:pPr>
              <w:spacing w:line="20" w:lineRule="exact"/>
              <w:rPr>
                <w:sz w:val="1"/>
                <w:szCs w:val="1"/>
              </w:rPr>
            </w:pPr>
          </w:p>
        </w:tc>
        <w:tc>
          <w:tcPr>
            <w:tcW w:w="2060" w:type="dxa"/>
            <w:vAlign w:val="bottom"/>
          </w:tcPr>
          <w:p w:rsidR="00A621E3" w:rsidRDefault="00A621E3">
            <w:pPr>
              <w:spacing w:line="20" w:lineRule="exact"/>
              <w:rPr>
                <w:sz w:val="1"/>
                <w:szCs w:val="1"/>
              </w:rPr>
            </w:pPr>
          </w:p>
        </w:tc>
      </w:tr>
      <w:tr w:rsidR="00A621E3">
        <w:trPr>
          <w:trHeight w:val="250"/>
        </w:trPr>
        <w:tc>
          <w:tcPr>
            <w:tcW w:w="200" w:type="dxa"/>
            <w:vAlign w:val="bottom"/>
          </w:tcPr>
          <w:p w:rsidR="00A621E3" w:rsidRDefault="00A621E3">
            <w:pPr>
              <w:rPr>
                <w:sz w:val="21"/>
                <w:szCs w:val="21"/>
              </w:rPr>
            </w:pPr>
          </w:p>
        </w:tc>
        <w:tc>
          <w:tcPr>
            <w:tcW w:w="3300" w:type="dxa"/>
            <w:gridSpan w:val="12"/>
            <w:tcBorders>
              <w:bottom w:val="single" w:sz="8" w:space="0" w:color="0000EE"/>
            </w:tcBorders>
            <w:vAlign w:val="bottom"/>
          </w:tcPr>
          <w:p w:rsidR="00A621E3" w:rsidRDefault="00EC630E">
            <w:pPr>
              <w:rPr>
                <w:sz w:val="20"/>
                <w:szCs w:val="20"/>
              </w:rPr>
            </w:pPr>
            <w:r>
              <w:rPr>
                <w:rFonts w:ascii="Arial" w:eastAsia="Arial" w:hAnsi="Arial" w:cs="Arial"/>
                <w:b/>
                <w:bCs/>
                <w:color w:val="0000EE"/>
                <w:w w:val="98"/>
                <w:sz w:val="20"/>
                <w:szCs w:val="20"/>
              </w:rPr>
              <w:t>Executive Compensation Practices</w:t>
            </w:r>
          </w:p>
        </w:tc>
        <w:tc>
          <w:tcPr>
            <w:tcW w:w="5460" w:type="dxa"/>
            <w:gridSpan w:val="8"/>
            <w:vAlign w:val="bottom"/>
          </w:tcPr>
          <w:p w:rsidR="00A621E3" w:rsidRDefault="00A621E3">
            <w:pPr>
              <w:rPr>
                <w:sz w:val="21"/>
                <w:szCs w:val="21"/>
              </w:rPr>
            </w:pPr>
          </w:p>
        </w:tc>
        <w:tc>
          <w:tcPr>
            <w:tcW w:w="2060" w:type="dxa"/>
            <w:vAlign w:val="bottom"/>
          </w:tcPr>
          <w:p w:rsidR="00A621E3" w:rsidRDefault="00EC630E">
            <w:pPr>
              <w:jc w:val="right"/>
              <w:rPr>
                <w:sz w:val="20"/>
                <w:szCs w:val="20"/>
              </w:rPr>
            </w:pPr>
            <w:r>
              <w:rPr>
                <w:rFonts w:ascii="Arial" w:eastAsia="Arial" w:hAnsi="Arial" w:cs="Arial"/>
                <w:sz w:val="20"/>
                <w:szCs w:val="20"/>
              </w:rPr>
              <w:t>53</w:t>
            </w:r>
          </w:p>
        </w:tc>
      </w:tr>
      <w:tr w:rsidR="00A621E3">
        <w:trPr>
          <w:trHeight w:val="250"/>
        </w:trPr>
        <w:tc>
          <w:tcPr>
            <w:tcW w:w="200" w:type="dxa"/>
            <w:vAlign w:val="bottom"/>
          </w:tcPr>
          <w:p w:rsidR="00A621E3" w:rsidRDefault="00A621E3">
            <w:pPr>
              <w:rPr>
                <w:sz w:val="21"/>
                <w:szCs w:val="21"/>
              </w:rPr>
            </w:pPr>
          </w:p>
        </w:tc>
        <w:tc>
          <w:tcPr>
            <w:tcW w:w="2440" w:type="dxa"/>
            <w:gridSpan w:val="5"/>
            <w:tcBorders>
              <w:bottom w:val="single" w:sz="8" w:space="0" w:color="0000EE"/>
            </w:tcBorders>
            <w:vAlign w:val="bottom"/>
          </w:tcPr>
          <w:p w:rsidR="00A621E3" w:rsidRDefault="00EC630E">
            <w:pPr>
              <w:rPr>
                <w:sz w:val="20"/>
                <w:szCs w:val="20"/>
              </w:rPr>
            </w:pPr>
            <w:r>
              <w:rPr>
                <w:rFonts w:ascii="Arial" w:eastAsia="Arial" w:hAnsi="Arial" w:cs="Arial"/>
                <w:b/>
                <w:bCs/>
                <w:color w:val="0000EE"/>
                <w:w w:val="99"/>
                <w:sz w:val="20"/>
                <w:szCs w:val="20"/>
              </w:rPr>
              <w:t>Stockholder Engagement</w:t>
            </w:r>
          </w:p>
        </w:tc>
        <w:tc>
          <w:tcPr>
            <w:tcW w:w="6320" w:type="dxa"/>
            <w:gridSpan w:val="15"/>
            <w:vAlign w:val="bottom"/>
          </w:tcPr>
          <w:p w:rsidR="00A621E3" w:rsidRDefault="00A621E3">
            <w:pPr>
              <w:rPr>
                <w:sz w:val="21"/>
                <w:szCs w:val="21"/>
              </w:rPr>
            </w:pPr>
          </w:p>
        </w:tc>
        <w:tc>
          <w:tcPr>
            <w:tcW w:w="2060" w:type="dxa"/>
            <w:vAlign w:val="bottom"/>
          </w:tcPr>
          <w:p w:rsidR="00A621E3" w:rsidRDefault="00EC630E">
            <w:pPr>
              <w:jc w:val="right"/>
              <w:rPr>
                <w:sz w:val="20"/>
                <w:szCs w:val="20"/>
              </w:rPr>
            </w:pPr>
            <w:r>
              <w:rPr>
                <w:rFonts w:ascii="Arial" w:eastAsia="Arial" w:hAnsi="Arial" w:cs="Arial"/>
                <w:sz w:val="20"/>
                <w:szCs w:val="20"/>
              </w:rPr>
              <w:t>53</w:t>
            </w:r>
          </w:p>
        </w:tc>
      </w:tr>
      <w:tr w:rsidR="00A621E3">
        <w:trPr>
          <w:trHeight w:val="250"/>
        </w:trPr>
        <w:tc>
          <w:tcPr>
            <w:tcW w:w="200" w:type="dxa"/>
            <w:vAlign w:val="bottom"/>
          </w:tcPr>
          <w:p w:rsidR="00A621E3" w:rsidRDefault="00A621E3">
            <w:pPr>
              <w:rPr>
                <w:sz w:val="21"/>
                <w:szCs w:val="21"/>
              </w:rPr>
            </w:pPr>
          </w:p>
        </w:tc>
        <w:tc>
          <w:tcPr>
            <w:tcW w:w="4760" w:type="dxa"/>
            <w:gridSpan w:val="16"/>
            <w:tcBorders>
              <w:bottom w:val="single" w:sz="8" w:space="0" w:color="0000EE"/>
            </w:tcBorders>
            <w:vAlign w:val="bottom"/>
          </w:tcPr>
          <w:p w:rsidR="00A621E3" w:rsidRDefault="00EC630E">
            <w:pPr>
              <w:rPr>
                <w:sz w:val="20"/>
                <w:szCs w:val="20"/>
              </w:rPr>
            </w:pPr>
            <w:r>
              <w:rPr>
                <w:rFonts w:ascii="Arial" w:eastAsia="Arial" w:hAnsi="Arial" w:cs="Arial"/>
                <w:b/>
                <w:bCs/>
                <w:color w:val="0000EE"/>
                <w:w w:val="98"/>
                <w:sz w:val="20"/>
                <w:szCs w:val="20"/>
              </w:rPr>
              <w:t>Elements of the Executive Compensation Program</w:t>
            </w:r>
          </w:p>
        </w:tc>
        <w:tc>
          <w:tcPr>
            <w:tcW w:w="4000" w:type="dxa"/>
            <w:gridSpan w:val="4"/>
            <w:vAlign w:val="bottom"/>
          </w:tcPr>
          <w:p w:rsidR="00A621E3" w:rsidRDefault="00A621E3">
            <w:pPr>
              <w:rPr>
                <w:sz w:val="21"/>
                <w:szCs w:val="21"/>
              </w:rPr>
            </w:pPr>
          </w:p>
        </w:tc>
        <w:tc>
          <w:tcPr>
            <w:tcW w:w="2060" w:type="dxa"/>
            <w:vAlign w:val="bottom"/>
          </w:tcPr>
          <w:p w:rsidR="00A621E3" w:rsidRDefault="00EC630E">
            <w:pPr>
              <w:jc w:val="right"/>
              <w:rPr>
                <w:sz w:val="20"/>
                <w:szCs w:val="20"/>
              </w:rPr>
            </w:pPr>
            <w:r>
              <w:rPr>
                <w:rFonts w:ascii="Arial" w:eastAsia="Arial" w:hAnsi="Arial" w:cs="Arial"/>
                <w:sz w:val="20"/>
                <w:szCs w:val="20"/>
              </w:rPr>
              <w:t>55</w:t>
            </w:r>
          </w:p>
        </w:tc>
      </w:tr>
      <w:tr w:rsidR="00A621E3">
        <w:trPr>
          <w:trHeight w:val="250"/>
        </w:trPr>
        <w:tc>
          <w:tcPr>
            <w:tcW w:w="200" w:type="dxa"/>
            <w:vAlign w:val="bottom"/>
          </w:tcPr>
          <w:p w:rsidR="00A621E3" w:rsidRDefault="00A621E3">
            <w:pPr>
              <w:rPr>
                <w:sz w:val="21"/>
                <w:szCs w:val="21"/>
              </w:rPr>
            </w:pPr>
          </w:p>
        </w:tc>
        <w:tc>
          <w:tcPr>
            <w:tcW w:w="6900" w:type="dxa"/>
            <w:gridSpan w:val="18"/>
            <w:tcBorders>
              <w:bottom w:val="single" w:sz="8" w:space="0" w:color="0000EE"/>
            </w:tcBorders>
            <w:vAlign w:val="bottom"/>
          </w:tcPr>
          <w:p w:rsidR="00A621E3" w:rsidRDefault="00EC630E">
            <w:pPr>
              <w:rPr>
                <w:sz w:val="20"/>
                <w:szCs w:val="20"/>
              </w:rPr>
            </w:pPr>
            <w:r>
              <w:rPr>
                <w:rFonts w:ascii="Arial" w:eastAsia="Arial" w:hAnsi="Arial" w:cs="Arial"/>
                <w:b/>
                <w:bCs/>
                <w:color w:val="0000EE"/>
                <w:w w:val="98"/>
                <w:sz w:val="20"/>
                <w:szCs w:val="20"/>
              </w:rPr>
              <w:t>2022 Named Executive Officer Compensation and Performance Summary</w:t>
            </w:r>
          </w:p>
        </w:tc>
        <w:tc>
          <w:tcPr>
            <w:tcW w:w="1860" w:type="dxa"/>
            <w:gridSpan w:val="2"/>
            <w:vAlign w:val="bottom"/>
          </w:tcPr>
          <w:p w:rsidR="00A621E3" w:rsidRDefault="00A621E3">
            <w:pPr>
              <w:rPr>
                <w:sz w:val="21"/>
                <w:szCs w:val="21"/>
              </w:rPr>
            </w:pPr>
          </w:p>
        </w:tc>
        <w:tc>
          <w:tcPr>
            <w:tcW w:w="2060" w:type="dxa"/>
            <w:vAlign w:val="bottom"/>
          </w:tcPr>
          <w:p w:rsidR="00A621E3" w:rsidRDefault="00EC630E">
            <w:pPr>
              <w:jc w:val="right"/>
              <w:rPr>
                <w:sz w:val="20"/>
                <w:szCs w:val="20"/>
              </w:rPr>
            </w:pPr>
            <w:r>
              <w:rPr>
                <w:rFonts w:ascii="Arial" w:eastAsia="Arial" w:hAnsi="Arial" w:cs="Arial"/>
                <w:sz w:val="20"/>
                <w:szCs w:val="20"/>
              </w:rPr>
              <w:t>66</w:t>
            </w:r>
          </w:p>
        </w:tc>
      </w:tr>
      <w:tr w:rsidR="00A621E3">
        <w:trPr>
          <w:trHeight w:val="250"/>
        </w:trPr>
        <w:tc>
          <w:tcPr>
            <w:tcW w:w="200" w:type="dxa"/>
            <w:vAlign w:val="bottom"/>
          </w:tcPr>
          <w:p w:rsidR="00A621E3" w:rsidRDefault="00A621E3">
            <w:pPr>
              <w:rPr>
                <w:sz w:val="21"/>
                <w:szCs w:val="21"/>
              </w:rPr>
            </w:pPr>
          </w:p>
        </w:tc>
        <w:tc>
          <w:tcPr>
            <w:tcW w:w="8760" w:type="dxa"/>
            <w:gridSpan w:val="20"/>
            <w:vAlign w:val="bottom"/>
          </w:tcPr>
          <w:p w:rsidR="00A621E3" w:rsidRDefault="00EC630E">
            <w:pPr>
              <w:rPr>
                <w:sz w:val="20"/>
                <w:szCs w:val="20"/>
              </w:rPr>
            </w:pPr>
            <w:r>
              <w:rPr>
                <w:rFonts w:ascii="Arial" w:eastAsia="Arial" w:hAnsi="Arial" w:cs="Arial"/>
                <w:b/>
                <w:bCs/>
                <w:color w:val="0000EE"/>
                <w:sz w:val="20"/>
                <w:szCs w:val="20"/>
              </w:rPr>
              <w:t>How Compensation Decisions Are Made</w:t>
            </w:r>
          </w:p>
        </w:tc>
        <w:tc>
          <w:tcPr>
            <w:tcW w:w="2060" w:type="dxa"/>
            <w:vAlign w:val="bottom"/>
          </w:tcPr>
          <w:p w:rsidR="00A621E3" w:rsidRDefault="00EC630E">
            <w:pPr>
              <w:jc w:val="right"/>
              <w:rPr>
                <w:sz w:val="20"/>
                <w:szCs w:val="20"/>
              </w:rPr>
            </w:pPr>
            <w:r>
              <w:rPr>
                <w:rFonts w:ascii="Arial" w:eastAsia="Arial" w:hAnsi="Arial" w:cs="Arial"/>
                <w:sz w:val="20"/>
                <w:szCs w:val="20"/>
              </w:rPr>
              <w:t>70</w:t>
            </w:r>
          </w:p>
        </w:tc>
      </w:tr>
      <w:tr w:rsidR="00A621E3">
        <w:trPr>
          <w:trHeight w:val="250"/>
        </w:trPr>
        <w:tc>
          <w:tcPr>
            <w:tcW w:w="200" w:type="dxa"/>
            <w:vAlign w:val="bottom"/>
          </w:tcPr>
          <w:p w:rsidR="00A621E3" w:rsidRDefault="00A621E3">
            <w:pPr>
              <w:rPr>
                <w:sz w:val="21"/>
                <w:szCs w:val="21"/>
              </w:rPr>
            </w:pPr>
          </w:p>
        </w:tc>
        <w:tc>
          <w:tcPr>
            <w:tcW w:w="3780" w:type="dxa"/>
            <w:gridSpan w:val="13"/>
            <w:tcBorders>
              <w:top w:val="single" w:sz="8" w:space="0" w:color="0000EE"/>
            </w:tcBorders>
            <w:vAlign w:val="bottom"/>
          </w:tcPr>
          <w:p w:rsidR="00A621E3" w:rsidRDefault="00EC630E">
            <w:pPr>
              <w:rPr>
                <w:sz w:val="20"/>
                <w:szCs w:val="20"/>
              </w:rPr>
            </w:pPr>
            <w:r>
              <w:rPr>
                <w:rFonts w:ascii="Arial" w:eastAsia="Arial" w:hAnsi="Arial" w:cs="Arial"/>
                <w:b/>
                <w:bCs/>
                <w:color w:val="0000EE"/>
                <w:sz w:val="20"/>
                <w:szCs w:val="20"/>
              </w:rPr>
              <w:t>Compensation Policies</w:t>
            </w:r>
          </w:p>
        </w:tc>
        <w:tc>
          <w:tcPr>
            <w:tcW w:w="4980" w:type="dxa"/>
            <w:gridSpan w:val="7"/>
            <w:vAlign w:val="bottom"/>
          </w:tcPr>
          <w:p w:rsidR="00A621E3" w:rsidRDefault="00A621E3">
            <w:pPr>
              <w:rPr>
                <w:sz w:val="21"/>
                <w:szCs w:val="21"/>
              </w:rPr>
            </w:pPr>
          </w:p>
        </w:tc>
        <w:tc>
          <w:tcPr>
            <w:tcW w:w="2060" w:type="dxa"/>
            <w:vAlign w:val="bottom"/>
          </w:tcPr>
          <w:p w:rsidR="00A621E3" w:rsidRDefault="00EC630E">
            <w:pPr>
              <w:jc w:val="right"/>
              <w:rPr>
                <w:sz w:val="20"/>
                <w:szCs w:val="20"/>
              </w:rPr>
            </w:pPr>
            <w:r>
              <w:rPr>
                <w:rFonts w:ascii="Arial" w:eastAsia="Arial" w:hAnsi="Arial" w:cs="Arial"/>
                <w:sz w:val="20"/>
                <w:szCs w:val="20"/>
              </w:rPr>
              <w:t>72</w:t>
            </w:r>
          </w:p>
        </w:tc>
      </w:tr>
      <w:tr w:rsidR="00A621E3">
        <w:trPr>
          <w:trHeight w:val="20"/>
        </w:trPr>
        <w:tc>
          <w:tcPr>
            <w:tcW w:w="200" w:type="dxa"/>
            <w:vAlign w:val="bottom"/>
          </w:tcPr>
          <w:p w:rsidR="00A621E3" w:rsidRDefault="00A621E3">
            <w:pPr>
              <w:spacing w:line="20" w:lineRule="exact"/>
              <w:rPr>
                <w:sz w:val="1"/>
                <w:szCs w:val="1"/>
              </w:rPr>
            </w:pPr>
          </w:p>
        </w:tc>
        <w:tc>
          <w:tcPr>
            <w:tcW w:w="1980" w:type="dxa"/>
            <w:gridSpan w:val="2"/>
            <w:shd w:val="clear" w:color="auto" w:fill="0000EE"/>
            <w:vAlign w:val="bottom"/>
          </w:tcPr>
          <w:p w:rsidR="00A621E3" w:rsidRDefault="00A621E3">
            <w:pPr>
              <w:spacing w:line="20" w:lineRule="exact"/>
              <w:rPr>
                <w:sz w:val="1"/>
                <w:szCs w:val="1"/>
              </w:rPr>
            </w:pPr>
          </w:p>
        </w:tc>
        <w:tc>
          <w:tcPr>
            <w:tcW w:w="200" w:type="dxa"/>
            <w:shd w:val="clear" w:color="auto" w:fill="0000EE"/>
            <w:vAlign w:val="bottom"/>
          </w:tcPr>
          <w:p w:rsidR="00A621E3" w:rsidRDefault="00A621E3">
            <w:pPr>
              <w:spacing w:line="20" w:lineRule="exact"/>
              <w:rPr>
                <w:sz w:val="1"/>
                <w:szCs w:val="1"/>
              </w:rPr>
            </w:pPr>
          </w:p>
        </w:tc>
        <w:tc>
          <w:tcPr>
            <w:tcW w:w="140" w:type="dxa"/>
            <w:vAlign w:val="bottom"/>
          </w:tcPr>
          <w:p w:rsidR="00A621E3" w:rsidRDefault="00A621E3">
            <w:pPr>
              <w:spacing w:line="20" w:lineRule="exact"/>
              <w:rPr>
                <w:sz w:val="1"/>
                <w:szCs w:val="1"/>
              </w:rPr>
            </w:pPr>
          </w:p>
        </w:tc>
        <w:tc>
          <w:tcPr>
            <w:tcW w:w="380" w:type="dxa"/>
            <w:gridSpan w:val="2"/>
            <w:vAlign w:val="bottom"/>
          </w:tcPr>
          <w:p w:rsidR="00A621E3" w:rsidRDefault="00A621E3">
            <w:pPr>
              <w:spacing w:line="20" w:lineRule="exact"/>
              <w:rPr>
                <w:sz w:val="1"/>
                <w:szCs w:val="1"/>
              </w:rPr>
            </w:pPr>
          </w:p>
        </w:tc>
        <w:tc>
          <w:tcPr>
            <w:tcW w:w="80" w:type="dxa"/>
            <w:vAlign w:val="bottom"/>
          </w:tcPr>
          <w:p w:rsidR="00A621E3" w:rsidRDefault="00A621E3">
            <w:pPr>
              <w:spacing w:line="20" w:lineRule="exact"/>
              <w:rPr>
                <w:sz w:val="1"/>
                <w:szCs w:val="1"/>
              </w:rPr>
            </w:pPr>
          </w:p>
        </w:tc>
        <w:tc>
          <w:tcPr>
            <w:tcW w:w="240" w:type="dxa"/>
            <w:vAlign w:val="bottom"/>
          </w:tcPr>
          <w:p w:rsidR="00A621E3" w:rsidRDefault="00A621E3">
            <w:pPr>
              <w:spacing w:line="20" w:lineRule="exact"/>
              <w:rPr>
                <w:sz w:val="1"/>
                <w:szCs w:val="1"/>
              </w:rPr>
            </w:pPr>
          </w:p>
        </w:tc>
        <w:tc>
          <w:tcPr>
            <w:tcW w:w="140" w:type="dxa"/>
            <w:gridSpan w:val="2"/>
            <w:vAlign w:val="bottom"/>
          </w:tcPr>
          <w:p w:rsidR="00A621E3" w:rsidRDefault="00A621E3">
            <w:pPr>
              <w:spacing w:line="20" w:lineRule="exact"/>
              <w:rPr>
                <w:sz w:val="1"/>
                <w:szCs w:val="1"/>
              </w:rPr>
            </w:pPr>
          </w:p>
        </w:tc>
        <w:tc>
          <w:tcPr>
            <w:tcW w:w="100" w:type="dxa"/>
            <w:vAlign w:val="bottom"/>
          </w:tcPr>
          <w:p w:rsidR="00A621E3" w:rsidRDefault="00A621E3">
            <w:pPr>
              <w:spacing w:line="20" w:lineRule="exact"/>
              <w:rPr>
                <w:sz w:val="1"/>
                <w:szCs w:val="1"/>
              </w:rPr>
            </w:pPr>
          </w:p>
        </w:tc>
        <w:tc>
          <w:tcPr>
            <w:tcW w:w="1360" w:type="dxa"/>
            <w:gridSpan w:val="4"/>
            <w:vAlign w:val="bottom"/>
          </w:tcPr>
          <w:p w:rsidR="00A621E3" w:rsidRDefault="00A621E3">
            <w:pPr>
              <w:spacing w:line="20" w:lineRule="exact"/>
              <w:rPr>
                <w:sz w:val="1"/>
                <w:szCs w:val="1"/>
              </w:rPr>
            </w:pPr>
          </w:p>
        </w:tc>
        <w:tc>
          <w:tcPr>
            <w:tcW w:w="4140" w:type="dxa"/>
            <w:gridSpan w:val="5"/>
            <w:vAlign w:val="bottom"/>
          </w:tcPr>
          <w:p w:rsidR="00A621E3" w:rsidRDefault="00A621E3">
            <w:pPr>
              <w:spacing w:line="20" w:lineRule="exact"/>
              <w:rPr>
                <w:sz w:val="1"/>
                <w:szCs w:val="1"/>
              </w:rPr>
            </w:pPr>
          </w:p>
        </w:tc>
        <w:tc>
          <w:tcPr>
            <w:tcW w:w="2060" w:type="dxa"/>
            <w:vAlign w:val="bottom"/>
          </w:tcPr>
          <w:p w:rsidR="00A621E3" w:rsidRDefault="00A621E3">
            <w:pPr>
              <w:spacing w:line="20" w:lineRule="exact"/>
              <w:rPr>
                <w:sz w:val="1"/>
                <w:szCs w:val="1"/>
              </w:rPr>
            </w:pPr>
          </w:p>
        </w:tc>
      </w:tr>
      <w:tr w:rsidR="00A621E3">
        <w:trPr>
          <w:trHeight w:val="250"/>
        </w:trPr>
        <w:tc>
          <w:tcPr>
            <w:tcW w:w="200" w:type="dxa"/>
            <w:vAlign w:val="bottom"/>
          </w:tcPr>
          <w:p w:rsidR="00A621E3" w:rsidRDefault="00A621E3">
            <w:pPr>
              <w:rPr>
                <w:sz w:val="21"/>
                <w:szCs w:val="21"/>
              </w:rPr>
            </w:pPr>
          </w:p>
        </w:tc>
        <w:tc>
          <w:tcPr>
            <w:tcW w:w="3160" w:type="dxa"/>
            <w:gridSpan w:val="10"/>
            <w:tcBorders>
              <w:bottom w:val="single" w:sz="8" w:space="0" w:color="0000EE"/>
            </w:tcBorders>
            <w:vAlign w:val="bottom"/>
          </w:tcPr>
          <w:p w:rsidR="00A621E3" w:rsidRDefault="00EC630E">
            <w:pPr>
              <w:rPr>
                <w:sz w:val="20"/>
                <w:szCs w:val="20"/>
              </w:rPr>
            </w:pPr>
            <w:r>
              <w:rPr>
                <w:rFonts w:ascii="Arial" w:eastAsia="Arial" w:hAnsi="Arial" w:cs="Arial"/>
                <w:b/>
                <w:bCs/>
                <w:color w:val="0000EE"/>
                <w:w w:val="98"/>
                <w:sz w:val="20"/>
                <w:szCs w:val="20"/>
              </w:rPr>
              <w:t>Compensation Committee Report</w:t>
            </w:r>
          </w:p>
        </w:tc>
        <w:tc>
          <w:tcPr>
            <w:tcW w:w="5600" w:type="dxa"/>
            <w:gridSpan w:val="10"/>
            <w:vAlign w:val="bottom"/>
          </w:tcPr>
          <w:p w:rsidR="00A621E3" w:rsidRDefault="00A621E3">
            <w:pPr>
              <w:rPr>
                <w:sz w:val="21"/>
                <w:szCs w:val="21"/>
              </w:rPr>
            </w:pPr>
          </w:p>
        </w:tc>
        <w:tc>
          <w:tcPr>
            <w:tcW w:w="2060" w:type="dxa"/>
            <w:vAlign w:val="bottom"/>
          </w:tcPr>
          <w:p w:rsidR="00A621E3" w:rsidRDefault="00EC630E">
            <w:pPr>
              <w:jc w:val="right"/>
              <w:rPr>
                <w:sz w:val="20"/>
                <w:szCs w:val="20"/>
              </w:rPr>
            </w:pPr>
            <w:r>
              <w:rPr>
                <w:rFonts w:ascii="Arial" w:eastAsia="Arial" w:hAnsi="Arial" w:cs="Arial"/>
                <w:sz w:val="20"/>
                <w:szCs w:val="20"/>
              </w:rPr>
              <w:t>73</w:t>
            </w:r>
          </w:p>
        </w:tc>
      </w:tr>
      <w:tr w:rsidR="00A621E3">
        <w:trPr>
          <w:trHeight w:val="250"/>
        </w:trPr>
        <w:tc>
          <w:tcPr>
            <w:tcW w:w="200" w:type="dxa"/>
            <w:vAlign w:val="bottom"/>
          </w:tcPr>
          <w:p w:rsidR="00A621E3" w:rsidRDefault="00A621E3">
            <w:pPr>
              <w:rPr>
                <w:sz w:val="21"/>
                <w:szCs w:val="21"/>
              </w:rPr>
            </w:pPr>
          </w:p>
        </w:tc>
        <w:tc>
          <w:tcPr>
            <w:tcW w:w="8760" w:type="dxa"/>
            <w:gridSpan w:val="20"/>
            <w:vAlign w:val="bottom"/>
          </w:tcPr>
          <w:p w:rsidR="00A621E3" w:rsidRDefault="00EC630E">
            <w:pPr>
              <w:rPr>
                <w:sz w:val="20"/>
                <w:szCs w:val="20"/>
              </w:rPr>
            </w:pPr>
            <w:r>
              <w:rPr>
                <w:rFonts w:ascii="Arial" w:eastAsia="Arial" w:hAnsi="Arial" w:cs="Arial"/>
                <w:b/>
                <w:bCs/>
                <w:color w:val="0000EE"/>
                <w:sz w:val="20"/>
                <w:szCs w:val="20"/>
              </w:rPr>
              <w:t>Executive Compensation Tables</w:t>
            </w:r>
          </w:p>
        </w:tc>
        <w:tc>
          <w:tcPr>
            <w:tcW w:w="2060" w:type="dxa"/>
            <w:vAlign w:val="bottom"/>
          </w:tcPr>
          <w:p w:rsidR="00A621E3" w:rsidRDefault="00EC630E">
            <w:pPr>
              <w:jc w:val="right"/>
              <w:rPr>
                <w:sz w:val="20"/>
                <w:szCs w:val="20"/>
              </w:rPr>
            </w:pPr>
            <w:r>
              <w:rPr>
                <w:rFonts w:ascii="Arial" w:eastAsia="Arial" w:hAnsi="Arial" w:cs="Arial"/>
                <w:sz w:val="20"/>
                <w:szCs w:val="20"/>
              </w:rPr>
              <w:t>74</w:t>
            </w:r>
          </w:p>
        </w:tc>
      </w:tr>
      <w:tr w:rsidR="00A621E3">
        <w:trPr>
          <w:trHeight w:val="250"/>
        </w:trPr>
        <w:tc>
          <w:tcPr>
            <w:tcW w:w="200" w:type="dxa"/>
            <w:vAlign w:val="bottom"/>
          </w:tcPr>
          <w:p w:rsidR="00A621E3" w:rsidRDefault="00A621E3">
            <w:pPr>
              <w:rPr>
                <w:sz w:val="21"/>
                <w:szCs w:val="21"/>
              </w:rPr>
            </w:pPr>
          </w:p>
        </w:tc>
        <w:tc>
          <w:tcPr>
            <w:tcW w:w="1980" w:type="dxa"/>
            <w:gridSpan w:val="2"/>
            <w:tcBorders>
              <w:top w:val="single" w:sz="8" w:space="0" w:color="0000EE"/>
              <w:bottom w:val="single" w:sz="8" w:space="0" w:color="0000EE"/>
            </w:tcBorders>
            <w:vAlign w:val="bottom"/>
          </w:tcPr>
          <w:p w:rsidR="00A621E3" w:rsidRDefault="00EC630E">
            <w:pPr>
              <w:rPr>
                <w:sz w:val="20"/>
                <w:szCs w:val="20"/>
              </w:rPr>
            </w:pPr>
            <w:r>
              <w:rPr>
                <w:rFonts w:ascii="Arial" w:eastAsia="Arial" w:hAnsi="Arial" w:cs="Arial"/>
                <w:b/>
                <w:bCs/>
                <w:color w:val="0000EE"/>
                <w:w w:val="98"/>
                <w:sz w:val="20"/>
                <w:szCs w:val="20"/>
              </w:rPr>
              <w:t>Pay Ratio Disclosure</w:t>
            </w:r>
          </w:p>
        </w:tc>
        <w:tc>
          <w:tcPr>
            <w:tcW w:w="1040" w:type="dxa"/>
            <w:gridSpan w:val="6"/>
            <w:tcBorders>
              <w:top w:val="single" w:sz="8" w:space="0" w:color="0000EE"/>
            </w:tcBorders>
            <w:vAlign w:val="bottom"/>
          </w:tcPr>
          <w:p w:rsidR="00A621E3" w:rsidRDefault="00A621E3">
            <w:pPr>
              <w:rPr>
                <w:sz w:val="21"/>
                <w:szCs w:val="21"/>
              </w:rPr>
            </w:pPr>
          </w:p>
        </w:tc>
        <w:tc>
          <w:tcPr>
            <w:tcW w:w="5740" w:type="dxa"/>
            <w:gridSpan w:val="12"/>
            <w:vAlign w:val="bottom"/>
          </w:tcPr>
          <w:p w:rsidR="00A621E3" w:rsidRDefault="00A621E3">
            <w:pPr>
              <w:rPr>
                <w:sz w:val="21"/>
                <w:szCs w:val="21"/>
              </w:rPr>
            </w:pPr>
          </w:p>
        </w:tc>
        <w:tc>
          <w:tcPr>
            <w:tcW w:w="2060" w:type="dxa"/>
            <w:vAlign w:val="bottom"/>
          </w:tcPr>
          <w:p w:rsidR="00A621E3" w:rsidRDefault="00EC630E">
            <w:pPr>
              <w:jc w:val="right"/>
              <w:rPr>
                <w:sz w:val="20"/>
                <w:szCs w:val="20"/>
              </w:rPr>
            </w:pPr>
            <w:r>
              <w:rPr>
                <w:rFonts w:ascii="Arial" w:eastAsia="Arial" w:hAnsi="Arial" w:cs="Arial"/>
                <w:sz w:val="20"/>
                <w:szCs w:val="20"/>
              </w:rPr>
              <w:t>87</w:t>
            </w:r>
          </w:p>
        </w:tc>
      </w:tr>
      <w:tr w:rsidR="00A621E3">
        <w:trPr>
          <w:trHeight w:val="250"/>
        </w:trPr>
        <w:tc>
          <w:tcPr>
            <w:tcW w:w="200" w:type="dxa"/>
            <w:vAlign w:val="bottom"/>
          </w:tcPr>
          <w:p w:rsidR="00A621E3" w:rsidRDefault="00A621E3">
            <w:pPr>
              <w:rPr>
                <w:sz w:val="21"/>
                <w:szCs w:val="21"/>
              </w:rPr>
            </w:pPr>
          </w:p>
        </w:tc>
        <w:tc>
          <w:tcPr>
            <w:tcW w:w="2320" w:type="dxa"/>
            <w:gridSpan w:val="4"/>
            <w:tcBorders>
              <w:bottom w:val="single" w:sz="8" w:space="0" w:color="0000EE"/>
            </w:tcBorders>
            <w:vAlign w:val="bottom"/>
          </w:tcPr>
          <w:p w:rsidR="00A621E3" w:rsidRDefault="00EC630E">
            <w:pPr>
              <w:rPr>
                <w:sz w:val="20"/>
                <w:szCs w:val="20"/>
              </w:rPr>
            </w:pPr>
            <w:r>
              <w:rPr>
                <w:rFonts w:ascii="Arial" w:eastAsia="Arial" w:hAnsi="Arial" w:cs="Arial"/>
                <w:b/>
                <w:bCs/>
                <w:color w:val="0000EE"/>
                <w:w w:val="98"/>
                <w:sz w:val="20"/>
                <w:szCs w:val="20"/>
              </w:rPr>
              <w:t>Pay versus Performance</w:t>
            </w:r>
          </w:p>
        </w:tc>
        <w:tc>
          <w:tcPr>
            <w:tcW w:w="6440" w:type="dxa"/>
            <w:gridSpan w:val="16"/>
            <w:vAlign w:val="bottom"/>
          </w:tcPr>
          <w:p w:rsidR="00A621E3" w:rsidRDefault="00A621E3">
            <w:pPr>
              <w:rPr>
                <w:sz w:val="21"/>
                <w:szCs w:val="21"/>
              </w:rPr>
            </w:pPr>
          </w:p>
        </w:tc>
        <w:tc>
          <w:tcPr>
            <w:tcW w:w="2060" w:type="dxa"/>
            <w:vAlign w:val="bottom"/>
          </w:tcPr>
          <w:p w:rsidR="00A621E3" w:rsidRDefault="00EC630E">
            <w:pPr>
              <w:jc w:val="right"/>
              <w:rPr>
                <w:sz w:val="20"/>
                <w:szCs w:val="20"/>
              </w:rPr>
            </w:pPr>
            <w:r>
              <w:rPr>
                <w:rFonts w:ascii="Arial" w:eastAsia="Arial" w:hAnsi="Arial" w:cs="Arial"/>
                <w:sz w:val="20"/>
                <w:szCs w:val="20"/>
              </w:rPr>
              <w:t>89</w:t>
            </w:r>
          </w:p>
        </w:tc>
      </w:tr>
      <w:tr w:rsidR="00A621E3">
        <w:trPr>
          <w:trHeight w:val="425"/>
        </w:trPr>
        <w:tc>
          <w:tcPr>
            <w:tcW w:w="8960" w:type="dxa"/>
            <w:gridSpan w:val="21"/>
            <w:vAlign w:val="bottom"/>
          </w:tcPr>
          <w:p w:rsidR="00A621E3" w:rsidRDefault="00EC630E">
            <w:pPr>
              <w:rPr>
                <w:sz w:val="20"/>
                <w:szCs w:val="20"/>
              </w:rPr>
            </w:pPr>
            <w:r>
              <w:rPr>
                <w:rFonts w:ascii="Arial" w:eastAsia="Arial" w:hAnsi="Arial" w:cs="Arial"/>
                <w:b/>
                <w:bCs/>
                <w:color w:val="0000EE"/>
              </w:rPr>
              <w:t>2022 DIRECTOR COMPENSATION</w:t>
            </w:r>
          </w:p>
        </w:tc>
        <w:tc>
          <w:tcPr>
            <w:tcW w:w="2060" w:type="dxa"/>
            <w:vAlign w:val="bottom"/>
          </w:tcPr>
          <w:p w:rsidR="00A621E3" w:rsidRDefault="00EC630E">
            <w:pPr>
              <w:jc w:val="right"/>
              <w:rPr>
                <w:sz w:val="20"/>
                <w:szCs w:val="20"/>
              </w:rPr>
            </w:pPr>
            <w:r>
              <w:rPr>
                <w:rFonts w:ascii="Arial" w:eastAsia="Arial" w:hAnsi="Arial" w:cs="Arial"/>
                <w:b/>
                <w:bCs/>
                <w:color w:val="CF0A2C"/>
              </w:rPr>
              <w:t>94</w:t>
            </w:r>
          </w:p>
        </w:tc>
      </w:tr>
      <w:tr w:rsidR="00A621E3">
        <w:trPr>
          <w:trHeight w:val="21"/>
        </w:trPr>
        <w:tc>
          <w:tcPr>
            <w:tcW w:w="2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6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3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8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40" w:type="dxa"/>
            <w:tcBorders>
              <w:bottom w:val="single" w:sz="8" w:space="0" w:color="CF0A2C"/>
            </w:tcBorders>
            <w:vAlign w:val="bottom"/>
          </w:tcPr>
          <w:p w:rsidR="00A621E3" w:rsidRDefault="00A621E3">
            <w:pPr>
              <w:spacing w:line="20" w:lineRule="exact"/>
              <w:rPr>
                <w:sz w:val="1"/>
                <w:szCs w:val="1"/>
              </w:rPr>
            </w:pPr>
          </w:p>
        </w:tc>
        <w:tc>
          <w:tcPr>
            <w:tcW w:w="480" w:type="dxa"/>
            <w:tcBorders>
              <w:bottom w:val="single" w:sz="8" w:space="0" w:color="CF0A2C"/>
            </w:tcBorders>
            <w:vAlign w:val="bottom"/>
          </w:tcPr>
          <w:p w:rsidR="00A621E3" w:rsidRDefault="00A621E3">
            <w:pPr>
              <w:spacing w:line="20" w:lineRule="exact"/>
              <w:rPr>
                <w:sz w:val="1"/>
                <w:szCs w:val="1"/>
              </w:rPr>
            </w:pPr>
          </w:p>
        </w:tc>
        <w:tc>
          <w:tcPr>
            <w:tcW w:w="740" w:type="dxa"/>
            <w:tcBorders>
              <w:bottom w:val="single" w:sz="8" w:space="0" w:color="CF0A2C"/>
            </w:tcBorders>
            <w:vAlign w:val="bottom"/>
          </w:tcPr>
          <w:p w:rsidR="00A621E3" w:rsidRDefault="00A621E3">
            <w:pPr>
              <w:spacing w:line="20" w:lineRule="exact"/>
              <w:rPr>
                <w:sz w:val="1"/>
                <w:szCs w:val="1"/>
              </w:rPr>
            </w:pPr>
          </w:p>
        </w:tc>
        <w:tc>
          <w:tcPr>
            <w:tcW w:w="100" w:type="dxa"/>
            <w:tcBorders>
              <w:bottom w:val="single" w:sz="8" w:space="0" w:color="CF0A2C"/>
            </w:tcBorders>
            <w:vAlign w:val="bottom"/>
          </w:tcPr>
          <w:p w:rsidR="00A621E3" w:rsidRDefault="00A621E3">
            <w:pPr>
              <w:spacing w:line="20" w:lineRule="exact"/>
              <w:rPr>
                <w:sz w:val="1"/>
                <w:szCs w:val="1"/>
              </w:rPr>
            </w:pPr>
          </w:p>
        </w:tc>
        <w:tc>
          <w:tcPr>
            <w:tcW w:w="140" w:type="dxa"/>
            <w:tcBorders>
              <w:bottom w:val="single" w:sz="8" w:space="0" w:color="CF0A2C"/>
            </w:tcBorders>
            <w:vAlign w:val="bottom"/>
          </w:tcPr>
          <w:p w:rsidR="00A621E3" w:rsidRDefault="00A621E3">
            <w:pPr>
              <w:spacing w:line="20" w:lineRule="exact"/>
              <w:rPr>
                <w:sz w:val="1"/>
                <w:szCs w:val="1"/>
              </w:rPr>
            </w:pPr>
          </w:p>
        </w:tc>
        <w:tc>
          <w:tcPr>
            <w:tcW w:w="900" w:type="dxa"/>
            <w:tcBorders>
              <w:bottom w:val="single" w:sz="8" w:space="0" w:color="CF0A2C"/>
            </w:tcBorders>
            <w:vAlign w:val="bottom"/>
          </w:tcPr>
          <w:p w:rsidR="00A621E3" w:rsidRDefault="00A621E3">
            <w:pPr>
              <w:spacing w:line="20" w:lineRule="exact"/>
              <w:rPr>
                <w:sz w:val="1"/>
                <w:szCs w:val="1"/>
              </w:rPr>
            </w:pPr>
          </w:p>
        </w:tc>
        <w:tc>
          <w:tcPr>
            <w:tcW w:w="1240" w:type="dxa"/>
            <w:tcBorders>
              <w:bottom w:val="single" w:sz="8" w:space="0" w:color="CF0A2C"/>
            </w:tcBorders>
            <w:vAlign w:val="bottom"/>
          </w:tcPr>
          <w:p w:rsidR="00A621E3" w:rsidRDefault="00A621E3">
            <w:pPr>
              <w:spacing w:line="20" w:lineRule="exact"/>
              <w:rPr>
                <w:sz w:val="1"/>
                <w:szCs w:val="1"/>
              </w:rPr>
            </w:pPr>
          </w:p>
        </w:tc>
        <w:tc>
          <w:tcPr>
            <w:tcW w:w="240" w:type="dxa"/>
            <w:tcBorders>
              <w:bottom w:val="single" w:sz="8" w:space="0" w:color="CF0A2C"/>
            </w:tcBorders>
            <w:vAlign w:val="bottom"/>
          </w:tcPr>
          <w:p w:rsidR="00A621E3" w:rsidRDefault="00A621E3">
            <w:pPr>
              <w:spacing w:line="20" w:lineRule="exact"/>
              <w:rPr>
                <w:sz w:val="1"/>
                <w:szCs w:val="1"/>
              </w:rPr>
            </w:pPr>
          </w:p>
        </w:tc>
        <w:tc>
          <w:tcPr>
            <w:tcW w:w="1620" w:type="dxa"/>
            <w:tcBorders>
              <w:bottom w:val="single" w:sz="8" w:space="0" w:color="CF0A2C"/>
            </w:tcBorders>
            <w:vAlign w:val="bottom"/>
          </w:tcPr>
          <w:p w:rsidR="00A621E3" w:rsidRDefault="00A621E3">
            <w:pPr>
              <w:spacing w:line="20" w:lineRule="exact"/>
              <w:rPr>
                <w:sz w:val="1"/>
                <w:szCs w:val="1"/>
              </w:rPr>
            </w:pPr>
          </w:p>
        </w:tc>
        <w:tc>
          <w:tcPr>
            <w:tcW w:w="2060" w:type="dxa"/>
            <w:tcBorders>
              <w:bottom w:val="single" w:sz="8" w:space="0" w:color="CF0A2C"/>
            </w:tcBorders>
            <w:vAlign w:val="bottom"/>
          </w:tcPr>
          <w:p w:rsidR="00A621E3" w:rsidRDefault="00A621E3">
            <w:pPr>
              <w:spacing w:line="20" w:lineRule="exact"/>
              <w:rPr>
                <w:sz w:val="1"/>
                <w:szCs w:val="1"/>
              </w:rPr>
            </w:pPr>
          </w:p>
        </w:tc>
      </w:tr>
      <w:tr w:rsidR="00A621E3">
        <w:trPr>
          <w:trHeight w:val="398"/>
        </w:trPr>
        <w:tc>
          <w:tcPr>
            <w:tcW w:w="8960" w:type="dxa"/>
            <w:gridSpan w:val="21"/>
            <w:vAlign w:val="bottom"/>
          </w:tcPr>
          <w:p w:rsidR="00A621E3" w:rsidRDefault="00EC630E">
            <w:pPr>
              <w:rPr>
                <w:sz w:val="20"/>
                <w:szCs w:val="20"/>
              </w:rPr>
            </w:pPr>
            <w:r>
              <w:rPr>
                <w:rFonts w:ascii="Arial" w:eastAsia="Arial" w:hAnsi="Arial" w:cs="Arial"/>
                <w:b/>
                <w:bCs/>
                <w:color w:val="0000EE"/>
              </w:rPr>
              <w:t xml:space="preserve">EQUITY COMPENSATION PLAN </w:t>
            </w:r>
            <w:r>
              <w:rPr>
                <w:rFonts w:ascii="Arial" w:eastAsia="Arial" w:hAnsi="Arial" w:cs="Arial"/>
                <w:b/>
                <w:bCs/>
                <w:color w:val="0000EE"/>
              </w:rPr>
              <w:t>INFORMATION</w:t>
            </w:r>
          </w:p>
        </w:tc>
        <w:tc>
          <w:tcPr>
            <w:tcW w:w="2060" w:type="dxa"/>
            <w:vAlign w:val="bottom"/>
          </w:tcPr>
          <w:p w:rsidR="00A621E3" w:rsidRDefault="00EC630E">
            <w:pPr>
              <w:jc w:val="right"/>
              <w:rPr>
                <w:sz w:val="20"/>
                <w:szCs w:val="20"/>
              </w:rPr>
            </w:pPr>
            <w:r>
              <w:rPr>
                <w:rFonts w:ascii="Arial" w:eastAsia="Arial" w:hAnsi="Arial" w:cs="Arial"/>
                <w:b/>
                <w:bCs/>
                <w:color w:val="CF0A2C"/>
              </w:rPr>
              <w:t>96</w:t>
            </w:r>
          </w:p>
        </w:tc>
      </w:tr>
      <w:tr w:rsidR="00A621E3">
        <w:trPr>
          <w:trHeight w:val="20"/>
        </w:trPr>
        <w:tc>
          <w:tcPr>
            <w:tcW w:w="2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6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3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8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48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7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40" w:type="dxa"/>
            <w:tcBorders>
              <w:bottom w:val="single" w:sz="8" w:space="0" w:color="CF0A2C"/>
            </w:tcBorders>
            <w:vAlign w:val="bottom"/>
          </w:tcPr>
          <w:p w:rsidR="00A621E3" w:rsidRDefault="00A621E3">
            <w:pPr>
              <w:spacing w:line="20" w:lineRule="exact"/>
              <w:rPr>
                <w:sz w:val="1"/>
                <w:szCs w:val="1"/>
              </w:rPr>
            </w:pPr>
          </w:p>
        </w:tc>
        <w:tc>
          <w:tcPr>
            <w:tcW w:w="900" w:type="dxa"/>
            <w:tcBorders>
              <w:bottom w:val="single" w:sz="8" w:space="0" w:color="CF0A2C"/>
            </w:tcBorders>
            <w:vAlign w:val="bottom"/>
          </w:tcPr>
          <w:p w:rsidR="00A621E3" w:rsidRDefault="00A621E3">
            <w:pPr>
              <w:spacing w:line="20" w:lineRule="exact"/>
              <w:rPr>
                <w:sz w:val="1"/>
                <w:szCs w:val="1"/>
              </w:rPr>
            </w:pPr>
          </w:p>
        </w:tc>
        <w:tc>
          <w:tcPr>
            <w:tcW w:w="1240" w:type="dxa"/>
            <w:tcBorders>
              <w:bottom w:val="single" w:sz="8" w:space="0" w:color="CF0A2C"/>
            </w:tcBorders>
            <w:vAlign w:val="bottom"/>
          </w:tcPr>
          <w:p w:rsidR="00A621E3" w:rsidRDefault="00A621E3">
            <w:pPr>
              <w:spacing w:line="20" w:lineRule="exact"/>
              <w:rPr>
                <w:sz w:val="1"/>
                <w:szCs w:val="1"/>
              </w:rPr>
            </w:pPr>
          </w:p>
        </w:tc>
        <w:tc>
          <w:tcPr>
            <w:tcW w:w="240" w:type="dxa"/>
            <w:tcBorders>
              <w:bottom w:val="single" w:sz="8" w:space="0" w:color="CF0A2C"/>
            </w:tcBorders>
            <w:vAlign w:val="bottom"/>
          </w:tcPr>
          <w:p w:rsidR="00A621E3" w:rsidRDefault="00A621E3">
            <w:pPr>
              <w:spacing w:line="20" w:lineRule="exact"/>
              <w:rPr>
                <w:sz w:val="1"/>
                <w:szCs w:val="1"/>
              </w:rPr>
            </w:pPr>
          </w:p>
        </w:tc>
        <w:tc>
          <w:tcPr>
            <w:tcW w:w="1620" w:type="dxa"/>
            <w:tcBorders>
              <w:bottom w:val="single" w:sz="8" w:space="0" w:color="CF0A2C"/>
            </w:tcBorders>
            <w:vAlign w:val="bottom"/>
          </w:tcPr>
          <w:p w:rsidR="00A621E3" w:rsidRDefault="00A621E3">
            <w:pPr>
              <w:spacing w:line="20" w:lineRule="exact"/>
              <w:rPr>
                <w:sz w:val="1"/>
                <w:szCs w:val="1"/>
              </w:rPr>
            </w:pPr>
          </w:p>
        </w:tc>
        <w:tc>
          <w:tcPr>
            <w:tcW w:w="2060" w:type="dxa"/>
            <w:tcBorders>
              <w:bottom w:val="single" w:sz="8" w:space="0" w:color="CF0A2C"/>
            </w:tcBorders>
            <w:vAlign w:val="bottom"/>
          </w:tcPr>
          <w:p w:rsidR="00A621E3" w:rsidRDefault="00A621E3">
            <w:pPr>
              <w:spacing w:line="20" w:lineRule="exact"/>
              <w:rPr>
                <w:sz w:val="1"/>
                <w:szCs w:val="1"/>
              </w:rPr>
            </w:pPr>
          </w:p>
        </w:tc>
      </w:tr>
      <w:tr w:rsidR="00A621E3">
        <w:trPr>
          <w:trHeight w:val="398"/>
        </w:trPr>
        <w:tc>
          <w:tcPr>
            <w:tcW w:w="8960" w:type="dxa"/>
            <w:gridSpan w:val="21"/>
            <w:vAlign w:val="bottom"/>
          </w:tcPr>
          <w:p w:rsidR="00A621E3" w:rsidRDefault="00EC630E">
            <w:pPr>
              <w:rPr>
                <w:sz w:val="20"/>
                <w:szCs w:val="20"/>
              </w:rPr>
            </w:pPr>
            <w:r>
              <w:rPr>
                <w:rFonts w:ascii="Arial" w:eastAsia="Arial" w:hAnsi="Arial" w:cs="Arial"/>
                <w:b/>
                <w:bCs/>
                <w:color w:val="0000EE"/>
              </w:rPr>
              <w:t>AUDIT COMMITTEE REPORT</w:t>
            </w:r>
          </w:p>
        </w:tc>
        <w:tc>
          <w:tcPr>
            <w:tcW w:w="2060" w:type="dxa"/>
            <w:vAlign w:val="bottom"/>
          </w:tcPr>
          <w:p w:rsidR="00A621E3" w:rsidRDefault="00EC630E">
            <w:pPr>
              <w:jc w:val="right"/>
              <w:rPr>
                <w:sz w:val="20"/>
                <w:szCs w:val="20"/>
              </w:rPr>
            </w:pPr>
            <w:r>
              <w:rPr>
                <w:rFonts w:ascii="Arial" w:eastAsia="Arial" w:hAnsi="Arial" w:cs="Arial"/>
                <w:b/>
                <w:bCs/>
                <w:color w:val="CF0A2C"/>
              </w:rPr>
              <w:t>97</w:t>
            </w:r>
          </w:p>
        </w:tc>
      </w:tr>
      <w:tr w:rsidR="00A621E3">
        <w:trPr>
          <w:trHeight w:val="20"/>
        </w:trPr>
        <w:tc>
          <w:tcPr>
            <w:tcW w:w="2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6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3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8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40" w:type="dxa"/>
            <w:tcBorders>
              <w:bottom w:val="single" w:sz="8" w:space="0" w:color="CF0A2C"/>
            </w:tcBorders>
            <w:vAlign w:val="bottom"/>
          </w:tcPr>
          <w:p w:rsidR="00A621E3" w:rsidRDefault="00A621E3">
            <w:pPr>
              <w:spacing w:line="20" w:lineRule="exact"/>
              <w:rPr>
                <w:sz w:val="1"/>
                <w:szCs w:val="1"/>
              </w:rPr>
            </w:pPr>
          </w:p>
        </w:tc>
        <w:tc>
          <w:tcPr>
            <w:tcW w:w="100" w:type="dxa"/>
            <w:tcBorders>
              <w:bottom w:val="single" w:sz="8" w:space="0" w:color="CF0A2C"/>
            </w:tcBorders>
            <w:vAlign w:val="bottom"/>
          </w:tcPr>
          <w:p w:rsidR="00A621E3" w:rsidRDefault="00A621E3">
            <w:pPr>
              <w:spacing w:line="20" w:lineRule="exact"/>
              <w:rPr>
                <w:sz w:val="1"/>
                <w:szCs w:val="1"/>
              </w:rPr>
            </w:pPr>
          </w:p>
        </w:tc>
        <w:tc>
          <w:tcPr>
            <w:tcW w:w="40" w:type="dxa"/>
            <w:tcBorders>
              <w:bottom w:val="single" w:sz="8" w:space="0" w:color="CF0A2C"/>
            </w:tcBorders>
            <w:vAlign w:val="bottom"/>
          </w:tcPr>
          <w:p w:rsidR="00A621E3" w:rsidRDefault="00A621E3">
            <w:pPr>
              <w:spacing w:line="20" w:lineRule="exact"/>
              <w:rPr>
                <w:sz w:val="1"/>
                <w:szCs w:val="1"/>
              </w:rPr>
            </w:pPr>
          </w:p>
        </w:tc>
        <w:tc>
          <w:tcPr>
            <w:tcW w:w="100" w:type="dxa"/>
            <w:tcBorders>
              <w:bottom w:val="single" w:sz="8" w:space="0" w:color="CF0A2C"/>
            </w:tcBorders>
            <w:vAlign w:val="bottom"/>
          </w:tcPr>
          <w:p w:rsidR="00A621E3" w:rsidRDefault="00A621E3">
            <w:pPr>
              <w:spacing w:line="20" w:lineRule="exact"/>
              <w:rPr>
                <w:sz w:val="1"/>
                <w:szCs w:val="1"/>
              </w:rPr>
            </w:pPr>
          </w:p>
        </w:tc>
        <w:tc>
          <w:tcPr>
            <w:tcW w:w="40" w:type="dxa"/>
            <w:tcBorders>
              <w:bottom w:val="single" w:sz="8" w:space="0" w:color="CF0A2C"/>
            </w:tcBorders>
            <w:vAlign w:val="bottom"/>
          </w:tcPr>
          <w:p w:rsidR="00A621E3" w:rsidRDefault="00A621E3">
            <w:pPr>
              <w:spacing w:line="20" w:lineRule="exact"/>
              <w:rPr>
                <w:sz w:val="1"/>
                <w:szCs w:val="1"/>
              </w:rPr>
            </w:pPr>
          </w:p>
        </w:tc>
        <w:tc>
          <w:tcPr>
            <w:tcW w:w="480" w:type="dxa"/>
            <w:tcBorders>
              <w:bottom w:val="single" w:sz="8" w:space="0" w:color="CF0A2C"/>
            </w:tcBorders>
            <w:vAlign w:val="bottom"/>
          </w:tcPr>
          <w:p w:rsidR="00A621E3" w:rsidRDefault="00A621E3">
            <w:pPr>
              <w:spacing w:line="20" w:lineRule="exact"/>
              <w:rPr>
                <w:sz w:val="1"/>
                <w:szCs w:val="1"/>
              </w:rPr>
            </w:pPr>
          </w:p>
        </w:tc>
        <w:tc>
          <w:tcPr>
            <w:tcW w:w="740" w:type="dxa"/>
            <w:tcBorders>
              <w:bottom w:val="single" w:sz="8" w:space="0" w:color="CF0A2C"/>
            </w:tcBorders>
            <w:vAlign w:val="bottom"/>
          </w:tcPr>
          <w:p w:rsidR="00A621E3" w:rsidRDefault="00A621E3">
            <w:pPr>
              <w:spacing w:line="20" w:lineRule="exact"/>
              <w:rPr>
                <w:sz w:val="1"/>
                <w:szCs w:val="1"/>
              </w:rPr>
            </w:pPr>
          </w:p>
        </w:tc>
        <w:tc>
          <w:tcPr>
            <w:tcW w:w="100" w:type="dxa"/>
            <w:tcBorders>
              <w:bottom w:val="single" w:sz="8" w:space="0" w:color="CF0A2C"/>
            </w:tcBorders>
            <w:vAlign w:val="bottom"/>
          </w:tcPr>
          <w:p w:rsidR="00A621E3" w:rsidRDefault="00A621E3">
            <w:pPr>
              <w:spacing w:line="20" w:lineRule="exact"/>
              <w:rPr>
                <w:sz w:val="1"/>
                <w:szCs w:val="1"/>
              </w:rPr>
            </w:pPr>
          </w:p>
        </w:tc>
        <w:tc>
          <w:tcPr>
            <w:tcW w:w="140" w:type="dxa"/>
            <w:tcBorders>
              <w:bottom w:val="single" w:sz="8" w:space="0" w:color="CF0A2C"/>
            </w:tcBorders>
            <w:vAlign w:val="bottom"/>
          </w:tcPr>
          <w:p w:rsidR="00A621E3" w:rsidRDefault="00A621E3">
            <w:pPr>
              <w:spacing w:line="20" w:lineRule="exact"/>
              <w:rPr>
                <w:sz w:val="1"/>
                <w:szCs w:val="1"/>
              </w:rPr>
            </w:pPr>
          </w:p>
        </w:tc>
        <w:tc>
          <w:tcPr>
            <w:tcW w:w="900" w:type="dxa"/>
            <w:tcBorders>
              <w:bottom w:val="single" w:sz="8" w:space="0" w:color="CF0A2C"/>
            </w:tcBorders>
            <w:vAlign w:val="bottom"/>
          </w:tcPr>
          <w:p w:rsidR="00A621E3" w:rsidRDefault="00A621E3">
            <w:pPr>
              <w:spacing w:line="20" w:lineRule="exact"/>
              <w:rPr>
                <w:sz w:val="1"/>
                <w:szCs w:val="1"/>
              </w:rPr>
            </w:pPr>
          </w:p>
        </w:tc>
        <w:tc>
          <w:tcPr>
            <w:tcW w:w="1240" w:type="dxa"/>
            <w:tcBorders>
              <w:bottom w:val="single" w:sz="8" w:space="0" w:color="CF0A2C"/>
            </w:tcBorders>
            <w:vAlign w:val="bottom"/>
          </w:tcPr>
          <w:p w:rsidR="00A621E3" w:rsidRDefault="00A621E3">
            <w:pPr>
              <w:spacing w:line="20" w:lineRule="exact"/>
              <w:rPr>
                <w:sz w:val="1"/>
                <w:szCs w:val="1"/>
              </w:rPr>
            </w:pPr>
          </w:p>
        </w:tc>
        <w:tc>
          <w:tcPr>
            <w:tcW w:w="240" w:type="dxa"/>
            <w:tcBorders>
              <w:bottom w:val="single" w:sz="8" w:space="0" w:color="CF0A2C"/>
            </w:tcBorders>
            <w:vAlign w:val="bottom"/>
          </w:tcPr>
          <w:p w:rsidR="00A621E3" w:rsidRDefault="00A621E3">
            <w:pPr>
              <w:spacing w:line="20" w:lineRule="exact"/>
              <w:rPr>
                <w:sz w:val="1"/>
                <w:szCs w:val="1"/>
              </w:rPr>
            </w:pPr>
          </w:p>
        </w:tc>
        <w:tc>
          <w:tcPr>
            <w:tcW w:w="1620" w:type="dxa"/>
            <w:tcBorders>
              <w:bottom w:val="single" w:sz="8" w:space="0" w:color="CF0A2C"/>
            </w:tcBorders>
            <w:vAlign w:val="bottom"/>
          </w:tcPr>
          <w:p w:rsidR="00A621E3" w:rsidRDefault="00A621E3">
            <w:pPr>
              <w:spacing w:line="20" w:lineRule="exact"/>
              <w:rPr>
                <w:sz w:val="1"/>
                <w:szCs w:val="1"/>
              </w:rPr>
            </w:pPr>
          </w:p>
        </w:tc>
        <w:tc>
          <w:tcPr>
            <w:tcW w:w="2060" w:type="dxa"/>
            <w:tcBorders>
              <w:bottom w:val="single" w:sz="8" w:space="0" w:color="CF0A2C"/>
            </w:tcBorders>
            <w:vAlign w:val="bottom"/>
          </w:tcPr>
          <w:p w:rsidR="00A621E3" w:rsidRDefault="00A621E3">
            <w:pPr>
              <w:spacing w:line="20" w:lineRule="exact"/>
              <w:rPr>
                <w:sz w:val="1"/>
                <w:szCs w:val="1"/>
              </w:rPr>
            </w:pPr>
          </w:p>
        </w:tc>
      </w:tr>
      <w:tr w:rsidR="00A621E3">
        <w:trPr>
          <w:trHeight w:val="399"/>
        </w:trPr>
        <w:tc>
          <w:tcPr>
            <w:tcW w:w="8960" w:type="dxa"/>
            <w:gridSpan w:val="21"/>
            <w:vAlign w:val="bottom"/>
          </w:tcPr>
          <w:p w:rsidR="00A621E3" w:rsidRDefault="00EC630E">
            <w:pPr>
              <w:rPr>
                <w:sz w:val="20"/>
                <w:szCs w:val="20"/>
              </w:rPr>
            </w:pPr>
            <w:r>
              <w:rPr>
                <w:rFonts w:ascii="Arial" w:eastAsia="Arial" w:hAnsi="Arial" w:cs="Arial"/>
                <w:b/>
                <w:bCs/>
                <w:color w:val="0000EE"/>
              </w:rPr>
              <w:t>ADDITIONAL INFORMATION</w:t>
            </w:r>
          </w:p>
        </w:tc>
        <w:tc>
          <w:tcPr>
            <w:tcW w:w="2060" w:type="dxa"/>
            <w:vAlign w:val="bottom"/>
          </w:tcPr>
          <w:p w:rsidR="00A621E3" w:rsidRDefault="00EC630E">
            <w:pPr>
              <w:jc w:val="right"/>
              <w:rPr>
                <w:sz w:val="20"/>
                <w:szCs w:val="20"/>
              </w:rPr>
            </w:pPr>
            <w:r>
              <w:rPr>
                <w:rFonts w:ascii="Arial" w:eastAsia="Arial" w:hAnsi="Arial" w:cs="Arial"/>
                <w:b/>
                <w:bCs/>
                <w:color w:val="CF0A2C"/>
              </w:rPr>
              <w:t>100</w:t>
            </w:r>
          </w:p>
        </w:tc>
      </w:tr>
      <w:tr w:rsidR="00A621E3">
        <w:trPr>
          <w:trHeight w:val="20"/>
        </w:trPr>
        <w:tc>
          <w:tcPr>
            <w:tcW w:w="2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6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3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0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4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12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260" w:type="dxa"/>
            <w:tcBorders>
              <w:top w:val="single" w:sz="8" w:space="0" w:color="0000EE"/>
              <w:bottom w:val="single" w:sz="8" w:space="0" w:color="CF0A2C"/>
            </w:tcBorders>
            <w:vAlign w:val="bottom"/>
          </w:tcPr>
          <w:p w:rsidR="00A621E3" w:rsidRDefault="00A621E3">
            <w:pPr>
              <w:spacing w:line="20" w:lineRule="exact"/>
              <w:rPr>
                <w:sz w:val="1"/>
                <w:szCs w:val="1"/>
              </w:rPr>
            </w:pPr>
          </w:p>
        </w:tc>
        <w:tc>
          <w:tcPr>
            <w:tcW w:w="80" w:type="dxa"/>
            <w:tcBorders>
              <w:bottom w:val="single" w:sz="8" w:space="0" w:color="CF0A2C"/>
            </w:tcBorders>
            <w:vAlign w:val="bottom"/>
          </w:tcPr>
          <w:p w:rsidR="00A621E3" w:rsidRDefault="00A621E3">
            <w:pPr>
              <w:spacing w:line="20" w:lineRule="exact"/>
              <w:rPr>
                <w:sz w:val="1"/>
                <w:szCs w:val="1"/>
              </w:rPr>
            </w:pPr>
          </w:p>
        </w:tc>
        <w:tc>
          <w:tcPr>
            <w:tcW w:w="240" w:type="dxa"/>
            <w:tcBorders>
              <w:bottom w:val="single" w:sz="8" w:space="0" w:color="CF0A2C"/>
            </w:tcBorders>
            <w:vAlign w:val="bottom"/>
          </w:tcPr>
          <w:p w:rsidR="00A621E3" w:rsidRDefault="00A621E3">
            <w:pPr>
              <w:spacing w:line="20" w:lineRule="exact"/>
              <w:rPr>
                <w:sz w:val="1"/>
                <w:szCs w:val="1"/>
              </w:rPr>
            </w:pPr>
          </w:p>
        </w:tc>
        <w:tc>
          <w:tcPr>
            <w:tcW w:w="100" w:type="dxa"/>
            <w:tcBorders>
              <w:bottom w:val="single" w:sz="8" w:space="0" w:color="CF0A2C"/>
            </w:tcBorders>
            <w:vAlign w:val="bottom"/>
          </w:tcPr>
          <w:p w:rsidR="00A621E3" w:rsidRDefault="00A621E3">
            <w:pPr>
              <w:spacing w:line="20" w:lineRule="exact"/>
              <w:rPr>
                <w:sz w:val="1"/>
                <w:szCs w:val="1"/>
              </w:rPr>
            </w:pPr>
          </w:p>
        </w:tc>
        <w:tc>
          <w:tcPr>
            <w:tcW w:w="40" w:type="dxa"/>
            <w:tcBorders>
              <w:bottom w:val="single" w:sz="8" w:space="0" w:color="CF0A2C"/>
            </w:tcBorders>
            <w:vAlign w:val="bottom"/>
          </w:tcPr>
          <w:p w:rsidR="00A621E3" w:rsidRDefault="00A621E3">
            <w:pPr>
              <w:spacing w:line="20" w:lineRule="exact"/>
              <w:rPr>
                <w:sz w:val="1"/>
                <w:szCs w:val="1"/>
              </w:rPr>
            </w:pPr>
          </w:p>
        </w:tc>
        <w:tc>
          <w:tcPr>
            <w:tcW w:w="100" w:type="dxa"/>
            <w:tcBorders>
              <w:bottom w:val="single" w:sz="8" w:space="0" w:color="CF0A2C"/>
            </w:tcBorders>
            <w:vAlign w:val="bottom"/>
          </w:tcPr>
          <w:p w:rsidR="00A621E3" w:rsidRDefault="00A621E3">
            <w:pPr>
              <w:spacing w:line="20" w:lineRule="exact"/>
              <w:rPr>
                <w:sz w:val="1"/>
                <w:szCs w:val="1"/>
              </w:rPr>
            </w:pPr>
          </w:p>
        </w:tc>
        <w:tc>
          <w:tcPr>
            <w:tcW w:w="40" w:type="dxa"/>
            <w:tcBorders>
              <w:bottom w:val="single" w:sz="8" w:space="0" w:color="CF0A2C"/>
            </w:tcBorders>
            <w:vAlign w:val="bottom"/>
          </w:tcPr>
          <w:p w:rsidR="00A621E3" w:rsidRDefault="00A621E3">
            <w:pPr>
              <w:spacing w:line="20" w:lineRule="exact"/>
              <w:rPr>
                <w:sz w:val="1"/>
                <w:szCs w:val="1"/>
              </w:rPr>
            </w:pPr>
          </w:p>
        </w:tc>
        <w:tc>
          <w:tcPr>
            <w:tcW w:w="480" w:type="dxa"/>
            <w:tcBorders>
              <w:bottom w:val="single" w:sz="8" w:space="0" w:color="CF0A2C"/>
            </w:tcBorders>
            <w:vAlign w:val="bottom"/>
          </w:tcPr>
          <w:p w:rsidR="00A621E3" w:rsidRDefault="00A621E3">
            <w:pPr>
              <w:spacing w:line="20" w:lineRule="exact"/>
              <w:rPr>
                <w:sz w:val="1"/>
                <w:szCs w:val="1"/>
              </w:rPr>
            </w:pPr>
          </w:p>
        </w:tc>
        <w:tc>
          <w:tcPr>
            <w:tcW w:w="740" w:type="dxa"/>
            <w:tcBorders>
              <w:bottom w:val="single" w:sz="8" w:space="0" w:color="CF0A2C"/>
            </w:tcBorders>
            <w:vAlign w:val="bottom"/>
          </w:tcPr>
          <w:p w:rsidR="00A621E3" w:rsidRDefault="00A621E3">
            <w:pPr>
              <w:spacing w:line="20" w:lineRule="exact"/>
              <w:rPr>
                <w:sz w:val="1"/>
                <w:szCs w:val="1"/>
              </w:rPr>
            </w:pPr>
          </w:p>
        </w:tc>
        <w:tc>
          <w:tcPr>
            <w:tcW w:w="100" w:type="dxa"/>
            <w:tcBorders>
              <w:bottom w:val="single" w:sz="8" w:space="0" w:color="CF0A2C"/>
            </w:tcBorders>
            <w:vAlign w:val="bottom"/>
          </w:tcPr>
          <w:p w:rsidR="00A621E3" w:rsidRDefault="00A621E3">
            <w:pPr>
              <w:spacing w:line="20" w:lineRule="exact"/>
              <w:rPr>
                <w:sz w:val="1"/>
                <w:szCs w:val="1"/>
              </w:rPr>
            </w:pPr>
          </w:p>
        </w:tc>
        <w:tc>
          <w:tcPr>
            <w:tcW w:w="140" w:type="dxa"/>
            <w:tcBorders>
              <w:bottom w:val="single" w:sz="8" w:space="0" w:color="CF0A2C"/>
            </w:tcBorders>
            <w:vAlign w:val="bottom"/>
          </w:tcPr>
          <w:p w:rsidR="00A621E3" w:rsidRDefault="00A621E3">
            <w:pPr>
              <w:spacing w:line="20" w:lineRule="exact"/>
              <w:rPr>
                <w:sz w:val="1"/>
                <w:szCs w:val="1"/>
              </w:rPr>
            </w:pPr>
          </w:p>
        </w:tc>
        <w:tc>
          <w:tcPr>
            <w:tcW w:w="900" w:type="dxa"/>
            <w:tcBorders>
              <w:bottom w:val="single" w:sz="8" w:space="0" w:color="CF0A2C"/>
            </w:tcBorders>
            <w:vAlign w:val="bottom"/>
          </w:tcPr>
          <w:p w:rsidR="00A621E3" w:rsidRDefault="00A621E3">
            <w:pPr>
              <w:spacing w:line="20" w:lineRule="exact"/>
              <w:rPr>
                <w:sz w:val="1"/>
                <w:szCs w:val="1"/>
              </w:rPr>
            </w:pPr>
          </w:p>
        </w:tc>
        <w:tc>
          <w:tcPr>
            <w:tcW w:w="1240" w:type="dxa"/>
            <w:tcBorders>
              <w:bottom w:val="single" w:sz="8" w:space="0" w:color="CF0A2C"/>
            </w:tcBorders>
            <w:vAlign w:val="bottom"/>
          </w:tcPr>
          <w:p w:rsidR="00A621E3" w:rsidRDefault="00A621E3">
            <w:pPr>
              <w:spacing w:line="20" w:lineRule="exact"/>
              <w:rPr>
                <w:sz w:val="1"/>
                <w:szCs w:val="1"/>
              </w:rPr>
            </w:pPr>
          </w:p>
        </w:tc>
        <w:tc>
          <w:tcPr>
            <w:tcW w:w="240" w:type="dxa"/>
            <w:tcBorders>
              <w:bottom w:val="single" w:sz="8" w:space="0" w:color="CF0A2C"/>
            </w:tcBorders>
            <w:vAlign w:val="bottom"/>
          </w:tcPr>
          <w:p w:rsidR="00A621E3" w:rsidRDefault="00A621E3">
            <w:pPr>
              <w:spacing w:line="20" w:lineRule="exact"/>
              <w:rPr>
                <w:sz w:val="1"/>
                <w:szCs w:val="1"/>
              </w:rPr>
            </w:pPr>
          </w:p>
        </w:tc>
        <w:tc>
          <w:tcPr>
            <w:tcW w:w="1620" w:type="dxa"/>
            <w:tcBorders>
              <w:bottom w:val="single" w:sz="8" w:space="0" w:color="CF0A2C"/>
            </w:tcBorders>
            <w:vAlign w:val="bottom"/>
          </w:tcPr>
          <w:p w:rsidR="00A621E3" w:rsidRDefault="00A621E3">
            <w:pPr>
              <w:spacing w:line="20" w:lineRule="exact"/>
              <w:rPr>
                <w:sz w:val="1"/>
                <w:szCs w:val="1"/>
              </w:rPr>
            </w:pPr>
          </w:p>
        </w:tc>
        <w:tc>
          <w:tcPr>
            <w:tcW w:w="2060" w:type="dxa"/>
            <w:tcBorders>
              <w:bottom w:val="single" w:sz="8" w:space="0" w:color="CF0A2C"/>
            </w:tcBorders>
            <w:vAlign w:val="bottom"/>
          </w:tcPr>
          <w:p w:rsidR="00A621E3" w:rsidRDefault="00A621E3">
            <w:pPr>
              <w:spacing w:line="20" w:lineRule="exact"/>
              <w:rPr>
                <w:sz w:val="1"/>
                <w:szCs w:val="1"/>
              </w:rPr>
            </w:pPr>
          </w:p>
        </w:tc>
      </w:tr>
    </w:tbl>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6" w:name="page6"/>
      <w:bookmarkEnd w:id="6"/>
      <w:r>
        <w:rPr>
          <w:rFonts w:ascii="Arial" w:eastAsia="Arial" w:hAnsi="Arial" w:cs="Arial"/>
          <w:b/>
          <w:bCs/>
          <w:noProof/>
          <w:color w:val="0000EE"/>
          <w:sz w:val="18"/>
          <w:szCs w:val="18"/>
          <w:u w:val="single"/>
        </w:rPr>
        <w:lastRenderedPageBreak/>
        <w:drawing>
          <wp:anchor distT="0" distB="0" distL="114300" distR="114300" simplePos="0" relativeHeight="25124249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243520" behindDoc="1" locked="0" layoutInCell="0" allowOverlap="1">
            <wp:simplePos x="0" y="0"/>
            <wp:positionH relativeFrom="column">
              <wp:posOffset>71755</wp:posOffset>
            </wp:positionH>
            <wp:positionV relativeFrom="paragraph">
              <wp:posOffset>203835</wp:posOffset>
            </wp:positionV>
            <wp:extent cx="6998970" cy="63474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blip>
                    <a:srcRect/>
                    <a:stretch>
                      <a:fillRect/>
                    </a:stretch>
                  </pic:blipFill>
                  <pic:spPr bwMode="auto">
                    <a:xfrm>
                      <a:off x="0" y="0"/>
                      <a:ext cx="6998970" cy="6347460"/>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38" w:lineRule="exact"/>
        <w:rPr>
          <w:sz w:val="20"/>
          <w:szCs w:val="20"/>
        </w:rPr>
      </w:pPr>
    </w:p>
    <w:p w:rsidR="00A621E3" w:rsidRDefault="00EC630E">
      <w:pPr>
        <w:ind w:left="320"/>
        <w:rPr>
          <w:sz w:val="20"/>
          <w:szCs w:val="20"/>
        </w:rPr>
      </w:pPr>
      <w:r>
        <w:rPr>
          <w:rFonts w:ascii="Arial" w:eastAsia="Arial" w:hAnsi="Arial" w:cs="Arial"/>
          <w:b/>
          <w:bCs/>
          <w:color w:val="FFFFFF"/>
          <w:sz w:val="32"/>
          <w:szCs w:val="32"/>
        </w:rPr>
        <w:t>PROXY STATEMENT SUMMARY</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45" w:lineRule="exact"/>
        <w:rPr>
          <w:sz w:val="20"/>
          <w:szCs w:val="20"/>
        </w:rPr>
      </w:pPr>
    </w:p>
    <w:p w:rsidR="00A621E3" w:rsidRDefault="00EC630E">
      <w:pPr>
        <w:spacing w:line="260" w:lineRule="auto"/>
        <w:ind w:left="140" w:right="20"/>
        <w:rPr>
          <w:sz w:val="20"/>
          <w:szCs w:val="20"/>
        </w:rPr>
      </w:pPr>
      <w:r>
        <w:rPr>
          <w:rFonts w:ascii="Arial" w:eastAsia="Arial" w:hAnsi="Arial" w:cs="Arial"/>
          <w:i/>
          <w:iCs/>
          <w:sz w:val="20"/>
          <w:szCs w:val="20"/>
        </w:rPr>
        <w:t xml:space="preserve">This summary highlights information contained </w:t>
      </w:r>
      <w:r>
        <w:rPr>
          <w:rFonts w:ascii="Arial" w:eastAsia="Arial" w:hAnsi="Arial" w:cs="Arial"/>
          <w:i/>
          <w:iCs/>
          <w:sz w:val="20"/>
          <w:szCs w:val="20"/>
        </w:rPr>
        <w:t>elsewhere in this proxy statement. This summary does not contain all of the information that you should consider, and you should read the entire proxy statement carefully before voting.</w:t>
      </w:r>
    </w:p>
    <w:p w:rsidR="00A621E3" w:rsidRDefault="00A621E3">
      <w:pPr>
        <w:spacing w:line="157" w:lineRule="exact"/>
        <w:rPr>
          <w:sz w:val="20"/>
          <w:szCs w:val="20"/>
        </w:rPr>
      </w:pPr>
    </w:p>
    <w:p w:rsidR="00A621E3" w:rsidRDefault="00EC630E">
      <w:pPr>
        <w:ind w:left="140"/>
        <w:rPr>
          <w:sz w:val="20"/>
          <w:szCs w:val="20"/>
        </w:rPr>
      </w:pPr>
      <w:r>
        <w:rPr>
          <w:rFonts w:ascii="Arial" w:eastAsia="Arial" w:hAnsi="Arial" w:cs="Arial"/>
          <w:b/>
          <w:bCs/>
          <w:color w:val="CF0A2C"/>
          <w:sz w:val="32"/>
          <w:szCs w:val="32"/>
        </w:rPr>
        <w:t>MEETING INFORMATION</w:t>
      </w:r>
    </w:p>
    <w:p w:rsidR="00A621E3" w:rsidRDefault="00A621E3">
      <w:pPr>
        <w:spacing w:line="200" w:lineRule="exact"/>
        <w:rPr>
          <w:sz w:val="20"/>
          <w:szCs w:val="20"/>
        </w:rPr>
      </w:pPr>
    </w:p>
    <w:p w:rsidR="00A621E3" w:rsidRDefault="00A621E3">
      <w:pPr>
        <w:spacing w:line="291" w:lineRule="exact"/>
        <w:rPr>
          <w:sz w:val="20"/>
          <w:szCs w:val="20"/>
        </w:rPr>
      </w:pPr>
    </w:p>
    <w:p w:rsidR="00A621E3" w:rsidRDefault="00EC630E">
      <w:pPr>
        <w:tabs>
          <w:tab w:val="left" w:pos="1460"/>
        </w:tabs>
        <w:ind w:left="140"/>
        <w:rPr>
          <w:sz w:val="20"/>
          <w:szCs w:val="20"/>
        </w:rPr>
      </w:pPr>
      <w:r>
        <w:rPr>
          <w:rFonts w:ascii="Arial" w:eastAsia="Arial" w:hAnsi="Arial" w:cs="Arial"/>
          <w:sz w:val="18"/>
          <w:szCs w:val="18"/>
        </w:rPr>
        <w:t>Time and Date:</w:t>
      </w:r>
      <w:r>
        <w:rPr>
          <w:sz w:val="20"/>
          <w:szCs w:val="20"/>
        </w:rPr>
        <w:tab/>
      </w:r>
      <w:r>
        <w:rPr>
          <w:rFonts w:ascii="Arial" w:eastAsia="Arial" w:hAnsi="Arial" w:cs="Arial"/>
          <w:sz w:val="16"/>
          <w:szCs w:val="16"/>
        </w:rPr>
        <w:t xml:space="preserve">8:00 a.m. (local time) on </w:t>
      </w:r>
      <w:r>
        <w:rPr>
          <w:rFonts w:ascii="Arial" w:eastAsia="Arial" w:hAnsi="Arial" w:cs="Arial"/>
          <w:sz w:val="16"/>
          <w:szCs w:val="16"/>
        </w:rPr>
        <w:t>Thursday, May 25, 2023</w:t>
      </w:r>
    </w:p>
    <w:p w:rsidR="00A621E3" w:rsidRDefault="00A621E3">
      <w:pPr>
        <w:spacing w:line="252" w:lineRule="exact"/>
        <w:rPr>
          <w:sz w:val="20"/>
          <w:szCs w:val="20"/>
        </w:rPr>
      </w:pPr>
    </w:p>
    <w:p w:rsidR="00A621E3" w:rsidRDefault="00EC630E">
      <w:pPr>
        <w:tabs>
          <w:tab w:val="left" w:pos="1440"/>
        </w:tabs>
        <w:ind w:left="140"/>
        <w:rPr>
          <w:sz w:val="20"/>
          <w:szCs w:val="20"/>
        </w:rPr>
      </w:pPr>
      <w:r>
        <w:rPr>
          <w:rFonts w:ascii="Arial" w:eastAsia="Arial" w:hAnsi="Arial" w:cs="Arial"/>
          <w:sz w:val="18"/>
          <w:szCs w:val="18"/>
        </w:rPr>
        <w:t>Location:</w:t>
      </w:r>
      <w:r>
        <w:rPr>
          <w:sz w:val="20"/>
          <w:szCs w:val="20"/>
        </w:rPr>
        <w:tab/>
      </w:r>
      <w:r>
        <w:rPr>
          <w:rFonts w:ascii="Arial" w:eastAsia="Arial" w:hAnsi="Arial" w:cs="Arial"/>
          <w:sz w:val="18"/>
          <w:szCs w:val="18"/>
        </w:rPr>
        <w:t>Mandarin Oriental Hong Kong, 5 Connaught Road, Central, Hong Kong</w:t>
      </w:r>
    </w:p>
    <w:p w:rsidR="00A621E3" w:rsidRDefault="00A621E3">
      <w:pPr>
        <w:spacing w:line="252" w:lineRule="exact"/>
        <w:rPr>
          <w:sz w:val="20"/>
          <w:szCs w:val="20"/>
        </w:rPr>
      </w:pPr>
    </w:p>
    <w:p w:rsidR="00A621E3" w:rsidRDefault="00EC630E">
      <w:pPr>
        <w:tabs>
          <w:tab w:val="left" w:pos="1440"/>
        </w:tabs>
        <w:ind w:left="140"/>
        <w:rPr>
          <w:sz w:val="20"/>
          <w:szCs w:val="20"/>
        </w:rPr>
      </w:pPr>
      <w:r>
        <w:rPr>
          <w:rFonts w:ascii="Arial" w:eastAsia="Arial" w:hAnsi="Arial" w:cs="Arial"/>
          <w:sz w:val="18"/>
          <w:szCs w:val="18"/>
        </w:rPr>
        <w:t>Record Date:</w:t>
      </w:r>
      <w:r>
        <w:rPr>
          <w:sz w:val="20"/>
          <w:szCs w:val="20"/>
        </w:rPr>
        <w:tab/>
      </w:r>
      <w:r>
        <w:rPr>
          <w:rFonts w:ascii="Arial" w:eastAsia="Arial" w:hAnsi="Arial" w:cs="Arial"/>
          <w:sz w:val="16"/>
          <w:szCs w:val="16"/>
        </w:rPr>
        <w:t>March 27, 2023</w:t>
      </w:r>
    </w:p>
    <w:p w:rsidR="00A621E3" w:rsidRDefault="00A621E3">
      <w:pPr>
        <w:sectPr w:rsidR="00A621E3">
          <w:pgSz w:w="11900" w:h="16838"/>
          <w:pgMar w:top="486" w:right="459" w:bottom="1440" w:left="320" w:header="0" w:footer="0" w:gutter="0"/>
          <w:cols w:space="720" w:equalWidth="0">
            <w:col w:w="11120"/>
          </w:cols>
        </w:sectPr>
      </w:pPr>
    </w:p>
    <w:p w:rsidR="00A621E3" w:rsidRDefault="00A621E3">
      <w:pPr>
        <w:spacing w:line="325" w:lineRule="exact"/>
        <w:rPr>
          <w:sz w:val="20"/>
          <w:szCs w:val="20"/>
        </w:rPr>
      </w:pPr>
    </w:p>
    <w:p w:rsidR="00A621E3" w:rsidRDefault="00EC630E">
      <w:pPr>
        <w:ind w:left="140"/>
        <w:rPr>
          <w:sz w:val="20"/>
          <w:szCs w:val="20"/>
        </w:rPr>
      </w:pPr>
      <w:r>
        <w:rPr>
          <w:rFonts w:ascii="Arial" w:eastAsia="Arial" w:hAnsi="Arial" w:cs="Arial"/>
          <w:b/>
          <w:bCs/>
          <w:color w:val="CF0A2C"/>
          <w:sz w:val="32"/>
          <w:szCs w:val="32"/>
        </w:rPr>
        <w:t>HOW TO VOTE</w:t>
      </w:r>
    </w:p>
    <w:p w:rsidR="00A621E3" w:rsidRDefault="00A621E3">
      <w:pPr>
        <w:spacing w:line="200" w:lineRule="exact"/>
        <w:rPr>
          <w:sz w:val="20"/>
          <w:szCs w:val="20"/>
        </w:rPr>
      </w:pPr>
    </w:p>
    <w:p w:rsidR="00A621E3" w:rsidRDefault="00A621E3">
      <w:pPr>
        <w:spacing w:line="356" w:lineRule="exact"/>
        <w:rPr>
          <w:sz w:val="20"/>
          <w:szCs w:val="20"/>
        </w:rPr>
      </w:pPr>
    </w:p>
    <w:p w:rsidR="00A621E3" w:rsidRDefault="00EC630E">
      <w:pPr>
        <w:spacing w:line="287" w:lineRule="auto"/>
        <w:ind w:left="140"/>
        <w:rPr>
          <w:sz w:val="20"/>
          <w:szCs w:val="20"/>
        </w:rPr>
      </w:pPr>
      <w:r>
        <w:rPr>
          <w:rFonts w:ascii="Arial" w:eastAsia="Arial" w:hAnsi="Arial" w:cs="Arial"/>
          <w:sz w:val="19"/>
          <w:szCs w:val="19"/>
        </w:rPr>
        <w:t>Stockholders of record as of the close of business on March 27, 2023 may vote by using any o</w:t>
      </w:r>
      <w:r>
        <w:rPr>
          <w:rFonts w:ascii="Arial" w:eastAsia="Arial" w:hAnsi="Arial" w:cs="Arial"/>
          <w:sz w:val="19"/>
          <w:szCs w:val="19"/>
        </w:rPr>
        <w:t>f the following methods:</w:t>
      </w:r>
    </w:p>
    <w:p w:rsidR="00A621E3" w:rsidRDefault="00A621E3">
      <w:pPr>
        <w:spacing w:line="146" w:lineRule="exact"/>
        <w:rPr>
          <w:sz w:val="20"/>
          <w:szCs w:val="20"/>
        </w:rPr>
      </w:pPr>
    </w:p>
    <w:p w:rsidR="00A621E3" w:rsidRDefault="00EC630E">
      <w:pPr>
        <w:ind w:left="140"/>
        <w:rPr>
          <w:sz w:val="20"/>
          <w:szCs w:val="20"/>
        </w:rPr>
      </w:pPr>
      <w:r>
        <w:rPr>
          <w:rFonts w:ascii="Arial" w:eastAsia="Arial" w:hAnsi="Arial" w:cs="Arial"/>
          <w:b/>
          <w:bCs/>
          <w:color w:val="CF0A2C"/>
          <w:sz w:val="20"/>
          <w:szCs w:val="20"/>
        </w:rPr>
        <w:t>Before the Annual Meeting:</w:t>
      </w:r>
    </w:p>
    <w:p w:rsidR="00A621E3" w:rsidRDefault="00A621E3">
      <w:pPr>
        <w:spacing w:line="297" w:lineRule="exact"/>
        <w:rPr>
          <w:sz w:val="20"/>
          <w:szCs w:val="20"/>
        </w:rPr>
      </w:pPr>
    </w:p>
    <w:p w:rsidR="00A621E3" w:rsidRDefault="00EC630E">
      <w:pPr>
        <w:numPr>
          <w:ilvl w:val="0"/>
          <w:numId w:val="6"/>
        </w:numPr>
        <w:tabs>
          <w:tab w:val="left" w:pos="380"/>
        </w:tabs>
        <w:spacing w:line="267" w:lineRule="auto"/>
        <w:ind w:left="380" w:right="20" w:hanging="192"/>
        <w:rPr>
          <w:rFonts w:ascii="Arial" w:eastAsia="Arial" w:hAnsi="Arial" w:cs="Arial"/>
          <w:color w:val="CF0A2C"/>
          <w:sz w:val="20"/>
          <w:szCs w:val="20"/>
        </w:rPr>
      </w:pPr>
      <w:r>
        <w:rPr>
          <w:rFonts w:ascii="Arial" w:eastAsia="Arial" w:hAnsi="Arial" w:cs="Arial"/>
          <w:sz w:val="20"/>
          <w:szCs w:val="20"/>
        </w:rPr>
        <w:t xml:space="preserve">Via </w:t>
      </w:r>
      <w:r>
        <w:rPr>
          <w:rFonts w:ascii="Arial" w:eastAsia="Arial" w:hAnsi="Arial" w:cs="Arial"/>
          <w:b/>
          <w:bCs/>
          <w:sz w:val="20"/>
          <w:szCs w:val="20"/>
        </w:rPr>
        <w:t>Internet</w:t>
      </w:r>
      <w:r>
        <w:rPr>
          <w:rFonts w:ascii="Arial" w:eastAsia="Arial" w:hAnsi="Arial" w:cs="Arial"/>
          <w:sz w:val="20"/>
          <w:szCs w:val="20"/>
        </w:rPr>
        <w:t xml:space="preserve"> by following the instructions on </w:t>
      </w:r>
      <w:r>
        <w:rPr>
          <w:rFonts w:ascii="Arial" w:eastAsia="Arial" w:hAnsi="Arial" w:cs="Arial"/>
          <w:i/>
          <w:iCs/>
          <w:sz w:val="20"/>
          <w:szCs w:val="20"/>
        </w:rPr>
        <w:t>www.proxyvote.com</w:t>
      </w:r>
      <w:r>
        <w:rPr>
          <w:rFonts w:ascii="Arial" w:eastAsia="Arial" w:hAnsi="Arial" w:cs="Arial"/>
          <w:sz w:val="20"/>
          <w:szCs w:val="20"/>
        </w:rPr>
        <w:t>;</w:t>
      </w:r>
    </w:p>
    <w:p w:rsidR="00A621E3" w:rsidRDefault="00A621E3">
      <w:pPr>
        <w:spacing w:line="244" w:lineRule="exact"/>
        <w:rPr>
          <w:rFonts w:ascii="Arial" w:eastAsia="Arial" w:hAnsi="Arial" w:cs="Arial"/>
          <w:color w:val="CF0A2C"/>
          <w:sz w:val="20"/>
          <w:szCs w:val="20"/>
        </w:rPr>
      </w:pPr>
    </w:p>
    <w:p w:rsidR="00A621E3" w:rsidRDefault="00EC630E">
      <w:pPr>
        <w:numPr>
          <w:ilvl w:val="0"/>
          <w:numId w:val="6"/>
        </w:numPr>
        <w:tabs>
          <w:tab w:val="left" w:pos="380"/>
        </w:tabs>
        <w:spacing w:line="253" w:lineRule="auto"/>
        <w:ind w:left="380" w:hanging="192"/>
        <w:jc w:val="both"/>
        <w:rPr>
          <w:rFonts w:ascii="Arial" w:eastAsia="Arial" w:hAnsi="Arial" w:cs="Arial"/>
          <w:color w:val="CF0A2C"/>
          <w:sz w:val="20"/>
          <w:szCs w:val="20"/>
        </w:rPr>
      </w:pPr>
      <w:r>
        <w:rPr>
          <w:rFonts w:ascii="Arial" w:eastAsia="Arial" w:hAnsi="Arial" w:cs="Arial"/>
          <w:sz w:val="20"/>
          <w:szCs w:val="20"/>
        </w:rPr>
        <w:t xml:space="preserve">Via </w:t>
      </w:r>
      <w:r>
        <w:rPr>
          <w:rFonts w:ascii="Arial" w:eastAsia="Arial" w:hAnsi="Arial" w:cs="Arial"/>
          <w:b/>
          <w:bCs/>
          <w:sz w:val="20"/>
          <w:szCs w:val="20"/>
        </w:rPr>
        <w:t>telephone</w:t>
      </w:r>
      <w:r>
        <w:rPr>
          <w:rFonts w:ascii="Arial" w:eastAsia="Arial" w:hAnsi="Arial" w:cs="Arial"/>
          <w:sz w:val="20"/>
          <w:szCs w:val="20"/>
        </w:rPr>
        <w:t xml:space="preserve"> by calling 1 (800) 690-6903 (toll-free in the U.S.) and following the instructions provided by the recorded message; or</w:t>
      </w:r>
    </w:p>
    <w:p w:rsidR="00A621E3" w:rsidRDefault="00A621E3">
      <w:pPr>
        <w:spacing w:line="258" w:lineRule="exact"/>
        <w:rPr>
          <w:rFonts w:ascii="Arial" w:eastAsia="Arial" w:hAnsi="Arial" w:cs="Arial"/>
          <w:color w:val="CF0A2C"/>
          <w:sz w:val="20"/>
          <w:szCs w:val="20"/>
        </w:rPr>
      </w:pPr>
    </w:p>
    <w:p w:rsidR="00A621E3" w:rsidRDefault="00EC630E">
      <w:pPr>
        <w:numPr>
          <w:ilvl w:val="0"/>
          <w:numId w:val="6"/>
        </w:numPr>
        <w:tabs>
          <w:tab w:val="left" w:pos="380"/>
        </w:tabs>
        <w:spacing w:line="253" w:lineRule="auto"/>
        <w:ind w:left="380" w:hanging="192"/>
        <w:jc w:val="both"/>
        <w:rPr>
          <w:rFonts w:ascii="Arial" w:eastAsia="Arial" w:hAnsi="Arial" w:cs="Arial"/>
          <w:color w:val="CF0A2C"/>
          <w:sz w:val="20"/>
          <w:szCs w:val="20"/>
        </w:rPr>
      </w:pPr>
      <w:r>
        <w:rPr>
          <w:rFonts w:ascii="Arial" w:eastAsia="Arial" w:hAnsi="Arial" w:cs="Arial"/>
          <w:sz w:val="20"/>
          <w:szCs w:val="20"/>
        </w:rPr>
        <w:t xml:space="preserve">Via </w:t>
      </w:r>
      <w:r>
        <w:rPr>
          <w:rFonts w:ascii="Arial" w:eastAsia="Arial" w:hAnsi="Arial" w:cs="Arial"/>
          <w:b/>
          <w:bCs/>
          <w:sz w:val="20"/>
          <w:szCs w:val="20"/>
        </w:rPr>
        <w:t>mail</w:t>
      </w:r>
      <w:r>
        <w:rPr>
          <w:rFonts w:ascii="Arial" w:eastAsia="Arial" w:hAnsi="Arial" w:cs="Arial"/>
          <w:sz w:val="20"/>
          <w:szCs w:val="20"/>
        </w:rPr>
        <w:t>, if you received your proxy materials by mail, by completing, signing, dating and mailing the proxy card in the postage-paid envelope provided.</w:t>
      </w:r>
    </w:p>
    <w:p w:rsidR="00A621E3" w:rsidRDefault="00A621E3">
      <w:pPr>
        <w:spacing w:line="224" w:lineRule="exact"/>
        <w:rPr>
          <w:sz w:val="20"/>
          <w:szCs w:val="20"/>
        </w:rPr>
      </w:pPr>
    </w:p>
    <w:p w:rsidR="00A621E3" w:rsidRDefault="00EC630E">
      <w:pPr>
        <w:spacing w:line="250" w:lineRule="auto"/>
        <w:ind w:left="140"/>
        <w:jc w:val="both"/>
        <w:rPr>
          <w:sz w:val="20"/>
          <w:szCs w:val="20"/>
        </w:rPr>
      </w:pPr>
      <w:r>
        <w:rPr>
          <w:rFonts w:ascii="Arial" w:eastAsia="Arial" w:hAnsi="Arial" w:cs="Arial"/>
          <w:sz w:val="20"/>
          <w:szCs w:val="20"/>
        </w:rPr>
        <w:t>Proxies submitted through the Internet or by telephone as described above must be received by 11:59 a.</w:t>
      </w:r>
      <w:r>
        <w:rPr>
          <w:rFonts w:ascii="Arial" w:eastAsia="Arial" w:hAnsi="Arial" w:cs="Arial"/>
          <w:sz w:val="20"/>
          <w:szCs w:val="20"/>
        </w:rPr>
        <w:t>m. Beijing/Hong Kong time on May 24, 2023 / 11:59 p.m. U.S.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9" w:lineRule="exact"/>
        <w:rPr>
          <w:sz w:val="20"/>
          <w:szCs w:val="20"/>
        </w:rPr>
      </w:pPr>
    </w:p>
    <w:p w:rsidR="00A621E3" w:rsidRDefault="00EC630E">
      <w:pPr>
        <w:spacing w:line="260" w:lineRule="auto"/>
        <w:ind w:right="20"/>
        <w:jc w:val="both"/>
        <w:rPr>
          <w:sz w:val="20"/>
          <w:szCs w:val="20"/>
        </w:rPr>
      </w:pPr>
      <w:r>
        <w:rPr>
          <w:rFonts w:ascii="Arial" w:eastAsia="Arial" w:hAnsi="Arial" w:cs="Arial"/>
          <w:sz w:val="20"/>
          <w:szCs w:val="20"/>
        </w:rPr>
        <w:t>Eastern time on May 23, 2023. Proxies submitted by mail must be received prior to the meeting.</w:t>
      </w:r>
    </w:p>
    <w:p w:rsidR="00A621E3" w:rsidRDefault="00A621E3">
      <w:pPr>
        <w:spacing w:line="200" w:lineRule="exact"/>
        <w:rPr>
          <w:sz w:val="20"/>
          <w:szCs w:val="20"/>
        </w:rPr>
      </w:pPr>
    </w:p>
    <w:p w:rsidR="00A621E3" w:rsidRDefault="00A621E3">
      <w:pPr>
        <w:spacing w:line="254" w:lineRule="exact"/>
        <w:rPr>
          <w:sz w:val="20"/>
          <w:szCs w:val="20"/>
        </w:rPr>
      </w:pPr>
    </w:p>
    <w:p w:rsidR="00A621E3" w:rsidRDefault="00EC630E">
      <w:pPr>
        <w:rPr>
          <w:sz w:val="20"/>
          <w:szCs w:val="20"/>
        </w:rPr>
      </w:pPr>
      <w:r>
        <w:rPr>
          <w:rFonts w:ascii="Arial" w:eastAsia="Arial" w:hAnsi="Arial" w:cs="Arial"/>
          <w:b/>
          <w:bCs/>
          <w:color w:val="CF0A2C"/>
          <w:sz w:val="20"/>
          <w:szCs w:val="20"/>
        </w:rPr>
        <w:t>At the Annual Meeting:</w:t>
      </w:r>
    </w:p>
    <w:p w:rsidR="00A621E3" w:rsidRDefault="00A621E3">
      <w:pPr>
        <w:spacing w:line="262" w:lineRule="exact"/>
        <w:rPr>
          <w:sz w:val="20"/>
          <w:szCs w:val="20"/>
        </w:rPr>
      </w:pPr>
    </w:p>
    <w:p w:rsidR="00A621E3" w:rsidRDefault="00EC630E">
      <w:pPr>
        <w:rPr>
          <w:sz w:val="20"/>
          <w:szCs w:val="20"/>
        </w:rPr>
      </w:pPr>
      <w:r>
        <w:rPr>
          <w:rFonts w:ascii="Arial" w:eastAsia="Arial" w:hAnsi="Arial" w:cs="Arial"/>
          <w:sz w:val="20"/>
          <w:szCs w:val="20"/>
        </w:rPr>
        <w:t>If you attend the Annual Meeting, you may vote in person.</w:t>
      </w:r>
    </w:p>
    <w:p w:rsidR="00A621E3" w:rsidRDefault="00A621E3">
      <w:pPr>
        <w:spacing w:line="256" w:lineRule="exact"/>
        <w:rPr>
          <w:sz w:val="20"/>
          <w:szCs w:val="20"/>
        </w:rPr>
      </w:pPr>
    </w:p>
    <w:p w:rsidR="00A621E3" w:rsidRDefault="00EC630E">
      <w:pPr>
        <w:spacing w:line="291" w:lineRule="auto"/>
        <w:jc w:val="both"/>
        <w:rPr>
          <w:sz w:val="20"/>
          <w:szCs w:val="20"/>
        </w:rPr>
      </w:pPr>
      <w:r>
        <w:rPr>
          <w:rFonts w:ascii="Arial" w:eastAsia="Arial" w:hAnsi="Arial" w:cs="Arial"/>
          <w:sz w:val="18"/>
          <w:szCs w:val="18"/>
        </w:rPr>
        <w:t xml:space="preserve">Even if </w:t>
      </w:r>
      <w:r>
        <w:rPr>
          <w:rFonts w:ascii="Arial" w:eastAsia="Arial" w:hAnsi="Arial" w:cs="Arial"/>
          <w:sz w:val="18"/>
          <w:szCs w:val="18"/>
        </w:rPr>
        <w:t>you plan to attend the Annual Meeting, we encourage you to vote your shares by proxy. You may still vote your shares at the Annual Meeting even if you have previously voted by proxy.</w:t>
      </w:r>
    </w:p>
    <w:p w:rsidR="00A621E3" w:rsidRDefault="00A621E3">
      <w:pPr>
        <w:spacing w:line="179" w:lineRule="exact"/>
        <w:rPr>
          <w:sz w:val="20"/>
          <w:szCs w:val="20"/>
        </w:rPr>
      </w:pPr>
    </w:p>
    <w:p w:rsidR="00A621E3" w:rsidRDefault="00EC630E">
      <w:pPr>
        <w:spacing w:line="246" w:lineRule="auto"/>
        <w:jc w:val="both"/>
        <w:rPr>
          <w:sz w:val="20"/>
          <w:szCs w:val="20"/>
        </w:rPr>
      </w:pPr>
      <w:r>
        <w:rPr>
          <w:rFonts w:ascii="Arial" w:eastAsia="Arial" w:hAnsi="Arial" w:cs="Arial"/>
          <w:i/>
          <w:iCs/>
          <w:sz w:val="20"/>
          <w:szCs w:val="20"/>
        </w:rPr>
        <w:t xml:space="preserve">If you hold your shares in the name of a bank, broker or other nominee, </w:t>
      </w:r>
      <w:r>
        <w:rPr>
          <w:rFonts w:ascii="Arial" w:eastAsia="Arial" w:hAnsi="Arial" w:cs="Arial"/>
          <w:i/>
          <w:iCs/>
          <w:sz w:val="20"/>
          <w:szCs w:val="20"/>
        </w:rPr>
        <w:t>your ability to vote depends on their voting processes. Please follow the directions of your bank, broker or other nominee carefully.</w:t>
      </w:r>
    </w:p>
    <w:p w:rsidR="00A621E3" w:rsidRDefault="00A621E3">
      <w:pPr>
        <w:spacing w:line="1001" w:lineRule="exact"/>
        <w:rPr>
          <w:sz w:val="20"/>
          <w:szCs w:val="20"/>
        </w:rPr>
      </w:pPr>
    </w:p>
    <w:p w:rsidR="00A621E3" w:rsidRDefault="00A621E3">
      <w:pPr>
        <w:sectPr w:rsidR="00A621E3">
          <w:type w:val="continuous"/>
          <w:pgSz w:w="11900" w:h="16838"/>
          <w:pgMar w:top="486" w:right="459" w:bottom="1440" w:left="320" w:header="0" w:footer="0" w:gutter="0"/>
          <w:cols w:num="2" w:space="720" w:equalWidth="0">
            <w:col w:w="5400" w:space="340"/>
            <w:col w:w="5380"/>
          </w:cols>
        </w:sectPr>
      </w:pPr>
    </w:p>
    <w:p w:rsidR="00A621E3" w:rsidRDefault="00A621E3">
      <w:pPr>
        <w:spacing w:line="84"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1</w:t>
      </w:r>
    </w:p>
    <w:p w:rsidR="00A621E3" w:rsidRDefault="00EC630E">
      <w:pPr>
        <w:spacing w:line="20" w:lineRule="exact"/>
        <w:rPr>
          <w:sz w:val="20"/>
          <w:szCs w:val="20"/>
        </w:rPr>
      </w:pPr>
      <w:r>
        <w:rPr>
          <w:noProof/>
          <w:sz w:val="20"/>
          <w:szCs w:val="20"/>
        </w:rPr>
        <w:drawing>
          <wp:anchor distT="0" distB="0" distL="114300" distR="114300" simplePos="0" relativeHeight="251244544"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59" w:bottom="1440" w:left="320" w:header="0" w:footer="0" w:gutter="0"/>
          <w:cols w:space="720" w:equalWidth="0">
            <w:col w:w="11120"/>
          </w:cols>
        </w:sectPr>
      </w:pPr>
    </w:p>
    <w:p w:rsidR="00A621E3" w:rsidRDefault="00EC630E">
      <w:pPr>
        <w:rPr>
          <w:sz w:val="20"/>
          <w:szCs w:val="20"/>
        </w:rPr>
      </w:pPr>
      <w:bookmarkStart w:id="7" w:name="page7"/>
      <w:bookmarkEnd w:id="7"/>
      <w:r>
        <w:rPr>
          <w:rFonts w:ascii="Arial" w:eastAsia="Arial" w:hAnsi="Arial" w:cs="Arial"/>
          <w:b/>
          <w:bCs/>
          <w:noProof/>
          <w:color w:val="0000EE"/>
          <w:sz w:val="18"/>
          <w:szCs w:val="18"/>
          <w:u w:val="single"/>
        </w:rPr>
        <w:lastRenderedPageBreak/>
        <w:drawing>
          <wp:anchor distT="0" distB="0" distL="114300" distR="114300" simplePos="0" relativeHeight="251245568"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246592" behindDoc="1" locked="0" layoutInCell="0" allowOverlap="1">
            <wp:simplePos x="0" y="0"/>
            <wp:positionH relativeFrom="column">
              <wp:posOffset>73660</wp:posOffset>
            </wp:positionH>
            <wp:positionV relativeFrom="paragraph">
              <wp:posOffset>205740</wp:posOffset>
            </wp:positionV>
            <wp:extent cx="1697355" cy="2057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blip>
                    <a:srcRect/>
                    <a:stretch>
                      <a:fillRect/>
                    </a:stretch>
                  </pic:blipFill>
                  <pic:spPr bwMode="auto">
                    <a:xfrm>
                      <a:off x="0" y="0"/>
                      <a:ext cx="169735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 xml:space="preserve">PROXY </w:t>
      </w:r>
      <w:r>
        <w:rPr>
          <w:rFonts w:ascii="Arial" w:eastAsia="Arial" w:hAnsi="Arial" w:cs="Arial"/>
          <w:b/>
          <w:bCs/>
          <w:color w:val="FFFFFF"/>
          <w:sz w:val="16"/>
          <w:szCs w:val="16"/>
        </w:rPr>
        <w:t>STATEMENT SUMMARY</w:t>
      </w:r>
    </w:p>
    <w:p w:rsidR="00A621E3" w:rsidRDefault="00A621E3">
      <w:pPr>
        <w:spacing w:line="216" w:lineRule="exact"/>
        <w:rPr>
          <w:sz w:val="20"/>
          <w:szCs w:val="20"/>
        </w:rPr>
      </w:pPr>
    </w:p>
    <w:p w:rsidR="00A621E3" w:rsidRDefault="00EC630E">
      <w:pPr>
        <w:ind w:left="140"/>
        <w:rPr>
          <w:sz w:val="20"/>
          <w:szCs w:val="20"/>
        </w:rPr>
      </w:pPr>
      <w:r>
        <w:rPr>
          <w:rFonts w:ascii="Arial" w:eastAsia="Arial" w:hAnsi="Arial" w:cs="Arial"/>
          <w:b/>
          <w:bCs/>
          <w:color w:val="CF0A2C"/>
          <w:sz w:val="32"/>
          <w:szCs w:val="32"/>
        </w:rPr>
        <w:t>ITEMS OF BUSINESS</w:t>
      </w:r>
    </w:p>
    <w:p w:rsidR="00A621E3" w:rsidRDefault="00EC630E">
      <w:pPr>
        <w:spacing w:line="20" w:lineRule="exact"/>
        <w:rPr>
          <w:sz w:val="20"/>
          <w:szCs w:val="20"/>
        </w:rPr>
      </w:pPr>
      <w:r>
        <w:rPr>
          <w:noProof/>
          <w:sz w:val="20"/>
          <w:szCs w:val="20"/>
        </w:rPr>
        <w:drawing>
          <wp:anchor distT="0" distB="0" distL="114300" distR="114300" simplePos="0" relativeHeight="251247616" behindDoc="1" locked="0" layoutInCell="0" allowOverlap="1">
            <wp:simplePos x="0" y="0"/>
            <wp:positionH relativeFrom="column">
              <wp:posOffset>71755</wp:posOffset>
            </wp:positionH>
            <wp:positionV relativeFrom="paragraph">
              <wp:posOffset>-229235</wp:posOffset>
            </wp:positionV>
            <wp:extent cx="6998970" cy="42214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blip>
                    <a:srcRect/>
                    <a:stretch>
                      <a:fillRect/>
                    </a:stretch>
                  </pic:blipFill>
                  <pic:spPr bwMode="auto">
                    <a:xfrm>
                      <a:off x="0" y="0"/>
                      <a:ext cx="6998970" cy="4221480"/>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67"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140"/>
        <w:gridCol w:w="7600"/>
        <w:gridCol w:w="2120"/>
        <w:gridCol w:w="1140"/>
      </w:tblGrid>
      <w:tr w:rsidR="00A621E3">
        <w:trPr>
          <w:trHeight w:val="189"/>
        </w:trPr>
        <w:tc>
          <w:tcPr>
            <w:tcW w:w="140" w:type="dxa"/>
            <w:vAlign w:val="bottom"/>
          </w:tcPr>
          <w:p w:rsidR="00A621E3" w:rsidRDefault="00A621E3">
            <w:pPr>
              <w:rPr>
                <w:sz w:val="16"/>
                <w:szCs w:val="16"/>
              </w:rPr>
            </w:pPr>
          </w:p>
        </w:tc>
        <w:tc>
          <w:tcPr>
            <w:tcW w:w="7600" w:type="dxa"/>
            <w:vAlign w:val="bottom"/>
          </w:tcPr>
          <w:p w:rsidR="00A621E3" w:rsidRDefault="00A621E3">
            <w:pPr>
              <w:rPr>
                <w:sz w:val="16"/>
                <w:szCs w:val="16"/>
              </w:rPr>
            </w:pPr>
          </w:p>
        </w:tc>
        <w:tc>
          <w:tcPr>
            <w:tcW w:w="2120" w:type="dxa"/>
            <w:vAlign w:val="bottom"/>
          </w:tcPr>
          <w:p w:rsidR="00A621E3" w:rsidRDefault="00EC630E">
            <w:pPr>
              <w:ind w:left="79"/>
              <w:jc w:val="center"/>
              <w:rPr>
                <w:sz w:val="20"/>
                <w:szCs w:val="20"/>
              </w:rPr>
            </w:pPr>
            <w:r>
              <w:rPr>
                <w:rFonts w:ascii="Arial" w:eastAsia="Arial" w:hAnsi="Arial" w:cs="Arial"/>
                <w:b/>
                <w:bCs/>
                <w:color w:val="CF0A2C"/>
                <w:w w:val="99"/>
                <w:sz w:val="16"/>
                <w:szCs w:val="16"/>
              </w:rPr>
              <w:t>Board Voting</w:t>
            </w:r>
          </w:p>
        </w:tc>
        <w:tc>
          <w:tcPr>
            <w:tcW w:w="1140" w:type="dxa"/>
            <w:vAlign w:val="bottom"/>
          </w:tcPr>
          <w:p w:rsidR="00A621E3" w:rsidRDefault="00EC630E">
            <w:pPr>
              <w:ind w:right="199"/>
              <w:jc w:val="right"/>
              <w:rPr>
                <w:sz w:val="20"/>
                <w:szCs w:val="20"/>
              </w:rPr>
            </w:pPr>
            <w:r>
              <w:rPr>
                <w:rFonts w:ascii="Arial" w:eastAsia="Arial" w:hAnsi="Arial" w:cs="Arial"/>
                <w:b/>
                <w:bCs/>
                <w:color w:val="CF0A2C"/>
                <w:sz w:val="16"/>
                <w:szCs w:val="16"/>
              </w:rPr>
              <w:t>Page</w:t>
            </w:r>
          </w:p>
        </w:tc>
      </w:tr>
      <w:tr w:rsidR="00A621E3">
        <w:trPr>
          <w:trHeight w:val="207"/>
        </w:trPr>
        <w:tc>
          <w:tcPr>
            <w:tcW w:w="7740" w:type="dxa"/>
            <w:gridSpan w:val="2"/>
            <w:tcBorders>
              <w:bottom w:val="single" w:sz="8" w:space="0" w:color="CF0A2C"/>
            </w:tcBorders>
            <w:vAlign w:val="bottom"/>
          </w:tcPr>
          <w:p w:rsidR="00A621E3" w:rsidRDefault="00EC630E">
            <w:pPr>
              <w:rPr>
                <w:sz w:val="20"/>
                <w:szCs w:val="20"/>
              </w:rPr>
            </w:pPr>
            <w:r>
              <w:rPr>
                <w:rFonts w:ascii="Arial" w:eastAsia="Arial" w:hAnsi="Arial" w:cs="Arial"/>
                <w:b/>
                <w:bCs/>
                <w:color w:val="CF0A2C"/>
                <w:sz w:val="16"/>
                <w:szCs w:val="16"/>
              </w:rPr>
              <w:t>Proposal</w:t>
            </w:r>
          </w:p>
        </w:tc>
        <w:tc>
          <w:tcPr>
            <w:tcW w:w="2120" w:type="dxa"/>
            <w:tcBorders>
              <w:bottom w:val="single" w:sz="8" w:space="0" w:color="CF0A2C"/>
            </w:tcBorders>
            <w:vAlign w:val="bottom"/>
          </w:tcPr>
          <w:p w:rsidR="00A621E3" w:rsidRDefault="00EC630E">
            <w:pPr>
              <w:ind w:left="79"/>
              <w:jc w:val="center"/>
              <w:rPr>
                <w:sz w:val="20"/>
                <w:szCs w:val="20"/>
              </w:rPr>
            </w:pPr>
            <w:r>
              <w:rPr>
                <w:rFonts w:ascii="Arial" w:eastAsia="Arial" w:hAnsi="Arial" w:cs="Arial"/>
                <w:b/>
                <w:bCs/>
                <w:color w:val="CF0A2C"/>
                <w:sz w:val="16"/>
                <w:szCs w:val="16"/>
              </w:rPr>
              <w:t>Recommendation</w:t>
            </w:r>
          </w:p>
        </w:tc>
        <w:tc>
          <w:tcPr>
            <w:tcW w:w="1140" w:type="dxa"/>
            <w:tcBorders>
              <w:bottom w:val="single" w:sz="8" w:space="0" w:color="CF0A2C"/>
            </w:tcBorders>
            <w:vAlign w:val="bottom"/>
          </w:tcPr>
          <w:p w:rsidR="00A621E3" w:rsidRDefault="00EC630E">
            <w:pPr>
              <w:jc w:val="right"/>
              <w:rPr>
                <w:sz w:val="20"/>
                <w:szCs w:val="20"/>
              </w:rPr>
            </w:pPr>
            <w:r>
              <w:rPr>
                <w:rFonts w:ascii="Arial" w:eastAsia="Arial" w:hAnsi="Arial" w:cs="Arial"/>
                <w:b/>
                <w:bCs/>
                <w:color w:val="CF0A2C"/>
                <w:sz w:val="16"/>
                <w:szCs w:val="16"/>
              </w:rPr>
              <w:t>Reference</w:t>
            </w:r>
          </w:p>
        </w:tc>
      </w:tr>
      <w:tr w:rsidR="00A621E3">
        <w:trPr>
          <w:trHeight w:val="244"/>
        </w:trPr>
        <w:tc>
          <w:tcPr>
            <w:tcW w:w="140" w:type="dxa"/>
            <w:vAlign w:val="bottom"/>
          </w:tcPr>
          <w:p w:rsidR="00A621E3" w:rsidRDefault="00EC630E">
            <w:pPr>
              <w:rPr>
                <w:sz w:val="20"/>
                <w:szCs w:val="20"/>
              </w:rPr>
            </w:pPr>
            <w:r>
              <w:rPr>
                <w:rFonts w:ascii="Arial" w:eastAsia="Arial" w:hAnsi="Arial" w:cs="Arial"/>
                <w:color w:val="CF0A2C"/>
                <w:w w:val="89"/>
                <w:sz w:val="16"/>
                <w:szCs w:val="16"/>
              </w:rPr>
              <w:t>1.</w:t>
            </w:r>
          </w:p>
        </w:tc>
        <w:tc>
          <w:tcPr>
            <w:tcW w:w="7600" w:type="dxa"/>
            <w:vAlign w:val="bottom"/>
          </w:tcPr>
          <w:p w:rsidR="00A621E3" w:rsidRDefault="00EC630E">
            <w:pPr>
              <w:ind w:left="40"/>
              <w:rPr>
                <w:sz w:val="20"/>
                <w:szCs w:val="20"/>
              </w:rPr>
            </w:pPr>
            <w:r>
              <w:rPr>
                <w:rFonts w:ascii="Arial" w:eastAsia="Arial" w:hAnsi="Arial" w:cs="Arial"/>
                <w:color w:val="CF0A2C"/>
                <w:sz w:val="16"/>
                <w:szCs w:val="16"/>
              </w:rPr>
              <w:t>Election of the 9 Director Nominees Named in this Proxy Statement to Serve for a One-Year Term</w:t>
            </w:r>
          </w:p>
        </w:tc>
        <w:tc>
          <w:tcPr>
            <w:tcW w:w="2120" w:type="dxa"/>
            <w:vAlign w:val="bottom"/>
          </w:tcPr>
          <w:p w:rsidR="00A621E3" w:rsidRDefault="00EC630E">
            <w:pPr>
              <w:ind w:left="79"/>
              <w:jc w:val="center"/>
              <w:rPr>
                <w:sz w:val="20"/>
                <w:szCs w:val="20"/>
              </w:rPr>
            </w:pPr>
            <w:r>
              <w:rPr>
                <w:rFonts w:ascii="Arial" w:eastAsia="Arial" w:hAnsi="Arial" w:cs="Arial"/>
                <w:color w:val="CF0A2C"/>
                <w:sz w:val="16"/>
                <w:szCs w:val="16"/>
              </w:rPr>
              <w:t>FOR each nominee</w:t>
            </w:r>
          </w:p>
        </w:tc>
        <w:tc>
          <w:tcPr>
            <w:tcW w:w="1140" w:type="dxa"/>
            <w:vAlign w:val="bottom"/>
          </w:tcPr>
          <w:p w:rsidR="00A621E3" w:rsidRDefault="00EC630E">
            <w:pPr>
              <w:jc w:val="right"/>
              <w:rPr>
                <w:sz w:val="20"/>
                <w:szCs w:val="20"/>
              </w:rPr>
            </w:pPr>
            <w:r>
              <w:rPr>
                <w:rFonts w:ascii="Arial" w:eastAsia="Arial" w:hAnsi="Arial" w:cs="Arial"/>
                <w:color w:val="CF0A2C"/>
                <w:sz w:val="16"/>
                <w:szCs w:val="16"/>
              </w:rPr>
              <w:t>25</w:t>
            </w:r>
          </w:p>
        </w:tc>
      </w:tr>
      <w:tr w:rsidR="00A621E3">
        <w:trPr>
          <w:trHeight w:val="291"/>
        </w:trPr>
        <w:tc>
          <w:tcPr>
            <w:tcW w:w="140" w:type="dxa"/>
            <w:vAlign w:val="bottom"/>
          </w:tcPr>
          <w:p w:rsidR="00A621E3" w:rsidRDefault="00EC630E">
            <w:pPr>
              <w:rPr>
                <w:sz w:val="20"/>
                <w:szCs w:val="20"/>
              </w:rPr>
            </w:pPr>
            <w:r>
              <w:rPr>
                <w:rFonts w:ascii="Arial" w:eastAsia="Arial" w:hAnsi="Arial" w:cs="Arial"/>
                <w:color w:val="CF0A2C"/>
                <w:w w:val="89"/>
                <w:sz w:val="16"/>
                <w:szCs w:val="16"/>
              </w:rPr>
              <w:t>2.</w:t>
            </w:r>
          </w:p>
        </w:tc>
        <w:tc>
          <w:tcPr>
            <w:tcW w:w="7600" w:type="dxa"/>
            <w:vAlign w:val="bottom"/>
          </w:tcPr>
          <w:p w:rsidR="00A621E3" w:rsidRDefault="00EC630E">
            <w:pPr>
              <w:ind w:left="40"/>
              <w:rPr>
                <w:sz w:val="20"/>
                <w:szCs w:val="20"/>
              </w:rPr>
            </w:pPr>
            <w:r>
              <w:rPr>
                <w:rFonts w:ascii="Arial" w:eastAsia="Arial" w:hAnsi="Arial" w:cs="Arial"/>
                <w:color w:val="CF0A2C"/>
                <w:sz w:val="16"/>
                <w:szCs w:val="16"/>
              </w:rPr>
              <w:t xml:space="preserve">Approval and Ratification of the </w:t>
            </w:r>
            <w:r>
              <w:rPr>
                <w:rFonts w:ascii="Arial" w:eastAsia="Arial" w:hAnsi="Arial" w:cs="Arial"/>
                <w:color w:val="CF0A2C"/>
                <w:sz w:val="16"/>
                <w:szCs w:val="16"/>
              </w:rPr>
              <w:t>Appointment of KPMG Huazhen LLP and KPMG as the Company’s</w:t>
            </w:r>
          </w:p>
        </w:tc>
        <w:tc>
          <w:tcPr>
            <w:tcW w:w="2120" w:type="dxa"/>
            <w:vAlign w:val="bottom"/>
          </w:tcPr>
          <w:p w:rsidR="00A621E3" w:rsidRDefault="00A621E3">
            <w:pPr>
              <w:rPr>
                <w:sz w:val="24"/>
                <w:szCs w:val="24"/>
              </w:rPr>
            </w:pPr>
          </w:p>
        </w:tc>
        <w:tc>
          <w:tcPr>
            <w:tcW w:w="1140" w:type="dxa"/>
            <w:vAlign w:val="bottom"/>
          </w:tcPr>
          <w:p w:rsidR="00A621E3" w:rsidRDefault="00A621E3">
            <w:pPr>
              <w:rPr>
                <w:sz w:val="24"/>
                <w:szCs w:val="24"/>
              </w:rPr>
            </w:pPr>
          </w:p>
        </w:tc>
      </w:tr>
      <w:tr w:rsidR="00A621E3">
        <w:trPr>
          <w:trHeight w:val="195"/>
        </w:trPr>
        <w:tc>
          <w:tcPr>
            <w:tcW w:w="140" w:type="dxa"/>
            <w:vAlign w:val="bottom"/>
          </w:tcPr>
          <w:p w:rsidR="00A621E3" w:rsidRDefault="00A621E3">
            <w:pPr>
              <w:rPr>
                <w:sz w:val="16"/>
                <w:szCs w:val="16"/>
              </w:rPr>
            </w:pPr>
          </w:p>
        </w:tc>
        <w:tc>
          <w:tcPr>
            <w:tcW w:w="7600" w:type="dxa"/>
            <w:vAlign w:val="bottom"/>
          </w:tcPr>
          <w:p w:rsidR="00A621E3" w:rsidRDefault="00EC630E">
            <w:pPr>
              <w:ind w:left="20"/>
              <w:rPr>
                <w:sz w:val="20"/>
                <w:szCs w:val="20"/>
              </w:rPr>
            </w:pPr>
            <w:r>
              <w:rPr>
                <w:rFonts w:ascii="Arial" w:eastAsia="Arial" w:hAnsi="Arial" w:cs="Arial"/>
                <w:color w:val="CF0A2C"/>
                <w:sz w:val="16"/>
                <w:szCs w:val="16"/>
              </w:rPr>
              <w:t>Independent Auditors for 2023</w:t>
            </w:r>
          </w:p>
        </w:tc>
        <w:tc>
          <w:tcPr>
            <w:tcW w:w="2120" w:type="dxa"/>
            <w:vAlign w:val="bottom"/>
          </w:tcPr>
          <w:p w:rsidR="00A621E3" w:rsidRDefault="00EC630E">
            <w:pPr>
              <w:ind w:left="99"/>
              <w:jc w:val="center"/>
              <w:rPr>
                <w:sz w:val="20"/>
                <w:szCs w:val="20"/>
              </w:rPr>
            </w:pPr>
            <w:r>
              <w:rPr>
                <w:rFonts w:ascii="Arial" w:eastAsia="Arial" w:hAnsi="Arial" w:cs="Arial"/>
                <w:color w:val="CF0A2C"/>
                <w:sz w:val="16"/>
                <w:szCs w:val="16"/>
              </w:rPr>
              <w:t>FOR</w:t>
            </w:r>
          </w:p>
        </w:tc>
        <w:tc>
          <w:tcPr>
            <w:tcW w:w="1140" w:type="dxa"/>
            <w:vAlign w:val="bottom"/>
          </w:tcPr>
          <w:p w:rsidR="00A621E3" w:rsidRDefault="00EC630E">
            <w:pPr>
              <w:jc w:val="right"/>
              <w:rPr>
                <w:sz w:val="20"/>
                <w:szCs w:val="20"/>
              </w:rPr>
            </w:pPr>
            <w:r>
              <w:rPr>
                <w:rFonts w:ascii="Arial" w:eastAsia="Arial" w:hAnsi="Arial" w:cs="Arial"/>
                <w:color w:val="CF0A2C"/>
                <w:sz w:val="16"/>
                <w:szCs w:val="16"/>
              </w:rPr>
              <w:t>31</w:t>
            </w:r>
          </w:p>
        </w:tc>
      </w:tr>
      <w:tr w:rsidR="00A621E3">
        <w:trPr>
          <w:trHeight w:val="297"/>
        </w:trPr>
        <w:tc>
          <w:tcPr>
            <w:tcW w:w="140" w:type="dxa"/>
            <w:vAlign w:val="bottom"/>
          </w:tcPr>
          <w:p w:rsidR="00A621E3" w:rsidRDefault="00EC630E">
            <w:pPr>
              <w:rPr>
                <w:sz w:val="20"/>
                <w:szCs w:val="20"/>
              </w:rPr>
            </w:pPr>
            <w:r>
              <w:rPr>
                <w:rFonts w:ascii="Arial" w:eastAsia="Arial" w:hAnsi="Arial" w:cs="Arial"/>
                <w:color w:val="CF0A2C"/>
                <w:w w:val="89"/>
                <w:sz w:val="16"/>
                <w:szCs w:val="16"/>
              </w:rPr>
              <w:t>3.</w:t>
            </w:r>
          </w:p>
        </w:tc>
        <w:tc>
          <w:tcPr>
            <w:tcW w:w="7600" w:type="dxa"/>
            <w:vAlign w:val="bottom"/>
          </w:tcPr>
          <w:p w:rsidR="00A621E3" w:rsidRDefault="00EC630E">
            <w:pPr>
              <w:ind w:left="40"/>
              <w:rPr>
                <w:sz w:val="20"/>
                <w:szCs w:val="20"/>
              </w:rPr>
            </w:pPr>
            <w:r>
              <w:rPr>
                <w:rFonts w:ascii="Arial" w:eastAsia="Arial" w:hAnsi="Arial" w:cs="Arial"/>
                <w:color w:val="CF0A2C"/>
                <w:sz w:val="16"/>
                <w:szCs w:val="16"/>
              </w:rPr>
              <w:t>Advisory Vote on Named Executive Officer Compensation</w:t>
            </w:r>
          </w:p>
        </w:tc>
        <w:tc>
          <w:tcPr>
            <w:tcW w:w="2120" w:type="dxa"/>
            <w:vAlign w:val="bottom"/>
          </w:tcPr>
          <w:p w:rsidR="00A621E3" w:rsidRDefault="00EC630E">
            <w:pPr>
              <w:ind w:left="99"/>
              <w:jc w:val="center"/>
              <w:rPr>
                <w:sz w:val="20"/>
                <w:szCs w:val="20"/>
              </w:rPr>
            </w:pPr>
            <w:r>
              <w:rPr>
                <w:rFonts w:ascii="Arial" w:eastAsia="Arial" w:hAnsi="Arial" w:cs="Arial"/>
                <w:color w:val="CF0A2C"/>
                <w:sz w:val="16"/>
                <w:szCs w:val="16"/>
              </w:rPr>
              <w:t>FOR</w:t>
            </w:r>
          </w:p>
        </w:tc>
        <w:tc>
          <w:tcPr>
            <w:tcW w:w="1140" w:type="dxa"/>
            <w:vAlign w:val="bottom"/>
          </w:tcPr>
          <w:p w:rsidR="00A621E3" w:rsidRDefault="00EC630E">
            <w:pPr>
              <w:jc w:val="right"/>
              <w:rPr>
                <w:sz w:val="20"/>
                <w:szCs w:val="20"/>
              </w:rPr>
            </w:pPr>
            <w:r>
              <w:rPr>
                <w:rFonts w:ascii="Arial" w:eastAsia="Arial" w:hAnsi="Arial" w:cs="Arial"/>
                <w:color w:val="CF0A2C"/>
                <w:sz w:val="16"/>
                <w:szCs w:val="16"/>
              </w:rPr>
              <w:t>33</w:t>
            </w:r>
          </w:p>
        </w:tc>
      </w:tr>
      <w:tr w:rsidR="00A621E3">
        <w:trPr>
          <w:trHeight w:val="297"/>
        </w:trPr>
        <w:tc>
          <w:tcPr>
            <w:tcW w:w="140" w:type="dxa"/>
            <w:vAlign w:val="bottom"/>
          </w:tcPr>
          <w:p w:rsidR="00A621E3" w:rsidRDefault="00EC630E">
            <w:pPr>
              <w:rPr>
                <w:sz w:val="20"/>
                <w:szCs w:val="20"/>
              </w:rPr>
            </w:pPr>
            <w:r>
              <w:rPr>
                <w:rFonts w:ascii="Arial" w:eastAsia="Arial" w:hAnsi="Arial" w:cs="Arial"/>
                <w:color w:val="CF0A2C"/>
                <w:w w:val="89"/>
                <w:sz w:val="16"/>
                <w:szCs w:val="16"/>
              </w:rPr>
              <w:t>4.</w:t>
            </w:r>
          </w:p>
        </w:tc>
        <w:tc>
          <w:tcPr>
            <w:tcW w:w="7600" w:type="dxa"/>
            <w:vAlign w:val="bottom"/>
          </w:tcPr>
          <w:p w:rsidR="00A621E3" w:rsidRDefault="00EC630E">
            <w:pPr>
              <w:ind w:left="40"/>
              <w:rPr>
                <w:sz w:val="20"/>
                <w:szCs w:val="20"/>
              </w:rPr>
            </w:pPr>
            <w:r>
              <w:rPr>
                <w:rFonts w:ascii="Arial" w:eastAsia="Arial" w:hAnsi="Arial" w:cs="Arial"/>
                <w:color w:val="CF0A2C"/>
                <w:sz w:val="16"/>
                <w:szCs w:val="16"/>
              </w:rPr>
              <w:t xml:space="preserve">Advisory Vote on the Frequency of the Advisory Vote on Named Executive Officer </w:t>
            </w:r>
            <w:r>
              <w:rPr>
                <w:rFonts w:ascii="Arial" w:eastAsia="Arial" w:hAnsi="Arial" w:cs="Arial"/>
                <w:color w:val="CF0A2C"/>
                <w:sz w:val="16"/>
                <w:szCs w:val="16"/>
              </w:rPr>
              <w:t>Compensation</w:t>
            </w:r>
          </w:p>
        </w:tc>
        <w:tc>
          <w:tcPr>
            <w:tcW w:w="2120" w:type="dxa"/>
            <w:vAlign w:val="bottom"/>
          </w:tcPr>
          <w:p w:rsidR="00A621E3" w:rsidRDefault="00EC630E">
            <w:pPr>
              <w:ind w:left="99"/>
              <w:jc w:val="center"/>
              <w:rPr>
                <w:sz w:val="20"/>
                <w:szCs w:val="20"/>
              </w:rPr>
            </w:pPr>
            <w:r>
              <w:rPr>
                <w:rFonts w:ascii="Arial" w:eastAsia="Arial" w:hAnsi="Arial" w:cs="Arial"/>
                <w:color w:val="CF0A2C"/>
                <w:sz w:val="16"/>
                <w:szCs w:val="16"/>
              </w:rPr>
              <w:t>for 1 YEAR</w:t>
            </w:r>
          </w:p>
        </w:tc>
        <w:tc>
          <w:tcPr>
            <w:tcW w:w="1140" w:type="dxa"/>
            <w:vAlign w:val="bottom"/>
          </w:tcPr>
          <w:p w:rsidR="00A621E3" w:rsidRDefault="00EC630E">
            <w:pPr>
              <w:jc w:val="right"/>
              <w:rPr>
                <w:sz w:val="20"/>
                <w:szCs w:val="20"/>
              </w:rPr>
            </w:pPr>
            <w:r>
              <w:rPr>
                <w:rFonts w:ascii="Arial" w:eastAsia="Arial" w:hAnsi="Arial" w:cs="Arial"/>
                <w:color w:val="CF0A2C"/>
                <w:sz w:val="16"/>
                <w:szCs w:val="16"/>
              </w:rPr>
              <w:t>34</w:t>
            </w:r>
          </w:p>
        </w:tc>
      </w:tr>
      <w:tr w:rsidR="00A621E3">
        <w:trPr>
          <w:trHeight w:val="297"/>
        </w:trPr>
        <w:tc>
          <w:tcPr>
            <w:tcW w:w="140" w:type="dxa"/>
            <w:vAlign w:val="bottom"/>
          </w:tcPr>
          <w:p w:rsidR="00A621E3" w:rsidRDefault="00EC630E">
            <w:pPr>
              <w:rPr>
                <w:sz w:val="20"/>
                <w:szCs w:val="20"/>
              </w:rPr>
            </w:pPr>
            <w:r>
              <w:rPr>
                <w:rFonts w:ascii="Arial" w:eastAsia="Arial" w:hAnsi="Arial" w:cs="Arial"/>
                <w:color w:val="CF0A2C"/>
                <w:w w:val="89"/>
                <w:sz w:val="16"/>
                <w:szCs w:val="16"/>
              </w:rPr>
              <w:t>5.</w:t>
            </w:r>
          </w:p>
        </w:tc>
        <w:tc>
          <w:tcPr>
            <w:tcW w:w="7600" w:type="dxa"/>
            <w:vAlign w:val="bottom"/>
          </w:tcPr>
          <w:p w:rsidR="00A621E3" w:rsidRDefault="00EC630E">
            <w:pPr>
              <w:ind w:left="40"/>
              <w:rPr>
                <w:sz w:val="20"/>
                <w:szCs w:val="20"/>
              </w:rPr>
            </w:pPr>
            <w:r>
              <w:rPr>
                <w:rFonts w:ascii="Arial" w:eastAsia="Arial" w:hAnsi="Arial" w:cs="Arial"/>
                <w:color w:val="CF0A2C"/>
                <w:sz w:val="16"/>
                <w:szCs w:val="16"/>
              </w:rPr>
              <w:t>Authorization to Issue Shares up to 20% of Outstanding Shares</w:t>
            </w:r>
          </w:p>
        </w:tc>
        <w:tc>
          <w:tcPr>
            <w:tcW w:w="2120" w:type="dxa"/>
            <w:vAlign w:val="bottom"/>
          </w:tcPr>
          <w:p w:rsidR="00A621E3" w:rsidRDefault="00EC630E">
            <w:pPr>
              <w:ind w:left="99"/>
              <w:jc w:val="center"/>
              <w:rPr>
                <w:sz w:val="20"/>
                <w:szCs w:val="20"/>
              </w:rPr>
            </w:pPr>
            <w:r>
              <w:rPr>
                <w:rFonts w:ascii="Arial" w:eastAsia="Arial" w:hAnsi="Arial" w:cs="Arial"/>
                <w:color w:val="CF0A2C"/>
                <w:sz w:val="16"/>
                <w:szCs w:val="16"/>
              </w:rPr>
              <w:t>FOR</w:t>
            </w:r>
          </w:p>
        </w:tc>
        <w:tc>
          <w:tcPr>
            <w:tcW w:w="1140" w:type="dxa"/>
            <w:vAlign w:val="bottom"/>
          </w:tcPr>
          <w:p w:rsidR="00A621E3" w:rsidRDefault="00EC630E">
            <w:pPr>
              <w:jc w:val="right"/>
              <w:rPr>
                <w:sz w:val="20"/>
                <w:szCs w:val="20"/>
              </w:rPr>
            </w:pPr>
            <w:r>
              <w:rPr>
                <w:rFonts w:ascii="Arial" w:eastAsia="Arial" w:hAnsi="Arial" w:cs="Arial"/>
                <w:color w:val="CF0A2C"/>
                <w:sz w:val="16"/>
                <w:szCs w:val="16"/>
              </w:rPr>
              <w:t>35</w:t>
            </w:r>
          </w:p>
        </w:tc>
      </w:tr>
      <w:tr w:rsidR="00A621E3">
        <w:trPr>
          <w:trHeight w:val="297"/>
        </w:trPr>
        <w:tc>
          <w:tcPr>
            <w:tcW w:w="140" w:type="dxa"/>
            <w:vAlign w:val="bottom"/>
          </w:tcPr>
          <w:p w:rsidR="00A621E3" w:rsidRDefault="00EC630E">
            <w:pPr>
              <w:rPr>
                <w:sz w:val="20"/>
                <w:szCs w:val="20"/>
              </w:rPr>
            </w:pPr>
            <w:r>
              <w:rPr>
                <w:rFonts w:ascii="Arial" w:eastAsia="Arial" w:hAnsi="Arial" w:cs="Arial"/>
                <w:color w:val="CF0A2C"/>
                <w:w w:val="89"/>
                <w:sz w:val="16"/>
                <w:szCs w:val="16"/>
              </w:rPr>
              <w:t>6.</w:t>
            </w:r>
          </w:p>
        </w:tc>
        <w:tc>
          <w:tcPr>
            <w:tcW w:w="7600" w:type="dxa"/>
            <w:vAlign w:val="bottom"/>
          </w:tcPr>
          <w:p w:rsidR="00A621E3" w:rsidRDefault="00EC630E">
            <w:pPr>
              <w:ind w:left="40"/>
              <w:rPr>
                <w:sz w:val="20"/>
                <w:szCs w:val="20"/>
              </w:rPr>
            </w:pPr>
            <w:r>
              <w:rPr>
                <w:rFonts w:ascii="Arial" w:eastAsia="Arial" w:hAnsi="Arial" w:cs="Arial"/>
                <w:color w:val="CF0A2C"/>
                <w:sz w:val="16"/>
                <w:szCs w:val="16"/>
              </w:rPr>
              <w:t>Authorization to Repurchase Shares up to 10% of Outstanding Shares</w:t>
            </w:r>
          </w:p>
        </w:tc>
        <w:tc>
          <w:tcPr>
            <w:tcW w:w="2120" w:type="dxa"/>
            <w:vAlign w:val="bottom"/>
          </w:tcPr>
          <w:p w:rsidR="00A621E3" w:rsidRDefault="00EC630E">
            <w:pPr>
              <w:ind w:left="99"/>
              <w:jc w:val="center"/>
              <w:rPr>
                <w:sz w:val="20"/>
                <w:szCs w:val="20"/>
              </w:rPr>
            </w:pPr>
            <w:r>
              <w:rPr>
                <w:rFonts w:ascii="Arial" w:eastAsia="Arial" w:hAnsi="Arial" w:cs="Arial"/>
                <w:color w:val="CF0A2C"/>
                <w:sz w:val="16"/>
                <w:szCs w:val="16"/>
              </w:rPr>
              <w:t>FOR</w:t>
            </w:r>
          </w:p>
        </w:tc>
        <w:tc>
          <w:tcPr>
            <w:tcW w:w="1140" w:type="dxa"/>
            <w:vAlign w:val="bottom"/>
          </w:tcPr>
          <w:p w:rsidR="00A621E3" w:rsidRDefault="00EC630E">
            <w:pPr>
              <w:jc w:val="right"/>
              <w:rPr>
                <w:sz w:val="20"/>
                <w:szCs w:val="20"/>
              </w:rPr>
            </w:pPr>
            <w:r>
              <w:rPr>
                <w:rFonts w:ascii="Arial" w:eastAsia="Arial" w:hAnsi="Arial" w:cs="Arial"/>
                <w:color w:val="CF0A2C"/>
                <w:sz w:val="16"/>
                <w:szCs w:val="16"/>
              </w:rPr>
              <w:t>37</w:t>
            </w:r>
          </w:p>
        </w:tc>
      </w:tr>
    </w:tbl>
    <w:p w:rsidR="00A621E3" w:rsidRDefault="00A621E3">
      <w:pPr>
        <w:spacing w:line="200" w:lineRule="exact"/>
        <w:rPr>
          <w:sz w:val="20"/>
          <w:szCs w:val="20"/>
        </w:rPr>
      </w:pP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94" w:lineRule="exact"/>
        <w:rPr>
          <w:sz w:val="20"/>
          <w:szCs w:val="20"/>
        </w:rPr>
      </w:pPr>
    </w:p>
    <w:p w:rsidR="00A621E3" w:rsidRDefault="00EC630E">
      <w:pPr>
        <w:ind w:left="140"/>
        <w:rPr>
          <w:sz w:val="20"/>
          <w:szCs w:val="20"/>
        </w:rPr>
      </w:pPr>
      <w:r>
        <w:rPr>
          <w:rFonts w:ascii="Arial" w:eastAsia="Arial" w:hAnsi="Arial" w:cs="Arial"/>
          <w:b/>
          <w:bCs/>
          <w:color w:val="CF0A2C"/>
          <w:sz w:val="32"/>
          <w:szCs w:val="32"/>
        </w:rPr>
        <w:t>COMPANY OVERVIEW</w:t>
      </w:r>
    </w:p>
    <w:p w:rsidR="00A621E3" w:rsidRDefault="00A621E3">
      <w:pPr>
        <w:spacing w:line="200" w:lineRule="exact"/>
        <w:rPr>
          <w:sz w:val="20"/>
          <w:szCs w:val="20"/>
        </w:rPr>
      </w:pPr>
    </w:p>
    <w:p w:rsidR="00A621E3" w:rsidRDefault="00A621E3">
      <w:pPr>
        <w:spacing w:line="356" w:lineRule="exact"/>
        <w:rPr>
          <w:sz w:val="20"/>
          <w:szCs w:val="20"/>
        </w:rPr>
      </w:pPr>
    </w:p>
    <w:p w:rsidR="00A621E3" w:rsidRDefault="00EC630E">
      <w:pPr>
        <w:spacing w:line="272" w:lineRule="auto"/>
        <w:ind w:left="140"/>
        <w:jc w:val="both"/>
        <w:rPr>
          <w:sz w:val="20"/>
          <w:szCs w:val="20"/>
        </w:rPr>
      </w:pPr>
      <w:r>
        <w:rPr>
          <w:rFonts w:ascii="Arial" w:eastAsia="Arial" w:hAnsi="Arial" w:cs="Arial"/>
          <w:sz w:val="18"/>
          <w:szCs w:val="18"/>
        </w:rPr>
        <w:t>Yum China Holdings, Inc., a Delaware</w:t>
      </w:r>
      <w:r>
        <w:rPr>
          <w:rFonts w:ascii="Arial" w:eastAsia="Arial" w:hAnsi="Arial" w:cs="Arial"/>
          <w:sz w:val="18"/>
          <w:szCs w:val="18"/>
        </w:rPr>
        <w:t xml:space="preserve"> corporation (the “</w:t>
      </w:r>
      <w:r>
        <w:rPr>
          <w:rFonts w:ascii="Arial" w:eastAsia="Arial" w:hAnsi="Arial" w:cs="Arial"/>
          <w:b/>
          <w:bCs/>
          <w:i/>
          <w:iCs/>
          <w:sz w:val="18"/>
          <w:szCs w:val="18"/>
        </w:rPr>
        <w:t>Company</w:t>
      </w:r>
      <w:r>
        <w:rPr>
          <w:rFonts w:ascii="Arial" w:eastAsia="Arial" w:hAnsi="Arial" w:cs="Arial"/>
          <w:sz w:val="18"/>
          <w:szCs w:val="18"/>
        </w:rPr>
        <w:t>,” “</w:t>
      </w:r>
      <w:r>
        <w:rPr>
          <w:rFonts w:ascii="Arial" w:eastAsia="Arial" w:hAnsi="Arial" w:cs="Arial"/>
          <w:b/>
          <w:bCs/>
          <w:i/>
          <w:iCs/>
          <w:sz w:val="18"/>
          <w:szCs w:val="18"/>
        </w:rPr>
        <w:t>we</w:t>
      </w:r>
      <w:r>
        <w:rPr>
          <w:rFonts w:ascii="Arial" w:eastAsia="Arial" w:hAnsi="Arial" w:cs="Arial"/>
          <w:sz w:val="18"/>
          <w:szCs w:val="18"/>
        </w:rPr>
        <w:t>,” “</w:t>
      </w:r>
      <w:r>
        <w:rPr>
          <w:rFonts w:ascii="Arial" w:eastAsia="Arial" w:hAnsi="Arial" w:cs="Arial"/>
          <w:b/>
          <w:bCs/>
          <w:i/>
          <w:iCs/>
          <w:sz w:val="18"/>
          <w:szCs w:val="18"/>
        </w:rPr>
        <w:t>us</w:t>
      </w:r>
      <w:r>
        <w:rPr>
          <w:rFonts w:ascii="Arial" w:eastAsia="Arial" w:hAnsi="Arial" w:cs="Arial"/>
          <w:sz w:val="18"/>
          <w:szCs w:val="18"/>
        </w:rPr>
        <w:t>” or “</w:t>
      </w:r>
      <w:r>
        <w:rPr>
          <w:rFonts w:ascii="Arial" w:eastAsia="Arial" w:hAnsi="Arial" w:cs="Arial"/>
          <w:b/>
          <w:bCs/>
          <w:i/>
          <w:iCs/>
          <w:sz w:val="18"/>
          <w:szCs w:val="18"/>
        </w:rPr>
        <w:t>our</w:t>
      </w:r>
      <w:r>
        <w:rPr>
          <w:rFonts w:ascii="Arial" w:eastAsia="Arial" w:hAnsi="Arial" w:cs="Arial"/>
          <w:sz w:val="18"/>
          <w:szCs w:val="18"/>
        </w:rPr>
        <w:t>”) is the largest restaurant company in China in terms of 2022 system sales. We had $9.6 billion of revenues in 2022 and nearly 13,000 restaurants as of December 31, 2022. Our growing restaurant network consis</w:t>
      </w:r>
      <w:r>
        <w:rPr>
          <w:rFonts w:ascii="Arial" w:eastAsia="Arial" w:hAnsi="Arial" w:cs="Arial"/>
          <w:sz w:val="18"/>
          <w:szCs w:val="18"/>
        </w:rPr>
        <w:t>ts of our flagship KFC and Pizza Hut brands, as well as emerging brands such as Taco Bell, Lavazza, Little Sheep and Huang Ji Huang. We have the exclusive right to operate and sublicense the KFC, Pizza Hut and, subject to achieving certain</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98" w:lineRule="exact"/>
        <w:rPr>
          <w:sz w:val="20"/>
          <w:szCs w:val="20"/>
        </w:rPr>
      </w:pPr>
    </w:p>
    <w:p w:rsidR="00A621E3" w:rsidRDefault="00EC630E">
      <w:pPr>
        <w:spacing w:line="291" w:lineRule="auto"/>
        <w:ind w:right="20"/>
        <w:jc w:val="both"/>
        <w:rPr>
          <w:sz w:val="20"/>
          <w:szCs w:val="20"/>
        </w:rPr>
      </w:pPr>
      <w:r>
        <w:rPr>
          <w:rFonts w:ascii="Arial" w:eastAsia="Arial" w:hAnsi="Arial" w:cs="Arial"/>
          <w:sz w:val="18"/>
          <w:szCs w:val="18"/>
        </w:rPr>
        <w:t>agreed-upo</w:t>
      </w:r>
      <w:r>
        <w:rPr>
          <w:rFonts w:ascii="Arial" w:eastAsia="Arial" w:hAnsi="Arial" w:cs="Arial"/>
          <w:sz w:val="18"/>
          <w:szCs w:val="18"/>
        </w:rPr>
        <w:t>n milestones, Taco Bell brands in China (excluding Hong Kong, Macau and Taiwan). We own the intellectual property of the Little Sheep and Huang Ji Huang concepts outright.</w:t>
      </w:r>
    </w:p>
    <w:p w:rsidR="00A621E3" w:rsidRDefault="00A621E3">
      <w:pPr>
        <w:spacing w:line="152" w:lineRule="exact"/>
        <w:rPr>
          <w:sz w:val="20"/>
          <w:szCs w:val="20"/>
        </w:rPr>
      </w:pPr>
    </w:p>
    <w:p w:rsidR="00A621E3" w:rsidRDefault="00EC630E">
      <w:pPr>
        <w:spacing w:line="246" w:lineRule="auto"/>
        <w:ind w:right="40"/>
        <w:jc w:val="both"/>
        <w:rPr>
          <w:sz w:val="20"/>
          <w:szCs w:val="20"/>
        </w:rPr>
      </w:pPr>
      <w:r>
        <w:rPr>
          <w:rFonts w:ascii="Arial" w:eastAsia="Arial" w:hAnsi="Arial" w:cs="Arial"/>
          <w:sz w:val="20"/>
          <w:szCs w:val="20"/>
        </w:rPr>
        <w:t xml:space="preserve">The Company’s common stock is dual-primary listed on the New York Stock Exchange </w:t>
      </w:r>
      <w:r>
        <w:rPr>
          <w:rFonts w:ascii="Arial" w:eastAsia="Arial" w:hAnsi="Arial" w:cs="Arial"/>
          <w:sz w:val="20"/>
          <w:szCs w:val="20"/>
        </w:rPr>
        <w:t>(the “</w:t>
      </w:r>
      <w:r>
        <w:rPr>
          <w:rFonts w:ascii="Arial" w:eastAsia="Arial" w:hAnsi="Arial" w:cs="Arial"/>
          <w:b/>
          <w:bCs/>
          <w:i/>
          <w:iCs/>
          <w:sz w:val="20"/>
          <w:szCs w:val="20"/>
        </w:rPr>
        <w:t>NYSE</w:t>
      </w:r>
      <w:r>
        <w:rPr>
          <w:rFonts w:ascii="Arial" w:eastAsia="Arial" w:hAnsi="Arial" w:cs="Arial"/>
          <w:sz w:val="20"/>
          <w:szCs w:val="20"/>
        </w:rPr>
        <w:t>”) and on the Main Board of The Stock Exchange of Hong Kong Limited (the “</w:t>
      </w:r>
      <w:r>
        <w:rPr>
          <w:rFonts w:ascii="Arial" w:eastAsia="Arial" w:hAnsi="Arial" w:cs="Arial"/>
          <w:b/>
          <w:bCs/>
          <w:i/>
          <w:iCs/>
          <w:sz w:val="20"/>
          <w:szCs w:val="20"/>
        </w:rPr>
        <w:t>HKEX</w:t>
      </w:r>
      <w:r>
        <w:rPr>
          <w:rFonts w:ascii="Arial" w:eastAsia="Arial" w:hAnsi="Arial" w:cs="Arial"/>
          <w:sz w:val="20"/>
          <w:szCs w:val="20"/>
        </w:rPr>
        <w:t>” or “</w:t>
      </w:r>
      <w:r>
        <w:rPr>
          <w:rFonts w:ascii="Arial" w:eastAsia="Arial" w:hAnsi="Arial" w:cs="Arial"/>
          <w:b/>
          <w:bCs/>
          <w:i/>
          <w:iCs/>
          <w:sz w:val="20"/>
          <w:szCs w:val="20"/>
        </w:rPr>
        <w:t>Hong Kong Stock Exchange</w:t>
      </w:r>
      <w:r>
        <w:rPr>
          <w:rFonts w:ascii="Arial" w:eastAsia="Arial" w:hAnsi="Arial" w:cs="Arial"/>
          <w:sz w:val="20"/>
          <w:szCs w:val="20"/>
        </w:rPr>
        <w:t>”).</w:t>
      </w:r>
    </w:p>
    <w:p w:rsidR="00A621E3" w:rsidRDefault="00A621E3">
      <w:pPr>
        <w:spacing w:line="463"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72" w:lineRule="exact"/>
        <w:rPr>
          <w:sz w:val="20"/>
          <w:szCs w:val="20"/>
        </w:rPr>
      </w:pPr>
    </w:p>
    <w:p w:rsidR="00A621E3" w:rsidRDefault="00EC630E">
      <w:pPr>
        <w:numPr>
          <w:ilvl w:val="0"/>
          <w:numId w:val="7"/>
        </w:numPr>
        <w:tabs>
          <w:tab w:val="left" w:pos="640"/>
        </w:tabs>
        <w:ind w:left="640" w:hanging="346"/>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248640" behindDoc="1" locked="0" layoutInCell="0" allowOverlap="1">
            <wp:simplePos x="0" y="0"/>
            <wp:positionH relativeFrom="column">
              <wp:posOffset>287655</wp:posOffset>
            </wp:positionH>
            <wp:positionV relativeFrom="paragraph">
              <wp:posOffset>-95885</wp:posOffset>
            </wp:positionV>
            <wp:extent cx="8255" cy="1028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8" w:name="page8"/>
      <w:bookmarkEnd w:id="8"/>
      <w:r>
        <w:rPr>
          <w:rFonts w:ascii="Arial" w:eastAsia="Arial" w:hAnsi="Arial" w:cs="Arial"/>
          <w:b/>
          <w:bCs/>
          <w:noProof/>
          <w:color w:val="0000EE"/>
          <w:sz w:val="18"/>
          <w:szCs w:val="18"/>
          <w:u w:val="single"/>
        </w:rPr>
        <w:lastRenderedPageBreak/>
        <w:drawing>
          <wp:anchor distT="0" distB="0" distL="114300" distR="114300" simplePos="0" relativeHeight="25124966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250688" behindDoc="1" locked="0" layoutInCell="0" allowOverlap="1">
            <wp:simplePos x="0" y="0"/>
            <wp:positionH relativeFrom="column">
              <wp:posOffset>5251450</wp:posOffset>
            </wp:positionH>
            <wp:positionV relativeFrom="paragraph">
              <wp:posOffset>205740</wp:posOffset>
            </wp:positionV>
            <wp:extent cx="1817370" cy="2057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blip>
                    <a:srcRect/>
                    <a:stretch>
                      <a:fillRect/>
                    </a:stretch>
                  </pic:blipFill>
                  <pic:spPr bwMode="auto">
                    <a:xfrm>
                      <a:off x="0" y="0"/>
                      <a:ext cx="181737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520"/>
        <w:rPr>
          <w:sz w:val="20"/>
          <w:szCs w:val="20"/>
        </w:rPr>
      </w:pPr>
      <w:r>
        <w:rPr>
          <w:rFonts w:ascii="Arial" w:eastAsia="Arial" w:hAnsi="Arial" w:cs="Arial"/>
          <w:b/>
          <w:bCs/>
          <w:color w:val="FFFFFF"/>
          <w:sz w:val="16"/>
          <w:szCs w:val="16"/>
        </w:rPr>
        <w:t>PROXY STATEMENT SUMMARY</w:t>
      </w:r>
    </w:p>
    <w:p w:rsidR="00A621E3" w:rsidRDefault="00A621E3">
      <w:pPr>
        <w:spacing w:line="216" w:lineRule="exact"/>
        <w:rPr>
          <w:sz w:val="20"/>
          <w:szCs w:val="20"/>
        </w:rPr>
      </w:pPr>
    </w:p>
    <w:p w:rsidR="00A621E3" w:rsidRDefault="00EC630E">
      <w:pPr>
        <w:ind w:left="140"/>
        <w:rPr>
          <w:sz w:val="20"/>
          <w:szCs w:val="20"/>
        </w:rPr>
      </w:pPr>
      <w:r>
        <w:rPr>
          <w:rFonts w:ascii="Arial" w:eastAsia="Arial" w:hAnsi="Arial" w:cs="Arial"/>
          <w:b/>
          <w:bCs/>
          <w:color w:val="CF0A2C"/>
          <w:sz w:val="32"/>
          <w:szCs w:val="32"/>
        </w:rPr>
        <w:t>SUMMARY INFORMATION REGARDING NOMINEES</w:t>
      </w:r>
    </w:p>
    <w:p w:rsidR="00A621E3" w:rsidRDefault="00EC630E">
      <w:pPr>
        <w:spacing w:line="20" w:lineRule="exact"/>
        <w:rPr>
          <w:sz w:val="20"/>
          <w:szCs w:val="20"/>
        </w:rPr>
      </w:pPr>
      <w:r>
        <w:rPr>
          <w:noProof/>
          <w:sz w:val="20"/>
          <w:szCs w:val="20"/>
        </w:rPr>
        <w:drawing>
          <wp:anchor distT="0" distB="0" distL="114300" distR="114300" simplePos="0" relativeHeight="251251712" behindDoc="1" locked="0" layoutInCell="0" allowOverlap="1">
            <wp:simplePos x="0" y="0"/>
            <wp:positionH relativeFrom="column">
              <wp:posOffset>71755</wp:posOffset>
            </wp:positionH>
            <wp:positionV relativeFrom="paragraph">
              <wp:posOffset>-229235</wp:posOffset>
            </wp:positionV>
            <wp:extent cx="6998970" cy="633920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blip>
                    <a:srcRect/>
                    <a:stretch>
                      <a:fillRect/>
                    </a:stretch>
                  </pic:blipFill>
                  <pic:spPr bwMode="auto">
                    <a:xfrm>
                      <a:off x="0" y="0"/>
                      <a:ext cx="6998970" cy="633920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14" w:lineRule="exact"/>
        <w:rPr>
          <w:sz w:val="20"/>
          <w:szCs w:val="20"/>
        </w:rPr>
      </w:pPr>
    </w:p>
    <w:p w:rsidR="00A621E3" w:rsidRDefault="00EC630E">
      <w:pPr>
        <w:spacing w:line="260" w:lineRule="auto"/>
        <w:ind w:left="140" w:right="40"/>
        <w:rPr>
          <w:sz w:val="20"/>
          <w:szCs w:val="20"/>
        </w:rPr>
      </w:pPr>
      <w:r>
        <w:rPr>
          <w:rFonts w:ascii="Arial" w:eastAsia="Arial" w:hAnsi="Arial" w:cs="Arial"/>
          <w:sz w:val="20"/>
          <w:szCs w:val="20"/>
        </w:rPr>
        <w:t>The following table provides summary information about each of the nominees to our board of directors (the “</w:t>
      </w:r>
      <w:r>
        <w:rPr>
          <w:rFonts w:ascii="Arial" w:eastAsia="Arial" w:hAnsi="Arial" w:cs="Arial"/>
          <w:b/>
          <w:bCs/>
          <w:i/>
          <w:iCs/>
          <w:sz w:val="20"/>
          <w:szCs w:val="20"/>
        </w:rPr>
        <w:t>Board of Directors</w:t>
      </w:r>
      <w:r>
        <w:rPr>
          <w:rFonts w:ascii="Arial" w:eastAsia="Arial" w:hAnsi="Arial" w:cs="Arial"/>
          <w:sz w:val="20"/>
          <w:szCs w:val="20"/>
        </w:rPr>
        <w:t>” or the “</w:t>
      </w:r>
      <w:r>
        <w:rPr>
          <w:rFonts w:ascii="Arial" w:eastAsia="Arial" w:hAnsi="Arial" w:cs="Arial"/>
          <w:b/>
          <w:bCs/>
          <w:i/>
          <w:iCs/>
          <w:sz w:val="20"/>
          <w:szCs w:val="20"/>
        </w:rPr>
        <w:t>Board</w:t>
      </w:r>
      <w:r>
        <w:rPr>
          <w:rFonts w:ascii="Arial" w:eastAsia="Arial" w:hAnsi="Arial" w:cs="Arial"/>
          <w:sz w:val="20"/>
          <w:szCs w:val="20"/>
        </w:rPr>
        <w:t>”).</w:t>
      </w:r>
    </w:p>
    <w:p w:rsidR="00A621E3" w:rsidRDefault="00A621E3">
      <w:pPr>
        <w:spacing w:line="202"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0"/>
        <w:gridCol w:w="2260"/>
        <w:gridCol w:w="980"/>
        <w:gridCol w:w="800"/>
        <w:gridCol w:w="3040"/>
        <w:gridCol w:w="1280"/>
        <w:gridCol w:w="580"/>
        <w:gridCol w:w="760"/>
        <w:gridCol w:w="780"/>
        <w:gridCol w:w="500"/>
      </w:tblGrid>
      <w:tr w:rsidR="00A621E3">
        <w:trPr>
          <w:trHeight w:val="189"/>
        </w:trPr>
        <w:tc>
          <w:tcPr>
            <w:tcW w:w="20" w:type="dxa"/>
            <w:vAlign w:val="bottom"/>
          </w:tcPr>
          <w:p w:rsidR="00A621E3" w:rsidRDefault="00A621E3">
            <w:pPr>
              <w:rPr>
                <w:sz w:val="16"/>
                <w:szCs w:val="16"/>
              </w:rPr>
            </w:pPr>
          </w:p>
        </w:tc>
        <w:tc>
          <w:tcPr>
            <w:tcW w:w="2260" w:type="dxa"/>
            <w:vAlign w:val="bottom"/>
          </w:tcPr>
          <w:p w:rsidR="00A621E3" w:rsidRDefault="00A621E3">
            <w:pPr>
              <w:rPr>
                <w:sz w:val="16"/>
                <w:szCs w:val="16"/>
              </w:rPr>
            </w:pPr>
          </w:p>
        </w:tc>
        <w:tc>
          <w:tcPr>
            <w:tcW w:w="980" w:type="dxa"/>
            <w:vAlign w:val="bottom"/>
          </w:tcPr>
          <w:p w:rsidR="00A621E3" w:rsidRDefault="00A621E3">
            <w:pPr>
              <w:rPr>
                <w:sz w:val="16"/>
                <w:szCs w:val="16"/>
              </w:rPr>
            </w:pPr>
          </w:p>
        </w:tc>
        <w:tc>
          <w:tcPr>
            <w:tcW w:w="800" w:type="dxa"/>
            <w:vAlign w:val="bottom"/>
          </w:tcPr>
          <w:p w:rsidR="00A621E3" w:rsidRDefault="00A621E3">
            <w:pPr>
              <w:rPr>
                <w:sz w:val="16"/>
                <w:szCs w:val="16"/>
              </w:rPr>
            </w:pPr>
          </w:p>
        </w:tc>
        <w:tc>
          <w:tcPr>
            <w:tcW w:w="3040" w:type="dxa"/>
            <w:vAlign w:val="bottom"/>
          </w:tcPr>
          <w:p w:rsidR="00A621E3" w:rsidRDefault="00A621E3">
            <w:pPr>
              <w:rPr>
                <w:sz w:val="16"/>
                <w:szCs w:val="16"/>
              </w:rPr>
            </w:pPr>
          </w:p>
        </w:tc>
        <w:tc>
          <w:tcPr>
            <w:tcW w:w="1280" w:type="dxa"/>
            <w:vAlign w:val="bottom"/>
          </w:tcPr>
          <w:p w:rsidR="00A621E3" w:rsidRDefault="00A621E3">
            <w:pPr>
              <w:rPr>
                <w:sz w:val="16"/>
                <w:szCs w:val="16"/>
              </w:rPr>
            </w:pPr>
          </w:p>
        </w:tc>
        <w:tc>
          <w:tcPr>
            <w:tcW w:w="580" w:type="dxa"/>
            <w:vAlign w:val="bottom"/>
          </w:tcPr>
          <w:p w:rsidR="00A621E3" w:rsidRDefault="00A621E3">
            <w:pPr>
              <w:rPr>
                <w:sz w:val="16"/>
                <w:szCs w:val="16"/>
              </w:rPr>
            </w:pPr>
          </w:p>
        </w:tc>
        <w:tc>
          <w:tcPr>
            <w:tcW w:w="1540" w:type="dxa"/>
            <w:gridSpan w:val="2"/>
            <w:vAlign w:val="bottom"/>
          </w:tcPr>
          <w:p w:rsidR="00A621E3" w:rsidRDefault="00EC630E">
            <w:pPr>
              <w:jc w:val="center"/>
              <w:rPr>
                <w:sz w:val="20"/>
                <w:szCs w:val="20"/>
              </w:rPr>
            </w:pPr>
            <w:r>
              <w:rPr>
                <w:rFonts w:ascii="Arial" w:eastAsia="Arial" w:hAnsi="Arial" w:cs="Arial"/>
                <w:b/>
                <w:bCs/>
                <w:color w:val="CF0A2C"/>
                <w:sz w:val="16"/>
                <w:szCs w:val="16"/>
              </w:rPr>
              <w:t>Board Committee</w:t>
            </w:r>
          </w:p>
        </w:tc>
        <w:tc>
          <w:tcPr>
            <w:tcW w:w="500" w:type="dxa"/>
            <w:vAlign w:val="bottom"/>
          </w:tcPr>
          <w:p w:rsidR="00A621E3" w:rsidRDefault="00A621E3">
            <w:pPr>
              <w:rPr>
                <w:sz w:val="16"/>
                <w:szCs w:val="16"/>
              </w:rPr>
            </w:pPr>
          </w:p>
        </w:tc>
      </w:tr>
      <w:tr w:rsidR="00A621E3">
        <w:trPr>
          <w:trHeight w:val="189"/>
        </w:trPr>
        <w:tc>
          <w:tcPr>
            <w:tcW w:w="20" w:type="dxa"/>
            <w:vAlign w:val="bottom"/>
          </w:tcPr>
          <w:p w:rsidR="00A621E3" w:rsidRDefault="00A621E3">
            <w:pPr>
              <w:rPr>
                <w:sz w:val="16"/>
                <w:szCs w:val="16"/>
              </w:rPr>
            </w:pPr>
          </w:p>
        </w:tc>
        <w:tc>
          <w:tcPr>
            <w:tcW w:w="2260" w:type="dxa"/>
            <w:vAlign w:val="bottom"/>
          </w:tcPr>
          <w:p w:rsidR="00A621E3" w:rsidRDefault="00A621E3">
            <w:pPr>
              <w:rPr>
                <w:sz w:val="16"/>
                <w:szCs w:val="16"/>
              </w:rPr>
            </w:pPr>
          </w:p>
        </w:tc>
        <w:tc>
          <w:tcPr>
            <w:tcW w:w="980" w:type="dxa"/>
            <w:vAlign w:val="bottom"/>
          </w:tcPr>
          <w:p w:rsidR="00A621E3" w:rsidRDefault="00A621E3">
            <w:pPr>
              <w:rPr>
                <w:sz w:val="16"/>
                <w:szCs w:val="16"/>
              </w:rPr>
            </w:pPr>
          </w:p>
        </w:tc>
        <w:tc>
          <w:tcPr>
            <w:tcW w:w="800" w:type="dxa"/>
            <w:vAlign w:val="bottom"/>
          </w:tcPr>
          <w:p w:rsidR="00A621E3" w:rsidRDefault="00A621E3">
            <w:pPr>
              <w:rPr>
                <w:sz w:val="16"/>
                <w:szCs w:val="16"/>
              </w:rPr>
            </w:pPr>
          </w:p>
        </w:tc>
        <w:tc>
          <w:tcPr>
            <w:tcW w:w="3040" w:type="dxa"/>
            <w:vAlign w:val="bottom"/>
          </w:tcPr>
          <w:p w:rsidR="00A621E3" w:rsidRDefault="00A621E3">
            <w:pPr>
              <w:rPr>
                <w:sz w:val="16"/>
                <w:szCs w:val="16"/>
              </w:rPr>
            </w:pPr>
          </w:p>
        </w:tc>
        <w:tc>
          <w:tcPr>
            <w:tcW w:w="1280" w:type="dxa"/>
            <w:vAlign w:val="bottom"/>
          </w:tcPr>
          <w:p w:rsidR="00A621E3" w:rsidRDefault="00A621E3">
            <w:pPr>
              <w:rPr>
                <w:sz w:val="16"/>
                <w:szCs w:val="16"/>
              </w:rPr>
            </w:pPr>
          </w:p>
        </w:tc>
        <w:tc>
          <w:tcPr>
            <w:tcW w:w="580" w:type="dxa"/>
            <w:vAlign w:val="bottom"/>
          </w:tcPr>
          <w:p w:rsidR="00A621E3" w:rsidRDefault="00A621E3">
            <w:pPr>
              <w:rPr>
                <w:sz w:val="16"/>
                <w:szCs w:val="16"/>
              </w:rPr>
            </w:pPr>
          </w:p>
        </w:tc>
        <w:tc>
          <w:tcPr>
            <w:tcW w:w="1540" w:type="dxa"/>
            <w:gridSpan w:val="2"/>
            <w:vAlign w:val="bottom"/>
          </w:tcPr>
          <w:p w:rsidR="00A621E3" w:rsidRDefault="00EC630E">
            <w:pPr>
              <w:jc w:val="center"/>
              <w:rPr>
                <w:sz w:val="20"/>
                <w:szCs w:val="20"/>
              </w:rPr>
            </w:pPr>
            <w:r>
              <w:rPr>
                <w:rFonts w:ascii="Arial" w:eastAsia="Arial" w:hAnsi="Arial" w:cs="Arial"/>
                <w:b/>
                <w:bCs/>
                <w:color w:val="CF0A2C"/>
                <w:sz w:val="16"/>
                <w:szCs w:val="16"/>
              </w:rPr>
              <w:t>Membership as of</w:t>
            </w:r>
          </w:p>
        </w:tc>
        <w:tc>
          <w:tcPr>
            <w:tcW w:w="500" w:type="dxa"/>
            <w:vAlign w:val="bottom"/>
          </w:tcPr>
          <w:p w:rsidR="00A621E3" w:rsidRDefault="00A621E3">
            <w:pPr>
              <w:rPr>
                <w:sz w:val="16"/>
                <w:szCs w:val="16"/>
              </w:rPr>
            </w:pPr>
          </w:p>
        </w:tc>
      </w:tr>
      <w:tr w:rsidR="00A621E3">
        <w:trPr>
          <w:trHeight w:val="207"/>
        </w:trPr>
        <w:tc>
          <w:tcPr>
            <w:tcW w:w="20" w:type="dxa"/>
            <w:vAlign w:val="bottom"/>
          </w:tcPr>
          <w:p w:rsidR="00A621E3" w:rsidRDefault="00A621E3">
            <w:pPr>
              <w:rPr>
                <w:sz w:val="18"/>
                <w:szCs w:val="18"/>
              </w:rPr>
            </w:pPr>
          </w:p>
        </w:tc>
        <w:tc>
          <w:tcPr>
            <w:tcW w:w="2260" w:type="dxa"/>
            <w:vAlign w:val="bottom"/>
          </w:tcPr>
          <w:p w:rsidR="00A621E3" w:rsidRDefault="00A621E3">
            <w:pPr>
              <w:rPr>
                <w:sz w:val="18"/>
                <w:szCs w:val="18"/>
              </w:rPr>
            </w:pPr>
          </w:p>
        </w:tc>
        <w:tc>
          <w:tcPr>
            <w:tcW w:w="980" w:type="dxa"/>
            <w:vAlign w:val="bottom"/>
          </w:tcPr>
          <w:p w:rsidR="00A621E3" w:rsidRDefault="00A621E3">
            <w:pPr>
              <w:rPr>
                <w:sz w:val="18"/>
                <w:szCs w:val="18"/>
              </w:rPr>
            </w:pPr>
          </w:p>
        </w:tc>
        <w:tc>
          <w:tcPr>
            <w:tcW w:w="800" w:type="dxa"/>
            <w:vAlign w:val="bottom"/>
          </w:tcPr>
          <w:p w:rsidR="00A621E3" w:rsidRDefault="00EC630E">
            <w:pPr>
              <w:jc w:val="center"/>
              <w:rPr>
                <w:sz w:val="20"/>
                <w:szCs w:val="20"/>
              </w:rPr>
            </w:pPr>
            <w:r>
              <w:rPr>
                <w:rFonts w:ascii="Arial" w:eastAsia="Arial" w:hAnsi="Arial" w:cs="Arial"/>
                <w:b/>
                <w:bCs/>
                <w:color w:val="CF0A2C"/>
                <w:sz w:val="16"/>
                <w:szCs w:val="16"/>
              </w:rPr>
              <w:t>Director</w:t>
            </w:r>
          </w:p>
        </w:tc>
        <w:tc>
          <w:tcPr>
            <w:tcW w:w="3040" w:type="dxa"/>
            <w:vAlign w:val="bottom"/>
          </w:tcPr>
          <w:p w:rsidR="00A621E3" w:rsidRDefault="00A621E3">
            <w:pPr>
              <w:rPr>
                <w:sz w:val="18"/>
                <w:szCs w:val="18"/>
              </w:rPr>
            </w:pPr>
          </w:p>
        </w:tc>
        <w:tc>
          <w:tcPr>
            <w:tcW w:w="1280" w:type="dxa"/>
            <w:vAlign w:val="bottom"/>
          </w:tcPr>
          <w:p w:rsidR="00A621E3" w:rsidRDefault="00A621E3">
            <w:pPr>
              <w:rPr>
                <w:sz w:val="18"/>
                <w:szCs w:val="18"/>
              </w:rPr>
            </w:pPr>
          </w:p>
        </w:tc>
        <w:tc>
          <w:tcPr>
            <w:tcW w:w="580" w:type="dxa"/>
            <w:tcBorders>
              <w:bottom w:val="single" w:sz="8" w:space="0" w:color="CF0A2C"/>
            </w:tcBorders>
            <w:vAlign w:val="bottom"/>
          </w:tcPr>
          <w:p w:rsidR="00A621E3" w:rsidRDefault="00A621E3">
            <w:pPr>
              <w:rPr>
                <w:sz w:val="18"/>
                <w:szCs w:val="18"/>
              </w:rPr>
            </w:pPr>
          </w:p>
        </w:tc>
        <w:tc>
          <w:tcPr>
            <w:tcW w:w="1540" w:type="dxa"/>
            <w:gridSpan w:val="2"/>
            <w:tcBorders>
              <w:bottom w:val="single" w:sz="8" w:space="0" w:color="CF0A2C"/>
            </w:tcBorders>
            <w:vAlign w:val="bottom"/>
          </w:tcPr>
          <w:p w:rsidR="00A621E3" w:rsidRDefault="00EC630E">
            <w:pPr>
              <w:jc w:val="center"/>
              <w:rPr>
                <w:sz w:val="20"/>
                <w:szCs w:val="20"/>
              </w:rPr>
            </w:pPr>
            <w:r>
              <w:rPr>
                <w:rFonts w:ascii="Arial" w:eastAsia="Arial" w:hAnsi="Arial" w:cs="Arial"/>
                <w:b/>
                <w:bCs/>
                <w:color w:val="CF0A2C"/>
                <w:sz w:val="16"/>
                <w:szCs w:val="16"/>
              </w:rPr>
              <w:t>April 12, 2023</w:t>
            </w:r>
          </w:p>
        </w:tc>
        <w:tc>
          <w:tcPr>
            <w:tcW w:w="500" w:type="dxa"/>
            <w:tcBorders>
              <w:bottom w:val="single" w:sz="8" w:space="0" w:color="CF0A2C"/>
            </w:tcBorders>
            <w:vAlign w:val="bottom"/>
          </w:tcPr>
          <w:p w:rsidR="00A621E3" w:rsidRDefault="00A621E3">
            <w:pPr>
              <w:rPr>
                <w:sz w:val="18"/>
                <w:szCs w:val="18"/>
              </w:rPr>
            </w:pPr>
          </w:p>
        </w:tc>
      </w:tr>
      <w:tr w:rsidR="00A621E3">
        <w:trPr>
          <w:trHeight w:val="183"/>
        </w:trPr>
        <w:tc>
          <w:tcPr>
            <w:tcW w:w="20" w:type="dxa"/>
            <w:vAlign w:val="bottom"/>
          </w:tcPr>
          <w:p w:rsidR="00A621E3" w:rsidRDefault="00A621E3">
            <w:pPr>
              <w:rPr>
                <w:sz w:val="15"/>
                <w:szCs w:val="15"/>
              </w:rPr>
            </w:pPr>
          </w:p>
        </w:tc>
        <w:tc>
          <w:tcPr>
            <w:tcW w:w="2260" w:type="dxa"/>
            <w:tcBorders>
              <w:bottom w:val="single" w:sz="8" w:space="0" w:color="CF0A2C"/>
            </w:tcBorders>
            <w:vAlign w:val="bottom"/>
          </w:tcPr>
          <w:p w:rsidR="00A621E3" w:rsidRDefault="00EC630E">
            <w:pPr>
              <w:spacing w:line="183" w:lineRule="exact"/>
              <w:ind w:left="1120"/>
              <w:rPr>
                <w:sz w:val="20"/>
                <w:szCs w:val="20"/>
              </w:rPr>
            </w:pPr>
            <w:r>
              <w:rPr>
                <w:rFonts w:ascii="Arial" w:eastAsia="Arial" w:hAnsi="Arial" w:cs="Arial"/>
                <w:b/>
                <w:bCs/>
                <w:color w:val="CF0A2C"/>
                <w:sz w:val="16"/>
                <w:szCs w:val="16"/>
              </w:rPr>
              <w:t>Name</w:t>
            </w:r>
          </w:p>
        </w:tc>
        <w:tc>
          <w:tcPr>
            <w:tcW w:w="980" w:type="dxa"/>
            <w:tcBorders>
              <w:bottom w:val="single" w:sz="8" w:space="0" w:color="CF0A2C"/>
            </w:tcBorders>
            <w:vAlign w:val="bottom"/>
          </w:tcPr>
          <w:p w:rsidR="00A621E3" w:rsidRDefault="00EC630E">
            <w:pPr>
              <w:spacing w:line="183" w:lineRule="exact"/>
              <w:ind w:left="399"/>
              <w:jc w:val="center"/>
              <w:rPr>
                <w:sz w:val="20"/>
                <w:szCs w:val="20"/>
              </w:rPr>
            </w:pPr>
            <w:r>
              <w:rPr>
                <w:rFonts w:ascii="Arial" w:eastAsia="Arial" w:hAnsi="Arial" w:cs="Arial"/>
                <w:b/>
                <w:bCs/>
                <w:color w:val="CF0A2C"/>
                <w:w w:val="99"/>
                <w:sz w:val="16"/>
                <w:szCs w:val="16"/>
              </w:rPr>
              <w:t>Age</w:t>
            </w:r>
          </w:p>
        </w:tc>
        <w:tc>
          <w:tcPr>
            <w:tcW w:w="800" w:type="dxa"/>
            <w:tcBorders>
              <w:bottom w:val="single" w:sz="8" w:space="0" w:color="CF0A2C"/>
            </w:tcBorders>
            <w:vAlign w:val="bottom"/>
          </w:tcPr>
          <w:p w:rsidR="00A621E3" w:rsidRDefault="00EC630E">
            <w:pPr>
              <w:spacing w:line="183" w:lineRule="exact"/>
              <w:jc w:val="center"/>
              <w:rPr>
                <w:sz w:val="20"/>
                <w:szCs w:val="20"/>
              </w:rPr>
            </w:pPr>
            <w:r>
              <w:rPr>
                <w:rFonts w:ascii="Arial" w:eastAsia="Arial" w:hAnsi="Arial" w:cs="Arial"/>
                <w:b/>
                <w:bCs/>
                <w:color w:val="CF0A2C"/>
                <w:sz w:val="16"/>
                <w:szCs w:val="16"/>
              </w:rPr>
              <w:t>Since</w:t>
            </w:r>
          </w:p>
        </w:tc>
        <w:tc>
          <w:tcPr>
            <w:tcW w:w="3040" w:type="dxa"/>
            <w:tcBorders>
              <w:bottom w:val="single" w:sz="8" w:space="0" w:color="CF0A2C"/>
            </w:tcBorders>
            <w:vAlign w:val="bottom"/>
          </w:tcPr>
          <w:p w:rsidR="00A621E3" w:rsidRDefault="00EC630E">
            <w:pPr>
              <w:spacing w:line="183" w:lineRule="exact"/>
              <w:ind w:left="740"/>
              <w:rPr>
                <w:sz w:val="20"/>
                <w:szCs w:val="20"/>
              </w:rPr>
            </w:pPr>
            <w:r>
              <w:rPr>
                <w:rFonts w:ascii="Arial" w:eastAsia="Arial" w:hAnsi="Arial" w:cs="Arial"/>
                <w:b/>
                <w:bCs/>
                <w:color w:val="CF0A2C"/>
                <w:sz w:val="16"/>
                <w:szCs w:val="16"/>
              </w:rPr>
              <w:t>Primary Occupation</w:t>
            </w:r>
          </w:p>
        </w:tc>
        <w:tc>
          <w:tcPr>
            <w:tcW w:w="1280" w:type="dxa"/>
            <w:tcBorders>
              <w:bottom w:val="single" w:sz="8" w:space="0" w:color="CF0A2C"/>
            </w:tcBorders>
            <w:vAlign w:val="bottom"/>
          </w:tcPr>
          <w:p w:rsidR="00A621E3" w:rsidRDefault="00EC630E">
            <w:pPr>
              <w:spacing w:line="183" w:lineRule="exact"/>
              <w:jc w:val="center"/>
              <w:rPr>
                <w:sz w:val="20"/>
                <w:szCs w:val="20"/>
              </w:rPr>
            </w:pPr>
            <w:r>
              <w:rPr>
                <w:rFonts w:ascii="Arial" w:eastAsia="Arial" w:hAnsi="Arial" w:cs="Arial"/>
                <w:b/>
                <w:bCs/>
                <w:color w:val="CF0A2C"/>
                <w:sz w:val="16"/>
                <w:szCs w:val="16"/>
              </w:rPr>
              <w:t>Independent</w:t>
            </w:r>
          </w:p>
        </w:tc>
        <w:tc>
          <w:tcPr>
            <w:tcW w:w="580" w:type="dxa"/>
            <w:tcBorders>
              <w:bottom w:val="single" w:sz="8" w:space="0" w:color="CF0A2C"/>
            </w:tcBorders>
            <w:vAlign w:val="bottom"/>
          </w:tcPr>
          <w:p w:rsidR="00A621E3" w:rsidRDefault="00EC630E">
            <w:pPr>
              <w:spacing w:line="183" w:lineRule="exact"/>
              <w:ind w:left="99"/>
              <w:jc w:val="center"/>
              <w:rPr>
                <w:sz w:val="20"/>
                <w:szCs w:val="20"/>
              </w:rPr>
            </w:pPr>
            <w:r>
              <w:rPr>
                <w:rFonts w:ascii="Arial" w:eastAsia="Arial" w:hAnsi="Arial" w:cs="Arial"/>
                <w:b/>
                <w:bCs/>
                <w:color w:val="CF0A2C"/>
                <w:sz w:val="16"/>
                <w:szCs w:val="16"/>
              </w:rPr>
              <w:t>A</w:t>
            </w:r>
          </w:p>
        </w:tc>
        <w:tc>
          <w:tcPr>
            <w:tcW w:w="760" w:type="dxa"/>
            <w:tcBorders>
              <w:bottom w:val="single" w:sz="8" w:space="0" w:color="CF0A2C"/>
            </w:tcBorders>
            <w:vAlign w:val="bottom"/>
          </w:tcPr>
          <w:p w:rsidR="00A621E3" w:rsidRDefault="00EC630E">
            <w:pPr>
              <w:spacing w:line="183" w:lineRule="exact"/>
              <w:ind w:left="39"/>
              <w:jc w:val="center"/>
              <w:rPr>
                <w:sz w:val="20"/>
                <w:szCs w:val="20"/>
              </w:rPr>
            </w:pPr>
            <w:r>
              <w:rPr>
                <w:rFonts w:ascii="Arial" w:eastAsia="Arial" w:hAnsi="Arial" w:cs="Arial"/>
                <w:b/>
                <w:bCs/>
                <w:color w:val="CF0A2C"/>
                <w:sz w:val="16"/>
                <w:szCs w:val="16"/>
              </w:rPr>
              <w:t>C</w:t>
            </w:r>
          </w:p>
        </w:tc>
        <w:tc>
          <w:tcPr>
            <w:tcW w:w="780" w:type="dxa"/>
            <w:tcBorders>
              <w:bottom w:val="single" w:sz="8" w:space="0" w:color="CF0A2C"/>
            </w:tcBorders>
            <w:vAlign w:val="bottom"/>
          </w:tcPr>
          <w:p w:rsidR="00A621E3" w:rsidRDefault="00EC630E">
            <w:pPr>
              <w:spacing w:line="183" w:lineRule="exact"/>
              <w:ind w:right="19"/>
              <w:jc w:val="center"/>
              <w:rPr>
                <w:sz w:val="20"/>
                <w:szCs w:val="20"/>
              </w:rPr>
            </w:pPr>
            <w:r>
              <w:rPr>
                <w:rFonts w:ascii="Arial" w:eastAsia="Arial" w:hAnsi="Arial" w:cs="Arial"/>
                <w:b/>
                <w:bCs/>
                <w:color w:val="CF0A2C"/>
                <w:w w:val="95"/>
                <w:sz w:val="16"/>
                <w:szCs w:val="16"/>
              </w:rPr>
              <w:t>G</w:t>
            </w:r>
          </w:p>
        </w:tc>
        <w:tc>
          <w:tcPr>
            <w:tcW w:w="500" w:type="dxa"/>
            <w:tcBorders>
              <w:bottom w:val="single" w:sz="8" w:space="0" w:color="CF0A2C"/>
            </w:tcBorders>
            <w:vAlign w:val="bottom"/>
          </w:tcPr>
          <w:p w:rsidR="00A621E3" w:rsidRDefault="00EC630E">
            <w:pPr>
              <w:spacing w:line="183" w:lineRule="exact"/>
              <w:jc w:val="center"/>
              <w:rPr>
                <w:sz w:val="20"/>
                <w:szCs w:val="20"/>
              </w:rPr>
            </w:pPr>
            <w:r>
              <w:rPr>
                <w:rFonts w:ascii="Arial" w:eastAsia="Arial" w:hAnsi="Arial" w:cs="Arial"/>
                <w:b/>
                <w:bCs/>
                <w:color w:val="CF0A2C"/>
                <w:sz w:val="16"/>
                <w:szCs w:val="16"/>
              </w:rPr>
              <w:t>F</w:t>
            </w:r>
          </w:p>
        </w:tc>
      </w:tr>
      <w:tr w:rsidR="00A621E3">
        <w:trPr>
          <w:trHeight w:val="184"/>
        </w:trPr>
        <w:tc>
          <w:tcPr>
            <w:tcW w:w="20" w:type="dxa"/>
            <w:vAlign w:val="bottom"/>
          </w:tcPr>
          <w:p w:rsidR="00A621E3" w:rsidRDefault="00A621E3">
            <w:pPr>
              <w:rPr>
                <w:sz w:val="16"/>
                <w:szCs w:val="16"/>
              </w:rPr>
            </w:pPr>
          </w:p>
        </w:tc>
        <w:tc>
          <w:tcPr>
            <w:tcW w:w="2260" w:type="dxa"/>
            <w:vAlign w:val="bottom"/>
          </w:tcPr>
          <w:p w:rsidR="00A621E3" w:rsidRDefault="00EC630E">
            <w:pPr>
              <w:rPr>
                <w:sz w:val="20"/>
                <w:szCs w:val="20"/>
              </w:rPr>
            </w:pPr>
            <w:r>
              <w:rPr>
                <w:rFonts w:ascii="Arial" w:eastAsia="Arial" w:hAnsi="Arial" w:cs="Arial"/>
                <w:b/>
                <w:bCs/>
                <w:color w:val="CF0A2C"/>
                <w:sz w:val="16"/>
                <w:szCs w:val="16"/>
              </w:rPr>
              <w:t>Fred Hu (Chairman)</w:t>
            </w:r>
          </w:p>
        </w:tc>
        <w:tc>
          <w:tcPr>
            <w:tcW w:w="980" w:type="dxa"/>
            <w:vAlign w:val="bottom"/>
          </w:tcPr>
          <w:p w:rsidR="00A621E3" w:rsidRDefault="00EC630E">
            <w:pPr>
              <w:ind w:left="399"/>
              <w:jc w:val="center"/>
              <w:rPr>
                <w:sz w:val="20"/>
                <w:szCs w:val="20"/>
              </w:rPr>
            </w:pPr>
            <w:r>
              <w:rPr>
                <w:rFonts w:ascii="Arial" w:eastAsia="Arial" w:hAnsi="Arial" w:cs="Arial"/>
                <w:color w:val="CF0A2C"/>
                <w:sz w:val="16"/>
                <w:szCs w:val="16"/>
              </w:rPr>
              <w:t>59</w:t>
            </w:r>
          </w:p>
        </w:tc>
        <w:tc>
          <w:tcPr>
            <w:tcW w:w="800" w:type="dxa"/>
            <w:vAlign w:val="bottom"/>
          </w:tcPr>
          <w:p w:rsidR="00A621E3" w:rsidRDefault="00EC630E">
            <w:pPr>
              <w:jc w:val="center"/>
              <w:rPr>
                <w:sz w:val="20"/>
                <w:szCs w:val="20"/>
              </w:rPr>
            </w:pPr>
            <w:r>
              <w:rPr>
                <w:rFonts w:ascii="Arial" w:eastAsia="Arial" w:hAnsi="Arial" w:cs="Arial"/>
                <w:color w:val="CF0A2C"/>
                <w:sz w:val="16"/>
                <w:szCs w:val="16"/>
              </w:rPr>
              <w:t>2016</w:t>
            </w:r>
          </w:p>
        </w:tc>
        <w:tc>
          <w:tcPr>
            <w:tcW w:w="3040" w:type="dxa"/>
            <w:vAlign w:val="bottom"/>
          </w:tcPr>
          <w:p w:rsidR="00A621E3" w:rsidRDefault="00EC630E">
            <w:pPr>
              <w:ind w:left="80"/>
              <w:rPr>
                <w:sz w:val="20"/>
                <w:szCs w:val="20"/>
              </w:rPr>
            </w:pPr>
            <w:r>
              <w:rPr>
                <w:rFonts w:ascii="Arial" w:eastAsia="Arial" w:hAnsi="Arial" w:cs="Arial"/>
                <w:color w:val="CF0A2C"/>
                <w:sz w:val="16"/>
                <w:szCs w:val="16"/>
              </w:rPr>
              <w:t>Chairman and founder of Primavera</w:t>
            </w:r>
          </w:p>
        </w:tc>
        <w:tc>
          <w:tcPr>
            <w:tcW w:w="128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A621E3" w:rsidRDefault="00A621E3">
            <w:pPr>
              <w:rPr>
                <w:sz w:val="16"/>
                <w:szCs w:val="16"/>
              </w:rPr>
            </w:pPr>
          </w:p>
        </w:tc>
        <w:tc>
          <w:tcPr>
            <w:tcW w:w="760" w:type="dxa"/>
            <w:vAlign w:val="bottom"/>
          </w:tcPr>
          <w:p w:rsidR="00A621E3" w:rsidRDefault="00A621E3">
            <w:pPr>
              <w:rPr>
                <w:sz w:val="16"/>
                <w:szCs w:val="16"/>
              </w:rPr>
            </w:pPr>
          </w:p>
        </w:tc>
        <w:tc>
          <w:tcPr>
            <w:tcW w:w="780" w:type="dxa"/>
            <w:vAlign w:val="bottom"/>
          </w:tcPr>
          <w:p w:rsidR="00A621E3" w:rsidRDefault="00EC630E">
            <w:pPr>
              <w:ind w:right="19"/>
              <w:jc w:val="center"/>
              <w:rPr>
                <w:sz w:val="20"/>
                <w:szCs w:val="20"/>
              </w:rPr>
            </w:pPr>
            <w:r>
              <w:rPr>
                <w:rFonts w:ascii="Arial" w:eastAsia="Arial" w:hAnsi="Arial" w:cs="Arial"/>
                <w:color w:val="CF0A2C"/>
                <w:sz w:val="16"/>
                <w:szCs w:val="16"/>
              </w:rPr>
              <w:t>CC</w:t>
            </w:r>
          </w:p>
        </w:tc>
        <w:tc>
          <w:tcPr>
            <w:tcW w:w="500" w:type="dxa"/>
            <w:vAlign w:val="bottom"/>
          </w:tcPr>
          <w:p w:rsidR="00A621E3" w:rsidRDefault="00A621E3">
            <w:pPr>
              <w:rPr>
                <w:sz w:val="16"/>
                <w:szCs w:val="16"/>
              </w:rPr>
            </w:pPr>
          </w:p>
        </w:tc>
      </w:tr>
      <w:tr w:rsidR="00A621E3">
        <w:trPr>
          <w:trHeight w:val="195"/>
        </w:trPr>
        <w:tc>
          <w:tcPr>
            <w:tcW w:w="20" w:type="dxa"/>
            <w:vAlign w:val="bottom"/>
          </w:tcPr>
          <w:p w:rsidR="00A621E3" w:rsidRDefault="00A621E3">
            <w:pPr>
              <w:rPr>
                <w:sz w:val="16"/>
                <w:szCs w:val="16"/>
              </w:rPr>
            </w:pPr>
          </w:p>
        </w:tc>
        <w:tc>
          <w:tcPr>
            <w:tcW w:w="2260" w:type="dxa"/>
            <w:vAlign w:val="bottom"/>
          </w:tcPr>
          <w:p w:rsidR="00A621E3" w:rsidRDefault="00A621E3">
            <w:pPr>
              <w:rPr>
                <w:sz w:val="16"/>
                <w:szCs w:val="16"/>
              </w:rPr>
            </w:pPr>
          </w:p>
        </w:tc>
        <w:tc>
          <w:tcPr>
            <w:tcW w:w="980" w:type="dxa"/>
            <w:vAlign w:val="bottom"/>
          </w:tcPr>
          <w:p w:rsidR="00A621E3" w:rsidRDefault="00A621E3">
            <w:pPr>
              <w:rPr>
                <w:sz w:val="16"/>
                <w:szCs w:val="16"/>
              </w:rPr>
            </w:pPr>
          </w:p>
        </w:tc>
        <w:tc>
          <w:tcPr>
            <w:tcW w:w="800" w:type="dxa"/>
            <w:vAlign w:val="bottom"/>
          </w:tcPr>
          <w:p w:rsidR="00A621E3" w:rsidRDefault="00A621E3">
            <w:pPr>
              <w:rPr>
                <w:sz w:val="16"/>
                <w:szCs w:val="16"/>
              </w:rPr>
            </w:pPr>
          </w:p>
        </w:tc>
        <w:tc>
          <w:tcPr>
            <w:tcW w:w="3040" w:type="dxa"/>
            <w:vAlign w:val="bottom"/>
          </w:tcPr>
          <w:p w:rsidR="00A621E3" w:rsidRDefault="00EC630E">
            <w:pPr>
              <w:ind w:left="80"/>
              <w:rPr>
                <w:sz w:val="20"/>
                <w:szCs w:val="20"/>
              </w:rPr>
            </w:pPr>
            <w:r>
              <w:rPr>
                <w:rFonts w:ascii="Arial" w:eastAsia="Arial" w:hAnsi="Arial" w:cs="Arial"/>
                <w:color w:val="CF0A2C"/>
                <w:sz w:val="16"/>
                <w:szCs w:val="16"/>
              </w:rPr>
              <w:t>Capital Group</w:t>
            </w:r>
          </w:p>
        </w:tc>
        <w:tc>
          <w:tcPr>
            <w:tcW w:w="1280" w:type="dxa"/>
            <w:vAlign w:val="bottom"/>
          </w:tcPr>
          <w:p w:rsidR="00A621E3" w:rsidRDefault="00A621E3">
            <w:pPr>
              <w:rPr>
                <w:sz w:val="16"/>
                <w:szCs w:val="16"/>
              </w:rPr>
            </w:pPr>
          </w:p>
        </w:tc>
        <w:tc>
          <w:tcPr>
            <w:tcW w:w="580" w:type="dxa"/>
            <w:vAlign w:val="bottom"/>
          </w:tcPr>
          <w:p w:rsidR="00A621E3" w:rsidRDefault="00A621E3">
            <w:pPr>
              <w:rPr>
                <w:sz w:val="16"/>
                <w:szCs w:val="16"/>
              </w:rPr>
            </w:pPr>
          </w:p>
        </w:tc>
        <w:tc>
          <w:tcPr>
            <w:tcW w:w="760" w:type="dxa"/>
            <w:vAlign w:val="bottom"/>
          </w:tcPr>
          <w:p w:rsidR="00A621E3" w:rsidRDefault="00A621E3">
            <w:pPr>
              <w:rPr>
                <w:sz w:val="16"/>
                <w:szCs w:val="16"/>
              </w:rPr>
            </w:pPr>
          </w:p>
        </w:tc>
        <w:tc>
          <w:tcPr>
            <w:tcW w:w="780" w:type="dxa"/>
            <w:vAlign w:val="bottom"/>
          </w:tcPr>
          <w:p w:rsidR="00A621E3" w:rsidRDefault="00A621E3">
            <w:pPr>
              <w:rPr>
                <w:sz w:val="16"/>
                <w:szCs w:val="16"/>
              </w:rPr>
            </w:pPr>
          </w:p>
        </w:tc>
        <w:tc>
          <w:tcPr>
            <w:tcW w:w="500" w:type="dxa"/>
            <w:vAlign w:val="bottom"/>
          </w:tcPr>
          <w:p w:rsidR="00A621E3" w:rsidRDefault="00A621E3">
            <w:pPr>
              <w:rPr>
                <w:sz w:val="16"/>
                <w:szCs w:val="16"/>
              </w:rPr>
            </w:pPr>
          </w:p>
        </w:tc>
      </w:tr>
      <w:tr w:rsidR="00A621E3">
        <w:trPr>
          <w:trHeight w:val="297"/>
        </w:trPr>
        <w:tc>
          <w:tcPr>
            <w:tcW w:w="2280" w:type="dxa"/>
            <w:gridSpan w:val="2"/>
            <w:vAlign w:val="bottom"/>
          </w:tcPr>
          <w:p w:rsidR="00A621E3" w:rsidRDefault="00EC630E">
            <w:pPr>
              <w:rPr>
                <w:sz w:val="20"/>
                <w:szCs w:val="20"/>
              </w:rPr>
            </w:pPr>
            <w:r>
              <w:rPr>
                <w:rFonts w:ascii="Arial" w:eastAsia="Arial" w:hAnsi="Arial" w:cs="Arial"/>
                <w:b/>
                <w:bCs/>
                <w:color w:val="CF0A2C"/>
                <w:sz w:val="16"/>
                <w:szCs w:val="16"/>
              </w:rPr>
              <w:t>Joey Wat</w:t>
            </w:r>
          </w:p>
        </w:tc>
        <w:tc>
          <w:tcPr>
            <w:tcW w:w="980" w:type="dxa"/>
            <w:vAlign w:val="bottom"/>
          </w:tcPr>
          <w:p w:rsidR="00A621E3" w:rsidRDefault="00EC630E">
            <w:pPr>
              <w:ind w:left="399"/>
              <w:jc w:val="center"/>
              <w:rPr>
                <w:sz w:val="20"/>
                <w:szCs w:val="20"/>
              </w:rPr>
            </w:pPr>
            <w:r>
              <w:rPr>
                <w:rFonts w:ascii="Arial" w:eastAsia="Arial" w:hAnsi="Arial" w:cs="Arial"/>
                <w:color w:val="CF0A2C"/>
                <w:sz w:val="16"/>
                <w:szCs w:val="16"/>
              </w:rPr>
              <w:t>51</w:t>
            </w:r>
          </w:p>
        </w:tc>
        <w:tc>
          <w:tcPr>
            <w:tcW w:w="800" w:type="dxa"/>
            <w:vAlign w:val="bottom"/>
          </w:tcPr>
          <w:p w:rsidR="00A621E3" w:rsidRDefault="00EC630E">
            <w:pPr>
              <w:jc w:val="center"/>
              <w:rPr>
                <w:sz w:val="20"/>
                <w:szCs w:val="20"/>
              </w:rPr>
            </w:pPr>
            <w:r>
              <w:rPr>
                <w:rFonts w:ascii="Arial" w:eastAsia="Arial" w:hAnsi="Arial" w:cs="Arial"/>
                <w:color w:val="CF0A2C"/>
                <w:sz w:val="16"/>
                <w:szCs w:val="16"/>
              </w:rPr>
              <w:t>2017</w:t>
            </w:r>
          </w:p>
        </w:tc>
        <w:tc>
          <w:tcPr>
            <w:tcW w:w="3040" w:type="dxa"/>
            <w:vAlign w:val="bottom"/>
          </w:tcPr>
          <w:p w:rsidR="00A621E3" w:rsidRDefault="00EC630E">
            <w:pPr>
              <w:ind w:left="80"/>
              <w:rPr>
                <w:sz w:val="20"/>
                <w:szCs w:val="20"/>
              </w:rPr>
            </w:pPr>
            <w:r>
              <w:rPr>
                <w:rFonts w:ascii="Arial" w:eastAsia="Arial" w:hAnsi="Arial" w:cs="Arial"/>
                <w:color w:val="CF0A2C"/>
                <w:sz w:val="16"/>
                <w:szCs w:val="16"/>
              </w:rPr>
              <w:t>Chief Executive Officer of the Company</w:t>
            </w:r>
          </w:p>
        </w:tc>
        <w:tc>
          <w:tcPr>
            <w:tcW w:w="1280" w:type="dxa"/>
            <w:vAlign w:val="bottom"/>
          </w:tcPr>
          <w:p w:rsidR="00A621E3" w:rsidRDefault="00A621E3">
            <w:pPr>
              <w:rPr>
                <w:sz w:val="24"/>
                <w:szCs w:val="24"/>
              </w:rPr>
            </w:pPr>
          </w:p>
        </w:tc>
        <w:tc>
          <w:tcPr>
            <w:tcW w:w="580" w:type="dxa"/>
            <w:vAlign w:val="bottom"/>
          </w:tcPr>
          <w:p w:rsidR="00A621E3" w:rsidRDefault="00A621E3">
            <w:pPr>
              <w:rPr>
                <w:sz w:val="24"/>
                <w:szCs w:val="24"/>
              </w:rPr>
            </w:pPr>
          </w:p>
        </w:tc>
        <w:tc>
          <w:tcPr>
            <w:tcW w:w="760" w:type="dxa"/>
            <w:vAlign w:val="bottom"/>
          </w:tcPr>
          <w:p w:rsidR="00A621E3" w:rsidRDefault="00A621E3">
            <w:pPr>
              <w:rPr>
                <w:sz w:val="24"/>
                <w:szCs w:val="24"/>
              </w:rPr>
            </w:pPr>
          </w:p>
        </w:tc>
        <w:tc>
          <w:tcPr>
            <w:tcW w:w="780" w:type="dxa"/>
            <w:vAlign w:val="bottom"/>
          </w:tcPr>
          <w:p w:rsidR="00A621E3" w:rsidRDefault="00A621E3">
            <w:pPr>
              <w:rPr>
                <w:sz w:val="24"/>
                <w:szCs w:val="24"/>
              </w:rPr>
            </w:pPr>
          </w:p>
        </w:tc>
        <w:tc>
          <w:tcPr>
            <w:tcW w:w="500" w:type="dxa"/>
            <w:vAlign w:val="bottom"/>
          </w:tcPr>
          <w:p w:rsidR="00A621E3" w:rsidRDefault="00A621E3">
            <w:pPr>
              <w:rPr>
                <w:sz w:val="24"/>
                <w:szCs w:val="24"/>
              </w:rPr>
            </w:pPr>
          </w:p>
        </w:tc>
      </w:tr>
      <w:tr w:rsidR="00A621E3">
        <w:trPr>
          <w:trHeight w:val="291"/>
        </w:trPr>
        <w:tc>
          <w:tcPr>
            <w:tcW w:w="2280" w:type="dxa"/>
            <w:gridSpan w:val="2"/>
            <w:vAlign w:val="bottom"/>
          </w:tcPr>
          <w:p w:rsidR="00A621E3" w:rsidRDefault="00EC630E">
            <w:pPr>
              <w:rPr>
                <w:sz w:val="20"/>
                <w:szCs w:val="20"/>
              </w:rPr>
            </w:pPr>
            <w:r>
              <w:rPr>
                <w:rFonts w:ascii="Arial" w:eastAsia="Arial" w:hAnsi="Arial" w:cs="Arial"/>
                <w:b/>
                <w:bCs/>
                <w:color w:val="CF0A2C"/>
                <w:sz w:val="16"/>
                <w:szCs w:val="16"/>
              </w:rPr>
              <w:t>Peter A. Bassi</w:t>
            </w:r>
          </w:p>
        </w:tc>
        <w:tc>
          <w:tcPr>
            <w:tcW w:w="980" w:type="dxa"/>
            <w:vAlign w:val="bottom"/>
          </w:tcPr>
          <w:p w:rsidR="00A621E3" w:rsidRDefault="00EC630E">
            <w:pPr>
              <w:ind w:left="399"/>
              <w:jc w:val="center"/>
              <w:rPr>
                <w:sz w:val="20"/>
                <w:szCs w:val="20"/>
              </w:rPr>
            </w:pPr>
            <w:r>
              <w:rPr>
                <w:rFonts w:ascii="Arial" w:eastAsia="Arial" w:hAnsi="Arial" w:cs="Arial"/>
                <w:color w:val="CF0A2C"/>
                <w:sz w:val="16"/>
                <w:szCs w:val="16"/>
              </w:rPr>
              <w:t>73</w:t>
            </w:r>
          </w:p>
        </w:tc>
        <w:tc>
          <w:tcPr>
            <w:tcW w:w="800" w:type="dxa"/>
            <w:vAlign w:val="bottom"/>
          </w:tcPr>
          <w:p w:rsidR="00A621E3" w:rsidRDefault="00EC630E">
            <w:pPr>
              <w:jc w:val="center"/>
              <w:rPr>
                <w:sz w:val="20"/>
                <w:szCs w:val="20"/>
              </w:rPr>
            </w:pPr>
            <w:r>
              <w:rPr>
                <w:rFonts w:ascii="Arial" w:eastAsia="Arial" w:hAnsi="Arial" w:cs="Arial"/>
                <w:color w:val="CF0A2C"/>
                <w:sz w:val="16"/>
                <w:szCs w:val="16"/>
              </w:rPr>
              <w:t>2016</w:t>
            </w:r>
          </w:p>
        </w:tc>
        <w:tc>
          <w:tcPr>
            <w:tcW w:w="3040" w:type="dxa"/>
            <w:vAlign w:val="bottom"/>
          </w:tcPr>
          <w:p w:rsidR="00A621E3" w:rsidRDefault="00EC630E">
            <w:pPr>
              <w:ind w:left="80"/>
              <w:rPr>
                <w:sz w:val="20"/>
                <w:szCs w:val="20"/>
              </w:rPr>
            </w:pPr>
            <w:r>
              <w:rPr>
                <w:rFonts w:ascii="Arial" w:eastAsia="Arial" w:hAnsi="Arial" w:cs="Arial"/>
                <w:color w:val="CF0A2C"/>
                <w:sz w:val="16"/>
                <w:szCs w:val="16"/>
              </w:rPr>
              <w:t>Former Chairman of Yum! Restaurants</w:t>
            </w:r>
          </w:p>
        </w:tc>
        <w:tc>
          <w:tcPr>
            <w:tcW w:w="128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A621E3" w:rsidRDefault="00EC630E">
            <w:pPr>
              <w:ind w:left="99"/>
              <w:jc w:val="center"/>
              <w:rPr>
                <w:sz w:val="20"/>
                <w:szCs w:val="20"/>
              </w:rPr>
            </w:pPr>
            <w:r>
              <w:rPr>
                <w:rFonts w:ascii="Arial" w:eastAsia="Arial" w:hAnsi="Arial" w:cs="Arial"/>
                <w:color w:val="CF0A2C"/>
                <w:sz w:val="16"/>
                <w:szCs w:val="16"/>
              </w:rPr>
              <w:t>CC</w:t>
            </w:r>
          </w:p>
        </w:tc>
        <w:tc>
          <w:tcPr>
            <w:tcW w:w="760" w:type="dxa"/>
            <w:vAlign w:val="bottom"/>
          </w:tcPr>
          <w:p w:rsidR="00A621E3" w:rsidRDefault="00A621E3">
            <w:pPr>
              <w:rPr>
                <w:sz w:val="24"/>
                <w:szCs w:val="24"/>
              </w:rPr>
            </w:pPr>
          </w:p>
        </w:tc>
        <w:tc>
          <w:tcPr>
            <w:tcW w:w="780" w:type="dxa"/>
            <w:vAlign w:val="bottom"/>
          </w:tcPr>
          <w:p w:rsidR="00A621E3" w:rsidRDefault="00A621E3">
            <w:pPr>
              <w:rPr>
                <w:sz w:val="24"/>
                <w:szCs w:val="24"/>
              </w:rPr>
            </w:pPr>
          </w:p>
        </w:tc>
        <w:tc>
          <w:tcPr>
            <w:tcW w:w="500" w:type="dxa"/>
            <w:vAlign w:val="bottom"/>
          </w:tcPr>
          <w:p w:rsidR="00A621E3" w:rsidRDefault="00EC630E">
            <w:pPr>
              <w:ind w:right="19"/>
              <w:jc w:val="center"/>
              <w:rPr>
                <w:sz w:val="20"/>
                <w:szCs w:val="20"/>
              </w:rPr>
            </w:pPr>
            <w:r>
              <w:rPr>
                <w:rFonts w:ascii="Arial" w:eastAsia="Arial" w:hAnsi="Arial" w:cs="Arial"/>
                <w:color w:val="CF0A2C"/>
                <w:sz w:val="16"/>
                <w:szCs w:val="16"/>
              </w:rPr>
              <w:t>X</w:t>
            </w:r>
          </w:p>
        </w:tc>
      </w:tr>
      <w:tr w:rsidR="00A621E3">
        <w:trPr>
          <w:trHeight w:val="195"/>
        </w:trPr>
        <w:tc>
          <w:tcPr>
            <w:tcW w:w="20" w:type="dxa"/>
            <w:vAlign w:val="bottom"/>
          </w:tcPr>
          <w:p w:rsidR="00A621E3" w:rsidRDefault="00A621E3">
            <w:pPr>
              <w:rPr>
                <w:sz w:val="16"/>
                <w:szCs w:val="16"/>
              </w:rPr>
            </w:pPr>
          </w:p>
        </w:tc>
        <w:tc>
          <w:tcPr>
            <w:tcW w:w="2260" w:type="dxa"/>
            <w:vAlign w:val="bottom"/>
          </w:tcPr>
          <w:p w:rsidR="00A621E3" w:rsidRDefault="00A621E3">
            <w:pPr>
              <w:rPr>
                <w:sz w:val="16"/>
                <w:szCs w:val="16"/>
              </w:rPr>
            </w:pPr>
          </w:p>
        </w:tc>
        <w:tc>
          <w:tcPr>
            <w:tcW w:w="980" w:type="dxa"/>
            <w:vAlign w:val="bottom"/>
          </w:tcPr>
          <w:p w:rsidR="00A621E3" w:rsidRDefault="00A621E3">
            <w:pPr>
              <w:rPr>
                <w:sz w:val="16"/>
                <w:szCs w:val="16"/>
              </w:rPr>
            </w:pPr>
          </w:p>
        </w:tc>
        <w:tc>
          <w:tcPr>
            <w:tcW w:w="800" w:type="dxa"/>
            <w:vAlign w:val="bottom"/>
          </w:tcPr>
          <w:p w:rsidR="00A621E3" w:rsidRDefault="00A621E3">
            <w:pPr>
              <w:rPr>
                <w:sz w:val="16"/>
                <w:szCs w:val="16"/>
              </w:rPr>
            </w:pPr>
          </w:p>
        </w:tc>
        <w:tc>
          <w:tcPr>
            <w:tcW w:w="3040" w:type="dxa"/>
            <w:vAlign w:val="bottom"/>
          </w:tcPr>
          <w:p w:rsidR="00A621E3" w:rsidRDefault="00EC630E">
            <w:pPr>
              <w:ind w:left="80"/>
              <w:rPr>
                <w:sz w:val="20"/>
                <w:szCs w:val="20"/>
              </w:rPr>
            </w:pPr>
            <w:r>
              <w:rPr>
                <w:rFonts w:ascii="Arial" w:eastAsia="Arial" w:hAnsi="Arial" w:cs="Arial"/>
                <w:color w:val="CF0A2C"/>
                <w:sz w:val="16"/>
                <w:szCs w:val="16"/>
              </w:rPr>
              <w:t>International</w:t>
            </w:r>
          </w:p>
        </w:tc>
        <w:tc>
          <w:tcPr>
            <w:tcW w:w="1280" w:type="dxa"/>
            <w:vAlign w:val="bottom"/>
          </w:tcPr>
          <w:p w:rsidR="00A621E3" w:rsidRDefault="00A621E3">
            <w:pPr>
              <w:rPr>
                <w:sz w:val="16"/>
                <w:szCs w:val="16"/>
              </w:rPr>
            </w:pPr>
          </w:p>
        </w:tc>
        <w:tc>
          <w:tcPr>
            <w:tcW w:w="580" w:type="dxa"/>
            <w:vAlign w:val="bottom"/>
          </w:tcPr>
          <w:p w:rsidR="00A621E3" w:rsidRDefault="00A621E3">
            <w:pPr>
              <w:rPr>
                <w:sz w:val="16"/>
                <w:szCs w:val="16"/>
              </w:rPr>
            </w:pPr>
          </w:p>
        </w:tc>
        <w:tc>
          <w:tcPr>
            <w:tcW w:w="760" w:type="dxa"/>
            <w:vAlign w:val="bottom"/>
          </w:tcPr>
          <w:p w:rsidR="00A621E3" w:rsidRDefault="00A621E3">
            <w:pPr>
              <w:rPr>
                <w:sz w:val="16"/>
                <w:szCs w:val="16"/>
              </w:rPr>
            </w:pPr>
          </w:p>
        </w:tc>
        <w:tc>
          <w:tcPr>
            <w:tcW w:w="780" w:type="dxa"/>
            <w:vAlign w:val="bottom"/>
          </w:tcPr>
          <w:p w:rsidR="00A621E3" w:rsidRDefault="00A621E3">
            <w:pPr>
              <w:rPr>
                <w:sz w:val="16"/>
                <w:szCs w:val="16"/>
              </w:rPr>
            </w:pPr>
          </w:p>
        </w:tc>
        <w:tc>
          <w:tcPr>
            <w:tcW w:w="500" w:type="dxa"/>
            <w:vAlign w:val="bottom"/>
          </w:tcPr>
          <w:p w:rsidR="00A621E3" w:rsidRDefault="00A621E3">
            <w:pPr>
              <w:rPr>
                <w:sz w:val="16"/>
                <w:szCs w:val="16"/>
              </w:rPr>
            </w:pPr>
          </w:p>
        </w:tc>
      </w:tr>
      <w:tr w:rsidR="00A621E3">
        <w:trPr>
          <w:trHeight w:val="291"/>
        </w:trPr>
        <w:tc>
          <w:tcPr>
            <w:tcW w:w="2280" w:type="dxa"/>
            <w:gridSpan w:val="2"/>
            <w:vAlign w:val="bottom"/>
          </w:tcPr>
          <w:p w:rsidR="00A621E3" w:rsidRDefault="00EC630E">
            <w:pPr>
              <w:rPr>
                <w:sz w:val="20"/>
                <w:szCs w:val="20"/>
              </w:rPr>
            </w:pPr>
            <w:r>
              <w:rPr>
                <w:rFonts w:ascii="Arial" w:eastAsia="Arial" w:hAnsi="Arial" w:cs="Arial"/>
                <w:b/>
                <w:bCs/>
                <w:color w:val="CF0A2C"/>
                <w:sz w:val="16"/>
                <w:szCs w:val="16"/>
              </w:rPr>
              <w:t>Edouard Ettedgui</w:t>
            </w:r>
          </w:p>
        </w:tc>
        <w:tc>
          <w:tcPr>
            <w:tcW w:w="980" w:type="dxa"/>
            <w:vAlign w:val="bottom"/>
          </w:tcPr>
          <w:p w:rsidR="00A621E3" w:rsidRDefault="00EC630E">
            <w:pPr>
              <w:ind w:left="399"/>
              <w:jc w:val="center"/>
              <w:rPr>
                <w:sz w:val="20"/>
                <w:szCs w:val="20"/>
              </w:rPr>
            </w:pPr>
            <w:r>
              <w:rPr>
                <w:rFonts w:ascii="Arial" w:eastAsia="Arial" w:hAnsi="Arial" w:cs="Arial"/>
                <w:color w:val="CF0A2C"/>
                <w:sz w:val="16"/>
                <w:szCs w:val="16"/>
              </w:rPr>
              <w:t>71</w:t>
            </w:r>
          </w:p>
        </w:tc>
        <w:tc>
          <w:tcPr>
            <w:tcW w:w="800" w:type="dxa"/>
            <w:vAlign w:val="bottom"/>
          </w:tcPr>
          <w:p w:rsidR="00A621E3" w:rsidRDefault="00EC630E">
            <w:pPr>
              <w:jc w:val="center"/>
              <w:rPr>
                <w:sz w:val="20"/>
                <w:szCs w:val="20"/>
              </w:rPr>
            </w:pPr>
            <w:r>
              <w:rPr>
                <w:rFonts w:ascii="Arial" w:eastAsia="Arial" w:hAnsi="Arial" w:cs="Arial"/>
                <w:color w:val="CF0A2C"/>
                <w:sz w:val="16"/>
                <w:szCs w:val="16"/>
              </w:rPr>
              <w:t>2016</w:t>
            </w:r>
          </w:p>
        </w:tc>
        <w:tc>
          <w:tcPr>
            <w:tcW w:w="3040" w:type="dxa"/>
            <w:vAlign w:val="bottom"/>
          </w:tcPr>
          <w:p w:rsidR="00A621E3" w:rsidRDefault="00EC630E">
            <w:pPr>
              <w:ind w:left="80"/>
              <w:rPr>
                <w:sz w:val="20"/>
                <w:szCs w:val="20"/>
              </w:rPr>
            </w:pPr>
            <w:r>
              <w:rPr>
                <w:rFonts w:ascii="Arial" w:eastAsia="Arial" w:hAnsi="Arial" w:cs="Arial"/>
                <w:color w:val="CF0A2C"/>
                <w:sz w:val="16"/>
                <w:szCs w:val="16"/>
              </w:rPr>
              <w:t>Non-Executive Chairman of Alliance</w:t>
            </w:r>
          </w:p>
        </w:tc>
        <w:tc>
          <w:tcPr>
            <w:tcW w:w="128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A621E3" w:rsidRDefault="00A621E3">
            <w:pPr>
              <w:rPr>
                <w:sz w:val="24"/>
                <w:szCs w:val="24"/>
              </w:rPr>
            </w:pPr>
          </w:p>
        </w:tc>
        <w:tc>
          <w:tcPr>
            <w:tcW w:w="760" w:type="dxa"/>
            <w:vAlign w:val="bottom"/>
          </w:tcPr>
          <w:p w:rsidR="00A621E3" w:rsidRDefault="00EC630E">
            <w:pPr>
              <w:ind w:left="59"/>
              <w:jc w:val="center"/>
              <w:rPr>
                <w:sz w:val="20"/>
                <w:szCs w:val="20"/>
              </w:rPr>
            </w:pPr>
            <w:r>
              <w:rPr>
                <w:rFonts w:ascii="Arial" w:eastAsia="Arial" w:hAnsi="Arial" w:cs="Arial"/>
                <w:color w:val="CF0A2C"/>
                <w:w w:val="93"/>
                <w:sz w:val="16"/>
                <w:szCs w:val="16"/>
              </w:rPr>
              <w:t>X</w:t>
            </w:r>
          </w:p>
        </w:tc>
        <w:tc>
          <w:tcPr>
            <w:tcW w:w="780" w:type="dxa"/>
            <w:vAlign w:val="bottom"/>
          </w:tcPr>
          <w:p w:rsidR="00A621E3" w:rsidRDefault="00EC630E">
            <w:pPr>
              <w:ind w:right="39"/>
              <w:jc w:val="center"/>
              <w:rPr>
                <w:sz w:val="20"/>
                <w:szCs w:val="20"/>
              </w:rPr>
            </w:pPr>
            <w:r>
              <w:rPr>
                <w:rFonts w:ascii="Arial" w:eastAsia="Arial" w:hAnsi="Arial" w:cs="Arial"/>
                <w:color w:val="CF0A2C"/>
                <w:w w:val="93"/>
                <w:sz w:val="16"/>
                <w:szCs w:val="16"/>
              </w:rPr>
              <w:t>X</w:t>
            </w:r>
          </w:p>
        </w:tc>
        <w:tc>
          <w:tcPr>
            <w:tcW w:w="500" w:type="dxa"/>
            <w:vAlign w:val="bottom"/>
          </w:tcPr>
          <w:p w:rsidR="00A621E3" w:rsidRDefault="00EC630E">
            <w:pPr>
              <w:ind w:right="19"/>
              <w:jc w:val="center"/>
              <w:rPr>
                <w:sz w:val="20"/>
                <w:szCs w:val="20"/>
              </w:rPr>
            </w:pPr>
            <w:r>
              <w:rPr>
                <w:rFonts w:ascii="Arial" w:eastAsia="Arial" w:hAnsi="Arial" w:cs="Arial"/>
                <w:color w:val="CF0A2C"/>
                <w:sz w:val="16"/>
                <w:szCs w:val="16"/>
              </w:rPr>
              <w:t>X</w:t>
            </w:r>
          </w:p>
        </w:tc>
      </w:tr>
      <w:tr w:rsidR="00A621E3">
        <w:trPr>
          <w:trHeight w:val="195"/>
        </w:trPr>
        <w:tc>
          <w:tcPr>
            <w:tcW w:w="20" w:type="dxa"/>
            <w:vAlign w:val="bottom"/>
          </w:tcPr>
          <w:p w:rsidR="00A621E3" w:rsidRDefault="00A621E3">
            <w:pPr>
              <w:rPr>
                <w:sz w:val="16"/>
                <w:szCs w:val="16"/>
              </w:rPr>
            </w:pPr>
          </w:p>
        </w:tc>
        <w:tc>
          <w:tcPr>
            <w:tcW w:w="2260" w:type="dxa"/>
            <w:vAlign w:val="bottom"/>
          </w:tcPr>
          <w:p w:rsidR="00A621E3" w:rsidRDefault="00A621E3">
            <w:pPr>
              <w:rPr>
                <w:sz w:val="16"/>
                <w:szCs w:val="16"/>
              </w:rPr>
            </w:pPr>
          </w:p>
        </w:tc>
        <w:tc>
          <w:tcPr>
            <w:tcW w:w="980" w:type="dxa"/>
            <w:vAlign w:val="bottom"/>
          </w:tcPr>
          <w:p w:rsidR="00A621E3" w:rsidRDefault="00A621E3">
            <w:pPr>
              <w:rPr>
                <w:sz w:val="16"/>
                <w:szCs w:val="16"/>
              </w:rPr>
            </w:pPr>
          </w:p>
        </w:tc>
        <w:tc>
          <w:tcPr>
            <w:tcW w:w="800" w:type="dxa"/>
            <w:vAlign w:val="bottom"/>
          </w:tcPr>
          <w:p w:rsidR="00A621E3" w:rsidRDefault="00A621E3">
            <w:pPr>
              <w:rPr>
                <w:sz w:val="16"/>
                <w:szCs w:val="16"/>
              </w:rPr>
            </w:pPr>
          </w:p>
        </w:tc>
        <w:tc>
          <w:tcPr>
            <w:tcW w:w="3040" w:type="dxa"/>
            <w:vAlign w:val="bottom"/>
          </w:tcPr>
          <w:p w:rsidR="00A621E3" w:rsidRDefault="00EC630E">
            <w:pPr>
              <w:ind w:left="80"/>
              <w:rPr>
                <w:sz w:val="20"/>
                <w:szCs w:val="20"/>
              </w:rPr>
            </w:pPr>
            <w:r>
              <w:rPr>
                <w:rFonts w:ascii="Arial" w:eastAsia="Arial" w:hAnsi="Arial" w:cs="Arial"/>
                <w:color w:val="CF0A2C"/>
                <w:sz w:val="16"/>
                <w:szCs w:val="16"/>
              </w:rPr>
              <w:t>Française, Hong Kong</w:t>
            </w:r>
          </w:p>
        </w:tc>
        <w:tc>
          <w:tcPr>
            <w:tcW w:w="1280" w:type="dxa"/>
            <w:vAlign w:val="bottom"/>
          </w:tcPr>
          <w:p w:rsidR="00A621E3" w:rsidRDefault="00A621E3">
            <w:pPr>
              <w:rPr>
                <w:sz w:val="16"/>
                <w:szCs w:val="16"/>
              </w:rPr>
            </w:pPr>
          </w:p>
        </w:tc>
        <w:tc>
          <w:tcPr>
            <w:tcW w:w="580" w:type="dxa"/>
            <w:vAlign w:val="bottom"/>
          </w:tcPr>
          <w:p w:rsidR="00A621E3" w:rsidRDefault="00A621E3">
            <w:pPr>
              <w:rPr>
                <w:sz w:val="16"/>
                <w:szCs w:val="16"/>
              </w:rPr>
            </w:pPr>
          </w:p>
        </w:tc>
        <w:tc>
          <w:tcPr>
            <w:tcW w:w="760" w:type="dxa"/>
            <w:vAlign w:val="bottom"/>
          </w:tcPr>
          <w:p w:rsidR="00A621E3" w:rsidRDefault="00A621E3">
            <w:pPr>
              <w:rPr>
                <w:sz w:val="16"/>
                <w:szCs w:val="16"/>
              </w:rPr>
            </w:pPr>
          </w:p>
        </w:tc>
        <w:tc>
          <w:tcPr>
            <w:tcW w:w="780" w:type="dxa"/>
            <w:vAlign w:val="bottom"/>
          </w:tcPr>
          <w:p w:rsidR="00A621E3" w:rsidRDefault="00A621E3">
            <w:pPr>
              <w:rPr>
                <w:sz w:val="16"/>
                <w:szCs w:val="16"/>
              </w:rPr>
            </w:pPr>
          </w:p>
        </w:tc>
        <w:tc>
          <w:tcPr>
            <w:tcW w:w="500" w:type="dxa"/>
            <w:vAlign w:val="bottom"/>
          </w:tcPr>
          <w:p w:rsidR="00A621E3" w:rsidRDefault="00A621E3">
            <w:pPr>
              <w:rPr>
                <w:sz w:val="16"/>
                <w:szCs w:val="16"/>
              </w:rPr>
            </w:pPr>
          </w:p>
        </w:tc>
      </w:tr>
      <w:tr w:rsidR="00A621E3">
        <w:trPr>
          <w:trHeight w:val="315"/>
        </w:trPr>
        <w:tc>
          <w:tcPr>
            <w:tcW w:w="2280" w:type="dxa"/>
            <w:gridSpan w:val="2"/>
            <w:vAlign w:val="bottom"/>
          </w:tcPr>
          <w:p w:rsidR="00A621E3" w:rsidRDefault="00EC630E">
            <w:pPr>
              <w:rPr>
                <w:sz w:val="20"/>
                <w:szCs w:val="20"/>
              </w:rPr>
            </w:pPr>
            <w:r>
              <w:rPr>
                <w:rFonts w:ascii="Arial" w:eastAsia="Arial" w:hAnsi="Arial" w:cs="Arial"/>
                <w:b/>
                <w:bCs/>
                <w:color w:val="CF0A2C"/>
                <w:sz w:val="16"/>
                <w:szCs w:val="16"/>
              </w:rPr>
              <w:t>Ruby Lu</w:t>
            </w:r>
          </w:p>
        </w:tc>
        <w:tc>
          <w:tcPr>
            <w:tcW w:w="980" w:type="dxa"/>
            <w:vAlign w:val="bottom"/>
          </w:tcPr>
          <w:p w:rsidR="00A621E3" w:rsidRDefault="00EC630E">
            <w:pPr>
              <w:ind w:left="399"/>
              <w:jc w:val="center"/>
              <w:rPr>
                <w:sz w:val="20"/>
                <w:szCs w:val="20"/>
              </w:rPr>
            </w:pPr>
            <w:r>
              <w:rPr>
                <w:rFonts w:ascii="Arial" w:eastAsia="Arial" w:hAnsi="Arial" w:cs="Arial"/>
                <w:color w:val="CF0A2C"/>
                <w:sz w:val="16"/>
                <w:szCs w:val="16"/>
              </w:rPr>
              <w:t>52</w:t>
            </w:r>
          </w:p>
        </w:tc>
        <w:tc>
          <w:tcPr>
            <w:tcW w:w="800" w:type="dxa"/>
            <w:vAlign w:val="bottom"/>
          </w:tcPr>
          <w:p w:rsidR="00A621E3" w:rsidRDefault="00EC630E">
            <w:pPr>
              <w:jc w:val="center"/>
              <w:rPr>
                <w:sz w:val="20"/>
                <w:szCs w:val="20"/>
              </w:rPr>
            </w:pPr>
            <w:r>
              <w:rPr>
                <w:rFonts w:ascii="Arial" w:eastAsia="Arial" w:hAnsi="Arial" w:cs="Arial"/>
                <w:color w:val="CF0A2C"/>
                <w:sz w:val="16"/>
                <w:szCs w:val="16"/>
              </w:rPr>
              <w:t>2016</w:t>
            </w:r>
          </w:p>
        </w:tc>
        <w:tc>
          <w:tcPr>
            <w:tcW w:w="3040" w:type="dxa"/>
            <w:vAlign w:val="bottom"/>
          </w:tcPr>
          <w:p w:rsidR="00A621E3" w:rsidRDefault="00EC630E">
            <w:pPr>
              <w:ind w:left="80"/>
              <w:rPr>
                <w:sz w:val="20"/>
                <w:szCs w:val="20"/>
              </w:rPr>
            </w:pPr>
            <w:r>
              <w:rPr>
                <w:rFonts w:ascii="Arial" w:eastAsia="Arial" w:hAnsi="Arial" w:cs="Arial"/>
                <w:color w:val="CF0A2C"/>
                <w:sz w:val="16"/>
                <w:szCs w:val="16"/>
              </w:rPr>
              <w:t>Venture capitalist</w:t>
            </w:r>
          </w:p>
        </w:tc>
        <w:tc>
          <w:tcPr>
            <w:tcW w:w="128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A621E3" w:rsidRDefault="00A621E3">
            <w:pPr>
              <w:rPr>
                <w:sz w:val="24"/>
                <w:szCs w:val="24"/>
              </w:rPr>
            </w:pPr>
          </w:p>
        </w:tc>
        <w:tc>
          <w:tcPr>
            <w:tcW w:w="760" w:type="dxa"/>
            <w:vAlign w:val="bottom"/>
          </w:tcPr>
          <w:p w:rsidR="00A621E3" w:rsidRDefault="00EC630E">
            <w:pPr>
              <w:ind w:left="39"/>
              <w:jc w:val="center"/>
              <w:rPr>
                <w:sz w:val="20"/>
                <w:szCs w:val="20"/>
              </w:rPr>
            </w:pPr>
            <w:r>
              <w:rPr>
                <w:rFonts w:ascii="Arial" w:eastAsia="Arial" w:hAnsi="Arial" w:cs="Arial"/>
                <w:color w:val="CF0A2C"/>
                <w:sz w:val="16"/>
                <w:szCs w:val="16"/>
              </w:rPr>
              <w:t>CC</w:t>
            </w:r>
          </w:p>
        </w:tc>
        <w:tc>
          <w:tcPr>
            <w:tcW w:w="780" w:type="dxa"/>
            <w:vAlign w:val="bottom"/>
          </w:tcPr>
          <w:p w:rsidR="00A621E3" w:rsidRDefault="00EC630E">
            <w:pPr>
              <w:ind w:right="39"/>
              <w:jc w:val="center"/>
              <w:rPr>
                <w:sz w:val="20"/>
                <w:szCs w:val="20"/>
              </w:rPr>
            </w:pPr>
            <w:r>
              <w:rPr>
                <w:rFonts w:ascii="Arial" w:eastAsia="Arial" w:hAnsi="Arial" w:cs="Arial"/>
                <w:color w:val="CF0A2C"/>
                <w:w w:val="93"/>
                <w:sz w:val="16"/>
                <w:szCs w:val="16"/>
              </w:rPr>
              <w:t>X</w:t>
            </w:r>
          </w:p>
        </w:tc>
        <w:tc>
          <w:tcPr>
            <w:tcW w:w="500" w:type="dxa"/>
            <w:vAlign w:val="bottom"/>
          </w:tcPr>
          <w:p w:rsidR="00A621E3" w:rsidRDefault="00A621E3">
            <w:pPr>
              <w:rPr>
                <w:sz w:val="24"/>
                <w:szCs w:val="24"/>
              </w:rPr>
            </w:pPr>
          </w:p>
        </w:tc>
      </w:tr>
      <w:tr w:rsidR="00A621E3">
        <w:trPr>
          <w:trHeight w:val="287"/>
        </w:trPr>
        <w:tc>
          <w:tcPr>
            <w:tcW w:w="2280" w:type="dxa"/>
            <w:gridSpan w:val="2"/>
            <w:vAlign w:val="bottom"/>
          </w:tcPr>
          <w:p w:rsidR="00A621E3" w:rsidRDefault="00EC630E">
            <w:pPr>
              <w:rPr>
                <w:sz w:val="20"/>
                <w:szCs w:val="20"/>
              </w:rPr>
            </w:pPr>
            <w:r>
              <w:rPr>
                <w:rFonts w:ascii="Arial" w:eastAsia="Arial" w:hAnsi="Arial" w:cs="Arial"/>
                <w:b/>
                <w:bCs/>
                <w:color w:val="CF0A2C"/>
                <w:sz w:val="16"/>
                <w:szCs w:val="16"/>
              </w:rPr>
              <w:t>Zili Shao</w:t>
            </w:r>
          </w:p>
        </w:tc>
        <w:tc>
          <w:tcPr>
            <w:tcW w:w="980" w:type="dxa"/>
            <w:vAlign w:val="bottom"/>
          </w:tcPr>
          <w:p w:rsidR="00A621E3" w:rsidRDefault="00EC630E">
            <w:pPr>
              <w:ind w:left="399"/>
              <w:jc w:val="center"/>
              <w:rPr>
                <w:sz w:val="20"/>
                <w:szCs w:val="20"/>
              </w:rPr>
            </w:pPr>
            <w:r>
              <w:rPr>
                <w:rFonts w:ascii="Arial" w:eastAsia="Arial" w:hAnsi="Arial" w:cs="Arial"/>
                <w:color w:val="CF0A2C"/>
                <w:sz w:val="16"/>
                <w:szCs w:val="16"/>
              </w:rPr>
              <w:t>63</w:t>
            </w:r>
          </w:p>
        </w:tc>
        <w:tc>
          <w:tcPr>
            <w:tcW w:w="800" w:type="dxa"/>
            <w:vAlign w:val="bottom"/>
          </w:tcPr>
          <w:p w:rsidR="00A621E3" w:rsidRDefault="00EC630E">
            <w:pPr>
              <w:jc w:val="center"/>
              <w:rPr>
                <w:sz w:val="20"/>
                <w:szCs w:val="20"/>
              </w:rPr>
            </w:pPr>
            <w:r>
              <w:rPr>
                <w:rFonts w:ascii="Arial" w:eastAsia="Arial" w:hAnsi="Arial" w:cs="Arial"/>
                <w:color w:val="CF0A2C"/>
                <w:sz w:val="16"/>
                <w:szCs w:val="16"/>
              </w:rPr>
              <w:t>2016</w:t>
            </w:r>
          </w:p>
        </w:tc>
        <w:tc>
          <w:tcPr>
            <w:tcW w:w="3040" w:type="dxa"/>
            <w:vAlign w:val="bottom"/>
          </w:tcPr>
          <w:p w:rsidR="00A621E3" w:rsidRDefault="00EC630E">
            <w:pPr>
              <w:ind w:left="80"/>
              <w:rPr>
                <w:sz w:val="20"/>
                <w:szCs w:val="20"/>
              </w:rPr>
            </w:pPr>
            <w:r>
              <w:rPr>
                <w:rFonts w:ascii="Arial" w:eastAsia="Arial" w:hAnsi="Arial" w:cs="Arial"/>
                <w:color w:val="CF0A2C"/>
                <w:sz w:val="16"/>
                <w:szCs w:val="16"/>
              </w:rPr>
              <w:t>Non-executive Chairman</w:t>
            </w:r>
            <w:r>
              <w:rPr>
                <w:rFonts w:ascii="Arial" w:eastAsia="Arial" w:hAnsi="Arial" w:cs="Arial"/>
                <w:color w:val="CF0A2C"/>
                <w:sz w:val="16"/>
                <w:szCs w:val="16"/>
              </w:rPr>
              <w:t xml:space="preserve"> of Fangda</w:t>
            </w:r>
          </w:p>
        </w:tc>
        <w:tc>
          <w:tcPr>
            <w:tcW w:w="128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A621E3" w:rsidRDefault="00EC630E">
            <w:pPr>
              <w:ind w:left="99"/>
              <w:jc w:val="center"/>
              <w:rPr>
                <w:sz w:val="20"/>
                <w:szCs w:val="20"/>
              </w:rPr>
            </w:pPr>
            <w:r>
              <w:rPr>
                <w:rFonts w:ascii="Arial" w:eastAsia="Arial" w:hAnsi="Arial" w:cs="Arial"/>
                <w:color w:val="CF0A2C"/>
                <w:sz w:val="16"/>
                <w:szCs w:val="16"/>
              </w:rPr>
              <w:t>X</w:t>
            </w:r>
          </w:p>
        </w:tc>
        <w:tc>
          <w:tcPr>
            <w:tcW w:w="760" w:type="dxa"/>
            <w:vAlign w:val="bottom"/>
          </w:tcPr>
          <w:p w:rsidR="00A621E3" w:rsidRDefault="00A621E3">
            <w:pPr>
              <w:rPr>
                <w:sz w:val="24"/>
                <w:szCs w:val="24"/>
              </w:rPr>
            </w:pPr>
          </w:p>
        </w:tc>
        <w:tc>
          <w:tcPr>
            <w:tcW w:w="780" w:type="dxa"/>
            <w:vAlign w:val="bottom"/>
          </w:tcPr>
          <w:p w:rsidR="00A621E3" w:rsidRDefault="00A621E3">
            <w:pPr>
              <w:rPr>
                <w:sz w:val="24"/>
                <w:szCs w:val="24"/>
              </w:rPr>
            </w:pPr>
          </w:p>
        </w:tc>
        <w:tc>
          <w:tcPr>
            <w:tcW w:w="500" w:type="dxa"/>
            <w:vAlign w:val="bottom"/>
          </w:tcPr>
          <w:p w:rsidR="00A621E3" w:rsidRDefault="00EC630E">
            <w:pPr>
              <w:ind w:right="19"/>
              <w:jc w:val="center"/>
              <w:rPr>
                <w:sz w:val="20"/>
                <w:szCs w:val="20"/>
              </w:rPr>
            </w:pPr>
            <w:r>
              <w:rPr>
                <w:rFonts w:ascii="Arial" w:eastAsia="Arial" w:hAnsi="Arial" w:cs="Arial"/>
                <w:color w:val="CF0A2C"/>
                <w:sz w:val="16"/>
                <w:szCs w:val="16"/>
              </w:rPr>
              <w:t>CC</w:t>
            </w:r>
          </w:p>
        </w:tc>
      </w:tr>
      <w:tr w:rsidR="00A621E3">
        <w:trPr>
          <w:trHeight w:val="195"/>
        </w:trPr>
        <w:tc>
          <w:tcPr>
            <w:tcW w:w="20" w:type="dxa"/>
            <w:vAlign w:val="bottom"/>
          </w:tcPr>
          <w:p w:rsidR="00A621E3" w:rsidRDefault="00A621E3">
            <w:pPr>
              <w:rPr>
                <w:sz w:val="16"/>
                <w:szCs w:val="16"/>
              </w:rPr>
            </w:pPr>
          </w:p>
        </w:tc>
        <w:tc>
          <w:tcPr>
            <w:tcW w:w="2260" w:type="dxa"/>
            <w:vAlign w:val="bottom"/>
          </w:tcPr>
          <w:p w:rsidR="00A621E3" w:rsidRDefault="00A621E3">
            <w:pPr>
              <w:rPr>
                <w:sz w:val="16"/>
                <w:szCs w:val="16"/>
              </w:rPr>
            </w:pPr>
          </w:p>
        </w:tc>
        <w:tc>
          <w:tcPr>
            <w:tcW w:w="980" w:type="dxa"/>
            <w:vAlign w:val="bottom"/>
          </w:tcPr>
          <w:p w:rsidR="00A621E3" w:rsidRDefault="00A621E3">
            <w:pPr>
              <w:rPr>
                <w:sz w:val="16"/>
                <w:szCs w:val="16"/>
              </w:rPr>
            </w:pPr>
          </w:p>
        </w:tc>
        <w:tc>
          <w:tcPr>
            <w:tcW w:w="800" w:type="dxa"/>
            <w:vAlign w:val="bottom"/>
          </w:tcPr>
          <w:p w:rsidR="00A621E3" w:rsidRDefault="00A621E3">
            <w:pPr>
              <w:rPr>
                <w:sz w:val="16"/>
                <w:szCs w:val="16"/>
              </w:rPr>
            </w:pPr>
          </w:p>
        </w:tc>
        <w:tc>
          <w:tcPr>
            <w:tcW w:w="3040" w:type="dxa"/>
            <w:vAlign w:val="bottom"/>
          </w:tcPr>
          <w:p w:rsidR="00A621E3" w:rsidRDefault="00EC630E">
            <w:pPr>
              <w:ind w:left="80"/>
              <w:rPr>
                <w:sz w:val="20"/>
                <w:szCs w:val="20"/>
              </w:rPr>
            </w:pPr>
            <w:r>
              <w:rPr>
                <w:rFonts w:ascii="Arial" w:eastAsia="Arial" w:hAnsi="Arial" w:cs="Arial"/>
                <w:color w:val="CF0A2C"/>
                <w:sz w:val="16"/>
                <w:szCs w:val="16"/>
              </w:rPr>
              <w:t>Partners</w:t>
            </w:r>
          </w:p>
        </w:tc>
        <w:tc>
          <w:tcPr>
            <w:tcW w:w="1280" w:type="dxa"/>
            <w:vAlign w:val="bottom"/>
          </w:tcPr>
          <w:p w:rsidR="00A621E3" w:rsidRDefault="00A621E3">
            <w:pPr>
              <w:rPr>
                <w:sz w:val="16"/>
                <w:szCs w:val="16"/>
              </w:rPr>
            </w:pPr>
          </w:p>
        </w:tc>
        <w:tc>
          <w:tcPr>
            <w:tcW w:w="580" w:type="dxa"/>
            <w:vAlign w:val="bottom"/>
          </w:tcPr>
          <w:p w:rsidR="00A621E3" w:rsidRDefault="00A621E3">
            <w:pPr>
              <w:rPr>
                <w:sz w:val="16"/>
                <w:szCs w:val="16"/>
              </w:rPr>
            </w:pPr>
          </w:p>
        </w:tc>
        <w:tc>
          <w:tcPr>
            <w:tcW w:w="760" w:type="dxa"/>
            <w:vAlign w:val="bottom"/>
          </w:tcPr>
          <w:p w:rsidR="00A621E3" w:rsidRDefault="00A621E3">
            <w:pPr>
              <w:rPr>
                <w:sz w:val="16"/>
                <w:szCs w:val="16"/>
              </w:rPr>
            </w:pPr>
          </w:p>
        </w:tc>
        <w:tc>
          <w:tcPr>
            <w:tcW w:w="780" w:type="dxa"/>
            <w:vAlign w:val="bottom"/>
          </w:tcPr>
          <w:p w:rsidR="00A621E3" w:rsidRDefault="00A621E3">
            <w:pPr>
              <w:rPr>
                <w:sz w:val="16"/>
                <w:szCs w:val="16"/>
              </w:rPr>
            </w:pPr>
          </w:p>
        </w:tc>
        <w:tc>
          <w:tcPr>
            <w:tcW w:w="500" w:type="dxa"/>
            <w:vAlign w:val="bottom"/>
          </w:tcPr>
          <w:p w:rsidR="00A621E3" w:rsidRDefault="00A621E3">
            <w:pPr>
              <w:rPr>
                <w:sz w:val="16"/>
                <w:szCs w:val="16"/>
              </w:rPr>
            </w:pPr>
          </w:p>
        </w:tc>
      </w:tr>
      <w:tr w:rsidR="00A621E3">
        <w:trPr>
          <w:trHeight w:val="315"/>
        </w:trPr>
        <w:tc>
          <w:tcPr>
            <w:tcW w:w="2280" w:type="dxa"/>
            <w:gridSpan w:val="2"/>
            <w:vAlign w:val="bottom"/>
          </w:tcPr>
          <w:p w:rsidR="00A621E3" w:rsidRDefault="00EC630E">
            <w:pPr>
              <w:rPr>
                <w:sz w:val="20"/>
                <w:szCs w:val="20"/>
              </w:rPr>
            </w:pPr>
            <w:r>
              <w:rPr>
                <w:rFonts w:ascii="Arial" w:eastAsia="Arial" w:hAnsi="Arial" w:cs="Arial"/>
                <w:b/>
                <w:bCs/>
                <w:color w:val="CF0A2C"/>
                <w:sz w:val="16"/>
                <w:szCs w:val="16"/>
              </w:rPr>
              <w:t>William Wang</w:t>
            </w:r>
          </w:p>
        </w:tc>
        <w:tc>
          <w:tcPr>
            <w:tcW w:w="980" w:type="dxa"/>
            <w:vAlign w:val="bottom"/>
          </w:tcPr>
          <w:p w:rsidR="00A621E3" w:rsidRDefault="00EC630E">
            <w:pPr>
              <w:ind w:left="399"/>
              <w:jc w:val="center"/>
              <w:rPr>
                <w:sz w:val="20"/>
                <w:szCs w:val="20"/>
              </w:rPr>
            </w:pPr>
            <w:r>
              <w:rPr>
                <w:rFonts w:ascii="Arial" w:eastAsia="Arial" w:hAnsi="Arial" w:cs="Arial"/>
                <w:color w:val="CF0A2C"/>
                <w:sz w:val="16"/>
                <w:szCs w:val="16"/>
              </w:rPr>
              <w:t>48</w:t>
            </w:r>
          </w:p>
        </w:tc>
        <w:tc>
          <w:tcPr>
            <w:tcW w:w="800" w:type="dxa"/>
            <w:vAlign w:val="bottom"/>
          </w:tcPr>
          <w:p w:rsidR="00A621E3" w:rsidRDefault="00EC630E">
            <w:pPr>
              <w:jc w:val="center"/>
              <w:rPr>
                <w:sz w:val="20"/>
                <w:szCs w:val="20"/>
              </w:rPr>
            </w:pPr>
            <w:r>
              <w:rPr>
                <w:rFonts w:ascii="Arial" w:eastAsia="Arial" w:hAnsi="Arial" w:cs="Arial"/>
                <w:color w:val="CF0A2C"/>
                <w:sz w:val="16"/>
                <w:szCs w:val="16"/>
              </w:rPr>
              <w:t>2017</w:t>
            </w:r>
          </w:p>
        </w:tc>
        <w:tc>
          <w:tcPr>
            <w:tcW w:w="3040" w:type="dxa"/>
            <w:vAlign w:val="bottom"/>
          </w:tcPr>
          <w:p w:rsidR="00A621E3" w:rsidRDefault="00EC630E">
            <w:pPr>
              <w:ind w:left="80"/>
              <w:rPr>
                <w:sz w:val="20"/>
                <w:szCs w:val="20"/>
              </w:rPr>
            </w:pPr>
            <w:r>
              <w:rPr>
                <w:rFonts w:ascii="Arial" w:eastAsia="Arial" w:hAnsi="Arial" w:cs="Arial"/>
                <w:color w:val="CF0A2C"/>
                <w:sz w:val="16"/>
                <w:szCs w:val="16"/>
              </w:rPr>
              <w:t>Partner of Primavera Capital Group</w:t>
            </w:r>
          </w:p>
        </w:tc>
        <w:tc>
          <w:tcPr>
            <w:tcW w:w="128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A621E3" w:rsidRDefault="00A621E3">
            <w:pPr>
              <w:rPr>
                <w:sz w:val="24"/>
                <w:szCs w:val="24"/>
              </w:rPr>
            </w:pPr>
          </w:p>
        </w:tc>
        <w:tc>
          <w:tcPr>
            <w:tcW w:w="760" w:type="dxa"/>
            <w:vAlign w:val="bottom"/>
          </w:tcPr>
          <w:p w:rsidR="00A621E3" w:rsidRDefault="00EC630E">
            <w:pPr>
              <w:ind w:left="59"/>
              <w:jc w:val="center"/>
              <w:rPr>
                <w:sz w:val="20"/>
                <w:szCs w:val="20"/>
              </w:rPr>
            </w:pPr>
            <w:r>
              <w:rPr>
                <w:rFonts w:ascii="Arial" w:eastAsia="Arial" w:hAnsi="Arial" w:cs="Arial"/>
                <w:color w:val="CF0A2C"/>
                <w:w w:val="93"/>
                <w:sz w:val="16"/>
                <w:szCs w:val="16"/>
              </w:rPr>
              <w:t>X</w:t>
            </w:r>
          </w:p>
        </w:tc>
        <w:tc>
          <w:tcPr>
            <w:tcW w:w="780" w:type="dxa"/>
            <w:vAlign w:val="bottom"/>
          </w:tcPr>
          <w:p w:rsidR="00A621E3" w:rsidRDefault="00A621E3">
            <w:pPr>
              <w:rPr>
                <w:sz w:val="24"/>
                <w:szCs w:val="24"/>
              </w:rPr>
            </w:pPr>
          </w:p>
        </w:tc>
        <w:tc>
          <w:tcPr>
            <w:tcW w:w="500" w:type="dxa"/>
            <w:vAlign w:val="bottom"/>
          </w:tcPr>
          <w:p w:rsidR="00A621E3" w:rsidRDefault="00A621E3">
            <w:pPr>
              <w:rPr>
                <w:sz w:val="24"/>
                <w:szCs w:val="24"/>
              </w:rPr>
            </w:pPr>
          </w:p>
        </w:tc>
      </w:tr>
      <w:tr w:rsidR="00A621E3">
        <w:trPr>
          <w:trHeight w:val="287"/>
        </w:trPr>
        <w:tc>
          <w:tcPr>
            <w:tcW w:w="2280" w:type="dxa"/>
            <w:gridSpan w:val="2"/>
            <w:vAlign w:val="bottom"/>
          </w:tcPr>
          <w:p w:rsidR="00A621E3" w:rsidRDefault="00EC630E">
            <w:pPr>
              <w:rPr>
                <w:sz w:val="20"/>
                <w:szCs w:val="20"/>
              </w:rPr>
            </w:pPr>
            <w:r>
              <w:rPr>
                <w:rFonts w:ascii="Arial" w:eastAsia="Arial" w:hAnsi="Arial" w:cs="Arial"/>
                <w:b/>
                <w:bCs/>
                <w:color w:val="CF0A2C"/>
                <w:sz w:val="16"/>
                <w:szCs w:val="16"/>
              </w:rPr>
              <w:t>Min (Jenny) Zhang</w:t>
            </w:r>
          </w:p>
        </w:tc>
        <w:tc>
          <w:tcPr>
            <w:tcW w:w="980" w:type="dxa"/>
            <w:vAlign w:val="bottom"/>
          </w:tcPr>
          <w:p w:rsidR="00A621E3" w:rsidRDefault="00EC630E">
            <w:pPr>
              <w:ind w:left="399"/>
              <w:jc w:val="center"/>
              <w:rPr>
                <w:sz w:val="20"/>
                <w:szCs w:val="20"/>
              </w:rPr>
            </w:pPr>
            <w:r>
              <w:rPr>
                <w:rFonts w:ascii="Arial" w:eastAsia="Arial" w:hAnsi="Arial" w:cs="Arial"/>
                <w:color w:val="CF0A2C"/>
                <w:sz w:val="16"/>
                <w:szCs w:val="16"/>
              </w:rPr>
              <w:t>49</w:t>
            </w:r>
          </w:p>
        </w:tc>
        <w:tc>
          <w:tcPr>
            <w:tcW w:w="800" w:type="dxa"/>
            <w:vAlign w:val="bottom"/>
          </w:tcPr>
          <w:p w:rsidR="00A621E3" w:rsidRDefault="00EC630E">
            <w:pPr>
              <w:jc w:val="center"/>
              <w:rPr>
                <w:sz w:val="20"/>
                <w:szCs w:val="20"/>
              </w:rPr>
            </w:pPr>
            <w:r>
              <w:rPr>
                <w:rFonts w:ascii="Arial" w:eastAsia="Arial" w:hAnsi="Arial" w:cs="Arial"/>
                <w:color w:val="CF0A2C"/>
                <w:sz w:val="16"/>
                <w:szCs w:val="16"/>
              </w:rPr>
              <w:t>2021</w:t>
            </w:r>
          </w:p>
        </w:tc>
        <w:tc>
          <w:tcPr>
            <w:tcW w:w="3040" w:type="dxa"/>
            <w:vAlign w:val="bottom"/>
          </w:tcPr>
          <w:p w:rsidR="00A621E3" w:rsidRDefault="00EC630E">
            <w:pPr>
              <w:ind w:left="80"/>
              <w:rPr>
                <w:sz w:val="20"/>
                <w:szCs w:val="20"/>
              </w:rPr>
            </w:pPr>
            <w:r>
              <w:rPr>
                <w:rFonts w:ascii="Arial" w:eastAsia="Arial" w:hAnsi="Arial" w:cs="Arial"/>
                <w:color w:val="CF0A2C"/>
                <w:sz w:val="16"/>
                <w:szCs w:val="16"/>
              </w:rPr>
              <w:t>Former Vice-chairlady of Huazhu</w:t>
            </w:r>
          </w:p>
        </w:tc>
        <w:tc>
          <w:tcPr>
            <w:tcW w:w="128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A621E3" w:rsidRDefault="00EC630E">
            <w:pPr>
              <w:ind w:left="99"/>
              <w:jc w:val="center"/>
              <w:rPr>
                <w:sz w:val="20"/>
                <w:szCs w:val="20"/>
              </w:rPr>
            </w:pPr>
            <w:r>
              <w:rPr>
                <w:rFonts w:ascii="Arial" w:eastAsia="Arial" w:hAnsi="Arial" w:cs="Arial"/>
                <w:color w:val="CF0A2C"/>
                <w:sz w:val="16"/>
                <w:szCs w:val="16"/>
              </w:rPr>
              <w:t>X</w:t>
            </w:r>
          </w:p>
        </w:tc>
        <w:tc>
          <w:tcPr>
            <w:tcW w:w="760" w:type="dxa"/>
            <w:vAlign w:val="bottom"/>
          </w:tcPr>
          <w:p w:rsidR="00A621E3" w:rsidRDefault="00EC630E">
            <w:pPr>
              <w:ind w:left="59"/>
              <w:jc w:val="center"/>
              <w:rPr>
                <w:sz w:val="20"/>
                <w:szCs w:val="20"/>
              </w:rPr>
            </w:pPr>
            <w:r>
              <w:rPr>
                <w:rFonts w:ascii="Arial" w:eastAsia="Arial" w:hAnsi="Arial" w:cs="Arial"/>
                <w:color w:val="CF0A2C"/>
                <w:w w:val="93"/>
                <w:sz w:val="16"/>
                <w:szCs w:val="16"/>
              </w:rPr>
              <w:t>X</w:t>
            </w:r>
          </w:p>
        </w:tc>
        <w:tc>
          <w:tcPr>
            <w:tcW w:w="780" w:type="dxa"/>
            <w:vAlign w:val="bottom"/>
          </w:tcPr>
          <w:p w:rsidR="00A621E3" w:rsidRDefault="00EC630E">
            <w:pPr>
              <w:ind w:right="39"/>
              <w:jc w:val="center"/>
              <w:rPr>
                <w:sz w:val="20"/>
                <w:szCs w:val="20"/>
              </w:rPr>
            </w:pPr>
            <w:r>
              <w:rPr>
                <w:rFonts w:ascii="Arial" w:eastAsia="Arial" w:hAnsi="Arial" w:cs="Arial"/>
                <w:color w:val="CF0A2C"/>
                <w:w w:val="93"/>
                <w:sz w:val="16"/>
                <w:szCs w:val="16"/>
              </w:rPr>
              <w:t>X</w:t>
            </w:r>
          </w:p>
        </w:tc>
        <w:tc>
          <w:tcPr>
            <w:tcW w:w="500" w:type="dxa"/>
            <w:vAlign w:val="bottom"/>
          </w:tcPr>
          <w:p w:rsidR="00A621E3" w:rsidRDefault="00A621E3">
            <w:pPr>
              <w:rPr>
                <w:sz w:val="24"/>
                <w:szCs w:val="24"/>
              </w:rPr>
            </w:pPr>
          </w:p>
        </w:tc>
      </w:tr>
      <w:tr w:rsidR="00A621E3">
        <w:trPr>
          <w:trHeight w:val="195"/>
        </w:trPr>
        <w:tc>
          <w:tcPr>
            <w:tcW w:w="20" w:type="dxa"/>
            <w:vAlign w:val="bottom"/>
          </w:tcPr>
          <w:p w:rsidR="00A621E3" w:rsidRDefault="00A621E3">
            <w:pPr>
              <w:rPr>
                <w:sz w:val="16"/>
                <w:szCs w:val="16"/>
              </w:rPr>
            </w:pPr>
          </w:p>
        </w:tc>
        <w:tc>
          <w:tcPr>
            <w:tcW w:w="2260" w:type="dxa"/>
            <w:vAlign w:val="bottom"/>
          </w:tcPr>
          <w:p w:rsidR="00A621E3" w:rsidRDefault="00A621E3">
            <w:pPr>
              <w:rPr>
                <w:sz w:val="16"/>
                <w:szCs w:val="16"/>
              </w:rPr>
            </w:pPr>
          </w:p>
        </w:tc>
        <w:tc>
          <w:tcPr>
            <w:tcW w:w="980" w:type="dxa"/>
            <w:vAlign w:val="bottom"/>
          </w:tcPr>
          <w:p w:rsidR="00A621E3" w:rsidRDefault="00A621E3">
            <w:pPr>
              <w:rPr>
                <w:sz w:val="16"/>
                <w:szCs w:val="16"/>
              </w:rPr>
            </w:pPr>
          </w:p>
        </w:tc>
        <w:tc>
          <w:tcPr>
            <w:tcW w:w="800" w:type="dxa"/>
            <w:vAlign w:val="bottom"/>
          </w:tcPr>
          <w:p w:rsidR="00A621E3" w:rsidRDefault="00A621E3">
            <w:pPr>
              <w:rPr>
                <w:sz w:val="16"/>
                <w:szCs w:val="16"/>
              </w:rPr>
            </w:pPr>
          </w:p>
        </w:tc>
        <w:tc>
          <w:tcPr>
            <w:tcW w:w="3040" w:type="dxa"/>
            <w:vAlign w:val="bottom"/>
          </w:tcPr>
          <w:p w:rsidR="00A621E3" w:rsidRDefault="00EC630E">
            <w:pPr>
              <w:ind w:left="80"/>
              <w:rPr>
                <w:sz w:val="20"/>
                <w:szCs w:val="20"/>
              </w:rPr>
            </w:pPr>
            <w:r>
              <w:rPr>
                <w:rFonts w:ascii="Arial" w:eastAsia="Arial" w:hAnsi="Arial" w:cs="Arial"/>
                <w:color w:val="CF0A2C"/>
                <w:sz w:val="16"/>
                <w:szCs w:val="16"/>
              </w:rPr>
              <w:t>Group Limited</w:t>
            </w:r>
          </w:p>
        </w:tc>
        <w:tc>
          <w:tcPr>
            <w:tcW w:w="1280" w:type="dxa"/>
            <w:vAlign w:val="bottom"/>
          </w:tcPr>
          <w:p w:rsidR="00A621E3" w:rsidRDefault="00A621E3">
            <w:pPr>
              <w:rPr>
                <w:sz w:val="16"/>
                <w:szCs w:val="16"/>
              </w:rPr>
            </w:pPr>
          </w:p>
        </w:tc>
        <w:tc>
          <w:tcPr>
            <w:tcW w:w="580" w:type="dxa"/>
            <w:vAlign w:val="bottom"/>
          </w:tcPr>
          <w:p w:rsidR="00A621E3" w:rsidRDefault="00A621E3">
            <w:pPr>
              <w:rPr>
                <w:sz w:val="16"/>
                <w:szCs w:val="16"/>
              </w:rPr>
            </w:pPr>
          </w:p>
        </w:tc>
        <w:tc>
          <w:tcPr>
            <w:tcW w:w="760" w:type="dxa"/>
            <w:vAlign w:val="bottom"/>
          </w:tcPr>
          <w:p w:rsidR="00A621E3" w:rsidRDefault="00A621E3">
            <w:pPr>
              <w:rPr>
                <w:sz w:val="16"/>
                <w:szCs w:val="16"/>
              </w:rPr>
            </w:pPr>
          </w:p>
        </w:tc>
        <w:tc>
          <w:tcPr>
            <w:tcW w:w="780" w:type="dxa"/>
            <w:vAlign w:val="bottom"/>
          </w:tcPr>
          <w:p w:rsidR="00A621E3" w:rsidRDefault="00A621E3">
            <w:pPr>
              <w:rPr>
                <w:sz w:val="16"/>
                <w:szCs w:val="16"/>
              </w:rPr>
            </w:pPr>
          </w:p>
        </w:tc>
        <w:tc>
          <w:tcPr>
            <w:tcW w:w="500" w:type="dxa"/>
            <w:vAlign w:val="bottom"/>
          </w:tcPr>
          <w:p w:rsidR="00A621E3" w:rsidRDefault="00A621E3">
            <w:pPr>
              <w:rPr>
                <w:sz w:val="16"/>
                <w:szCs w:val="16"/>
              </w:rPr>
            </w:pPr>
          </w:p>
        </w:tc>
      </w:tr>
      <w:tr w:rsidR="00A621E3">
        <w:trPr>
          <w:trHeight w:val="291"/>
        </w:trPr>
        <w:tc>
          <w:tcPr>
            <w:tcW w:w="2280" w:type="dxa"/>
            <w:gridSpan w:val="2"/>
            <w:vAlign w:val="bottom"/>
          </w:tcPr>
          <w:p w:rsidR="00A621E3" w:rsidRDefault="00EC630E">
            <w:pPr>
              <w:rPr>
                <w:sz w:val="20"/>
                <w:szCs w:val="20"/>
              </w:rPr>
            </w:pPr>
            <w:r>
              <w:rPr>
                <w:rFonts w:ascii="Arial" w:eastAsia="Arial" w:hAnsi="Arial" w:cs="Arial"/>
                <w:b/>
                <w:bCs/>
                <w:color w:val="CF0A2C"/>
                <w:sz w:val="16"/>
                <w:szCs w:val="16"/>
              </w:rPr>
              <w:t>Christina Xiaojing Zhu</w:t>
            </w:r>
          </w:p>
        </w:tc>
        <w:tc>
          <w:tcPr>
            <w:tcW w:w="980" w:type="dxa"/>
            <w:vAlign w:val="bottom"/>
          </w:tcPr>
          <w:p w:rsidR="00A621E3" w:rsidRDefault="00EC630E">
            <w:pPr>
              <w:ind w:left="399"/>
              <w:jc w:val="center"/>
              <w:rPr>
                <w:sz w:val="20"/>
                <w:szCs w:val="20"/>
              </w:rPr>
            </w:pPr>
            <w:r>
              <w:rPr>
                <w:rFonts w:ascii="Arial" w:eastAsia="Arial" w:hAnsi="Arial" w:cs="Arial"/>
                <w:color w:val="CF0A2C"/>
                <w:sz w:val="16"/>
                <w:szCs w:val="16"/>
              </w:rPr>
              <w:t>50</w:t>
            </w:r>
          </w:p>
        </w:tc>
        <w:tc>
          <w:tcPr>
            <w:tcW w:w="800" w:type="dxa"/>
            <w:vAlign w:val="bottom"/>
          </w:tcPr>
          <w:p w:rsidR="00A621E3" w:rsidRDefault="00EC630E">
            <w:pPr>
              <w:jc w:val="center"/>
              <w:rPr>
                <w:sz w:val="20"/>
                <w:szCs w:val="20"/>
              </w:rPr>
            </w:pPr>
            <w:r>
              <w:rPr>
                <w:rFonts w:ascii="Arial" w:eastAsia="Arial" w:hAnsi="Arial" w:cs="Arial"/>
                <w:color w:val="CF0A2C"/>
                <w:w w:val="99"/>
                <w:sz w:val="16"/>
                <w:szCs w:val="16"/>
              </w:rPr>
              <w:t>—</w:t>
            </w:r>
          </w:p>
        </w:tc>
        <w:tc>
          <w:tcPr>
            <w:tcW w:w="3040" w:type="dxa"/>
            <w:vAlign w:val="bottom"/>
          </w:tcPr>
          <w:p w:rsidR="00A621E3" w:rsidRDefault="00EC630E">
            <w:pPr>
              <w:ind w:left="80"/>
              <w:rPr>
                <w:sz w:val="20"/>
                <w:szCs w:val="20"/>
              </w:rPr>
            </w:pPr>
            <w:r>
              <w:rPr>
                <w:rFonts w:ascii="Arial" w:eastAsia="Arial" w:hAnsi="Arial" w:cs="Arial"/>
                <w:color w:val="CF0A2C"/>
                <w:sz w:val="16"/>
                <w:szCs w:val="16"/>
              </w:rPr>
              <w:t xml:space="preserve">President and Chief Executive </w:t>
            </w:r>
            <w:r>
              <w:rPr>
                <w:rFonts w:ascii="Arial" w:eastAsia="Arial" w:hAnsi="Arial" w:cs="Arial"/>
                <w:color w:val="CF0A2C"/>
                <w:sz w:val="16"/>
                <w:szCs w:val="16"/>
              </w:rPr>
              <w:t>Officer</w:t>
            </w:r>
          </w:p>
        </w:tc>
        <w:tc>
          <w:tcPr>
            <w:tcW w:w="128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c>
          <w:tcPr>
            <w:tcW w:w="580" w:type="dxa"/>
            <w:vAlign w:val="bottom"/>
          </w:tcPr>
          <w:p w:rsidR="00A621E3" w:rsidRDefault="00A621E3">
            <w:pPr>
              <w:rPr>
                <w:sz w:val="24"/>
                <w:szCs w:val="24"/>
              </w:rPr>
            </w:pPr>
          </w:p>
        </w:tc>
        <w:tc>
          <w:tcPr>
            <w:tcW w:w="760" w:type="dxa"/>
            <w:vAlign w:val="bottom"/>
          </w:tcPr>
          <w:p w:rsidR="00A621E3" w:rsidRDefault="00A621E3">
            <w:pPr>
              <w:rPr>
                <w:sz w:val="24"/>
                <w:szCs w:val="24"/>
              </w:rPr>
            </w:pPr>
          </w:p>
        </w:tc>
        <w:tc>
          <w:tcPr>
            <w:tcW w:w="780" w:type="dxa"/>
            <w:vAlign w:val="bottom"/>
          </w:tcPr>
          <w:p w:rsidR="00A621E3" w:rsidRDefault="00A621E3">
            <w:pPr>
              <w:rPr>
                <w:sz w:val="24"/>
                <w:szCs w:val="24"/>
              </w:rPr>
            </w:pPr>
          </w:p>
        </w:tc>
        <w:tc>
          <w:tcPr>
            <w:tcW w:w="500" w:type="dxa"/>
            <w:vAlign w:val="bottom"/>
          </w:tcPr>
          <w:p w:rsidR="00A621E3" w:rsidRDefault="00A621E3">
            <w:pPr>
              <w:rPr>
                <w:sz w:val="24"/>
                <w:szCs w:val="24"/>
              </w:rPr>
            </w:pPr>
          </w:p>
        </w:tc>
      </w:tr>
      <w:tr w:rsidR="00A621E3">
        <w:trPr>
          <w:trHeight w:val="195"/>
        </w:trPr>
        <w:tc>
          <w:tcPr>
            <w:tcW w:w="20" w:type="dxa"/>
            <w:vAlign w:val="bottom"/>
          </w:tcPr>
          <w:p w:rsidR="00A621E3" w:rsidRDefault="00A621E3">
            <w:pPr>
              <w:rPr>
                <w:sz w:val="16"/>
                <w:szCs w:val="16"/>
              </w:rPr>
            </w:pPr>
          </w:p>
        </w:tc>
        <w:tc>
          <w:tcPr>
            <w:tcW w:w="2260" w:type="dxa"/>
            <w:vAlign w:val="bottom"/>
          </w:tcPr>
          <w:p w:rsidR="00A621E3" w:rsidRDefault="00A621E3">
            <w:pPr>
              <w:rPr>
                <w:sz w:val="16"/>
                <w:szCs w:val="16"/>
              </w:rPr>
            </w:pPr>
          </w:p>
        </w:tc>
        <w:tc>
          <w:tcPr>
            <w:tcW w:w="980" w:type="dxa"/>
            <w:vAlign w:val="bottom"/>
          </w:tcPr>
          <w:p w:rsidR="00A621E3" w:rsidRDefault="00A621E3">
            <w:pPr>
              <w:rPr>
                <w:sz w:val="16"/>
                <w:szCs w:val="16"/>
              </w:rPr>
            </w:pPr>
          </w:p>
        </w:tc>
        <w:tc>
          <w:tcPr>
            <w:tcW w:w="800" w:type="dxa"/>
            <w:vAlign w:val="bottom"/>
          </w:tcPr>
          <w:p w:rsidR="00A621E3" w:rsidRDefault="00A621E3">
            <w:pPr>
              <w:rPr>
                <w:sz w:val="16"/>
                <w:szCs w:val="16"/>
              </w:rPr>
            </w:pPr>
          </w:p>
        </w:tc>
        <w:tc>
          <w:tcPr>
            <w:tcW w:w="3040" w:type="dxa"/>
            <w:vAlign w:val="bottom"/>
          </w:tcPr>
          <w:p w:rsidR="00A621E3" w:rsidRDefault="00EC630E">
            <w:pPr>
              <w:ind w:left="80"/>
              <w:rPr>
                <w:sz w:val="20"/>
                <w:szCs w:val="20"/>
              </w:rPr>
            </w:pPr>
            <w:r>
              <w:rPr>
                <w:rFonts w:ascii="Arial" w:eastAsia="Arial" w:hAnsi="Arial" w:cs="Arial"/>
                <w:color w:val="CF0A2C"/>
                <w:sz w:val="16"/>
                <w:szCs w:val="16"/>
              </w:rPr>
              <w:t>of Walmart China</w:t>
            </w:r>
          </w:p>
        </w:tc>
        <w:tc>
          <w:tcPr>
            <w:tcW w:w="1280" w:type="dxa"/>
            <w:vAlign w:val="bottom"/>
          </w:tcPr>
          <w:p w:rsidR="00A621E3" w:rsidRDefault="00A621E3">
            <w:pPr>
              <w:rPr>
                <w:sz w:val="16"/>
                <w:szCs w:val="16"/>
              </w:rPr>
            </w:pPr>
          </w:p>
        </w:tc>
        <w:tc>
          <w:tcPr>
            <w:tcW w:w="580" w:type="dxa"/>
            <w:vAlign w:val="bottom"/>
          </w:tcPr>
          <w:p w:rsidR="00A621E3" w:rsidRDefault="00A621E3">
            <w:pPr>
              <w:rPr>
                <w:sz w:val="16"/>
                <w:szCs w:val="16"/>
              </w:rPr>
            </w:pPr>
          </w:p>
        </w:tc>
        <w:tc>
          <w:tcPr>
            <w:tcW w:w="760" w:type="dxa"/>
            <w:vAlign w:val="bottom"/>
          </w:tcPr>
          <w:p w:rsidR="00A621E3" w:rsidRDefault="00A621E3">
            <w:pPr>
              <w:rPr>
                <w:sz w:val="16"/>
                <w:szCs w:val="16"/>
              </w:rPr>
            </w:pPr>
          </w:p>
        </w:tc>
        <w:tc>
          <w:tcPr>
            <w:tcW w:w="780" w:type="dxa"/>
            <w:vAlign w:val="bottom"/>
          </w:tcPr>
          <w:p w:rsidR="00A621E3" w:rsidRDefault="00A621E3">
            <w:pPr>
              <w:rPr>
                <w:sz w:val="16"/>
                <w:szCs w:val="16"/>
              </w:rPr>
            </w:pPr>
          </w:p>
        </w:tc>
        <w:tc>
          <w:tcPr>
            <w:tcW w:w="500" w:type="dxa"/>
            <w:vAlign w:val="bottom"/>
          </w:tcPr>
          <w:p w:rsidR="00A621E3" w:rsidRDefault="00A621E3">
            <w:pPr>
              <w:rPr>
                <w:sz w:val="16"/>
                <w:szCs w:val="16"/>
              </w:rPr>
            </w:pPr>
          </w:p>
        </w:tc>
      </w:tr>
    </w:tbl>
    <w:p w:rsidR="00A621E3" w:rsidRDefault="00A621E3">
      <w:pPr>
        <w:spacing w:line="68" w:lineRule="exact"/>
        <w:rPr>
          <w:sz w:val="20"/>
          <w:szCs w:val="20"/>
        </w:rPr>
      </w:pPr>
    </w:p>
    <w:p w:rsidR="00A621E3" w:rsidRDefault="00EC630E">
      <w:pPr>
        <w:spacing w:line="230" w:lineRule="auto"/>
        <w:ind w:left="140" w:right="2880"/>
        <w:rPr>
          <w:sz w:val="20"/>
          <w:szCs w:val="20"/>
        </w:rPr>
      </w:pPr>
      <w:r>
        <w:rPr>
          <w:rFonts w:ascii="Arial" w:eastAsia="Arial" w:hAnsi="Arial" w:cs="Arial"/>
          <w:color w:val="CF0A2C"/>
          <w:sz w:val="13"/>
          <w:szCs w:val="13"/>
        </w:rPr>
        <w:t>A – Audit Committee; C – Compensation Committee; G – Nominating and Governance Committee; F – Food Safety and Sustainability Committee; CC – Committee Chair</w:t>
      </w:r>
    </w:p>
    <w:p w:rsidR="00A621E3" w:rsidRDefault="00A621E3">
      <w:pPr>
        <w:spacing w:line="91" w:lineRule="exact"/>
        <w:rPr>
          <w:sz w:val="20"/>
          <w:szCs w:val="20"/>
        </w:rPr>
      </w:pPr>
    </w:p>
    <w:p w:rsidR="00A621E3" w:rsidRDefault="00EC630E">
      <w:pPr>
        <w:numPr>
          <w:ilvl w:val="0"/>
          <w:numId w:val="8"/>
        </w:numPr>
        <w:tabs>
          <w:tab w:val="left" w:pos="224"/>
        </w:tabs>
        <w:spacing w:line="230" w:lineRule="auto"/>
        <w:ind w:left="140" w:right="500" w:hanging="6"/>
        <w:rPr>
          <w:rFonts w:ascii="Arial" w:eastAsia="Arial" w:hAnsi="Arial" w:cs="Arial"/>
          <w:color w:val="CF0A2C"/>
          <w:sz w:val="13"/>
          <w:szCs w:val="13"/>
        </w:rPr>
      </w:pPr>
      <w:r>
        <w:rPr>
          <w:rFonts w:ascii="Arial" w:eastAsia="Arial" w:hAnsi="Arial" w:cs="Arial"/>
          <w:color w:val="CF0A2C"/>
          <w:sz w:val="13"/>
          <w:szCs w:val="13"/>
        </w:rPr>
        <w:t xml:space="preserve">Cyril Han is a member of the Audit Committee. Louis T. </w:t>
      </w:r>
      <w:r>
        <w:rPr>
          <w:rFonts w:ascii="Arial" w:eastAsia="Arial" w:hAnsi="Arial" w:cs="Arial"/>
          <w:color w:val="CF0A2C"/>
          <w:sz w:val="13"/>
          <w:szCs w:val="13"/>
        </w:rPr>
        <w:t>Hsieh is a member of the Audit Committee and Food Safety and Sustainability Committee. Messrs. Han and Hsieh will not stand for re-election to the Board at the Annual Meeting.</w:t>
      </w:r>
    </w:p>
    <w:p w:rsidR="00A621E3" w:rsidRDefault="00A621E3">
      <w:pPr>
        <w:spacing w:line="189" w:lineRule="exact"/>
        <w:rPr>
          <w:sz w:val="20"/>
          <w:szCs w:val="20"/>
        </w:rPr>
      </w:pPr>
    </w:p>
    <w:p w:rsidR="00A621E3" w:rsidRDefault="00EC630E">
      <w:pPr>
        <w:ind w:left="140"/>
        <w:rPr>
          <w:sz w:val="20"/>
          <w:szCs w:val="20"/>
        </w:rPr>
      </w:pPr>
      <w:r>
        <w:rPr>
          <w:rFonts w:ascii="Arial" w:eastAsia="Arial" w:hAnsi="Arial" w:cs="Arial"/>
          <w:sz w:val="20"/>
          <w:szCs w:val="20"/>
        </w:rPr>
        <w:t>The following charts summarize the diversity of our director nominees.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33"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3</w:t>
      </w:r>
    </w:p>
    <w:p w:rsidR="00A621E3" w:rsidRDefault="00EC630E">
      <w:pPr>
        <w:spacing w:line="20" w:lineRule="exact"/>
        <w:rPr>
          <w:sz w:val="20"/>
          <w:szCs w:val="20"/>
        </w:rPr>
      </w:pPr>
      <w:r>
        <w:rPr>
          <w:noProof/>
          <w:sz w:val="20"/>
          <w:szCs w:val="20"/>
        </w:rPr>
        <w:drawing>
          <wp:anchor distT="0" distB="0" distL="114300" distR="114300" simplePos="0" relativeHeight="251252736"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9" w:name="page9"/>
      <w:bookmarkEnd w:id="9"/>
      <w:r>
        <w:rPr>
          <w:rFonts w:ascii="Arial" w:eastAsia="Arial" w:hAnsi="Arial" w:cs="Arial"/>
          <w:b/>
          <w:bCs/>
          <w:noProof/>
          <w:color w:val="0000EE"/>
          <w:sz w:val="18"/>
          <w:szCs w:val="18"/>
          <w:u w:val="single"/>
        </w:rPr>
        <w:lastRenderedPageBreak/>
        <w:drawing>
          <wp:anchor distT="0" distB="0" distL="114300" distR="114300" simplePos="0" relativeHeight="251253760"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254784" behindDoc="1" locked="0" layoutInCell="0" allowOverlap="1">
            <wp:simplePos x="0" y="0"/>
            <wp:positionH relativeFrom="column">
              <wp:posOffset>73660</wp:posOffset>
            </wp:positionH>
            <wp:positionV relativeFrom="paragraph">
              <wp:posOffset>205740</wp:posOffset>
            </wp:positionV>
            <wp:extent cx="1697355" cy="2057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blip>
                    <a:srcRect/>
                    <a:stretch>
                      <a:fillRect/>
                    </a:stretch>
                  </pic:blipFill>
                  <pic:spPr bwMode="auto">
                    <a:xfrm>
                      <a:off x="0" y="0"/>
                      <a:ext cx="169735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PROXY STATEMENT SUMMARY</w:t>
      </w:r>
    </w:p>
    <w:p w:rsidR="00A621E3" w:rsidRDefault="00A621E3">
      <w:pPr>
        <w:spacing w:line="216" w:lineRule="exact"/>
        <w:rPr>
          <w:sz w:val="20"/>
          <w:szCs w:val="20"/>
        </w:rPr>
      </w:pPr>
    </w:p>
    <w:p w:rsidR="00A621E3" w:rsidRDefault="00EC630E">
      <w:pPr>
        <w:ind w:left="140"/>
        <w:rPr>
          <w:sz w:val="20"/>
          <w:szCs w:val="20"/>
        </w:rPr>
      </w:pPr>
      <w:r>
        <w:rPr>
          <w:rFonts w:ascii="Arial" w:eastAsia="Arial" w:hAnsi="Arial" w:cs="Arial"/>
          <w:b/>
          <w:bCs/>
          <w:color w:val="CF0A2C"/>
          <w:sz w:val="32"/>
          <w:szCs w:val="32"/>
        </w:rPr>
        <w:t>GOVERNANCE HIGHLIGHTS</w:t>
      </w:r>
    </w:p>
    <w:p w:rsidR="00A621E3" w:rsidRDefault="00EC630E">
      <w:pPr>
        <w:spacing w:line="20" w:lineRule="exact"/>
        <w:rPr>
          <w:sz w:val="20"/>
          <w:szCs w:val="20"/>
        </w:rPr>
      </w:pPr>
      <w:r>
        <w:rPr>
          <w:noProof/>
          <w:sz w:val="20"/>
          <w:szCs w:val="20"/>
        </w:rPr>
        <w:drawing>
          <wp:anchor distT="0" distB="0" distL="114300" distR="114300" simplePos="0" relativeHeight="251255808" behindDoc="1" locked="0" layoutInCell="0" allowOverlap="1">
            <wp:simplePos x="0" y="0"/>
            <wp:positionH relativeFrom="column">
              <wp:posOffset>71755</wp:posOffset>
            </wp:positionH>
            <wp:positionV relativeFrom="paragraph">
              <wp:posOffset>-229235</wp:posOffset>
            </wp:positionV>
            <wp:extent cx="6998970" cy="56788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blip>
                    <a:srcRect/>
                    <a:stretch>
                      <a:fillRect/>
                    </a:stretch>
                  </pic:blipFill>
                  <pic:spPr bwMode="auto">
                    <a:xfrm>
                      <a:off x="0" y="0"/>
                      <a:ext cx="6998970" cy="567880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14" w:lineRule="exact"/>
        <w:rPr>
          <w:sz w:val="20"/>
          <w:szCs w:val="20"/>
        </w:rPr>
      </w:pPr>
    </w:p>
    <w:p w:rsidR="00A621E3" w:rsidRDefault="00EC630E">
      <w:pPr>
        <w:spacing w:line="250" w:lineRule="auto"/>
        <w:ind w:left="140"/>
        <w:jc w:val="both"/>
        <w:rPr>
          <w:sz w:val="20"/>
          <w:szCs w:val="20"/>
        </w:rPr>
      </w:pPr>
      <w:r>
        <w:rPr>
          <w:rFonts w:ascii="Arial" w:eastAsia="Arial" w:hAnsi="Arial" w:cs="Arial"/>
          <w:sz w:val="20"/>
          <w:szCs w:val="20"/>
        </w:rPr>
        <w:t xml:space="preserve">The Board believes that good corporate governance is a critical factor in achieving business success and in fulfilling </w:t>
      </w:r>
      <w:r>
        <w:rPr>
          <w:rFonts w:ascii="Arial" w:eastAsia="Arial" w:hAnsi="Arial" w:cs="Arial"/>
          <w:sz w:val="20"/>
          <w:szCs w:val="20"/>
        </w:rPr>
        <w:t>the Board’s responsibilities to stockholders. The Board believes that its principles and practices align management and stockholder interests. Highlights include:</w:t>
      </w:r>
    </w:p>
    <w:p w:rsidR="00A621E3" w:rsidRDefault="00A621E3">
      <w:pPr>
        <w:spacing w:line="267"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2060"/>
        <w:gridCol w:w="8900"/>
        <w:gridCol w:w="20"/>
      </w:tblGrid>
      <w:tr w:rsidR="00A621E3">
        <w:trPr>
          <w:trHeight w:val="250"/>
        </w:trPr>
        <w:tc>
          <w:tcPr>
            <w:tcW w:w="2060" w:type="dxa"/>
            <w:vAlign w:val="bottom"/>
          </w:tcPr>
          <w:p w:rsidR="00A621E3" w:rsidRDefault="00EC630E">
            <w:pPr>
              <w:rPr>
                <w:sz w:val="20"/>
                <w:szCs w:val="20"/>
              </w:rPr>
            </w:pPr>
            <w:r>
              <w:rPr>
                <w:rFonts w:ascii="Arial" w:eastAsia="Arial" w:hAnsi="Arial" w:cs="Arial"/>
                <w:i/>
                <w:iCs/>
                <w:sz w:val="18"/>
                <w:szCs w:val="18"/>
              </w:rPr>
              <w:t>Director Independence</w:t>
            </w:r>
          </w:p>
        </w:tc>
        <w:tc>
          <w:tcPr>
            <w:tcW w:w="8900" w:type="dxa"/>
            <w:vAlign w:val="bottom"/>
          </w:tcPr>
          <w:p w:rsidR="00A621E3" w:rsidRDefault="00EC630E">
            <w:pPr>
              <w:ind w:left="38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Independent Board Chairman</w:t>
            </w:r>
          </w:p>
        </w:tc>
        <w:tc>
          <w:tcPr>
            <w:tcW w:w="0" w:type="dxa"/>
            <w:vAlign w:val="bottom"/>
          </w:tcPr>
          <w:p w:rsidR="00A621E3" w:rsidRDefault="00A621E3">
            <w:pPr>
              <w:rPr>
                <w:sz w:val="1"/>
                <w:szCs w:val="1"/>
              </w:rPr>
            </w:pPr>
          </w:p>
        </w:tc>
      </w:tr>
      <w:tr w:rsidR="00A621E3">
        <w:trPr>
          <w:trHeight w:val="378"/>
        </w:trPr>
        <w:tc>
          <w:tcPr>
            <w:tcW w:w="2060" w:type="dxa"/>
            <w:vAlign w:val="bottom"/>
          </w:tcPr>
          <w:p w:rsidR="00A621E3" w:rsidRDefault="00A621E3">
            <w:pPr>
              <w:rPr>
                <w:sz w:val="24"/>
                <w:szCs w:val="24"/>
              </w:rPr>
            </w:pPr>
          </w:p>
        </w:tc>
        <w:tc>
          <w:tcPr>
            <w:tcW w:w="8900" w:type="dxa"/>
            <w:vAlign w:val="bottom"/>
          </w:tcPr>
          <w:p w:rsidR="00A621E3" w:rsidRDefault="00EC630E">
            <w:pPr>
              <w:ind w:left="38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 xml:space="preserve">8 of 9 director nominees are </w:t>
            </w:r>
            <w:r>
              <w:rPr>
                <w:rFonts w:ascii="Arial" w:eastAsia="Arial" w:hAnsi="Arial" w:cs="Arial"/>
                <w:color w:val="000000"/>
                <w:sz w:val="20"/>
                <w:szCs w:val="20"/>
              </w:rPr>
              <w:t>independent</w:t>
            </w:r>
          </w:p>
        </w:tc>
        <w:tc>
          <w:tcPr>
            <w:tcW w:w="0" w:type="dxa"/>
            <w:vAlign w:val="bottom"/>
          </w:tcPr>
          <w:p w:rsidR="00A621E3" w:rsidRDefault="00A621E3">
            <w:pPr>
              <w:rPr>
                <w:sz w:val="1"/>
                <w:szCs w:val="1"/>
              </w:rPr>
            </w:pPr>
          </w:p>
        </w:tc>
      </w:tr>
      <w:tr w:rsidR="00A621E3">
        <w:trPr>
          <w:trHeight w:val="346"/>
        </w:trPr>
        <w:tc>
          <w:tcPr>
            <w:tcW w:w="2060" w:type="dxa"/>
            <w:vAlign w:val="bottom"/>
          </w:tcPr>
          <w:p w:rsidR="00A621E3" w:rsidRDefault="00EC630E">
            <w:pPr>
              <w:rPr>
                <w:sz w:val="20"/>
                <w:szCs w:val="20"/>
              </w:rPr>
            </w:pPr>
            <w:r>
              <w:rPr>
                <w:rFonts w:ascii="Arial" w:eastAsia="Arial" w:hAnsi="Arial" w:cs="Arial"/>
                <w:i/>
                <w:iCs/>
                <w:sz w:val="18"/>
                <w:szCs w:val="18"/>
              </w:rPr>
              <w:t>Director Elections and</w:t>
            </w:r>
          </w:p>
        </w:tc>
        <w:tc>
          <w:tcPr>
            <w:tcW w:w="8900" w:type="dxa"/>
            <w:vAlign w:val="bottom"/>
          </w:tcPr>
          <w:p w:rsidR="00A621E3" w:rsidRDefault="00EC630E">
            <w:pPr>
              <w:ind w:left="38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Annual election of all directors</w:t>
            </w:r>
          </w:p>
        </w:tc>
        <w:tc>
          <w:tcPr>
            <w:tcW w:w="0" w:type="dxa"/>
            <w:vAlign w:val="bottom"/>
          </w:tcPr>
          <w:p w:rsidR="00A621E3" w:rsidRDefault="00A621E3">
            <w:pPr>
              <w:rPr>
                <w:sz w:val="1"/>
                <w:szCs w:val="1"/>
              </w:rPr>
            </w:pPr>
          </w:p>
        </w:tc>
      </w:tr>
      <w:tr w:rsidR="00A621E3">
        <w:trPr>
          <w:trHeight w:val="230"/>
        </w:trPr>
        <w:tc>
          <w:tcPr>
            <w:tcW w:w="2060" w:type="dxa"/>
            <w:vAlign w:val="bottom"/>
          </w:tcPr>
          <w:p w:rsidR="00A621E3" w:rsidRDefault="00EC630E">
            <w:pPr>
              <w:rPr>
                <w:sz w:val="20"/>
                <w:szCs w:val="20"/>
              </w:rPr>
            </w:pPr>
            <w:r>
              <w:rPr>
                <w:rFonts w:ascii="Arial" w:eastAsia="Arial" w:hAnsi="Arial" w:cs="Arial"/>
                <w:i/>
                <w:iCs/>
                <w:sz w:val="18"/>
                <w:szCs w:val="18"/>
              </w:rPr>
              <w:t>Attendance</w:t>
            </w:r>
          </w:p>
        </w:tc>
        <w:tc>
          <w:tcPr>
            <w:tcW w:w="8900" w:type="dxa"/>
            <w:vMerge w:val="restart"/>
            <w:vAlign w:val="bottom"/>
          </w:tcPr>
          <w:p w:rsidR="00A621E3" w:rsidRDefault="00EC630E">
            <w:pPr>
              <w:ind w:left="38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Majority voting policy for elections of directors in uncontested elections</w:t>
            </w:r>
          </w:p>
        </w:tc>
        <w:tc>
          <w:tcPr>
            <w:tcW w:w="0" w:type="dxa"/>
            <w:vAlign w:val="bottom"/>
          </w:tcPr>
          <w:p w:rsidR="00A621E3" w:rsidRDefault="00A621E3">
            <w:pPr>
              <w:rPr>
                <w:sz w:val="1"/>
                <w:szCs w:val="1"/>
              </w:rPr>
            </w:pPr>
          </w:p>
        </w:tc>
      </w:tr>
      <w:tr w:rsidR="00A621E3">
        <w:trPr>
          <w:trHeight w:val="179"/>
        </w:trPr>
        <w:tc>
          <w:tcPr>
            <w:tcW w:w="2060" w:type="dxa"/>
            <w:vAlign w:val="bottom"/>
          </w:tcPr>
          <w:p w:rsidR="00A621E3" w:rsidRDefault="00A621E3">
            <w:pPr>
              <w:rPr>
                <w:sz w:val="15"/>
                <w:szCs w:val="15"/>
              </w:rPr>
            </w:pPr>
          </w:p>
        </w:tc>
        <w:tc>
          <w:tcPr>
            <w:tcW w:w="8900" w:type="dxa"/>
            <w:vMerge/>
            <w:vAlign w:val="bottom"/>
          </w:tcPr>
          <w:p w:rsidR="00A621E3" w:rsidRDefault="00A621E3">
            <w:pPr>
              <w:rPr>
                <w:sz w:val="15"/>
                <w:szCs w:val="15"/>
              </w:rPr>
            </w:pPr>
          </w:p>
        </w:tc>
        <w:tc>
          <w:tcPr>
            <w:tcW w:w="0" w:type="dxa"/>
            <w:vAlign w:val="bottom"/>
          </w:tcPr>
          <w:p w:rsidR="00A621E3" w:rsidRDefault="00A621E3">
            <w:pPr>
              <w:rPr>
                <w:sz w:val="1"/>
                <w:szCs w:val="1"/>
              </w:rPr>
            </w:pPr>
          </w:p>
        </w:tc>
      </w:tr>
      <w:tr w:rsidR="00A621E3">
        <w:trPr>
          <w:trHeight w:val="378"/>
        </w:trPr>
        <w:tc>
          <w:tcPr>
            <w:tcW w:w="2060" w:type="dxa"/>
            <w:vAlign w:val="bottom"/>
          </w:tcPr>
          <w:p w:rsidR="00A621E3" w:rsidRDefault="00A621E3">
            <w:pPr>
              <w:rPr>
                <w:sz w:val="24"/>
                <w:szCs w:val="24"/>
              </w:rPr>
            </w:pPr>
          </w:p>
        </w:tc>
        <w:tc>
          <w:tcPr>
            <w:tcW w:w="8900" w:type="dxa"/>
            <w:vAlign w:val="bottom"/>
          </w:tcPr>
          <w:p w:rsidR="00A621E3" w:rsidRDefault="00EC630E">
            <w:pPr>
              <w:ind w:left="38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Proxy access for director nominees by stockholders</w:t>
            </w:r>
          </w:p>
        </w:tc>
        <w:tc>
          <w:tcPr>
            <w:tcW w:w="0" w:type="dxa"/>
            <w:vAlign w:val="bottom"/>
          </w:tcPr>
          <w:p w:rsidR="00A621E3" w:rsidRDefault="00A621E3">
            <w:pPr>
              <w:rPr>
                <w:sz w:val="1"/>
                <w:szCs w:val="1"/>
              </w:rPr>
            </w:pPr>
          </w:p>
        </w:tc>
      </w:tr>
      <w:tr w:rsidR="00A621E3">
        <w:trPr>
          <w:trHeight w:val="378"/>
        </w:trPr>
        <w:tc>
          <w:tcPr>
            <w:tcW w:w="2060" w:type="dxa"/>
            <w:vAlign w:val="bottom"/>
          </w:tcPr>
          <w:p w:rsidR="00A621E3" w:rsidRDefault="00A621E3">
            <w:pPr>
              <w:rPr>
                <w:sz w:val="24"/>
                <w:szCs w:val="24"/>
              </w:rPr>
            </w:pPr>
          </w:p>
        </w:tc>
        <w:tc>
          <w:tcPr>
            <w:tcW w:w="8900" w:type="dxa"/>
            <w:vAlign w:val="bottom"/>
          </w:tcPr>
          <w:p w:rsidR="00A621E3" w:rsidRDefault="00EC630E">
            <w:pPr>
              <w:ind w:left="38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 xml:space="preserve">97% director attendance </w:t>
            </w:r>
            <w:r>
              <w:rPr>
                <w:rFonts w:ascii="Arial" w:eastAsia="Arial" w:hAnsi="Arial" w:cs="Arial"/>
                <w:color w:val="000000"/>
                <w:sz w:val="20"/>
                <w:szCs w:val="20"/>
              </w:rPr>
              <w:t>at Board and committee meetings in 2022</w:t>
            </w:r>
          </w:p>
        </w:tc>
        <w:tc>
          <w:tcPr>
            <w:tcW w:w="0" w:type="dxa"/>
            <w:vAlign w:val="bottom"/>
          </w:tcPr>
          <w:p w:rsidR="00A621E3" w:rsidRDefault="00A621E3">
            <w:pPr>
              <w:rPr>
                <w:sz w:val="1"/>
                <w:szCs w:val="1"/>
              </w:rPr>
            </w:pPr>
          </w:p>
        </w:tc>
      </w:tr>
      <w:tr w:rsidR="00A621E3">
        <w:trPr>
          <w:trHeight w:val="346"/>
        </w:trPr>
        <w:tc>
          <w:tcPr>
            <w:tcW w:w="2060" w:type="dxa"/>
            <w:vAlign w:val="bottom"/>
          </w:tcPr>
          <w:p w:rsidR="00A621E3" w:rsidRDefault="00EC630E">
            <w:pPr>
              <w:rPr>
                <w:sz w:val="20"/>
                <w:szCs w:val="20"/>
              </w:rPr>
            </w:pPr>
            <w:r>
              <w:rPr>
                <w:rFonts w:ascii="Arial" w:eastAsia="Arial" w:hAnsi="Arial" w:cs="Arial"/>
                <w:i/>
                <w:iCs/>
                <w:sz w:val="18"/>
                <w:szCs w:val="18"/>
              </w:rPr>
              <w:t>Board Refreshment and</w:t>
            </w:r>
          </w:p>
        </w:tc>
        <w:tc>
          <w:tcPr>
            <w:tcW w:w="8900" w:type="dxa"/>
            <w:vAlign w:val="bottom"/>
          </w:tcPr>
          <w:p w:rsidR="00A621E3" w:rsidRDefault="00EC630E">
            <w:pPr>
              <w:ind w:left="38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Board Diversity Policy</w:t>
            </w:r>
          </w:p>
        </w:tc>
        <w:tc>
          <w:tcPr>
            <w:tcW w:w="0" w:type="dxa"/>
            <w:vAlign w:val="bottom"/>
          </w:tcPr>
          <w:p w:rsidR="00A621E3" w:rsidRDefault="00A621E3">
            <w:pPr>
              <w:rPr>
                <w:sz w:val="1"/>
                <w:szCs w:val="1"/>
              </w:rPr>
            </w:pPr>
          </w:p>
        </w:tc>
      </w:tr>
      <w:tr w:rsidR="00A621E3">
        <w:trPr>
          <w:trHeight w:val="230"/>
        </w:trPr>
        <w:tc>
          <w:tcPr>
            <w:tcW w:w="2060" w:type="dxa"/>
            <w:vAlign w:val="bottom"/>
          </w:tcPr>
          <w:p w:rsidR="00A621E3" w:rsidRDefault="00EC630E">
            <w:pPr>
              <w:rPr>
                <w:sz w:val="20"/>
                <w:szCs w:val="20"/>
              </w:rPr>
            </w:pPr>
            <w:r>
              <w:rPr>
                <w:rFonts w:ascii="Arial" w:eastAsia="Arial" w:hAnsi="Arial" w:cs="Arial"/>
                <w:i/>
                <w:iCs/>
                <w:sz w:val="18"/>
                <w:szCs w:val="18"/>
              </w:rPr>
              <w:t>Diversity</w:t>
            </w:r>
          </w:p>
        </w:tc>
        <w:tc>
          <w:tcPr>
            <w:tcW w:w="8900" w:type="dxa"/>
            <w:vMerge w:val="restart"/>
            <w:vAlign w:val="bottom"/>
          </w:tcPr>
          <w:p w:rsidR="00A621E3" w:rsidRDefault="00EC630E">
            <w:pPr>
              <w:ind w:left="380"/>
              <w:rPr>
                <w:sz w:val="20"/>
                <w:szCs w:val="20"/>
              </w:rPr>
            </w:pPr>
            <w:r>
              <w:rPr>
                <w:rFonts w:ascii="Arial" w:eastAsia="Arial" w:hAnsi="Arial" w:cs="Arial"/>
                <w:color w:val="CF0A2C"/>
                <w:w w:val="92"/>
                <w:sz w:val="20"/>
                <w:szCs w:val="20"/>
              </w:rPr>
              <w:t>•</w:t>
            </w:r>
            <w:r>
              <w:rPr>
                <w:rFonts w:ascii="Arial" w:eastAsia="Arial" w:hAnsi="Arial" w:cs="Arial"/>
                <w:color w:val="000000"/>
                <w:w w:val="92"/>
                <w:sz w:val="20"/>
                <w:szCs w:val="20"/>
              </w:rPr>
              <w:t>  </w:t>
            </w:r>
            <w:r>
              <w:rPr>
                <w:rFonts w:ascii="Arial" w:eastAsia="Arial" w:hAnsi="Arial" w:cs="Arial"/>
                <w:color w:val="000000"/>
                <w:w w:val="92"/>
                <w:sz w:val="20"/>
                <w:szCs w:val="20"/>
              </w:rPr>
              <w:t>Directors with experience, qualifications and skills across a wide range of public and private companies</w:t>
            </w:r>
          </w:p>
        </w:tc>
        <w:tc>
          <w:tcPr>
            <w:tcW w:w="0" w:type="dxa"/>
            <w:vAlign w:val="bottom"/>
          </w:tcPr>
          <w:p w:rsidR="00A621E3" w:rsidRDefault="00A621E3">
            <w:pPr>
              <w:rPr>
                <w:sz w:val="1"/>
                <w:szCs w:val="1"/>
              </w:rPr>
            </w:pPr>
          </w:p>
        </w:tc>
      </w:tr>
      <w:tr w:rsidR="00A621E3">
        <w:trPr>
          <w:trHeight w:val="179"/>
        </w:trPr>
        <w:tc>
          <w:tcPr>
            <w:tcW w:w="2060" w:type="dxa"/>
            <w:vAlign w:val="bottom"/>
          </w:tcPr>
          <w:p w:rsidR="00A621E3" w:rsidRDefault="00A621E3">
            <w:pPr>
              <w:rPr>
                <w:sz w:val="15"/>
                <w:szCs w:val="15"/>
              </w:rPr>
            </w:pPr>
          </w:p>
        </w:tc>
        <w:tc>
          <w:tcPr>
            <w:tcW w:w="8900" w:type="dxa"/>
            <w:vMerge/>
            <w:vAlign w:val="bottom"/>
          </w:tcPr>
          <w:p w:rsidR="00A621E3" w:rsidRDefault="00A621E3">
            <w:pPr>
              <w:rPr>
                <w:sz w:val="15"/>
                <w:szCs w:val="15"/>
              </w:rPr>
            </w:pPr>
          </w:p>
        </w:tc>
        <w:tc>
          <w:tcPr>
            <w:tcW w:w="0" w:type="dxa"/>
            <w:vAlign w:val="bottom"/>
          </w:tcPr>
          <w:p w:rsidR="00A621E3" w:rsidRDefault="00A621E3">
            <w:pPr>
              <w:rPr>
                <w:sz w:val="1"/>
                <w:szCs w:val="1"/>
              </w:rPr>
            </w:pPr>
          </w:p>
        </w:tc>
      </w:tr>
      <w:tr w:rsidR="00A621E3">
        <w:trPr>
          <w:trHeight w:val="378"/>
        </w:trPr>
        <w:tc>
          <w:tcPr>
            <w:tcW w:w="2060" w:type="dxa"/>
            <w:vAlign w:val="bottom"/>
          </w:tcPr>
          <w:p w:rsidR="00A621E3" w:rsidRDefault="00A621E3">
            <w:pPr>
              <w:rPr>
                <w:sz w:val="24"/>
                <w:szCs w:val="24"/>
              </w:rPr>
            </w:pPr>
          </w:p>
        </w:tc>
        <w:tc>
          <w:tcPr>
            <w:tcW w:w="8900" w:type="dxa"/>
            <w:vAlign w:val="bottom"/>
          </w:tcPr>
          <w:p w:rsidR="00A621E3" w:rsidRDefault="00EC630E">
            <w:pPr>
              <w:ind w:left="38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 xml:space="preserve">Directors reflect diversity of age, </w:t>
            </w:r>
            <w:r>
              <w:rPr>
                <w:rFonts w:ascii="Arial" w:eastAsia="Arial" w:hAnsi="Arial" w:cs="Arial"/>
                <w:color w:val="000000"/>
                <w:sz w:val="20"/>
                <w:szCs w:val="20"/>
              </w:rPr>
              <w:t>gender, race and nationality</w:t>
            </w:r>
          </w:p>
        </w:tc>
        <w:tc>
          <w:tcPr>
            <w:tcW w:w="0" w:type="dxa"/>
            <w:vAlign w:val="bottom"/>
          </w:tcPr>
          <w:p w:rsidR="00A621E3" w:rsidRDefault="00A621E3">
            <w:pPr>
              <w:rPr>
                <w:sz w:val="1"/>
                <w:szCs w:val="1"/>
              </w:rPr>
            </w:pPr>
          </w:p>
        </w:tc>
      </w:tr>
      <w:tr w:rsidR="00A621E3">
        <w:trPr>
          <w:trHeight w:val="378"/>
        </w:trPr>
        <w:tc>
          <w:tcPr>
            <w:tcW w:w="2060" w:type="dxa"/>
            <w:vAlign w:val="bottom"/>
          </w:tcPr>
          <w:p w:rsidR="00A621E3" w:rsidRDefault="00A621E3">
            <w:pPr>
              <w:rPr>
                <w:sz w:val="24"/>
                <w:szCs w:val="24"/>
              </w:rPr>
            </w:pPr>
          </w:p>
        </w:tc>
        <w:tc>
          <w:tcPr>
            <w:tcW w:w="8900" w:type="dxa"/>
            <w:vAlign w:val="bottom"/>
          </w:tcPr>
          <w:p w:rsidR="00A621E3" w:rsidRDefault="00EC630E">
            <w:pPr>
              <w:ind w:left="38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Average director nominee age of 57 as of April 12, 2023</w:t>
            </w:r>
          </w:p>
        </w:tc>
        <w:tc>
          <w:tcPr>
            <w:tcW w:w="0" w:type="dxa"/>
            <w:vAlign w:val="bottom"/>
          </w:tcPr>
          <w:p w:rsidR="00A621E3" w:rsidRDefault="00A621E3">
            <w:pPr>
              <w:rPr>
                <w:sz w:val="1"/>
                <w:szCs w:val="1"/>
              </w:rPr>
            </w:pPr>
          </w:p>
        </w:tc>
      </w:tr>
      <w:tr w:rsidR="00A621E3">
        <w:trPr>
          <w:trHeight w:val="378"/>
        </w:trPr>
        <w:tc>
          <w:tcPr>
            <w:tcW w:w="2060" w:type="dxa"/>
            <w:vAlign w:val="bottom"/>
          </w:tcPr>
          <w:p w:rsidR="00A621E3" w:rsidRDefault="00A621E3">
            <w:pPr>
              <w:rPr>
                <w:sz w:val="24"/>
                <w:szCs w:val="24"/>
              </w:rPr>
            </w:pPr>
          </w:p>
        </w:tc>
        <w:tc>
          <w:tcPr>
            <w:tcW w:w="8900" w:type="dxa"/>
            <w:vAlign w:val="bottom"/>
          </w:tcPr>
          <w:p w:rsidR="00A621E3" w:rsidRDefault="00EC630E">
            <w:pPr>
              <w:ind w:left="380"/>
              <w:rPr>
                <w:sz w:val="20"/>
                <w:szCs w:val="20"/>
              </w:rPr>
            </w:pPr>
            <w:r>
              <w:rPr>
                <w:rFonts w:ascii="Arial" w:eastAsia="Arial" w:hAnsi="Arial" w:cs="Arial"/>
                <w:color w:val="CF0A2C"/>
                <w:w w:val="98"/>
                <w:sz w:val="20"/>
                <w:szCs w:val="20"/>
              </w:rPr>
              <w:t>•</w:t>
            </w:r>
            <w:r>
              <w:rPr>
                <w:rFonts w:ascii="Arial" w:eastAsia="Arial" w:hAnsi="Arial" w:cs="Arial"/>
                <w:color w:val="000000"/>
                <w:w w:val="98"/>
                <w:sz w:val="20"/>
                <w:szCs w:val="20"/>
              </w:rPr>
              <w:t>  </w:t>
            </w:r>
            <w:r>
              <w:rPr>
                <w:rFonts w:ascii="Arial" w:eastAsia="Arial" w:hAnsi="Arial" w:cs="Arial"/>
                <w:color w:val="000000"/>
                <w:w w:val="98"/>
                <w:sz w:val="20"/>
                <w:szCs w:val="20"/>
              </w:rPr>
              <w:t>Independent and non-management directors may generally not stand for re-election after age 75</w:t>
            </w:r>
          </w:p>
        </w:tc>
        <w:tc>
          <w:tcPr>
            <w:tcW w:w="0" w:type="dxa"/>
            <w:vAlign w:val="bottom"/>
          </w:tcPr>
          <w:p w:rsidR="00A621E3" w:rsidRDefault="00A621E3">
            <w:pPr>
              <w:rPr>
                <w:sz w:val="1"/>
                <w:szCs w:val="1"/>
              </w:rPr>
            </w:pPr>
          </w:p>
        </w:tc>
      </w:tr>
      <w:tr w:rsidR="00A621E3">
        <w:trPr>
          <w:trHeight w:val="346"/>
        </w:trPr>
        <w:tc>
          <w:tcPr>
            <w:tcW w:w="2060" w:type="dxa"/>
            <w:vAlign w:val="bottom"/>
          </w:tcPr>
          <w:p w:rsidR="00A621E3" w:rsidRDefault="00EC630E">
            <w:pPr>
              <w:rPr>
                <w:sz w:val="20"/>
                <w:szCs w:val="20"/>
              </w:rPr>
            </w:pPr>
            <w:r>
              <w:rPr>
                <w:rFonts w:ascii="Arial" w:eastAsia="Arial" w:hAnsi="Arial" w:cs="Arial"/>
                <w:i/>
                <w:iCs/>
                <w:sz w:val="18"/>
                <w:szCs w:val="18"/>
              </w:rPr>
              <w:t>Other Governance</w:t>
            </w:r>
          </w:p>
        </w:tc>
        <w:tc>
          <w:tcPr>
            <w:tcW w:w="8900" w:type="dxa"/>
            <w:vAlign w:val="bottom"/>
          </w:tcPr>
          <w:p w:rsidR="00A621E3" w:rsidRDefault="00EC630E">
            <w:pPr>
              <w:ind w:left="380"/>
              <w:rPr>
                <w:sz w:val="20"/>
                <w:szCs w:val="20"/>
              </w:rPr>
            </w:pPr>
            <w:r>
              <w:rPr>
                <w:rFonts w:ascii="Arial" w:eastAsia="Arial" w:hAnsi="Arial" w:cs="Arial"/>
                <w:color w:val="CF0A2C"/>
                <w:w w:val="94"/>
                <w:sz w:val="20"/>
                <w:szCs w:val="20"/>
              </w:rPr>
              <w:t>•</w:t>
            </w:r>
            <w:r>
              <w:rPr>
                <w:rFonts w:ascii="Arial" w:eastAsia="Arial" w:hAnsi="Arial" w:cs="Arial"/>
                <w:color w:val="000000"/>
                <w:w w:val="94"/>
                <w:sz w:val="20"/>
                <w:szCs w:val="20"/>
              </w:rPr>
              <w:t>  </w:t>
            </w:r>
            <w:r>
              <w:rPr>
                <w:rFonts w:ascii="Arial" w:eastAsia="Arial" w:hAnsi="Arial" w:cs="Arial"/>
                <w:color w:val="000000"/>
                <w:w w:val="94"/>
                <w:sz w:val="20"/>
                <w:szCs w:val="20"/>
              </w:rPr>
              <w:t xml:space="preserve">Stockholders holding at least 25% of the </w:t>
            </w:r>
            <w:r>
              <w:rPr>
                <w:rFonts w:ascii="Arial" w:eastAsia="Arial" w:hAnsi="Arial" w:cs="Arial"/>
                <w:color w:val="000000"/>
                <w:w w:val="94"/>
                <w:sz w:val="20"/>
                <w:szCs w:val="20"/>
              </w:rPr>
              <w:t>Company’s outstanding shares have the right to call special</w:t>
            </w:r>
          </w:p>
        </w:tc>
        <w:tc>
          <w:tcPr>
            <w:tcW w:w="0" w:type="dxa"/>
            <w:vAlign w:val="bottom"/>
          </w:tcPr>
          <w:p w:rsidR="00A621E3" w:rsidRDefault="00A621E3">
            <w:pPr>
              <w:rPr>
                <w:sz w:val="1"/>
                <w:szCs w:val="1"/>
              </w:rPr>
            </w:pPr>
          </w:p>
        </w:tc>
      </w:tr>
      <w:tr w:rsidR="00A621E3">
        <w:trPr>
          <w:trHeight w:val="261"/>
        </w:trPr>
        <w:tc>
          <w:tcPr>
            <w:tcW w:w="2060" w:type="dxa"/>
            <w:vAlign w:val="bottom"/>
          </w:tcPr>
          <w:p w:rsidR="00A621E3" w:rsidRDefault="00EC630E">
            <w:pPr>
              <w:rPr>
                <w:sz w:val="20"/>
                <w:szCs w:val="20"/>
              </w:rPr>
            </w:pPr>
            <w:r>
              <w:rPr>
                <w:rFonts w:ascii="Arial" w:eastAsia="Arial" w:hAnsi="Arial" w:cs="Arial"/>
                <w:i/>
                <w:iCs/>
                <w:sz w:val="18"/>
                <w:szCs w:val="18"/>
              </w:rPr>
              <w:t>Practices</w:t>
            </w:r>
          </w:p>
        </w:tc>
        <w:tc>
          <w:tcPr>
            <w:tcW w:w="8900" w:type="dxa"/>
            <w:vAlign w:val="bottom"/>
          </w:tcPr>
          <w:p w:rsidR="00A621E3" w:rsidRDefault="00EC630E">
            <w:pPr>
              <w:ind w:left="520"/>
              <w:rPr>
                <w:sz w:val="20"/>
                <w:szCs w:val="20"/>
              </w:rPr>
            </w:pPr>
            <w:r>
              <w:rPr>
                <w:rFonts w:ascii="Arial" w:eastAsia="Arial" w:hAnsi="Arial" w:cs="Arial"/>
                <w:sz w:val="20"/>
                <w:szCs w:val="20"/>
              </w:rPr>
              <w:t>meetings</w:t>
            </w:r>
          </w:p>
        </w:tc>
        <w:tc>
          <w:tcPr>
            <w:tcW w:w="0" w:type="dxa"/>
            <w:vAlign w:val="bottom"/>
          </w:tcPr>
          <w:p w:rsidR="00A621E3" w:rsidRDefault="00A621E3">
            <w:pPr>
              <w:rPr>
                <w:sz w:val="1"/>
                <w:szCs w:val="1"/>
              </w:rPr>
            </w:pPr>
          </w:p>
        </w:tc>
      </w:tr>
      <w:tr w:rsidR="00A621E3">
        <w:trPr>
          <w:trHeight w:val="378"/>
        </w:trPr>
        <w:tc>
          <w:tcPr>
            <w:tcW w:w="2060" w:type="dxa"/>
            <w:vAlign w:val="bottom"/>
          </w:tcPr>
          <w:p w:rsidR="00A621E3" w:rsidRDefault="00A621E3">
            <w:pPr>
              <w:rPr>
                <w:sz w:val="24"/>
                <w:szCs w:val="24"/>
              </w:rPr>
            </w:pPr>
          </w:p>
        </w:tc>
        <w:tc>
          <w:tcPr>
            <w:tcW w:w="8900" w:type="dxa"/>
            <w:vAlign w:val="bottom"/>
          </w:tcPr>
          <w:p w:rsidR="00A621E3" w:rsidRDefault="00EC630E">
            <w:pPr>
              <w:ind w:left="38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Active stockholder engagement</w:t>
            </w:r>
          </w:p>
        </w:tc>
        <w:tc>
          <w:tcPr>
            <w:tcW w:w="0" w:type="dxa"/>
            <w:vAlign w:val="bottom"/>
          </w:tcPr>
          <w:p w:rsidR="00A621E3" w:rsidRDefault="00A621E3">
            <w:pPr>
              <w:rPr>
                <w:sz w:val="1"/>
                <w:szCs w:val="1"/>
              </w:rPr>
            </w:pPr>
          </w:p>
        </w:tc>
      </w:tr>
      <w:tr w:rsidR="00A621E3">
        <w:trPr>
          <w:trHeight w:val="378"/>
        </w:trPr>
        <w:tc>
          <w:tcPr>
            <w:tcW w:w="2060" w:type="dxa"/>
            <w:vAlign w:val="bottom"/>
          </w:tcPr>
          <w:p w:rsidR="00A621E3" w:rsidRDefault="00A621E3">
            <w:pPr>
              <w:rPr>
                <w:sz w:val="24"/>
                <w:szCs w:val="24"/>
              </w:rPr>
            </w:pPr>
          </w:p>
        </w:tc>
        <w:tc>
          <w:tcPr>
            <w:tcW w:w="8900" w:type="dxa"/>
            <w:vAlign w:val="bottom"/>
          </w:tcPr>
          <w:p w:rsidR="00A621E3" w:rsidRDefault="00EC630E">
            <w:pPr>
              <w:ind w:left="38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No shareholder rights plan (also known as a poison pill)</w:t>
            </w:r>
          </w:p>
        </w:tc>
        <w:tc>
          <w:tcPr>
            <w:tcW w:w="0" w:type="dxa"/>
            <w:vAlign w:val="bottom"/>
          </w:tcPr>
          <w:p w:rsidR="00A621E3" w:rsidRDefault="00A621E3">
            <w:pPr>
              <w:rPr>
                <w:sz w:val="1"/>
                <w:szCs w:val="1"/>
              </w:rPr>
            </w:pPr>
          </w:p>
        </w:tc>
      </w:tr>
      <w:tr w:rsidR="00A621E3">
        <w:trPr>
          <w:trHeight w:val="378"/>
        </w:trPr>
        <w:tc>
          <w:tcPr>
            <w:tcW w:w="2060" w:type="dxa"/>
            <w:vAlign w:val="bottom"/>
          </w:tcPr>
          <w:p w:rsidR="00A621E3" w:rsidRDefault="00A621E3">
            <w:pPr>
              <w:rPr>
                <w:sz w:val="24"/>
                <w:szCs w:val="24"/>
              </w:rPr>
            </w:pPr>
          </w:p>
        </w:tc>
        <w:tc>
          <w:tcPr>
            <w:tcW w:w="8900" w:type="dxa"/>
            <w:vAlign w:val="bottom"/>
          </w:tcPr>
          <w:p w:rsidR="00A621E3" w:rsidRDefault="00EC630E">
            <w:pPr>
              <w:ind w:left="38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Director and executive officer stock ownership policies</w:t>
            </w:r>
          </w:p>
        </w:tc>
        <w:tc>
          <w:tcPr>
            <w:tcW w:w="0" w:type="dxa"/>
            <w:vAlign w:val="bottom"/>
          </w:tcPr>
          <w:p w:rsidR="00A621E3" w:rsidRDefault="00A621E3">
            <w:pPr>
              <w:rPr>
                <w:sz w:val="1"/>
                <w:szCs w:val="1"/>
              </w:rPr>
            </w:pPr>
          </w:p>
        </w:tc>
      </w:tr>
      <w:tr w:rsidR="00A621E3">
        <w:trPr>
          <w:trHeight w:val="378"/>
        </w:trPr>
        <w:tc>
          <w:tcPr>
            <w:tcW w:w="2060" w:type="dxa"/>
            <w:vAlign w:val="bottom"/>
          </w:tcPr>
          <w:p w:rsidR="00A621E3" w:rsidRDefault="00A621E3">
            <w:pPr>
              <w:rPr>
                <w:sz w:val="24"/>
                <w:szCs w:val="24"/>
              </w:rPr>
            </w:pPr>
          </w:p>
        </w:tc>
        <w:tc>
          <w:tcPr>
            <w:tcW w:w="8900" w:type="dxa"/>
            <w:vAlign w:val="bottom"/>
          </w:tcPr>
          <w:p w:rsidR="00A621E3" w:rsidRDefault="00EC630E">
            <w:pPr>
              <w:ind w:left="38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 xml:space="preserve">Policy </w:t>
            </w:r>
            <w:r>
              <w:rPr>
                <w:rFonts w:ascii="Arial" w:eastAsia="Arial" w:hAnsi="Arial" w:cs="Arial"/>
                <w:color w:val="000000"/>
                <w:sz w:val="20"/>
                <w:szCs w:val="20"/>
              </w:rPr>
              <w:t>prohibiting hedging or other speculative trading of Company stock</w:t>
            </w:r>
          </w:p>
        </w:tc>
        <w:tc>
          <w:tcPr>
            <w:tcW w:w="0" w:type="dxa"/>
            <w:vAlign w:val="bottom"/>
          </w:tcPr>
          <w:p w:rsidR="00A621E3" w:rsidRDefault="00A621E3">
            <w:pPr>
              <w:rPr>
                <w:sz w:val="1"/>
                <w:szCs w:val="1"/>
              </w:rPr>
            </w:pPr>
          </w:p>
        </w:tc>
      </w:tr>
      <w:tr w:rsidR="00A621E3">
        <w:trPr>
          <w:trHeight w:val="357"/>
        </w:trPr>
        <w:tc>
          <w:tcPr>
            <w:tcW w:w="2060" w:type="dxa"/>
            <w:vAlign w:val="bottom"/>
          </w:tcPr>
          <w:p w:rsidR="00A621E3" w:rsidRDefault="00A621E3">
            <w:pPr>
              <w:rPr>
                <w:sz w:val="24"/>
                <w:szCs w:val="24"/>
              </w:rPr>
            </w:pPr>
          </w:p>
        </w:tc>
        <w:tc>
          <w:tcPr>
            <w:tcW w:w="8900" w:type="dxa"/>
            <w:vAlign w:val="bottom"/>
          </w:tcPr>
          <w:p w:rsidR="00A621E3" w:rsidRDefault="00EC630E">
            <w:pPr>
              <w:ind w:left="380"/>
              <w:rPr>
                <w:sz w:val="20"/>
                <w:szCs w:val="20"/>
              </w:rPr>
            </w:pPr>
            <w:r>
              <w:rPr>
                <w:rFonts w:ascii="Arial" w:eastAsia="Arial" w:hAnsi="Arial" w:cs="Arial"/>
                <w:color w:val="CF0A2C"/>
                <w:w w:val="94"/>
                <w:sz w:val="20"/>
                <w:szCs w:val="20"/>
              </w:rPr>
              <w:t>•</w:t>
            </w:r>
            <w:r>
              <w:rPr>
                <w:rFonts w:ascii="Arial" w:eastAsia="Arial" w:hAnsi="Arial" w:cs="Arial"/>
                <w:color w:val="000000"/>
                <w:w w:val="94"/>
                <w:sz w:val="20"/>
                <w:szCs w:val="20"/>
              </w:rPr>
              <w:t>  </w:t>
            </w:r>
            <w:r>
              <w:rPr>
                <w:rFonts w:ascii="Arial" w:eastAsia="Arial" w:hAnsi="Arial" w:cs="Arial"/>
                <w:color w:val="000000"/>
                <w:w w:val="94"/>
                <w:sz w:val="20"/>
                <w:szCs w:val="20"/>
              </w:rPr>
              <w:t>Policy regarding resignation if any director experiences a significant change in professional roles and</w:t>
            </w:r>
          </w:p>
        </w:tc>
        <w:tc>
          <w:tcPr>
            <w:tcW w:w="0" w:type="dxa"/>
            <w:vAlign w:val="bottom"/>
          </w:tcPr>
          <w:p w:rsidR="00A621E3" w:rsidRDefault="00A621E3">
            <w:pPr>
              <w:rPr>
                <w:sz w:val="1"/>
                <w:szCs w:val="1"/>
              </w:rPr>
            </w:pPr>
          </w:p>
        </w:tc>
      </w:tr>
      <w:tr w:rsidR="00A621E3">
        <w:trPr>
          <w:trHeight w:val="250"/>
        </w:trPr>
        <w:tc>
          <w:tcPr>
            <w:tcW w:w="2060" w:type="dxa"/>
            <w:vAlign w:val="bottom"/>
          </w:tcPr>
          <w:p w:rsidR="00A621E3" w:rsidRDefault="00A621E3">
            <w:pPr>
              <w:rPr>
                <w:sz w:val="21"/>
                <w:szCs w:val="21"/>
              </w:rPr>
            </w:pPr>
          </w:p>
        </w:tc>
        <w:tc>
          <w:tcPr>
            <w:tcW w:w="8900" w:type="dxa"/>
            <w:vAlign w:val="bottom"/>
          </w:tcPr>
          <w:p w:rsidR="00A621E3" w:rsidRDefault="00EC630E">
            <w:pPr>
              <w:ind w:left="520"/>
              <w:rPr>
                <w:sz w:val="20"/>
                <w:szCs w:val="20"/>
              </w:rPr>
            </w:pPr>
            <w:r>
              <w:rPr>
                <w:rFonts w:ascii="Arial" w:eastAsia="Arial" w:hAnsi="Arial" w:cs="Arial"/>
                <w:sz w:val="20"/>
                <w:szCs w:val="20"/>
              </w:rPr>
              <w:t>responsibilities</w:t>
            </w:r>
          </w:p>
        </w:tc>
        <w:tc>
          <w:tcPr>
            <w:tcW w:w="0" w:type="dxa"/>
            <w:vAlign w:val="bottom"/>
          </w:tcPr>
          <w:p w:rsidR="00A621E3" w:rsidRDefault="00A621E3">
            <w:pPr>
              <w:rPr>
                <w:sz w:val="1"/>
                <w:szCs w:val="1"/>
              </w:rPr>
            </w:pPr>
          </w:p>
        </w:tc>
      </w:tr>
      <w:tr w:rsidR="00A621E3">
        <w:trPr>
          <w:trHeight w:val="378"/>
        </w:trPr>
        <w:tc>
          <w:tcPr>
            <w:tcW w:w="2060" w:type="dxa"/>
            <w:vAlign w:val="bottom"/>
          </w:tcPr>
          <w:p w:rsidR="00A621E3" w:rsidRDefault="00A621E3">
            <w:pPr>
              <w:rPr>
                <w:sz w:val="24"/>
                <w:szCs w:val="24"/>
              </w:rPr>
            </w:pPr>
          </w:p>
        </w:tc>
        <w:tc>
          <w:tcPr>
            <w:tcW w:w="8900" w:type="dxa"/>
            <w:vAlign w:val="bottom"/>
          </w:tcPr>
          <w:p w:rsidR="00A621E3" w:rsidRDefault="00EC630E">
            <w:pPr>
              <w:ind w:left="38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 xml:space="preserve">Board access to senior management and independent </w:t>
            </w:r>
            <w:r>
              <w:rPr>
                <w:rFonts w:ascii="Arial" w:eastAsia="Arial" w:hAnsi="Arial" w:cs="Arial"/>
                <w:color w:val="000000"/>
                <w:sz w:val="20"/>
                <w:szCs w:val="20"/>
              </w:rPr>
              <w:t>advisors</w:t>
            </w:r>
          </w:p>
        </w:tc>
        <w:tc>
          <w:tcPr>
            <w:tcW w:w="0" w:type="dxa"/>
            <w:vAlign w:val="bottom"/>
          </w:tcPr>
          <w:p w:rsidR="00A621E3" w:rsidRDefault="00A621E3">
            <w:pPr>
              <w:rPr>
                <w:sz w:val="1"/>
                <w:szCs w:val="1"/>
              </w:rPr>
            </w:pPr>
          </w:p>
        </w:tc>
      </w:tr>
    </w:tbl>
    <w:p w:rsidR="00A621E3" w:rsidRDefault="00A621E3">
      <w:pPr>
        <w:spacing w:line="162" w:lineRule="exact"/>
        <w:rPr>
          <w:sz w:val="20"/>
          <w:szCs w:val="20"/>
        </w:rPr>
      </w:pPr>
    </w:p>
    <w:p w:rsidR="00A621E3" w:rsidRDefault="00EC630E">
      <w:pPr>
        <w:numPr>
          <w:ilvl w:val="0"/>
          <w:numId w:val="9"/>
        </w:numPr>
        <w:tabs>
          <w:tab w:val="left" w:pos="640"/>
        </w:tabs>
        <w:ind w:left="640" w:hanging="346"/>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256832" behindDoc="1" locked="0" layoutInCell="0" allowOverlap="1">
            <wp:simplePos x="0" y="0"/>
            <wp:positionH relativeFrom="column">
              <wp:posOffset>287655</wp:posOffset>
            </wp:positionH>
            <wp:positionV relativeFrom="paragraph">
              <wp:posOffset>-95885</wp:posOffset>
            </wp:positionV>
            <wp:extent cx="8255" cy="1028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79" w:bottom="1440" w:left="320" w:header="0" w:footer="0" w:gutter="0"/>
          <w:cols w:space="720" w:equalWidth="0">
            <w:col w:w="11100"/>
          </w:cols>
        </w:sectPr>
      </w:pPr>
    </w:p>
    <w:p w:rsidR="00A621E3" w:rsidRDefault="00EC630E">
      <w:pPr>
        <w:rPr>
          <w:sz w:val="20"/>
          <w:szCs w:val="20"/>
        </w:rPr>
      </w:pPr>
      <w:bookmarkStart w:id="10" w:name="page10"/>
      <w:bookmarkEnd w:id="10"/>
      <w:r>
        <w:rPr>
          <w:rFonts w:ascii="Arial" w:eastAsia="Arial" w:hAnsi="Arial" w:cs="Arial"/>
          <w:b/>
          <w:bCs/>
          <w:noProof/>
          <w:color w:val="0000EE"/>
          <w:sz w:val="18"/>
          <w:szCs w:val="18"/>
          <w:u w:val="single"/>
        </w:rPr>
        <w:lastRenderedPageBreak/>
        <w:drawing>
          <wp:anchor distT="0" distB="0" distL="114300" distR="114300" simplePos="0" relativeHeight="251257856"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258880" behindDoc="1" locked="0" layoutInCell="0" allowOverlap="1">
            <wp:simplePos x="0" y="0"/>
            <wp:positionH relativeFrom="column">
              <wp:posOffset>5251450</wp:posOffset>
            </wp:positionH>
            <wp:positionV relativeFrom="paragraph">
              <wp:posOffset>205740</wp:posOffset>
            </wp:positionV>
            <wp:extent cx="1817370" cy="2057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blip>
                    <a:srcRect/>
                    <a:stretch>
                      <a:fillRect/>
                    </a:stretch>
                  </pic:blipFill>
                  <pic:spPr bwMode="auto">
                    <a:xfrm>
                      <a:off x="0" y="0"/>
                      <a:ext cx="181737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right="180"/>
        <w:jc w:val="right"/>
        <w:rPr>
          <w:sz w:val="20"/>
          <w:szCs w:val="20"/>
        </w:rPr>
      </w:pPr>
      <w:r>
        <w:rPr>
          <w:rFonts w:ascii="Arial" w:eastAsia="Arial" w:hAnsi="Arial" w:cs="Arial"/>
          <w:b/>
          <w:bCs/>
          <w:color w:val="FFFFFF"/>
          <w:sz w:val="16"/>
          <w:szCs w:val="16"/>
        </w:rPr>
        <w:t>PROXY STATEMENT SUMMARY</w:t>
      </w:r>
    </w:p>
    <w:p w:rsidR="00A621E3" w:rsidRDefault="00A621E3">
      <w:pPr>
        <w:spacing w:line="189" w:lineRule="exact"/>
        <w:rPr>
          <w:sz w:val="20"/>
          <w:szCs w:val="20"/>
        </w:rPr>
      </w:pPr>
    </w:p>
    <w:p w:rsidR="00A621E3" w:rsidRDefault="00EC630E">
      <w:pPr>
        <w:ind w:left="120"/>
        <w:rPr>
          <w:sz w:val="20"/>
          <w:szCs w:val="20"/>
        </w:rPr>
      </w:pPr>
      <w:r>
        <w:rPr>
          <w:rFonts w:ascii="Arial" w:eastAsia="Arial" w:hAnsi="Arial" w:cs="Arial"/>
          <w:b/>
          <w:bCs/>
          <w:color w:val="CF0A2C"/>
          <w:sz w:val="32"/>
          <w:szCs w:val="32"/>
        </w:rPr>
        <w:t>WHERE YOU CAN FIND ADDITIONAL INFORMATION</w:t>
      </w:r>
    </w:p>
    <w:p w:rsidR="00A621E3" w:rsidRDefault="00EC630E">
      <w:pPr>
        <w:spacing w:line="20" w:lineRule="exact"/>
        <w:rPr>
          <w:sz w:val="20"/>
          <w:szCs w:val="20"/>
        </w:rPr>
      </w:pPr>
      <w:r>
        <w:rPr>
          <w:noProof/>
          <w:sz w:val="20"/>
          <w:szCs w:val="20"/>
        </w:rPr>
        <w:drawing>
          <wp:anchor distT="0" distB="0" distL="114300" distR="114300" simplePos="0" relativeHeight="251259904"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91" w:lineRule="exact"/>
        <w:rPr>
          <w:sz w:val="20"/>
          <w:szCs w:val="20"/>
        </w:rPr>
      </w:pPr>
    </w:p>
    <w:p w:rsidR="00A621E3" w:rsidRDefault="00EC630E">
      <w:pPr>
        <w:spacing w:line="257" w:lineRule="auto"/>
        <w:ind w:left="120"/>
        <w:jc w:val="both"/>
        <w:rPr>
          <w:sz w:val="20"/>
          <w:szCs w:val="20"/>
        </w:rPr>
      </w:pPr>
      <w:r>
        <w:rPr>
          <w:rFonts w:ascii="Arial" w:eastAsia="Arial" w:hAnsi="Arial" w:cs="Arial"/>
          <w:sz w:val="19"/>
          <w:szCs w:val="19"/>
        </w:rPr>
        <w:t xml:space="preserve">Our Investor Relations website is located at </w:t>
      </w:r>
      <w:r>
        <w:rPr>
          <w:rFonts w:ascii="Arial" w:eastAsia="Arial" w:hAnsi="Arial" w:cs="Arial"/>
          <w:i/>
          <w:iCs/>
          <w:sz w:val="19"/>
          <w:szCs w:val="19"/>
        </w:rPr>
        <w:t>ir.yumchina.com</w:t>
      </w:r>
      <w:r>
        <w:rPr>
          <w:rFonts w:ascii="Arial" w:eastAsia="Arial" w:hAnsi="Arial" w:cs="Arial"/>
          <w:sz w:val="19"/>
          <w:szCs w:val="19"/>
        </w:rPr>
        <w:t xml:space="preserve">. Although the </w:t>
      </w:r>
      <w:r>
        <w:rPr>
          <w:rFonts w:ascii="Arial" w:eastAsia="Arial" w:hAnsi="Arial" w:cs="Arial"/>
          <w:sz w:val="19"/>
          <w:szCs w:val="19"/>
        </w:rPr>
        <w:t>information contained on or connected to our website is not part of this proxy statement, you can view additional information on our website, such as our 2022 annual report, the charters of our Board committees, our Corporate Governance Principles, our Cod</w:t>
      </w:r>
      <w:r>
        <w:rPr>
          <w:rFonts w:ascii="Arial" w:eastAsia="Arial" w:hAnsi="Arial" w:cs="Arial"/>
          <w:sz w:val="19"/>
          <w:szCs w:val="19"/>
        </w:rPr>
        <w:t>e of Conduct and reports that we file with the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71" w:lineRule="exact"/>
        <w:rPr>
          <w:sz w:val="20"/>
          <w:szCs w:val="20"/>
        </w:rPr>
      </w:pPr>
    </w:p>
    <w:p w:rsidR="00A621E3" w:rsidRDefault="00EC630E">
      <w:pPr>
        <w:spacing w:line="276" w:lineRule="auto"/>
        <w:jc w:val="both"/>
        <w:rPr>
          <w:sz w:val="20"/>
          <w:szCs w:val="20"/>
        </w:rPr>
      </w:pPr>
      <w:r>
        <w:rPr>
          <w:rFonts w:ascii="Arial" w:eastAsia="Arial" w:hAnsi="Arial" w:cs="Arial"/>
          <w:sz w:val="18"/>
          <w:szCs w:val="18"/>
        </w:rPr>
        <w:t>Securities and Exchange Commission (the “</w:t>
      </w:r>
      <w:r>
        <w:rPr>
          <w:rFonts w:ascii="Arial" w:eastAsia="Arial" w:hAnsi="Arial" w:cs="Arial"/>
          <w:b/>
          <w:bCs/>
          <w:i/>
          <w:iCs/>
          <w:sz w:val="18"/>
          <w:szCs w:val="18"/>
        </w:rPr>
        <w:t>SEC</w:t>
      </w:r>
      <w:r>
        <w:rPr>
          <w:rFonts w:ascii="Arial" w:eastAsia="Arial" w:hAnsi="Arial" w:cs="Arial"/>
          <w:sz w:val="18"/>
          <w:szCs w:val="18"/>
        </w:rPr>
        <w:t xml:space="preserve">”) and the HKEX. Copies of these documents may also be obtained free of charge by writing to Yum China Holdings, Inc., 101 East Park Boulevard, Suite 805, </w:t>
      </w:r>
      <w:r>
        <w:rPr>
          <w:rFonts w:ascii="Arial" w:eastAsia="Arial" w:hAnsi="Arial" w:cs="Arial"/>
          <w:sz w:val="18"/>
          <w:szCs w:val="18"/>
        </w:rPr>
        <w:t>Plano, Texas 75074, or Yum China Holdings, Inc., Yum China Building, 20 Tian Yao Qiao Road, Shanghai 200030 People’s Republic of China, Attention: Corporate Secretary.</w:t>
      </w:r>
    </w:p>
    <w:p w:rsidR="00A621E3" w:rsidRDefault="00A621E3">
      <w:pPr>
        <w:spacing w:line="200" w:lineRule="exact"/>
        <w:rPr>
          <w:sz w:val="20"/>
          <w:szCs w:val="20"/>
        </w:rPr>
      </w:pPr>
    </w:p>
    <w:p w:rsidR="00A621E3" w:rsidRDefault="00A621E3">
      <w:pPr>
        <w:spacing w:line="279" w:lineRule="exact"/>
        <w:rPr>
          <w:sz w:val="20"/>
          <w:szCs w:val="20"/>
        </w:rPr>
      </w:pPr>
    </w:p>
    <w:p w:rsidR="00A621E3" w:rsidRDefault="00EC630E">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5</w:t>
      </w:r>
    </w:p>
    <w:p w:rsidR="00A621E3" w:rsidRDefault="00EC630E">
      <w:pPr>
        <w:spacing w:line="20" w:lineRule="exact"/>
        <w:rPr>
          <w:sz w:val="20"/>
          <w:szCs w:val="20"/>
        </w:rPr>
      </w:pPr>
      <w:r>
        <w:rPr>
          <w:noProof/>
          <w:sz w:val="20"/>
          <w:szCs w:val="20"/>
        </w:rPr>
        <w:drawing>
          <wp:anchor distT="0" distB="0" distL="114300" distR="114300" simplePos="0" relativeHeight="251260928" behindDoc="1" locked="0" layoutInCell="0" allowOverlap="1">
            <wp:simplePos x="0" y="0"/>
            <wp:positionH relativeFrom="column">
              <wp:posOffset>3149600</wp:posOffset>
            </wp:positionH>
            <wp:positionV relativeFrom="paragraph">
              <wp:posOffset>-93345</wp:posOffset>
            </wp:positionV>
            <wp:extent cx="8255" cy="10287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11" w:name="page11"/>
      <w:bookmarkEnd w:id="11"/>
      <w:r>
        <w:rPr>
          <w:rFonts w:ascii="Arial" w:eastAsia="Arial" w:hAnsi="Arial" w:cs="Arial"/>
          <w:b/>
          <w:bCs/>
          <w:noProof/>
          <w:color w:val="0000EE"/>
          <w:sz w:val="18"/>
          <w:szCs w:val="18"/>
          <w:u w:val="single"/>
        </w:rPr>
        <w:lastRenderedPageBreak/>
        <w:drawing>
          <wp:anchor distT="0" distB="0" distL="114300" distR="114300" simplePos="0" relativeHeight="25126195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262976" behindDoc="1" locked="0" layoutInCell="0" allowOverlap="1">
            <wp:simplePos x="0" y="0"/>
            <wp:positionH relativeFrom="column">
              <wp:posOffset>73660</wp:posOffset>
            </wp:positionH>
            <wp:positionV relativeFrom="paragraph">
              <wp:posOffset>205740</wp:posOffset>
            </wp:positionV>
            <wp:extent cx="6995160" cy="7461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blip>
                    <a:srcRect/>
                    <a:stretch>
                      <a:fillRect/>
                    </a:stretch>
                  </pic:blipFill>
                  <pic:spPr bwMode="auto">
                    <a:xfrm>
                      <a:off x="0" y="0"/>
                      <a:ext cx="6995160" cy="74612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11" w:lineRule="exact"/>
        <w:rPr>
          <w:sz w:val="20"/>
          <w:szCs w:val="20"/>
        </w:rPr>
      </w:pPr>
    </w:p>
    <w:p w:rsidR="00A621E3" w:rsidRDefault="00EC630E">
      <w:pPr>
        <w:spacing w:line="286" w:lineRule="auto"/>
        <w:ind w:left="200" w:right="2940" w:firstLine="12"/>
        <w:rPr>
          <w:sz w:val="20"/>
          <w:szCs w:val="20"/>
        </w:rPr>
      </w:pPr>
      <w:r>
        <w:rPr>
          <w:rFonts w:ascii="Arial" w:eastAsia="Arial" w:hAnsi="Arial" w:cs="Arial"/>
          <w:b/>
          <w:bCs/>
          <w:color w:val="FFFFFF"/>
          <w:sz w:val="32"/>
          <w:szCs w:val="32"/>
        </w:rPr>
        <w:t>QUESTIONS AND ANSWERS ABOUT THE MEETING AND VOTING</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62" w:lineRule="exact"/>
        <w:rPr>
          <w:sz w:val="20"/>
          <w:szCs w:val="20"/>
        </w:rPr>
      </w:pPr>
    </w:p>
    <w:p w:rsidR="00A621E3" w:rsidRDefault="00EC630E">
      <w:pPr>
        <w:spacing w:line="244" w:lineRule="auto"/>
        <w:ind w:left="120"/>
        <w:jc w:val="both"/>
        <w:rPr>
          <w:sz w:val="20"/>
          <w:szCs w:val="20"/>
        </w:rPr>
      </w:pPr>
      <w:r>
        <w:rPr>
          <w:rFonts w:ascii="Arial" w:eastAsia="Arial" w:hAnsi="Arial" w:cs="Arial"/>
          <w:sz w:val="20"/>
          <w:szCs w:val="20"/>
        </w:rPr>
        <w:t xml:space="preserve">The Board of Directors of Yum China Holdings, Inc. solicits the enclosed proxy for use at the Annual Meeting to be held at 8:00 a.m., local time, on Thursday, May 25, 2023 at </w:t>
      </w:r>
      <w:r>
        <w:rPr>
          <w:rFonts w:ascii="Arial" w:eastAsia="Arial" w:hAnsi="Arial" w:cs="Arial"/>
          <w:sz w:val="20"/>
          <w:szCs w:val="20"/>
        </w:rPr>
        <w:t>Mandarin Oriental Hong Kong, 5 Connaught Road, Central, Hong Kong. This proxy statement contains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42" w:lineRule="exact"/>
        <w:rPr>
          <w:sz w:val="20"/>
          <w:szCs w:val="20"/>
        </w:rPr>
      </w:pPr>
    </w:p>
    <w:p w:rsidR="00A621E3" w:rsidRDefault="00EC630E">
      <w:pPr>
        <w:spacing w:line="250" w:lineRule="auto"/>
        <w:ind w:right="20"/>
        <w:jc w:val="both"/>
        <w:rPr>
          <w:sz w:val="20"/>
          <w:szCs w:val="20"/>
        </w:rPr>
      </w:pPr>
      <w:r>
        <w:rPr>
          <w:rFonts w:ascii="Arial" w:eastAsia="Arial" w:hAnsi="Arial" w:cs="Arial"/>
          <w:sz w:val="20"/>
          <w:szCs w:val="20"/>
        </w:rPr>
        <w:t>information about the matters to be voted on at the Annual Meeting and the voting process, as well as information about our directors and most highly paid</w:t>
      </w:r>
      <w:r>
        <w:rPr>
          <w:rFonts w:ascii="Arial" w:eastAsia="Arial" w:hAnsi="Arial" w:cs="Arial"/>
          <w:sz w:val="20"/>
          <w:szCs w:val="20"/>
        </w:rPr>
        <w:t xml:space="preserve"> executive officers.</w:t>
      </w:r>
    </w:p>
    <w:p w:rsidR="00A621E3" w:rsidRDefault="00A621E3">
      <w:pPr>
        <w:spacing w:line="65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72" w:lineRule="exact"/>
        <w:rPr>
          <w:sz w:val="20"/>
          <w:szCs w:val="20"/>
        </w:rPr>
      </w:pPr>
    </w:p>
    <w:p w:rsidR="00A621E3" w:rsidRDefault="00EC630E">
      <w:pPr>
        <w:ind w:left="120"/>
        <w:rPr>
          <w:sz w:val="20"/>
          <w:szCs w:val="20"/>
        </w:rPr>
      </w:pPr>
      <w:r>
        <w:rPr>
          <w:rFonts w:ascii="Arial" w:eastAsia="Arial" w:hAnsi="Arial" w:cs="Arial"/>
          <w:b/>
          <w:bCs/>
          <w:color w:val="CF0A2C"/>
          <w:sz w:val="32"/>
          <w:szCs w:val="32"/>
        </w:rPr>
        <w:t>What is the purpose of the Annual Meeting?</w:t>
      </w:r>
    </w:p>
    <w:p w:rsidR="00A621E3" w:rsidRDefault="00EC630E">
      <w:pPr>
        <w:spacing w:line="20" w:lineRule="exact"/>
        <w:rPr>
          <w:sz w:val="20"/>
          <w:szCs w:val="20"/>
        </w:rPr>
      </w:pPr>
      <w:r>
        <w:rPr>
          <w:noProof/>
          <w:sz w:val="20"/>
          <w:szCs w:val="20"/>
        </w:rPr>
        <w:drawing>
          <wp:anchor distT="0" distB="0" distL="114300" distR="114300" simplePos="0" relativeHeight="251264000"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0" w:lineRule="exact"/>
        <w:rPr>
          <w:sz w:val="20"/>
          <w:szCs w:val="20"/>
        </w:rPr>
      </w:pPr>
    </w:p>
    <w:p w:rsidR="00A621E3" w:rsidRDefault="00EC630E">
      <w:pPr>
        <w:spacing w:line="250" w:lineRule="auto"/>
        <w:ind w:left="120"/>
        <w:jc w:val="both"/>
        <w:rPr>
          <w:sz w:val="20"/>
          <w:szCs w:val="20"/>
        </w:rPr>
      </w:pPr>
      <w:r>
        <w:rPr>
          <w:rFonts w:ascii="Arial" w:eastAsia="Arial" w:hAnsi="Arial" w:cs="Arial"/>
          <w:sz w:val="20"/>
          <w:szCs w:val="20"/>
        </w:rPr>
        <w:t xml:space="preserve">At the Annual Meeting, stockholders will vote on several important Company matters. In addition, our management will report on the </w:t>
      </w:r>
      <w:r>
        <w:rPr>
          <w:rFonts w:ascii="Arial" w:eastAsia="Arial" w:hAnsi="Arial" w:cs="Arial"/>
          <w:sz w:val="20"/>
          <w:szCs w:val="20"/>
        </w:rPr>
        <w:t>Company’s performance over the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spacing w:line="260" w:lineRule="auto"/>
        <w:ind w:right="20"/>
        <w:rPr>
          <w:sz w:val="20"/>
          <w:szCs w:val="20"/>
        </w:rPr>
      </w:pPr>
      <w:r>
        <w:rPr>
          <w:rFonts w:ascii="Arial" w:eastAsia="Arial" w:hAnsi="Arial" w:cs="Arial"/>
          <w:sz w:val="20"/>
          <w:szCs w:val="20"/>
        </w:rPr>
        <w:t>last fiscal year and, following the meeting, respond to questions from stockholders.</w:t>
      </w:r>
    </w:p>
    <w:p w:rsidR="00A621E3" w:rsidRDefault="00A621E3">
      <w:pPr>
        <w:spacing w:line="42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50" w:lineRule="exact"/>
        <w:rPr>
          <w:sz w:val="20"/>
          <w:szCs w:val="20"/>
        </w:rPr>
      </w:pPr>
    </w:p>
    <w:p w:rsidR="00A621E3" w:rsidRDefault="00EC630E">
      <w:pPr>
        <w:ind w:left="120"/>
        <w:rPr>
          <w:sz w:val="20"/>
          <w:szCs w:val="20"/>
        </w:rPr>
      </w:pPr>
      <w:r>
        <w:rPr>
          <w:rFonts w:ascii="Arial" w:eastAsia="Arial" w:hAnsi="Arial" w:cs="Arial"/>
          <w:b/>
          <w:bCs/>
          <w:color w:val="CF0A2C"/>
          <w:sz w:val="32"/>
          <w:szCs w:val="32"/>
        </w:rPr>
        <w:t>Why am I receiving these materials?</w:t>
      </w:r>
    </w:p>
    <w:p w:rsidR="00A621E3" w:rsidRDefault="00EC630E">
      <w:pPr>
        <w:spacing w:line="20" w:lineRule="exact"/>
        <w:rPr>
          <w:sz w:val="20"/>
          <w:szCs w:val="20"/>
        </w:rPr>
      </w:pPr>
      <w:r>
        <w:rPr>
          <w:noProof/>
          <w:sz w:val="20"/>
          <w:szCs w:val="20"/>
        </w:rPr>
        <w:drawing>
          <wp:anchor distT="0" distB="0" distL="114300" distR="114300" simplePos="0" relativeHeight="251265024"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0" w:lineRule="exact"/>
        <w:rPr>
          <w:sz w:val="20"/>
          <w:szCs w:val="20"/>
        </w:rPr>
      </w:pPr>
    </w:p>
    <w:p w:rsidR="00A621E3" w:rsidRDefault="00EC630E">
      <w:pPr>
        <w:spacing w:line="250" w:lineRule="auto"/>
        <w:ind w:left="120"/>
        <w:jc w:val="both"/>
        <w:rPr>
          <w:sz w:val="20"/>
          <w:szCs w:val="20"/>
        </w:rPr>
      </w:pPr>
      <w:r>
        <w:rPr>
          <w:rFonts w:ascii="Arial" w:eastAsia="Arial" w:hAnsi="Arial" w:cs="Arial"/>
          <w:sz w:val="20"/>
          <w:szCs w:val="20"/>
        </w:rPr>
        <w:t>You received these materials because our B</w:t>
      </w:r>
      <w:r>
        <w:rPr>
          <w:rFonts w:ascii="Arial" w:eastAsia="Arial" w:hAnsi="Arial" w:cs="Arial"/>
          <w:sz w:val="20"/>
          <w:szCs w:val="20"/>
        </w:rPr>
        <w:t>oard of Directors is soliciting your proxy to vote your shares at the Annual Meeting. As a stockholder of record as of the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spacing w:line="250" w:lineRule="auto"/>
        <w:ind w:right="20"/>
        <w:jc w:val="both"/>
        <w:rPr>
          <w:sz w:val="20"/>
          <w:szCs w:val="20"/>
        </w:rPr>
      </w:pPr>
      <w:r>
        <w:rPr>
          <w:rFonts w:ascii="Arial" w:eastAsia="Arial" w:hAnsi="Arial" w:cs="Arial"/>
          <w:sz w:val="20"/>
          <w:szCs w:val="20"/>
        </w:rPr>
        <w:t xml:space="preserve">close of business on March 27, 2023, you are invited to attend the Annual Meeting and are entitled to vote on the items of </w:t>
      </w:r>
      <w:r>
        <w:rPr>
          <w:rFonts w:ascii="Arial" w:eastAsia="Arial" w:hAnsi="Arial" w:cs="Arial"/>
          <w:sz w:val="20"/>
          <w:szCs w:val="20"/>
        </w:rPr>
        <w:t>business described in this proxy statement.</w:t>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63" w:lineRule="exact"/>
        <w:rPr>
          <w:sz w:val="20"/>
          <w:szCs w:val="20"/>
        </w:rPr>
      </w:pPr>
    </w:p>
    <w:p w:rsidR="00A621E3" w:rsidRDefault="00EC630E">
      <w:pPr>
        <w:spacing w:line="286" w:lineRule="auto"/>
        <w:ind w:left="120" w:right="380"/>
        <w:jc w:val="both"/>
        <w:rPr>
          <w:sz w:val="20"/>
          <w:szCs w:val="20"/>
        </w:rPr>
      </w:pPr>
      <w:r>
        <w:rPr>
          <w:rFonts w:ascii="Arial" w:eastAsia="Arial" w:hAnsi="Arial" w:cs="Arial"/>
          <w:b/>
          <w:bCs/>
          <w:color w:val="CF0A2C"/>
          <w:sz w:val="32"/>
          <w:szCs w:val="32"/>
        </w:rPr>
        <w:t>Why did I receive a one-page notice in the mail regarding the Internet availability of proxy materials instead of a full set of proxy materials?</w:t>
      </w:r>
    </w:p>
    <w:p w:rsidR="00A621E3" w:rsidRDefault="00EC630E">
      <w:pPr>
        <w:spacing w:line="20" w:lineRule="exact"/>
        <w:rPr>
          <w:sz w:val="20"/>
          <w:szCs w:val="20"/>
        </w:rPr>
      </w:pPr>
      <w:r>
        <w:rPr>
          <w:noProof/>
          <w:sz w:val="20"/>
          <w:szCs w:val="20"/>
        </w:rPr>
        <w:drawing>
          <wp:anchor distT="0" distB="0" distL="114300" distR="114300" simplePos="0" relativeHeight="251266048" behindDoc="1" locked="0" layoutInCell="0" allowOverlap="1">
            <wp:simplePos x="0" y="0"/>
            <wp:positionH relativeFrom="column">
              <wp:posOffset>73660</wp:posOffset>
            </wp:positionH>
            <wp:positionV relativeFrom="paragraph">
              <wp:posOffset>57785</wp:posOffset>
            </wp:positionV>
            <wp:extent cx="6995160" cy="825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65" w:lineRule="exact"/>
        <w:rPr>
          <w:sz w:val="20"/>
          <w:szCs w:val="20"/>
        </w:rPr>
      </w:pPr>
    </w:p>
    <w:p w:rsidR="00A621E3" w:rsidRDefault="00EC630E">
      <w:pPr>
        <w:spacing w:line="271" w:lineRule="auto"/>
        <w:ind w:left="120"/>
        <w:jc w:val="both"/>
        <w:rPr>
          <w:sz w:val="20"/>
          <w:szCs w:val="20"/>
        </w:rPr>
      </w:pPr>
      <w:r>
        <w:rPr>
          <w:rFonts w:ascii="Arial" w:eastAsia="Arial" w:hAnsi="Arial" w:cs="Arial"/>
          <w:sz w:val="18"/>
          <w:szCs w:val="18"/>
        </w:rPr>
        <w:t>As permitt</w:t>
      </w:r>
      <w:r>
        <w:rPr>
          <w:rFonts w:ascii="Arial" w:eastAsia="Arial" w:hAnsi="Arial" w:cs="Arial"/>
          <w:sz w:val="18"/>
          <w:szCs w:val="18"/>
        </w:rPr>
        <w:t>ed by SEC rules, we are making this proxy statement and our 2022 annual report available to our stockholders electronically via the Internet. On or about April 12, 2023, we mailed to our stockholders the Notice containing instructions on how to access this</w:t>
      </w:r>
      <w:r>
        <w:rPr>
          <w:rFonts w:ascii="Arial" w:eastAsia="Arial" w:hAnsi="Arial" w:cs="Arial"/>
          <w:sz w:val="18"/>
          <w:szCs w:val="18"/>
        </w:rPr>
        <w:t xml:space="preserve"> proxy statement and our 2022 annual report and vote online. If you received a Notice by mail, you will not receive a printed copy of the proxy materials unless you request a copy. The Notice contains instructions on how to access and review all of the imp</w:t>
      </w:r>
      <w:r>
        <w:rPr>
          <w:rFonts w:ascii="Arial" w:eastAsia="Arial" w:hAnsi="Arial" w:cs="Arial"/>
          <w:sz w:val="18"/>
          <w:szCs w:val="18"/>
        </w:rPr>
        <w:t>ortant information contained in the proxy statement and the annual report. The Notice also</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45" w:lineRule="exact"/>
        <w:rPr>
          <w:sz w:val="20"/>
          <w:szCs w:val="20"/>
        </w:rPr>
      </w:pPr>
    </w:p>
    <w:p w:rsidR="00A621E3" w:rsidRDefault="00EC630E">
      <w:pPr>
        <w:spacing w:line="282" w:lineRule="auto"/>
        <w:jc w:val="both"/>
        <w:rPr>
          <w:sz w:val="20"/>
          <w:szCs w:val="20"/>
        </w:rPr>
      </w:pPr>
      <w:r>
        <w:rPr>
          <w:rFonts w:ascii="Arial" w:eastAsia="Arial" w:hAnsi="Arial" w:cs="Arial"/>
          <w:sz w:val="18"/>
          <w:szCs w:val="18"/>
        </w:rPr>
        <w:t>instructs you on how you may submit your proxy over the Internet. If you received a Notice by mail and would like to receive a printed copy of our proxy material</w:t>
      </w:r>
      <w:r>
        <w:rPr>
          <w:rFonts w:ascii="Arial" w:eastAsia="Arial" w:hAnsi="Arial" w:cs="Arial"/>
          <w:sz w:val="18"/>
          <w:szCs w:val="18"/>
        </w:rPr>
        <w:t>s, you should follow the instructions for requesting such materials contained on the Notice.</w:t>
      </w:r>
    </w:p>
    <w:p w:rsidR="00A621E3" w:rsidRDefault="00A621E3">
      <w:pPr>
        <w:spacing w:line="161" w:lineRule="exact"/>
        <w:rPr>
          <w:sz w:val="20"/>
          <w:szCs w:val="20"/>
        </w:rPr>
      </w:pPr>
    </w:p>
    <w:p w:rsidR="00A621E3" w:rsidRDefault="00EC630E">
      <w:pPr>
        <w:spacing w:line="269" w:lineRule="auto"/>
        <w:ind w:right="20"/>
        <w:jc w:val="both"/>
        <w:rPr>
          <w:sz w:val="20"/>
          <w:szCs w:val="20"/>
        </w:rPr>
      </w:pPr>
      <w:r>
        <w:rPr>
          <w:rFonts w:ascii="Arial" w:eastAsia="Arial" w:hAnsi="Arial" w:cs="Arial"/>
          <w:sz w:val="19"/>
          <w:szCs w:val="19"/>
        </w:rPr>
        <w:t>We encourage you to take advantage of the availability of the proxy materials on the Internet in order to help lower the costs of delivery and reduce the Company’</w:t>
      </w:r>
      <w:r>
        <w:rPr>
          <w:rFonts w:ascii="Arial" w:eastAsia="Arial" w:hAnsi="Arial" w:cs="Arial"/>
          <w:sz w:val="19"/>
          <w:szCs w:val="19"/>
        </w:rPr>
        <w:t>s environmental impact.</w:t>
      </w:r>
    </w:p>
    <w:p w:rsidR="00A621E3" w:rsidRDefault="00A621E3">
      <w:pPr>
        <w:spacing w:line="668"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62" w:lineRule="exact"/>
        <w:rPr>
          <w:sz w:val="20"/>
          <w:szCs w:val="20"/>
        </w:rPr>
      </w:pPr>
    </w:p>
    <w:p w:rsidR="00A621E3" w:rsidRDefault="00EC630E">
      <w:pPr>
        <w:numPr>
          <w:ilvl w:val="0"/>
          <w:numId w:val="10"/>
        </w:numPr>
        <w:tabs>
          <w:tab w:val="left" w:pos="640"/>
        </w:tabs>
        <w:ind w:left="640" w:hanging="346"/>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267072" behindDoc="1" locked="0" layoutInCell="0" allowOverlap="1">
            <wp:simplePos x="0" y="0"/>
            <wp:positionH relativeFrom="column">
              <wp:posOffset>287655</wp:posOffset>
            </wp:positionH>
            <wp:positionV relativeFrom="paragraph">
              <wp:posOffset>-95885</wp:posOffset>
            </wp:positionV>
            <wp:extent cx="8255" cy="10287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12" w:name="page12"/>
      <w:bookmarkEnd w:id="12"/>
      <w:r>
        <w:rPr>
          <w:rFonts w:ascii="Arial" w:eastAsia="Arial" w:hAnsi="Arial" w:cs="Arial"/>
          <w:b/>
          <w:bCs/>
          <w:noProof/>
          <w:color w:val="0000EE"/>
          <w:sz w:val="18"/>
          <w:szCs w:val="18"/>
          <w:u w:val="single"/>
        </w:rPr>
        <w:lastRenderedPageBreak/>
        <w:drawing>
          <wp:anchor distT="0" distB="0" distL="114300" distR="114300" simplePos="0" relativeHeight="25126809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269120" behindDoc="1" locked="0" layoutInCell="0" allowOverlap="1">
            <wp:simplePos x="0" y="0"/>
            <wp:positionH relativeFrom="column">
              <wp:posOffset>3622675</wp:posOffset>
            </wp:positionH>
            <wp:positionV relativeFrom="paragraph">
              <wp:posOffset>205740</wp:posOffset>
            </wp:positionV>
            <wp:extent cx="3446145" cy="20574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blip>
                    <a:srcRect/>
                    <a:stretch>
                      <a:fillRect/>
                    </a:stretch>
                  </pic:blipFill>
                  <pic:spPr bwMode="auto">
                    <a:xfrm>
                      <a:off x="0" y="0"/>
                      <a:ext cx="344614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right="180"/>
        <w:jc w:val="right"/>
        <w:rPr>
          <w:sz w:val="20"/>
          <w:szCs w:val="20"/>
        </w:rPr>
      </w:pPr>
      <w:r>
        <w:rPr>
          <w:rFonts w:ascii="Arial" w:eastAsia="Arial" w:hAnsi="Arial" w:cs="Arial"/>
          <w:b/>
          <w:bCs/>
          <w:color w:val="FFFFFF"/>
          <w:sz w:val="16"/>
          <w:szCs w:val="16"/>
        </w:rPr>
        <w:t>QUESTIONS AND ANSWERS ABOUT THE MEETING AND VOTING</w:t>
      </w:r>
    </w:p>
    <w:p w:rsidR="00A621E3" w:rsidRDefault="00A621E3">
      <w:pPr>
        <w:spacing w:line="189" w:lineRule="exact"/>
        <w:rPr>
          <w:sz w:val="20"/>
          <w:szCs w:val="20"/>
        </w:rPr>
      </w:pPr>
    </w:p>
    <w:p w:rsidR="00A621E3" w:rsidRDefault="00EC630E">
      <w:pPr>
        <w:ind w:left="120"/>
        <w:rPr>
          <w:sz w:val="20"/>
          <w:szCs w:val="20"/>
        </w:rPr>
      </w:pPr>
      <w:r>
        <w:rPr>
          <w:rFonts w:ascii="Arial" w:eastAsia="Arial" w:hAnsi="Arial" w:cs="Arial"/>
          <w:b/>
          <w:bCs/>
          <w:color w:val="CF0A2C"/>
          <w:sz w:val="32"/>
          <w:szCs w:val="32"/>
        </w:rPr>
        <w:t>Who may attend the Annual Meeting?</w:t>
      </w:r>
    </w:p>
    <w:p w:rsidR="00A621E3" w:rsidRDefault="00EC630E">
      <w:pPr>
        <w:spacing w:line="20" w:lineRule="exact"/>
        <w:rPr>
          <w:sz w:val="20"/>
          <w:szCs w:val="20"/>
        </w:rPr>
      </w:pPr>
      <w:r>
        <w:rPr>
          <w:noProof/>
          <w:sz w:val="20"/>
          <w:szCs w:val="20"/>
        </w:rPr>
        <w:drawing>
          <wp:anchor distT="0" distB="0" distL="114300" distR="114300" simplePos="0" relativeHeight="251270144"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0"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The Annual</w:t>
      </w:r>
      <w:r>
        <w:rPr>
          <w:rFonts w:ascii="Arial" w:eastAsia="Arial" w:hAnsi="Arial" w:cs="Arial"/>
          <w:sz w:val="20"/>
          <w:szCs w:val="20"/>
        </w:rPr>
        <w:t xml:space="preserve"> Meeting is open to all stockholders as of the close of business on March 27, 2023. If you hold your shares through a bank, broker or other nominee, you will be required to show the notice or voting instructions form you received from your bank, broker or </w:t>
      </w:r>
      <w:r>
        <w:rPr>
          <w:rFonts w:ascii="Arial" w:eastAsia="Arial" w:hAnsi="Arial" w:cs="Arial"/>
          <w:sz w:val="20"/>
          <w:szCs w:val="20"/>
        </w:rPr>
        <w:t>other nominee or a copy of a statement (such as a brokerage statement or legal proxy) from your bank, broker or other</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spacing w:line="260" w:lineRule="auto"/>
        <w:jc w:val="both"/>
        <w:rPr>
          <w:sz w:val="20"/>
          <w:szCs w:val="20"/>
        </w:rPr>
      </w:pPr>
      <w:r>
        <w:rPr>
          <w:rFonts w:ascii="Arial" w:eastAsia="Arial" w:hAnsi="Arial" w:cs="Arial"/>
          <w:sz w:val="20"/>
          <w:szCs w:val="20"/>
        </w:rPr>
        <w:t>nominee reflecting your stock ownership as of March 27, 2023 in order to be admitted to the meeting.</w:t>
      </w:r>
    </w:p>
    <w:p w:rsidR="00A621E3" w:rsidRDefault="00A621E3">
      <w:pPr>
        <w:spacing w:line="177" w:lineRule="exact"/>
        <w:rPr>
          <w:sz w:val="20"/>
          <w:szCs w:val="20"/>
        </w:rPr>
      </w:pPr>
    </w:p>
    <w:p w:rsidR="00A621E3" w:rsidRDefault="00EC630E">
      <w:pPr>
        <w:spacing w:line="282" w:lineRule="auto"/>
        <w:ind w:right="20"/>
        <w:jc w:val="both"/>
        <w:rPr>
          <w:sz w:val="20"/>
          <w:szCs w:val="20"/>
        </w:rPr>
      </w:pPr>
      <w:r>
        <w:rPr>
          <w:rFonts w:ascii="Arial" w:eastAsia="Arial" w:hAnsi="Arial" w:cs="Arial"/>
          <w:sz w:val="18"/>
          <w:szCs w:val="18"/>
        </w:rPr>
        <w:t xml:space="preserve">All attendees must bring valid </w:t>
      </w:r>
      <w:r>
        <w:rPr>
          <w:rFonts w:ascii="Arial" w:eastAsia="Arial" w:hAnsi="Arial" w:cs="Arial"/>
          <w:sz w:val="18"/>
          <w:szCs w:val="18"/>
        </w:rPr>
        <w:t>photo identification to gain admission to the meeting. Please note that computers, cameras, sound or video recording equipment, large bags, briefcases and packages will not be allowed in the meeting room.</w:t>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52" w:lineRule="exact"/>
        <w:rPr>
          <w:sz w:val="20"/>
          <w:szCs w:val="20"/>
        </w:rPr>
      </w:pPr>
    </w:p>
    <w:p w:rsidR="00A621E3" w:rsidRDefault="00EC630E">
      <w:pPr>
        <w:ind w:left="120"/>
        <w:rPr>
          <w:sz w:val="20"/>
          <w:szCs w:val="20"/>
        </w:rPr>
      </w:pPr>
      <w:r>
        <w:rPr>
          <w:rFonts w:ascii="Arial" w:eastAsia="Arial" w:hAnsi="Arial" w:cs="Arial"/>
          <w:b/>
          <w:bCs/>
          <w:color w:val="CF0A2C"/>
          <w:sz w:val="32"/>
          <w:szCs w:val="32"/>
        </w:rPr>
        <w:t>Who may vote?</w:t>
      </w:r>
    </w:p>
    <w:p w:rsidR="00A621E3" w:rsidRDefault="00EC630E">
      <w:pPr>
        <w:spacing w:line="20" w:lineRule="exact"/>
        <w:rPr>
          <w:sz w:val="20"/>
          <w:szCs w:val="20"/>
        </w:rPr>
      </w:pPr>
      <w:r>
        <w:rPr>
          <w:noProof/>
          <w:sz w:val="20"/>
          <w:szCs w:val="20"/>
        </w:rPr>
        <w:drawing>
          <wp:anchor distT="0" distB="0" distL="114300" distR="114300" simplePos="0" relativeHeight="251271168"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96" w:lineRule="exact"/>
        <w:rPr>
          <w:sz w:val="20"/>
          <w:szCs w:val="20"/>
        </w:rPr>
      </w:pPr>
    </w:p>
    <w:p w:rsidR="00A621E3" w:rsidRDefault="00EC630E">
      <w:pPr>
        <w:spacing w:line="269" w:lineRule="auto"/>
        <w:ind w:left="120"/>
        <w:jc w:val="both"/>
        <w:rPr>
          <w:sz w:val="20"/>
          <w:szCs w:val="20"/>
        </w:rPr>
      </w:pPr>
      <w:r>
        <w:rPr>
          <w:rFonts w:ascii="Arial" w:eastAsia="Arial" w:hAnsi="Arial" w:cs="Arial"/>
          <w:sz w:val="19"/>
          <w:szCs w:val="19"/>
        </w:rPr>
        <w:t>You may vote if you owned any shares of Company common stock as of the close of business on the record date, March 27, 2023. Each share of Company common stock</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6" w:lineRule="exact"/>
        <w:rPr>
          <w:sz w:val="20"/>
          <w:szCs w:val="20"/>
        </w:rPr>
      </w:pPr>
    </w:p>
    <w:p w:rsidR="00A621E3" w:rsidRDefault="00EC630E">
      <w:pPr>
        <w:spacing w:line="287" w:lineRule="auto"/>
        <w:ind w:right="20"/>
        <w:rPr>
          <w:sz w:val="20"/>
          <w:szCs w:val="20"/>
        </w:rPr>
      </w:pPr>
      <w:r>
        <w:rPr>
          <w:rFonts w:ascii="Arial" w:eastAsia="Arial" w:hAnsi="Arial" w:cs="Arial"/>
          <w:sz w:val="19"/>
          <w:szCs w:val="19"/>
        </w:rPr>
        <w:t>is entitled to one vote. As of March 27, 2023, there were 418,247,4</w:t>
      </w:r>
      <w:r>
        <w:rPr>
          <w:rFonts w:ascii="Arial" w:eastAsia="Arial" w:hAnsi="Arial" w:cs="Arial"/>
          <w:sz w:val="19"/>
          <w:szCs w:val="19"/>
        </w:rPr>
        <w:t>86 shares of Company common stock outstanding.</w:t>
      </w:r>
    </w:p>
    <w:p w:rsidR="00A621E3" w:rsidRDefault="00A621E3">
      <w:pPr>
        <w:spacing w:line="412"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47" w:lineRule="exact"/>
        <w:rPr>
          <w:sz w:val="20"/>
          <w:szCs w:val="20"/>
        </w:rPr>
      </w:pPr>
    </w:p>
    <w:p w:rsidR="00A621E3" w:rsidRDefault="00EC630E">
      <w:pPr>
        <w:ind w:left="120"/>
        <w:rPr>
          <w:sz w:val="20"/>
          <w:szCs w:val="20"/>
        </w:rPr>
      </w:pPr>
      <w:r>
        <w:rPr>
          <w:rFonts w:ascii="Arial" w:eastAsia="Arial" w:hAnsi="Arial" w:cs="Arial"/>
          <w:b/>
          <w:bCs/>
          <w:color w:val="CF0A2C"/>
          <w:sz w:val="32"/>
          <w:szCs w:val="32"/>
        </w:rPr>
        <w:t>What am I voting on?</w:t>
      </w:r>
    </w:p>
    <w:p w:rsidR="00A621E3" w:rsidRDefault="00EC630E">
      <w:pPr>
        <w:spacing w:line="20" w:lineRule="exact"/>
        <w:rPr>
          <w:sz w:val="20"/>
          <w:szCs w:val="20"/>
        </w:rPr>
      </w:pPr>
      <w:r>
        <w:rPr>
          <w:noProof/>
          <w:sz w:val="20"/>
          <w:szCs w:val="20"/>
        </w:rPr>
        <w:drawing>
          <wp:anchor distT="0" distB="0" distL="114300" distR="114300" simplePos="0" relativeHeight="251272192"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0" w:lineRule="exact"/>
        <w:rPr>
          <w:sz w:val="20"/>
          <w:szCs w:val="20"/>
        </w:rPr>
      </w:pPr>
    </w:p>
    <w:p w:rsidR="00A621E3" w:rsidRDefault="00EC630E">
      <w:pPr>
        <w:ind w:left="120"/>
        <w:rPr>
          <w:sz w:val="20"/>
          <w:szCs w:val="20"/>
        </w:rPr>
      </w:pPr>
      <w:r>
        <w:rPr>
          <w:rFonts w:ascii="Arial" w:eastAsia="Arial" w:hAnsi="Arial" w:cs="Arial"/>
          <w:sz w:val="19"/>
          <w:szCs w:val="19"/>
        </w:rPr>
        <w:t>You will be voting on the following six items of business at the</w:t>
      </w:r>
    </w:p>
    <w:p w:rsidR="00A621E3" w:rsidRDefault="00A621E3">
      <w:pPr>
        <w:spacing w:line="27" w:lineRule="exact"/>
        <w:rPr>
          <w:sz w:val="20"/>
          <w:szCs w:val="20"/>
        </w:rPr>
      </w:pPr>
    </w:p>
    <w:p w:rsidR="00A621E3" w:rsidRDefault="00EC630E">
      <w:pPr>
        <w:ind w:left="120"/>
        <w:rPr>
          <w:sz w:val="20"/>
          <w:szCs w:val="20"/>
        </w:rPr>
      </w:pPr>
      <w:r>
        <w:rPr>
          <w:rFonts w:ascii="Arial" w:eastAsia="Arial" w:hAnsi="Arial" w:cs="Arial"/>
          <w:sz w:val="20"/>
          <w:szCs w:val="20"/>
        </w:rPr>
        <w:t>Annual Meeting:</w:t>
      </w:r>
    </w:p>
    <w:p w:rsidR="00A621E3" w:rsidRDefault="00A621E3">
      <w:pPr>
        <w:spacing w:line="227" w:lineRule="exact"/>
        <w:rPr>
          <w:sz w:val="20"/>
          <w:szCs w:val="20"/>
        </w:rPr>
      </w:pPr>
    </w:p>
    <w:p w:rsidR="00A621E3" w:rsidRDefault="00EC630E">
      <w:pPr>
        <w:numPr>
          <w:ilvl w:val="0"/>
          <w:numId w:val="11"/>
        </w:numPr>
        <w:tabs>
          <w:tab w:val="left" w:pos="360"/>
        </w:tabs>
        <w:spacing w:line="260" w:lineRule="auto"/>
        <w:ind w:left="360" w:hanging="190"/>
        <w:rPr>
          <w:rFonts w:ascii="Arial" w:eastAsia="Arial" w:hAnsi="Arial" w:cs="Arial"/>
          <w:color w:val="CF0A2C"/>
          <w:sz w:val="20"/>
          <w:szCs w:val="20"/>
        </w:rPr>
      </w:pPr>
      <w:r>
        <w:rPr>
          <w:rFonts w:ascii="Arial" w:eastAsia="Arial" w:hAnsi="Arial" w:cs="Arial"/>
          <w:sz w:val="20"/>
          <w:szCs w:val="20"/>
        </w:rPr>
        <w:t xml:space="preserve">The election of the nine director nominees </w:t>
      </w:r>
      <w:r>
        <w:rPr>
          <w:rFonts w:ascii="Arial" w:eastAsia="Arial" w:hAnsi="Arial" w:cs="Arial"/>
          <w:sz w:val="20"/>
          <w:szCs w:val="20"/>
        </w:rPr>
        <w:t>named in this proxy statement to serve for a one-year term;</w:t>
      </w:r>
    </w:p>
    <w:p w:rsidR="00A621E3" w:rsidRDefault="00A621E3">
      <w:pPr>
        <w:spacing w:line="203" w:lineRule="exact"/>
        <w:rPr>
          <w:rFonts w:ascii="Arial" w:eastAsia="Arial" w:hAnsi="Arial" w:cs="Arial"/>
          <w:color w:val="CF0A2C"/>
          <w:sz w:val="20"/>
          <w:szCs w:val="20"/>
        </w:rPr>
      </w:pPr>
    </w:p>
    <w:p w:rsidR="00A621E3" w:rsidRDefault="00EC630E">
      <w:pPr>
        <w:numPr>
          <w:ilvl w:val="0"/>
          <w:numId w:val="11"/>
        </w:numPr>
        <w:tabs>
          <w:tab w:val="left" w:pos="360"/>
        </w:tabs>
        <w:spacing w:line="250" w:lineRule="auto"/>
        <w:ind w:left="360" w:hanging="190"/>
        <w:jc w:val="both"/>
        <w:rPr>
          <w:rFonts w:ascii="Arial" w:eastAsia="Arial" w:hAnsi="Arial" w:cs="Arial"/>
          <w:color w:val="CF0A2C"/>
          <w:sz w:val="20"/>
          <w:szCs w:val="20"/>
        </w:rPr>
      </w:pPr>
      <w:r>
        <w:rPr>
          <w:rFonts w:ascii="Arial" w:eastAsia="Arial" w:hAnsi="Arial" w:cs="Arial"/>
          <w:sz w:val="20"/>
          <w:szCs w:val="20"/>
        </w:rPr>
        <w:t>The approval and ratification of the appointment of KPMG Huazhen LLP and KPMG as the Company’s independent auditors for 2023;</w:t>
      </w:r>
    </w:p>
    <w:p w:rsidR="00A621E3" w:rsidRDefault="00A621E3">
      <w:pPr>
        <w:spacing w:line="212" w:lineRule="exact"/>
        <w:rPr>
          <w:rFonts w:ascii="Arial" w:eastAsia="Arial" w:hAnsi="Arial" w:cs="Arial"/>
          <w:color w:val="CF0A2C"/>
          <w:sz w:val="20"/>
          <w:szCs w:val="20"/>
        </w:rPr>
      </w:pPr>
    </w:p>
    <w:p w:rsidR="00A621E3" w:rsidRDefault="00EC630E">
      <w:pPr>
        <w:numPr>
          <w:ilvl w:val="0"/>
          <w:numId w:val="11"/>
        </w:numPr>
        <w:tabs>
          <w:tab w:val="left" w:pos="360"/>
        </w:tabs>
        <w:spacing w:line="260" w:lineRule="auto"/>
        <w:ind w:left="360" w:right="20" w:hanging="190"/>
        <w:rPr>
          <w:rFonts w:ascii="Arial" w:eastAsia="Arial" w:hAnsi="Arial" w:cs="Arial"/>
          <w:color w:val="CF0A2C"/>
          <w:sz w:val="20"/>
          <w:szCs w:val="20"/>
        </w:rPr>
      </w:pPr>
      <w:r>
        <w:rPr>
          <w:rFonts w:ascii="Arial" w:eastAsia="Arial" w:hAnsi="Arial" w:cs="Arial"/>
          <w:sz w:val="20"/>
          <w:szCs w:val="20"/>
        </w:rPr>
        <w:t>The approval, on an advisory basis, of the Company’s named executive</w:t>
      </w:r>
      <w:r>
        <w:rPr>
          <w:rFonts w:ascii="Arial" w:eastAsia="Arial" w:hAnsi="Arial" w:cs="Arial"/>
          <w:sz w:val="20"/>
          <w:szCs w:val="20"/>
        </w:rPr>
        <w:t xml:space="preserve"> officer compensation;</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numPr>
          <w:ilvl w:val="0"/>
          <w:numId w:val="12"/>
        </w:numPr>
        <w:tabs>
          <w:tab w:val="left" w:pos="240"/>
        </w:tabs>
        <w:spacing w:line="250" w:lineRule="auto"/>
        <w:ind w:left="240" w:right="20" w:hanging="192"/>
        <w:jc w:val="both"/>
        <w:rPr>
          <w:rFonts w:ascii="Arial" w:eastAsia="Arial" w:hAnsi="Arial" w:cs="Arial"/>
          <w:color w:val="CF0A2C"/>
          <w:sz w:val="20"/>
          <w:szCs w:val="20"/>
        </w:rPr>
      </w:pPr>
      <w:r>
        <w:rPr>
          <w:rFonts w:ascii="Arial" w:eastAsia="Arial" w:hAnsi="Arial" w:cs="Arial"/>
          <w:sz w:val="20"/>
          <w:szCs w:val="20"/>
        </w:rPr>
        <w:t>The approval, on an advisory basis, of the frequency of the advisory vote to approve the Company’s named executive officer compensation;</w:t>
      </w:r>
    </w:p>
    <w:p w:rsidR="00A621E3" w:rsidRDefault="00A621E3">
      <w:pPr>
        <w:spacing w:line="212" w:lineRule="exact"/>
        <w:rPr>
          <w:rFonts w:ascii="Arial" w:eastAsia="Arial" w:hAnsi="Arial" w:cs="Arial"/>
          <w:color w:val="CF0A2C"/>
          <w:sz w:val="20"/>
          <w:szCs w:val="20"/>
        </w:rPr>
      </w:pPr>
    </w:p>
    <w:p w:rsidR="00A621E3" w:rsidRDefault="00EC630E">
      <w:pPr>
        <w:numPr>
          <w:ilvl w:val="0"/>
          <w:numId w:val="12"/>
        </w:numPr>
        <w:tabs>
          <w:tab w:val="left" w:pos="240"/>
        </w:tabs>
        <w:spacing w:line="316" w:lineRule="auto"/>
        <w:ind w:left="240" w:right="20" w:hanging="192"/>
        <w:rPr>
          <w:rFonts w:ascii="Arial" w:eastAsia="Arial" w:hAnsi="Arial" w:cs="Arial"/>
          <w:color w:val="CF0A2C"/>
          <w:sz w:val="18"/>
          <w:szCs w:val="18"/>
        </w:rPr>
      </w:pPr>
      <w:r>
        <w:rPr>
          <w:rFonts w:ascii="Arial" w:eastAsia="Arial" w:hAnsi="Arial" w:cs="Arial"/>
          <w:sz w:val="18"/>
          <w:szCs w:val="18"/>
        </w:rPr>
        <w:t xml:space="preserve">The authorization to issue shares up to 20% of the total number of outstanding shares of </w:t>
      </w:r>
      <w:r>
        <w:rPr>
          <w:rFonts w:ascii="Arial" w:eastAsia="Arial" w:hAnsi="Arial" w:cs="Arial"/>
          <w:sz w:val="18"/>
          <w:szCs w:val="18"/>
        </w:rPr>
        <w:t>common stock of the Company; and</w:t>
      </w:r>
    </w:p>
    <w:p w:rsidR="00A621E3" w:rsidRDefault="00A621E3">
      <w:pPr>
        <w:spacing w:line="156" w:lineRule="exact"/>
        <w:rPr>
          <w:rFonts w:ascii="Arial" w:eastAsia="Arial" w:hAnsi="Arial" w:cs="Arial"/>
          <w:color w:val="CF0A2C"/>
          <w:sz w:val="18"/>
          <w:szCs w:val="18"/>
        </w:rPr>
      </w:pPr>
    </w:p>
    <w:p w:rsidR="00A621E3" w:rsidRDefault="00EC630E">
      <w:pPr>
        <w:numPr>
          <w:ilvl w:val="0"/>
          <w:numId w:val="12"/>
        </w:numPr>
        <w:tabs>
          <w:tab w:val="left" w:pos="240"/>
        </w:tabs>
        <w:spacing w:line="316" w:lineRule="auto"/>
        <w:ind w:left="240" w:right="20" w:hanging="192"/>
        <w:rPr>
          <w:rFonts w:ascii="Arial" w:eastAsia="Arial" w:hAnsi="Arial" w:cs="Arial"/>
          <w:color w:val="CF0A2C"/>
          <w:sz w:val="18"/>
          <w:szCs w:val="18"/>
        </w:rPr>
      </w:pPr>
      <w:r>
        <w:rPr>
          <w:rFonts w:ascii="Arial" w:eastAsia="Arial" w:hAnsi="Arial" w:cs="Arial"/>
          <w:sz w:val="18"/>
          <w:szCs w:val="18"/>
        </w:rPr>
        <w:t>The authorization to repurchase up to 10% of the total number of outstanding shares of common stock of the Company.</w:t>
      </w:r>
    </w:p>
    <w:p w:rsidR="00A621E3" w:rsidRDefault="00A621E3">
      <w:pPr>
        <w:spacing w:line="130" w:lineRule="exact"/>
        <w:rPr>
          <w:sz w:val="20"/>
          <w:szCs w:val="20"/>
        </w:rPr>
      </w:pPr>
    </w:p>
    <w:p w:rsidR="00A621E3" w:rsidRDefault="00EC630E">
      <w:pPr>
        <w:spacing w:line="260" w:lineRule="auto"/>
        <w:ind w:right="20"/>
        <w:rPr>
          <w:sz w:val="20"/>
          <w:szCs w:val="20"/>
        </w:rPr>
      </w:pPr>
      <w:r>
        <w:rPr>
          <w:rFonts w:ascii="Arial" w:eastAsia="Arial" w:hAnsi="Arial" w:cs="Arial"/>
          <w:sz w:val="20"/>
          <w:szCs w:val="20"/>
        </w:rPr>
        <w:t>We will also consider other business that properly comes before the meeting.</w:t>
      </w:r>
    </w:p>
    <w:p w:rsidR="00A621E3" w:rsidRDefault="00A621E3">
      <w:pPr>
        <w:spacing w:line="226"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41" w:lineRule="exact"/>
        <w:rPr>
          <w:sz w:val="20"/>
          <w:szCs w:val="20"/>
        </w:rPr>
      </w:pPr>
    </w:p>
    <w:p w:rsidR="00A621E3" w:rsidRDefault="00EC630E">
      <w:pPr>
        <w:ind w:left="120"/>
        <w:rPr>
          <w:sz w:val="20"/>
          <w:szCs w:val="20"/>
        </w:rPr>
      </w:pPr>
      <w:r>
        <w:rPr>
          <w:rFonts w:ascii="Arial" w:eastAsia="Arial" w:hAnsi="Arial" w:cs="Arial"/>
          <w:b/>
          <w:bCs/>
          <w:color w:val="CF0A2C"/>
          <w:sz w:val="32"/>
          <w:szCs w:val="32"/>
        </w:rPr>
        <w:t>How does the Board of Directors recommend that I vote?</w:t>
      </w:r>
    </w:p>
    <w:p w:rsidR="00A621E3" w:rsidRDefault="00EC630E">
      <w:pPr>
        <w:spacing w:line="20" w:lineRule="exact"/>
        <w:rPr>
          <w:sz w:val="20"/>
          <w:szCs w:val="20"/>
        </w:rPr>
      </w:pPr>
      <w:r>
        <w:rPr>
          <w:noProof/>
          <w:sz w:val="20"/>
          <w:szCs w:val="20"/>
        </w:rPr>
        <w:drawing>
          <wp:anchor distT="0" distB="0" distL="114300" distR="114300" simplePos="0" relativeHeight="251273216"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0" w:lineRule="exact"/>
        <w:rPr>
          <w:sz w:val="20"/>
          <w:szCs w:val="20"/>
        </w:rPr>
      </w:pPr>
    </w:p>
    <w:p w:rsidR="00A621E3" w:rsidRDefault="00EC630E">
      <w:pPr>
        <w:ind w:left="120"/>
        <w:rPr>
          <w:sz w:val="20"/>
          <w:szCs w:val="20"/>
        </w:rPr>
      </w:pPr>
      <w:r>
        <w:rPr>
          <w:rFonts w:ascii="Arial" w:eastAsia="Arial" w:hAnsi="Arial" w:cs="Arial"/>
          <w:sz w:val="18"/>
          <w:szCs w:val="18"/>
        </w:rPr>
        <w:t>Our Board of Directors recommends that you vote your shares:</w:t>
      </w:r>
    </w:p>
    <w:p w:rsidR="00A621E3" w:rsidRDefault="00A621E3">
      <w:pPr>
        <w:spacing w:line="260" w:lineRule="exact"/>
        <w:rPr>
          <w:sz w:val="20"/>
          <w:szCs w:val="20"/>
        </w:rPr>
      </w:pPr>
    </w:p>
    <w:p w:rsidR="00A621E3" w:rsidRDefault="00EC630E">
      <w:pPr>
        <w:numPr>
          <w:ilvl w:val="0"/>
          <w:numId w:val="13"/>
        </w:numPr>
        <w:tabs>
          <w:tab w:val="left" w:pos="360"/>
        </w:tabs>
        <w:spacing w:line="267" w:lineRule="auto"/>
        <w:ind w:left="360" w:hanging="190"/>
        <w:rPr>
          <w:rFonts w:ascii="Arial" w:eastAsia="Arial" w:hAnsi="Arial" w:cs="Arial"/>
          <w:color w:val="CF0A2C"/>
          <w:sz w:val="20"/>
          <w:szCs w:val="20"/>
        </w:rPr>
      </w:pPr>
      <w:r>
        <w:rPr>
          <w:rFonts w:ascii="Arial" w:eastAsia="Arial" w:hAnsi="Arial" w:cs="Arial"/>
          <w:b/>
          <w:bCs/>
          <w:sz w:val="20"/>
          <w:szCs w:val="20"/>
        </w:rPr>
        <w:t xml:space="preserve">FOR </w:t>
      </w:r>
      <w:r>
        <w:rPr>
          <w:rFonts w:ascii="Arial" w:eastAsia="Arial" w:hAnsi="Arial" w:cs="Arial"/>
          <w:sz w:val="20"/>
          <w:szCs w:val="20"/>
        </w:rPr>
        <w:t>each of the nine nominees named in this proxy statement</w:t>
      </w:r>
      <w:r>
        <w:rPr>
          <w:rFonts w:ascii="Arial" w:eastAsia="Arial" w:hAnsi="Arial" w:cs="Arial"/>
          <w:b/>
          <w:bCs/>
          <w:sz w:val="20"/>
          <w:szCs w:val="20"/>
        </w:rPr>
        <w:t xml:space="preserve"> </w:t>
      </w:r>
      <w:r>
        <w:rPr>
          <w:rFonts w:ascii="Arial" w:eastAsia="Arial" w:hAnsi="Arial" w:cs="Arial"/>
          <w:sz w:val="20"/>
          <w:szCs w:val="20"/>
        </w:rPr>
        <w:t>for election to the Board;</w:t>
      </w:r>
    </w:p>
    <w:p w:rsidR="00A621E3" w:rsidRDefault="00A621E3">
      <w:pPr>
        <w:spacing w:line="190" w:lineRule="exact"/>
        <w:rPr>
          <w:rFonts w:ascii="Arial" w:eastAsia="Arial" w:hAnsi="Arial" w:cs="Arial"/>
          <w:color w:val="CF0A2C"/>
          <w:sz w:val="20"/>
          <w:szCs w:val="20"/>
        </w:rPr>
      </w:pPr>
    </w:p>
    <w:p w:rsidR="00A621E3" w:rsidRDefault="00EC630E">
      <w:pPr>
        <w:numPr>
          <w:ilvl w:val="0"/>
          <w:numId w:val="13"/>
        </w:numPr>
        <w:tabs>
          <w:tab w:val="left" w:pos="360"/>
        </w:tabs>
        <w:spacing w:line="253" w:lineRule="auto"/>
        <w:ind w:left="360" w:hanging="190"/>
        <w:jc w:val="both"/>
        <w:rPr>
          <w:rFonts w:ascii="Arial" w:eastAsia="Arial" w:hAnsi="Arial" w:cs="Arial"/>
          <w:color w:val="CF0A2C"/>
          <w:sz w:val="20"/>
          <w:szCs w:val="20"/>
        </w:rPr>
      </w:pPr>
      <w:r>
        <w:rPr>
          <w:rFonts w:ascii="Arial" w:eastAsia="Arial" w:hAnsi="Arial" w:cs="Arial"/>
          <w:b/>
          <w:bCs/>
          <w:sz w:val="20"/>
          <w:szCs w:val="20"/>
        </w:rPr>
        <w:t xml:space="preserve">FOR </w:t>
      </w:r>
      <w:r>
        <w:rPr>
          <w:rFonts w:ascii="Arial" w:eastAsia="Arial" w:hAnsi="Arial" w:cs="Arial"/>
          <w:sz w:val="20"/>
          <w:szCs w:val="20"/>
        </w:rPr>
        <w:t xml:space="preserve">the approval and </w:t>
      </w:r>
      <w:r>
        <w:rPr>
          <w:rFonts w:ascii="Arial" w:eastAsia="Arial" w:hAnsi="Arial" w:cs="Arial"/>
          <w:sz w:val="20"/>
          <w:szCs w:val="20"/>
        </w:rPr>
        <w:t>ratification of the appointment of</w:t>
      </w:r>
      <w:r>
        <w:rPr>
          <w:rFonts w:ascii="Arial" w:eastAsia="Arial" w:hAnsi="Arial" w:cs="Arial"/>
          <w:b/>
          <w:bCs/>
          <w:sz w:val="20"/>
          <w:szCs w:val="20"/>
        </w:rPr>
        <w:t xml:space="preserve"> </w:t>
      </w:r>
      <w:r>
        <w:rPr>
          <w:rFonts w:ascii="Arial" w:eastAsia="Arial" w:hAnsi="Arial" w:cs="Arial"/>
          <w:sz w:val="20"/>
          <w:szCs w:val="20"/>
        </w:rPr>
        <w:t>KPMG Huazhen LLP and KPMG as our independent auditors for 2023;</w:t>
      </w:r>
    </w:p>
    <w:p w:rsidR="00A621E3" w:rsidRDefault="00A621E3">
      <w:pPr>
        <w:spacing w:line="204" w:lineRule="exact"/>
        <w:rPr>
          <w:rFonts w:ascii="Arial" w:eastAsia="Arial" w:hAnsi="Arial" w:cs="Arial"/>
          <w:color w:val="CF0A2C"/>
          <w:sz w:val="20"/>
          <w:szCs w:val="20"/>
        </w:rPr>
      </w:pPr>
    </w:p>
    <w:p w:rsidR="00A621E3" w:rsidRDefault="00EC630E">
      <w:pPr>
        <w:numPr>
          <w:ilvl w:val="0"/>
          <w:numId w:val="13"/>
        </w:numPr>
        <w:tabs>
          <w:tab w:val="left" w:pos="360"/>
        </w:tabs>
        <w:ind w:left="360" w:hanging="190"/>
        <w:rPr>
          <w:rFonts w:ascii="Arial" w:eastAsia="Arial" w:hAnsi="Arial" w:cs="Arial"/>
          <w:color w:val="CF0A2C"/>
          <w:sz w:val="18"/>
          <w:szCs w:val="18"/>
        </w:rPr>
      </w:pPr>
      <w:r>
        <w:rPr>
          <w:rFonts w:ascii="Arial" w:eastAsia="Arial" w:hAnsi="Arial" w:cs="Arial"/>
          <w:b/>
          <w:bCs/>
          <w:sz w:val="18"/>
          <w:szCs w:val="18"/>
        </w:rPr>
        <w:t xml:space="preserve">FOR </w:t>
      </w:r>
      <w:r>
        <w:rPr>
          <w:rFonts w:ascii="Arial" w:eastAsia="Arial" w:hAnsi="Arial" w:cs="Arial"/>
          <w:sz w:val="18"/>
          <w:szCs w:val="18"/>
        </w:rPr>
        <w:t>the proposal on named executive officer compensation;</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84" w:lineRule="exact"/>
        <w:rPr>
          <w:sz w:val="20"/>
          <w:szCs w:val="20"/>
        </w:rPr>
      </w:pPr>
    </w:p>
    <w:p w:rsidR="00A621E3" w:rsidRDefault="00EC630E">
      <w:pPr>
        <w:numPr>
          <w:ilvl w:val="0"/>
          <w:numId w:val="14"/>
        </w:numPr>
        <w:tabs>
          <w:tab w:val="left" w:pos="192"/>
        </w:tabs>
        <w:spacing w:line="267" w:lineRule="auto"/>
        <w:ind w:left="192" w:right="20" w:hanging="192"/>
        <w:rPr>
          <w:rFonts w:ascii="Arial" w:eastAsia="Arial" w:hAnsi="Arial" w:cs="Arial"/>
          <w:color w:val="CF0A2C"/>
          <w:sz w:val="20"/>
          <w:szCs w:val="20"/>
        </w:rPr>
      </w:pPr>
      <w:r>
        <w:rPr>
          <w:rFonts w:ascii="Arial" w:eastAsia="Arial" w:hAnsi="Arial" w:cs="Arial"/>
          <w:sz w:val="20"/>
          <w:szCs w:val="20"/>
        </w:rPr>
        <w:t xml:space="preserve">for 1 </w:t>
      </w:r>
      <w:r>
        <w:rPr>
          <w:rFonts w:ascii="Arial" w:eastAsia="Arial" w:hAnsi="Arial" w:cs="Arial"/>
          <w:b/>
          <w:bCs/>
          <w:sz w:val="20"/>
          <w:szCs w:val="20"/>
        </w:rPr>
        <w:t>YEAR</w:t>
      </w:r>
      <w:r>
        <w:rPr>
          <w:rFonts w:ascii="Arial" w:eastAsia="Arial" w:hAnsi="Arial" w:cs="Arial"/>
          <w:sz w:val="20"/>
          <w:szCs w:val="20"/>
        </w:rPr>
        <w:t xml:space="preserve"> as the frequency of the proposal on named executive officer compensation;</w:t>
      </w:r>
    </w:p>
    <w:p w:rsidR="00A621E3" w:rsidRDefault="00A621E3">
      <w:pPr>
        <w:spacing w:line="190" w:lineRule="exact"/>
        <w:rPr>
          <w:rFonts w:ascii="Arial" w:eastAsia="Arial" w:hAnsi="Arial" w:cs="Arial"/>
          <w:color w:val="CF0A2C"/>
          <w:sz w:val="20"/>
          <w:szCs w:val="20"/>
        </w:rPr>
      </w:pPr>
    </w:p>
    <w:p w:rsidR="00A621E3" w:rsidRDefault="00EC630E">
      <w:pPr>
        <w:numPr>
          <w:ilvl w:val="0"/>
          <w:numId w:val="14"/>
        </w:numPr>
        <w:tabs>
          <w:tab w:val="left" w:pos="192"/>
        </w:tabs>
        <w:spacing w:line="253" w:lineRule="auto"/>
        <w:ind w:left="192" w:right="20" w:hanging="192"/>
        <w:jc w:val="both"/>
        <w:rPr>
          <w:rFonts w:ascii="Arial" w:eastAsia="Arial" w:hAnsi="Arial" w:cs="Arial"/>
          <w:color w:val="CF0A2C"/>
          <w:sz w:val="20"/>
          <w:szCs w:val="20"/>
        </w:rPr>
      </w:pPr>
      <w:r>
        <w:rPr>
          <w:rFonts w:ascii="Arial" w:eastAsia="Arial" w:hAnsi="Arial" w:cs="Arial"/>
          <w:b/>
          <w:bCs/>
          <w:sz w:val="20"/>
          <w:szCs w:val="20"/>
        </w:rPr>
        <w:t xml:space="preserve">FOR </w:t>
      </w:r>
      <w:r>
        <w:rPr>
          <w:rFonts w:ascii="Arial" w:eastAsia="Arial" w:hAnsi="Arial" w:cs="Arial"/>
          <w:sz w:val="20"/>
          <w:szCs w:val="20"/>
        </w:rPr>
        <w:t xml:space="preserve">the </w:t>
      </w:r>
      <w:r>
        <w:rPr>
          <w:rFonts w:ascii="Arial" w:eastAsia="Arial" w:hAnsi="Arial" w:cs="Arial"/>
          <w:sz w:val="20"/>
          <w:szCs w:val="20"/>
        </w:rPr>
        <w:t>authorization to issue shares up to 20% of the total</w:t>
      </w:r>
      <w:r>
        <w:rPr>
          <w:rFonts w:ascii="Arial" w:eastAsia="Arial" w:hAnsi="Arial" w:cs="Arial"/>
          <w:b/>
          <w:bCs/>
          <w:sz w:val="20"/>
          <w:szCs w:val="20"/>
        </w:rPr>
        <w:t xml:space="preserve"> </w:t>
      </w:r>
      <w:r>
        <w:rPr>
          <w:rFonts w:ascii="Arial" w:eastAsia="Arial" w:hAnsi="Arial" w:cs="Arial"/>
          <w:sz w:val="20"/>
          <w:szCs w:val="20"/>
        </w:rPr>
        <w:t>number of outstanding shares of common stock of the Company; and</w:t>
      </w:r>
    </w:p>
    <w:p w:rsidR="00A621E3" w:rsidRDefault="00A621E3">
      <w:pPr>
        <w:spacing w:line="204" w:lineRule="exact"/>
        <w:rPr>
          <w:rFonts w:ascii="Arial" w:eastAsia="Arial" w:hAnsi="Arial" w:cs="Arial"/>
          <w:color w:val="CF0A2C"/>
          <w:sz w:val="20"/>
          <w:szCs w:val="20"/>
        </w:rPr>
      </w:pPr>
    </w:p>
    <w:p w:rsidR="00A621E3" w:rsidRDefault="00EC630E">
      <w:pPr>
        <w:numPr>
          <w:ilvl w:val="0"/>
          <w:numId w:val="14"/>
        </w:numPr>
        <w:tabs>
          <w:tab w:val="left" w:pos="192"/>
        </w:tabs>
        <w:spacing w:line="393" w:lineRule="auto"/>
        <w:ind w:left="192" w:right="20" w:hanging="192"/>
        <w:jc w:val="both"/>
        <w:rPr>
          <w:rFonts w:ascii="Arial" w:eastAsia="Arial" w:hAnsi="Arial" w:cs="Arial"/>
          <w:color w:val="CF0A2C"/>
          <w:sz w:val="16"/>
          <w:szCs w:val="16"/>
        </w:rPr>
      </w:pPr>
      <w:r>
        <w:rPr>
          <w:rFonts w:ascii="Arial" w:eastAsia="Arial" w:hAnsi="Arial" w:cs="Arial"/>
          <w:b/>
          <w:bCs/>
          <w:sz w:val="16"/>
          <w:szCs w:val="16"/>
        </w:rPr>
        <w:t xml:space="preserve">FOR </w:t>
      </w:r>
      <w:r>
        <w:rPr>
          <w:rFonts w:ascii="Arial" w:eastAsia="Arial" w:hAnsi="Arial" w:cs="Arial"/>
          <w:sz w:val="16"/>
          <w:szCs w:val="16"/>
        </w:rPr>
        <w:t>the authorization to repurchase up to 10% of the total</w:t>
      </w:r>
      <w:r>
        <w:rPr>
          <w:rFonts w:ascii="Arial" w:eastAsia="Arial" w:hAnsi="Arial" w:cs="Arial"/>
          <w:b/>
          <w:bCs/>
          <w:sz w:val="16"/>
          <w:szCs w:val="16"/>
        </w:rPr>
        <w:t xml:space="preserve"> </w:t>
      </w:r>
      <w:r>
        <w:rPr>
          <w:rFonts w:ascii="Arial" w:eastAsia="Arial" w:hAnsi="Arial" w:cs="Arial"/>
          <w:sz w:val="16"/>
          <w:szCs w:val="16"/>
        </w:rPr>
        <w:t>number of outstanding shares of common stock of the Company.</w:t>
      </w:r>
    </w:p>
    <w:p w:rsidR="00A621E3" w:rsidRDefault="00A621E3">
      <w:pPr>
        <w:spacing w:line="276"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88"/>
            <w:col w:w="5352"/>
          </w:cols>
        </w:sectPr>
      </w:pPr>
    </w:p>
    <w:p w:rsidR="00A621E3" w:rsidRDefault="00A621E3">
      <w:pPr>
        <w:spacing w:line="129"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7</w:t>
      </w:r>
    </w:p>
    <w:p w:rsidR="00A621E3" w:rsidRDefault="00EC630E">
      <w:pPr>
        <w:spacing w:line="20" w:lineRule="exact"/>
        <w:rPr>
          <w:sz w:val="20"/>
          <w:szCs w:val="20"/>
        </w:rPr>
      </w:pPr>
      <w:r>
        <w:rPr>
          <w:noProof/>
          <w:sz w:val="20"/>
          <w:szCs w:val="20"/>
        </w:rPr>
        <w:drawing>
          <wp:anchor distT="0" distB="0" distL="114300" distR="114300" simplePos="0" relativeHeight="251274240"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13" w:name="page13"/>
      <w:bookmarkEnd w:id="13"/>
      <w:r>
        <w:rPr>
          <w:rFonts w:ascii="Arial" w:eastAsia="Arial" w:hAnsi="Arial" w:cs="Arial"/>
          <w:b/>
          <w:bCs/>
          <w:noProof/>
          <w:color w:val="0000EE"/>
          <w:sz w:val="18"/>
          <w:szCs w:val="18"/>
          <w:u w:val="single"/>
        </w:rPr>
        <w:lastRenderedPageBreak/>
        <w:drawing>
          <wp:anchor distT="0" distB="0" distL="114300" distR="114300" simplePos="0" relativeHeight="25127526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A621E3">
      <w:pPr>
        <w:spacing w:line="387" w:lineRule="exact"/>
        <w:rPr>
          <w:sz w:val="20"/>
          <w:szCs w:val="20"/>
        </w:rPr>
      </w:pPr>
    </w:p>
    <w:p w:rsidR="00A621E3" w:rsidRDefault="00EC630E">
      <w:pPr>
        <w:ind w:left="180"/>
        <w:rPr>
          <w:sz w:val="20"/>
          <w:szCs w:val="20"/>
        </w:rPr>
      </w:pPr>
      <w:r>
        <w:rPr>
          <w:rFonts w:ascii="Arial" w:eastAsia="Arial" w:hAnsi="Arial" w:cs="Arial"/>
          <w:b/>
          <w:bCs/>
          <w:color w:val="FFFFFF"/>
          <w:sz w:val="16"/>
          <w:szCs w:val="16"/>
          <w:shd w:val="clear" w:color="auto" w:fill="CF0A2C"/>
        </w:rPr>
        <w:t>QUESTIONS AND ANSWERS ABOUT THE MEETING AND VOTING</w:t>
      </w:r>
    </w:p>
    <w:p w:rsidR="00A621E3" w:rsidRDefault="00A621E3">
      <w:pPr>
        <w:spacing w:line="189" w:lineRule="exact"/>
        <w:rPr>
          <w:sz w:val="20"/>
          <w:szCs w:val="20"/>
        </w:rPr>
      </w:pPr>
    </w:p>
    <w:p w:rsidR="00A621E3" w:rsidRDefault="00EC630E">
      <w:pPr>
        <w:ind w:left="120"/>
        <w:rPr>
          <w:sz w:val="20"/>
          <w:szCs w:val="20"/>
        </w:rPr>
      </w:pPr>
      <w:r>
        <w:rPr>
          <w:rFonts w:ascii="Arial" w:eastAsia="Arial" w:hAnsi="Arial" w:cs="Arial"/>
          <w:b/>
          <w:bCs/>
          <w:color w:val="CF0A2C"/>
          <w:sz w:val="32"/>
          <w:szCs w:val="32"/>
        </w:rPr>
        <w:t>How do I vote before the Annual Meeting?</w:t>
      </w:r>
    </w:p>
    <w:p w:rsidR="00A621E3" w:rsidRDefault="00EC630E">
      <w:pPr>
        <w:spacing w:line="20" w:lineRule="exact"/>
        <w:rPr>
          <w:sz w:val="20"/>
          <w:szCs w:val="20"/>
        </w:rPr>
      </w:pPr>
      <w:r>
        <w:rPr>
          <w:noProof/>
          <w:sz w:val="20"/>
          <w:szCs w:val="20"/>
        </w:rPr>
        <w:drawing>
          <wp:anchor distT="0" distB="0" distL="114300" distR="114300" simplePos="0" relativeHeight="251276288"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0" w:lineRule="exact"/>
        <w:rPr>
          <w:sz w:val="20"/>
          <w:szCs w:val="20"/>
        </w:rPr>
      </w:pPr>
    </w:p>
    <w:p w:rsidR="00A621E3" w:rsidRDefault="00EC630E">
      <w:pPr>
        <w:ind w:left="120"/>
        <w:rPr>
          <w:sz w:val="20"/>
          <w:szCs w:val="20"/>
        </w:rPr>
      </w:pPr>
      <w:r>
        <w:rPr>
          <w:rFonts w:ascii="Arial" w:eastAsia="Arial" w:hAnsi="Arial" w:cs="Arial"/>
          <w:sz w:val="20"/>
          <w:szCs w:val="20"/>
        </w:rPr>
        <w:t>There are three ways to vote</w:t>
      </w:r>
      <w:r>
        <w:rPr>
          <w:rFonts w:ascii="Arial" w:eastAsia="Arial" w:hAnsi="Arial" w:cs="Arial"/>
          <w:sz w:val="20"/>
          <w:szCs w:val="20"/>
        </w:rPr>
        <w:t xml:space="preserve"> before the meeting:</w:t>
      </w:r>
    </w:p>
    <w:p w:rsidR="00A621E3" w:rsidRDefault="00A621E3">
      <w:pPr>
        <w:spacing w:line="237" w:lineRule="exact"/>
        <w:rPr>
          <w:sz w:val="20"/>
          <w:szCs w:val="20"/>
        </w:rPr>
      </w:pPr>
    </w:p>
    <w:p w:rsidR="00A621E3" w:rsidRDefault="00EC630E">
      <w:pPr>
        <w:numPr>
          <w:ilvl w:val="0"/>
          <w:numId w:val="15"/>
        </w:numPr>
        <w:tabs>
          <w:tab w:val="left" w:pos="360"/>
        </w:tabs>
        <w:spacing w:line="253" w:lineRule="auto"/>
        <w:ind w:left="360" w:hanging="190"/>
        <w:jc w:val="both"/>
        <w:rPr>
          <w:rFonts w:ascii="Arial" w:eastAsia="Arial" w:hAnsi="Arial" w:cs="Arial"/>
          <w:color w:val="CF0A2C"/>
          <w:sz w:val="20"/>
          <w:szCs w:val="20"/>
        </w:rPr>
      </w:pPr>
      <w:r>
        <w:rPr>
          <w:rFonts w:ascii="Arial" w:eastAsia="Arial" w:hAnsi="Arial" w:cs="Arial"/>
          <w:sz w:val="20"/>
          <w:szCs w:val="20"/>
        </w:rPr>
        <w:t xml:space="preserve">By </w:t>
      </w:r>
      <w:r>
        <w:rPr>
          <w:rFonts w:ascii="Arial" w:eastAsia="Arial" w:hAnsi="Arial" w:cs="Arial"/>
          <w:b/>
          <w:bCs/>
          <w:sz w:val="20"/>
          <w:szCs w:val="20"/>
        </w:rPr>
        <w:t>Internet</w:t>
      </w:r>
      <w:r>
        <w:rPr>
          <w:rFonts w:ascii="Arial" w:eastAsia="Arial" w:hAnsi="Arial" w:cs="Arial"/>
          <w:sz w:val="20"/>
          <w:szCs w:val="20"/>
        </w:rPr>
        <w:t xml:space="preserve">—we encourage you to vote online at </w:t>
      </w:r>
      <w:r>
        <w:rPr>
          <w:rFonts w:ascii="Arial" w:eastAsia="Arial" w:hAnsi="Arial" w:cs="Arial"/>
          <w:i/>
          <w:iCs/>
          <w:sz w:val="20"/>
          <w:szCs w:val="20"/>
        </w:rPr>
        <w:t xml:space="preserve">www.proxyvote.com </w:t>
      </w:r>
      <w:r>
        <w:rPr>
          <w:rFonts w:ascii="Arial" w:eastAsia="Arial" w:hAnsi="Arial" w:cs="Arial"/>
          <w:sz w:val="20"/>
          <w:szCs w:val="20"/>
        </w:rPr>
        <w:t>by following instructions on the Notice or</w:t>
      </w:r>
      <w:r>
        <w:rPr>
          <w:rFonts w:ascii="Arial" w:eastAsia="Arial" w:hAnsi="Arial" w:cs="Arial"/>
          <w:i/>
          <w:iCs/>
          <w:sz w:val="20"/>
          <w:szCs w:val="20"/>
        </w:rPr>
        <w:t xml:space="preserve"> </w:t>
      </w:r>
      <w:r>
        <w:rPr>
          <w:rFonts w:ascii="Arial" w:eastAsia="Arial" w:hAnsi="Arial" w:cs="Arial"/>
          <w:sz w:val="20"/>
          <w:szCs w:val="20"/>
        </w:rPr>
        <w:t>proxy card;</w:t>
      </w:r>
    </w:p>
    <w:p w:rsidR="00A621E3" w:rsidRDefault="00A621E3">
      <w:pPr>
        <w:spacing w:line="204" w:lineRule="exact"/>
        <w:rPr>
          <w:rFonts w:ascii="Arial" w:eastAsia="Arial" w:hAnsi="Arial" w:cs="Arial"/>
          <w:color w:val="CF0A2C"/>
          <w:sz w:val="20"/>
          <w:szCs w:val="20"/>
        </w:rPr>
      </w:pPr>
    </w:p>
    <w:p w:rsidR="00A621E3" w:rsidRDefault="00EC630E">
      <w:pPr>
        <w:numPr>
          <w:ilvl w:val="0"/>
          <w:numId w:val="15"/>
        </w:numPr>
        <w:tabs>
          <w:tab w:val="left" w:pos="360"/>
        </w:tabs>
        <w:spacing w:line="267" w:lineRule="auto"/>
        <w:ind w:left="360" w:right="20" w:hanging="190"/>
        <w:rPr>
          <w:rFonts w:ascii="Arial" w:eastAsia="Arial" w:hAnsi="Arial" w:cs="Arial"/>
          <w:color w:val="CF0A2C"/>
          <w:sz w:val="20"/>
          <w:szCs w:val="20"/>
        </w:rPr>
      </w:pPr>
      <w:r>
        <w:rPr>
          <w:rFonts w:ascii="Arial" w:eastAsia="Arial" w:hAnsi="Arial" w:cs="Arial"/>
          <w:sz w:val="20"/>
          <w:szCs w:val="20"/>
        </w:rPr>
        <w:t xml:space="preserve">By </w:t>
      </w:r>
      <w:r>
        <w:rPr>
          <w:rFonts w:ascii="Arial" w:eastAsia="Arial" w:hAnsi="Arial" w:cs="Arial"/>
          <w:b/>
          <w:bCs/>
          <w:sz w:val="20"/>
          <w:szCs w:val="20"/>
        </w:rPr>
        <w:t>telephone</w:t>
      </w:r>
      <w:r>
        <w:rPr>
          <w:rFonts w:ascii="Arial" w:eastAsia="Arial" w:hAnsi="Arial" w:cs="Arial"/>
          <w:sz w:val="20"/>
          <w:szCs w:val="20"/>
        </w:rPr>
        <w:t>—you may vote by making a telephone call to 1 (800) 690-6903 (toll-free in the U.S.); or</w:t>
      </w:r>
    </w:p>
    <w:p w:rsidR="00A621E3" w:rsidRDefault="00A621E3">
      <w:pPr>
        <w:spacing w:line="190" w:lineRule="exact"/>
        <w:rPr>
          <w:rFonts w:ascii="Arial" w:eastAsia="Arial" w:hAnsi="Arial" w:cs="Arial"/>
          <w:color w:val="CF0A2C"/>
          <w:sz w:val="20"/>
          <w:szCs w:val="20"/>
        </w:rPr>
      </w:pPr>
    </w:p>
    <w:p w:rsidR="00A621E3" w:rsidRDefault="00EC630E">
      <w:pPr>
        <w:numPr>
          <w:ilvl w:val="0"/>
          <w:numId w:val="15"/>
        </w:numPr>
        <w:tabs>
          <w:tab w:val="left" w:pos="360"/>
        </w:tabs>
        <w:spacing w:line="253" w:lineRule="auto"/>
        <w:ind w:left="360" w:right="20" w:hanging="190"/>
        <w:jc w:val="both"/>
        <w:rPr>
          <w:rFonts w:ascii="Arial" w:eastAsia="Arial" w:hAnsi="Arial" w:cs="Arial"/>
          <w:color w:val="CF0A2C"/>
          <w:sz w:val="20"/>
          <w:szCs w:val="20"/>
        </w:rPr>
      </w:pPr>
      <w:r>
        <w:rPr>
          <w:rFonts w:ascii="Arial" w:eastAsia="Arial" w:hAnsi="Arial" w:cs="Arial"/>
          <w:sz w:val="20"/>
          <w:szCs w:val="20"/>
        </w:rPr>
        <w:t xml:space="preserve">By </w:t>
      </w:r>
      <w:r>
        <w:rPr>
          <w:rFonts w:ascii="Arial" w:eastAsia="Arial" w:hAnsi="Arial" w:cs="Arial"/>
          <w:b/>
          <w:bCs/>
          <w:sz w:val="20"/>
          <w:szCs w:val="20"/>
        </w:rPr>
        <w:t>mail</w:t>
      </w:r>
      <w:r>
        <w:rPr>
          <w:rFonts w:ascii="Arial" w:eastAsia="Arial" w:hAnsi="Arial" w:cs="Arial"/>
          <w:sz w:val="20"/>
          <w:szCs w:val="20"/>
        </w:rPr>
        <w:t xml:space="preserve">—if </w:t>
      </w:r>
      <w:r>
        <w:rPr>
          <w:rFonts w:ascii="Arial" w:eastAsia="Arial" w:hAnsi="Arial" w:cs="Arial"/>
          <w:sz w:val="20"/>
          <w:szCs w:val="20"/>
        </w:rPr>
        <w:t>you received your proxy materials by mail, you may vote by completing, signing, dating and mailing the proxy card in the postage-paid envelope provided.</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spacing w:line="328" w:lineRule="auto"/>
        <w:ind w:right="20"/>
        <w:jc w:val="both"/>
        <w:rPr>
          <w:sz w:val="20"/>
          <w:szCs w:val="20"/>
        </w:rPr>
      </w:pPr>
      <w:r>
        <w:rPr>
          <w:rFonts w:ascii="Arial" w:eastAsia="Arial" w:hAnsi="Arial" w:cs="Arial"/>
          <w:sz w:val="16"/>
          <w:szCs w:val="16"/>
        </w:rPr>
        <w:t>Proxies submitted through the Internet or by telephone as described above must be received by 11:59</w:t>
      </w:r>
      <w:r>
        <w:rPr>
          <w:rFonts w:ascii="Arial" w:eastAsia="Arial" w:hAnsi="Arial" w:cs="Arial"/>
          <w:sz w:val="16"/>
          <w:szCs w:val="16"/>
        </w:rPr>
        <w:t xml:space="preserve"> a.m. Beijing/Hong Kong time on May 24, 2023 / 11:59 p.m. U.S. Eastern time on May 23, 2023. Proxies submitted by mail must be received prior to the meeting.</w:t>
      </w:r>
    </w:p>
    <w:p w:rsidR="00A621E3" w:rsidRDefault="00A621E3">
      <w:pPr>
        <w:spacing w:line="128" w:lineRule="exact"/>
        <w:rPr>
          <w:sz w:val="20"/>
          <w:szCs w:val="20"/>
        </w:rPr>
      </w:pPr>
    </w:p>
    <w:p w:rsidR="00A621E3" w:rsidRDefault="00EC630E">
      <w:pPr>
        <w:spacing w:line="263" w:lineRule="auto"/>
        <w:jc w:val="both"/>
        <w:rPr>
          <w:sz w:val="20"/>
          <w:szCs w:val="20"/>
        </w:rPr>
      </w:pPr>
      <w:r>
        <w:rPr>
          <w:rFonts w:ascii="Arial" w:eastAsia="Arial" w:hAnsi="Arial" w:cs="Arial"/>
          <w:i/>
          <w:iCs/>
          <w:sz w:val="19"/>
          <w:szCs w:val="19"/>
        </w:rPr>
        <w:t xml:space="preserve">If you hold your shares in the name of a bank, broker or other nominee, your ability to vote </w:t>
      </w:r>
      <w:r>
        <w:rPr>
          <w:rFonts w:ascii="Arial" w:eastAsia="Arial" w:hAnsi="Arial" w:cs="Arial"/>
          <w:i/>
          <w:iCs/>
          <w:sz w:val="19"/>
          <w:szCs w:val="19"/>
        </w:rPr>
        <w:t>before the Annual Meeting depends on their voting processes. Please follow the directions of your bank, broker or other nominee carefully.</w:t>
      </w:r>
    </w:p>
    <w:p w:rsidR="00A621E3" w:rsidRDefault="00A621E3">
      <w:pPr>
        <w:spacing w:line="935"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61" w:lineRule="exact"/>
        <w:rPr>
          <w:sz w:val="20"/>
          <w:szCs w:val="20"/>
        </w:rPr>
      </w:pPr>
    </w:p>
    <w:p w:rsidR="00A621E3" w:rsidRDefault="00EC630E">
      <w:pPr>
        <w:ind w:left="120"/>
        <w:rPr>
          <w:sz w:val="20"/>
          <w:szCs w:val="20"/>
        </w:rPr>
      </w:pPr>
      <w:r>
        <w:rPr>
          <w:rFonts w:ascii="Arial" w:eastAsia="Arial" w:hAnsi="Arial" w:cs="Arial"/>
          <w:b/>
          <w:bCs/>
          <w:color w:val="CF0A2C"/>
          <w:sz w:val="32"/>
          <w:szCs w:val="32"/>
        </w:rPr>
        <w:t>Can I vote at the Annual Meeting?</w:t>
      </w:r>
    </w:p>
    <w:p w:rsidR="00A621E3" w:rsidRDefault="00EC630E">
      <w:pPr>
        <w:spacing w:line="20" w:lineRule="exact"/>
        <w:rPr>
          <w:sz w:val="20"/>
          <w:szCs w:val="20"/>
        </w:rPr>
      </w:pPr>
      <w:r>
        <w:rPr>
          <w:noProof/>
          <w:sz w:val="20"/>
          <w:szCs w:val="20"/>
        </w:rPr>
        <w:drawing>
          <wp:anchor distT="0" distB="0" distL="114300" distR="114300" simplePos="0" relativeHeight="251277312" behindDoc="1" locked="0" layoutInCell="0" allowOverlap="1">
            <wp:simplePos x="0" y="0"/>
            <wp:positionH relativeFrom="column">
              <wp:posOffset>73660</wp:posOffset>
            </wp:positionH>
            <wp:positionV relativeFrom="paragraph">
              <wp:posOffset>140970</wp:posOffset>
            </wp:positionV>
            <wp:extent cx="3463290" cy="825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blip>
                    <a:srcRect/>
                    <a:stretch>
                      <a:fillRect/>
                    </a:stretch>
                  </pic:blipFill>
                  <pic:spPr bwMode="auto">
                    <a:xfrm>
                      <a:off x="0" y="0"/>
                      <a:ext cx="346329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76" w:lineRule="exact"/>
        <w:rPr>
          <w:sz w:val="20"/>
          <w:szCs w:val="20"/>
        </w:rPr>
      </w:pPr>
    </w:p>
    <w:p w:rsidR="00A621E3" w:rsidRDefault="00EC630E">
      <w:pPr>
        <w:spacing w:line="242" w:lineRule="auto"/>
        <w:ind w:left="120"/>
        <w:jc w:val="both"/>
        <w:rPr>
          <w:sz w:val="20"/>
          <w:szCs w:val="20"/>
        </w:rPr>
      </w:pPr>
      <w:r>
        <w:rPr>
          <w:rFonts w:ascii="Arial" w:eastAsia="Arial" w:hAnsi="Arial" w:cs="Arial"/>
          <w:sz w:val="20"/>
          <w:szCs w:val="20"/>
        </w:rPr>
        <w:t>Shares registered directly in your name as the s</w:t>
      </w:r>
      <w:r>
        <w:rPr>
          <w:rFonts w:ascii="Arial" w:eastAsia="Arial" w:hAnsi="Arial" w:cs="Arial"/>
          <w:sz w:val="20"/>
          <w:szCs w:val="20"/>
        </w:rPr>
        <w:t>tockholder of record may be voted in person at the Annual Meeting. Shares held through a bank, broker or other nominee may be voted in person only if you obtain a legal proxy from the bank, broker or other nominee that holds your shares giving you the righ</w:t>
      </w:r>
      <w:r>
        <w:rPr>
          <w:rFonts w:ascii="Arial" w:eastAsia="Arial" w:hAnsi="Arial" w:cs="Arial"/>
          <w:sz w:val="20"/>
          <w:szCs w:val="20"/>
        </w:rPr>
        <w:t>t to vote the shares. Even if you plan to attend the Annual Meeting, we encourage you to vote your shares by proxy. You may still vote your shares in</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5" w:lineRule="exact"/>
        <w:rPr>
          <w:sz w:val="20"/>
          <w:szCs w:val="20"/>
        </w:rPr>
      </w:pPr>
    </w:p>
    <w:p w:rsidR="00A621E3" w:rsidRDefault="00EC630E">
      <w:pPr>
        <w:spacing w:line="260" w:lineRule="auto"/>
        <w:ind w:right="20"/>
        <w:jc w:val="both"/>
        <w:rPr>
          <w:sz w:val="20"/>
          <w:szCs w:val="20"/>
        </w:rPr>
      </w:pPr>
      <w:r>
        <w:rPr>
          <w:rFonts w:ascii="Arial" w:eastAsia="Arial" w:hAnsi="Arial" w:cs="Arial"/>
          <w:sz w:val="20"/>
          <w:szCs w:val="20"/>
        </w:rPr>
        <w:t>person at the Annual Meeting even if you have previously voted by proxy.</w:t>
      </w:r>
    </w:p>
    <w:p w:rsidR="00A621E3" w:rsidRDefault="00EC630E">
      <w:pPr>
        <w:spacing w:line="20" w:lineRule="exact"/>
        <w:rPr>
          <w:sz w:val="20"/>
          <w:szCs w:val="20"/>
        </w:rPr>
      </w:pPr>
      <w:r>
        <w:rPr>
          <w:noProof/>
          <w:sz w:val="20"/>
          <w:szCs w:val="20"/>
        </w:rPr>
        <w:drawing>
          <wp:anchor distT="0" distB="0" distL="114300" distR="114300" simplePos="0" relativeHeight="251278336" behindDoc="1" locked="0" layoutInCell="0" allowOverlap="1">
            <wp:simplePos x="0" y="0"/>
            <wp:positionH relativeFrom="column">
              <wp:posOffset>-99060</wp:posOffset>
            </wp:positionH>
            <wp:positionV relativeFrom="paragraph">
              <wp:posOffset>-553720</wp:posOffset>
            </wp:positionV>
            <wp:extent cx="8890" cy="825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279360" behindDoc="1" locked="0" layoutInCell="0" allowOverlap="1">
            <wp:simplePos x="0" y="0"/>
            <wp:positionH relativeFrom="column">
              <wp:posOffset>-81915</wp:posOffset>
            </wp:positionH>
            <wp:positionV relativeFrom="paragraph">
              <wp:posOffset>-553720</wp:posOffset>
            </wp:positionV>
            <wp:extent cx="8890" cy="825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280384" behindDoc="1" locked="0" layoutInCell="0" allowOverlap="1">
            <wp:simplePos x="0" y="0"/>
            <wp:positionH relativeFrom="column">
              <wp:posOffset>-64770</wp:posOffset>
            </wp:positionH>
            <wp:positionV relativeFrom="paragraph">
              <wp:posOffset>-553720</wp:posOffset>
            </wp:positionV>
            <wp:extent cx="8255" cy="825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281408" behindDoc="1" locked="0" layoutInCell="0" allowOverlap="1">
            <wp:simplePos x="0" y="0"/>
            <wp:positionH relativeFrom="column">
              <wp:posOffset>-47625</wp:posOffset>
            </wp:positionH>
            <wp:positionV relativeFrom="paragraph">
              <wp:posOffset>-553720</wp:posOffset>
            </wp:positionV>
            <wp:extent cx="8255" cy="825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282432" behindDoc="1" locked="0" layoutInCell="0" allowOverlap="1">
            <wp:simplePos x="0" y="0"/>
            <wp:positionH relativeFrom="column">
              <wp:posOffset>-30480</wp:posOffset>
            </wp:positionH>
            <wp:positionV relativeFrom="paragraph">
              <wp:posOffset>-553720</wp:posOffset>
            </wp:positionV>
            <wp:extent cx="8255" cy="825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283456" behindDoc="1" locked="0" layoutInCell="0" allowOverlap="1">
            <wp:simplePos x="0" y="0"/>
            <wp:positionH relativeFrom="column">
              <wp:posOffset>-13335</wp:posOffset>
            </wp:positionH>
            <wp:positionV relativeFrom="paragraph">
              <wp:posOffset>-553720</wp:posOffset>
            </wp:positionV>
            <wp:extent cx="8890" cy="825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284480" behindDoc="1" locked="0" layoutInCell="0" allowOverlap="1">
            <wp:simplePos x="0" y="0"/>
            <wp:positionH relativeFrom="column">
              <wp:posOffset>3175</wp:posOffset>
            </wp:positionH>
            <wp:positionV relativeFrom="paragraph">
              <wp:posOffset>-553720</wp:posOffset>
            </wp:positionV>
            <wp:extent cx="8255" cy="825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285504" behindDoc="1" locked="0" layoutInCell="0" allowOverlap="1">
            <wp:simplePos x="0" y="0"/>
            <wp:positionH relativeFrom="column">
              <wp:posOffset>20320</wp:posOffset>
            </wp:positionH>
            <wp:positionV relativeFrom="paragraph">
              <wp:posOffset>-553720</wp:posOffset>
            </wp:positionV>
            <wp:extent cx="8255" cy="82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286528" behindDoc="1" locked="0" layoutInCell="0" allowOverlap="1">
            <wp:simplePos x="0" y="0"/>
            <wp:positionH relativeFrom="column">
              <wp:posOffset>37465</wp:posOffset>
            </wp:positionH>
            <wp:positionV relativeFrom="paragraph">
              <wp:posOffset>-553720</wp:posOffset>
            </wp:positionV>
            <wp:extent cx="8255" cy="825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287552" behindDoc="1" locked="0" layoutInCell="0" allowOverlap="1">
            <wp:simplePos x="0" y="0"/>
            <wp:positionH relativeFrom="column">
              <wp:posOffset>54610</wp:posOffset>
            </wp:positionH>
            <wp:positionV relativeFrom="paragraph">
              <wp:posOffset>-553720</wp:posOffset>
            </wp:positionV>
            <wp:extent cx="8890" cy="825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288576" behindDoc="1" locked="0" layoutInCell="0" allowOverlap="1">
            <wp:simplePos x="0" y="0"/>
            <wp:positionH relativeFrom="column">
              <wp:posOffset>71755</wp:posOffset>
            </wp:positionH>
            <wp:positionV relativeFrom="paragraph">
              <wp:posOffset>-553720</wp:posOffset>
            </wp:positionV>
            <wp:extent cx="8890" cy="825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289600" behindDoc="1" locked="0" layoutInCell="0" allowOverlap="1">
            <wp:simplePos x="0" y="0"/>
            <wp:positionH relativeFrom="column">
              <wp:posOffset>88900</wp:posOffset>
            </wp:positionH>
            <wp:positionV relativeFrom="paragraph">
              <wp:posOffset>-553720</wp:posOffset>
            </wp:positionV>
            <wp:extent cx="8255" cy="825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290624" behindDoc="1" locked="0" layoutInCell="0" allowOverlap="1">
            <wp:simplePos x="0" y="0"/>
            <wp:positionH relativeFrom="column">
              <wp:posOffset>106045</wp:posOffset>
            </wp:positionH>
            <wp:positionV relativeFrom="paragraph">
              <wp:posOffset>-553720</wp:posOffset>
            </wp:positionV>
            <wp:extent cx="8255" cy="825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291648" behindDoc="1" locked="0" layoutInCell="0" allowOverlap="1">
            <wp:simplePos x="0" y="0"/>
            <wp:positionH relativeFrom="column">
              <wp:posOffset>123190</wp:posOffset>
            </wp:positionH>
            <wp:positionV relativeFrom="paragraph">
              <wp:posOffset>-553720</wp:posOffset>
            </wp:positionV>
            <wp:extent cx="8255" cy="825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292672" behindDoc="1" locked="0" layoutInCell="0" allowOverlap="1">
            <wp:simplePos x="0" y="0"/>
            <wp:positionH relativeFrom="column">
              <wp:posOffset>140335</wp:posOffset>
            </wp:positionH>
            <wp:positionV relativeFrom="paragraph">
              <wp:posOffset>-553720</wp:posOffset>
            </wp:positionV>
            <wp:extent cx="8890" cy="825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293696" behindDoc="1" locked="0" layoutInCell="0" allowOverlap="1">
            <wp:simplePos x="0" y="0"/>
            <wp:positionH relativeFrom="column">
              <wp:posOffset>157480</wp:posOffset>
            </wp:positionH>
            <wp:positionV relativeFrom="paragraph">
              <wp:posOffset>-553720</wp:posOffset>
            </wp:positionV>
            <wp:extent cx="8890" cy="825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294720" behindDoc="1" locked="0" layoutInCell="0" allowOverlap="1">
            <wp:simplePos x="0" y="0"/>
            <wp:positionH relativeFrom="column">
              <wp:posOffset>174625</wp:posOffset>
            </wp:positionH>
            <wp:positionV relativeFrom="paragraph">
              <wp:posOffset>-553720</wp:posOffset>
            </wp:positionV>
            <wp:extent cx="8255" cy="825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295744" behindDoc="1" locked="0" layoutInCell="0" allowOverlap="1">
            <wp:simplePos x="0" y="0"/>
            <wp:positionH relativeFrom="column">
              <wp:posOffset>191770</wp:posOffset>
            </wp:positionH>
            <wp:positionV relativeFrom="paragraph">
              <wp:posOffset>-553720</wp:posOffset>
            </wp:positionV>
            <wp:extent cx="8255" cy="825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296768" behindDoc="1" locked="0" layoutInCell="0" allowOverlap="1">
            <wp:simplePos x="0" y="0"/>
            <wp:positionH relativeFrom="column">
              <wp:posOffset>208915</wp:posOffset>
            </wp:positionH>
            <wp:positionV relativeFrom="paragraph">
              <wp:posOffset>-553720</wp:posOffset>
            </wp:positionV>
            <wp:extent cx="8255" cy="825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297792" behindDoc="1" locked="0" layoutInCell="0" allowOverlap="1">
            <wp:simplePos x="0" y="0"/>
            <wp:positionH relativeFrom="column">
              <wp:posOffset>226060</wp:posOffset>
            </wp:positionH>
            <wp:positionV relativeFrom="paragraph">
              <wp:posOffset>-553720</wp:posOffset>
            </wp:positionV>
            <wp:extent cx="8890" cy="825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298816" behindDoc="1" locked="0" layoutInCell="0" allowOverlap="1">
            <wp:simplePos x="0" y="0"/>
            <wp:positionH relativeFrom="column">
              <wp:posOffset>243205</wp:posOffset>
            </wp:positionH>
            <wp:positionV relativeFrom="paragraph">
              <wp:posOffset>-553720</wp:posOffset>
            </wp:positionV>
            <wp:extent cx="8890" cy="825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299840" behindDoc="1" locked="0" layoutInCell="0" allowOverlap="1">
            <wp:simplePos x="0" y="0"/>
            <wp:positionH relativeFrom="column">
              <wp:posOffset>260350</wp:posOffset>
            </wp:positionH>
            <wp:positionV relativeFrom="paragraph">
              <wp:posOffset>-553720</wp:posOffset>
            </wp:positionV>
            <wp:extent cx="8255" cy="825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00864" behindDoc="1" locked="0" layoutInCell="0" allowOverlap="1">
            <wp:simplePos x="0" y="0"/>
            <wp:positionH relativeFrom="column">
              <wp:posOffset>277495</wp:posOffset>
            </wp:positionH>
            <wp:positionV relativeFrom="paragraph">
              <wp:posOffset>-553720</wp:posOffset>
            </wp:positionV>
            <wp:extent cx="8255" cy="825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01888" behindDoc="1" locked="0" layoutInCell="0" allowOverlap="1">
            <wp:simplePos x="0" y="0"/>
            <wp:positionH relativeFrom="column">
              <wp:posOffset>294640</wp:posOffset>
            </wp:positionH>
            <wp:positionV relativeFrom="paragraph">
              <wp:posOffset>-553720</wp:posOffset>
            </wp:positionV>
            <wp:extent cx="8255" cy="825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02912" behindDoc="1" locked="0" layoutInCell="0" allowOverlap="1">
            <wp:simplePos x="0" y="0"/>
            <wp:positionH relativeFrom="column">
              <wp:posOffset>311785</wp:posOffset>
            </wp:positionH>
            <wp:positionV relativeFrom="paragraph">
              <wp:posOffset>-553720</wp:posOffset>
            </wp:positionV>
            <wp:extent cx="8890" cy="825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03936" behindDoc="1" locked="0" layoutInCell="0" allowOverlap="1">
            <wp:simplePos x="0" y="0"/>
            <wp:positionH relativeFrom="column">
              <wp:posOffset>328930</wp:posOffset>
            </wp:positionH>
            <wp:positionV relativeFrom="paragraph">
              <wp:posOffset>-553720</wp:posOffset>
            </wp:positionV>
            <wp:extent cx="8890" cy="825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04960" behindDoc="1" locked="0" layoutInCell="0" allowOverlap="1">
            <wp:simplePos x="0" y="0"/>
            <wp:positionH relativeFrom="column">
              <wp:posOffset>346075</wp:posOffset>
            </wp:positionH>
            <wp:positionV relativeFrom="paragraph">
              <wp:posOffset>-553720</wp:posOffset>
            </wp:positionV>
            <wp:extent cx="8255" cy="825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05984" behindDoc="1" locked="0" layoutInCell="0" allowOverlap="1">
            <wp:simplePos x="0" y="0"/>
            <wp:positionH relativeFrom="column">
              <wp:posOffset>363220</wp:posOffset>
            </wp:positionH>
            <wp:positionV relativeFrom="paragraph">
              <wp:posOffset>-553720</wp:posOffset>
            </wp:positionV>
            <wp:extent cx="8255" cy="825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07008" behindDoc="1" locked="0" layoutInCell="0" allowOverlap="1">
            <wp:simplePos x="0" y="0"/>
            <wp:positionH relativeFrom="column">
              <wp:posOffset>380365</wp:posOffset>
            </wp:positionH>
            <wp:positionV relativeFrom="paragraph">
              <wp:posOffset>-553720</wp:posOffset>
            </wp:positionV>
            <wp:extent cx="8255" cy="825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08032" behindDoc="1" locked="0" layoutInCell="0" allowOverlap="1">
            <wp:simplePos x="0" y="0"/>
            <wp:positionH relativeFrom="column">
              <wp:posOffset>397510</wp:posOffset>
            </wp:positionH>
            <wp:positionV relativeFrom="paragraph">
              <wp:posOffset>-553720</wp:posOffset>
            </wp:positionV>
            <wp:extent cx="8890" cy="825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09056" behindDoc="1" locked="0" layoutInCell="0" allowOverlap="1">
            <wp:simplePos x="0" y="0"/>
            <wp:positionH relativeFrom="column">
              <wp:posOffset>414655</wp:posOffset>
            </wp:positionH>
            <wp:positionV relativeFrom="paragraph">
              <wp:posOffset>-553720</wp:posOffset>
            </wp:positionV>
            <wp:extent cx="8890" cy="825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10080" behindDoc="1" locked="0" layoutInCell="0" allowOverlap="1">
            <wp:simplePos x="0" y="0"/>
            <wp:positionH relativeFrom="column">
              <wp:posOffset>431800</wp:posOffset>
            </wp:positionH>
            <wp:positionV relativeFrom="paragraph">
              <wp:posOffset>-553720</wp:posOffset>
            </wp:positionV>
            <wp:extent cx="8255" cy="825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11104" behindDoc="1" locked="0" layoutInCell="0" allowOverlap="1">
            <wp:simplePos x="0" y="0"/>
            <wp:positionH relativeFrom="column">
              <wp:posOffset>448945</wp:posOffset>
            </wp:positionH>
            <wp:positionV relativeFrom="paragraph">
              <wp:posOffset>-553720</wp:posOffset>
            </wp:positionV>
            <wp:extent cx="8255" cy="825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12128" behindDoc="1" locked="0" layoutInCell="0" allowOverlap="1">
            <wp:simplePos x="0" y="0"/>
            <wp:positionH relativeFrom="column">
              <wp:posOffset>466090</wp:posOffset>
            </wp:positionH>
            <wp:positionV relativeFrom="paragraph">
              <wp:posOffset>-553720</wp:posOffset>
            </wp:positionV>
            <wp:extent cx="8255" cy="825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13152" behindDoc="1" locked="0" layoutInCell="0" allowOverlap="1">
            <wp:simplePos x="0" y="0"/>
            <wp:positionH relativeFrom="column">
              <wp:posOffset>483235</wp:posOffset>
            </wp:positionH>
            <wp:positionV relativeFrom="paragraph">
              <wp:posOffset>-553720</wp:posOffset>
            </wp:positionV>
            <wp:extent cx="8890" cy="825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14176" behindDoc="1" locked="0" layoutInCell="0" allowOverlap="1">
            <wp:simplePos x="0" y="0"/>
            <wp:positionH relativeFrom="column">
              <wp:posOffset>500380</wp:posOffset>
            </wp:positionH>
            <wp:positionV relativeFrom="paragraph">
              <wp:posOffset>-553720</wp:posOffset>
            </wp:positionV>
            <wp:extent cx="8890" cy="825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15200" behindDoc="1" locked="0" layoutInCell="0" allowOverlap="1">
            <wp:simplePos x="0" y="0"/>
            <wp:positionH relativeFrom="column">
              <wp:posOffset>517525</wp:posOffset>
            </wp:positionH>
            <wp:positionV relativeFrom="paragraph">
              <wp:posOffset>-553720</wp:posOffset>
            </wp:positionV>
            <wp:extent cx="8255" cy="825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16224" behindDoc="1" locked="0" layoutInCell="0" allowOverlap="1">
            <wp:simplePos x="0" y="0"/>
            <wp:positionH relativeFrom="column">
              <wp:posOffset>534670</wp:posOffset>
            </wp:positionH>
            <wp:positionV relativeFrom="paragraph">
              <wp:posOffset>-553720</wp:posOffset>
            </wp:positionV>
            <wp:extent cx="8255" cy="825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17248" behindDoc="1" locked="0" layoutInCell="0" allowOverlap="1">
            <wp:simplePos x="0" y="0"/>
            <wp:positionH relativeFrom="column">
              <wp:posOffset>551815</wp:posOffset>
            </wp:positionH>
            <wp:positionV relativeFrom="paragraph">
              <wp:posOffset>-553720</wp:posOffset>
            </wp:positionV>
            <wp:extent cx="8255" cy="825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18272" behindDoc="1" locked="0" layoutInCell="0" allowOverlap="1">
            <wp:simplePos x="0" y="0"/>
            <wp:positionH relativeFrom="column">
              <wp:posOffset>568960</wp:posOffset>
            </wp:positionH>
            <wp:positionV relativeFrom="paragraph">
              <wp:posOffset>-553720</wp:posOffset>
            </wp:positionV>
            <wp:extent cx="8890" cy="825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19296" behindDoc="1" locked="0" layoutInCell="0" allowOverlap="1">
            <wp:simplePos x="0" y="0"/>
            <wp:positionH relativeFrom="column">
              <wp:posOffset>586105</wp:posOffset>
            </wp:positionH>
            <wp:positionV relativeFrom="paragraph">
              <wp:posOffset>-553720</wp:posOffset>
            </wp:positionV>
            <wp:extent cx="8890" cy="825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20320" behindDoc="1" locked="0" layoutInCell="0" allowOverlap="1">
            <wp:simplePos x="0" y="0"/>
            <wp:positionH relativeFrom="column">
              <wp:posOffset>603250</wp:posOffset>
            </wp:positionH>
            <wp:positionV relativeFrom="paragraph">
              <wp:posOffset>-553720</wp:posOffset>
            </wp:positionV>
            <wp:extent cx="8255" cy="825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21344" behindDoc="1" locked="0" layoutInCell="0" allowOverlap="1">
            <wp:simplePos x="0" y="0"/>
            <wp:positionH relativeFrom="column">
              <wp:posOffset>620395</wp:posOffset>
            </wp:positionH>
            <wp:positionV relativeFrom="paragraph">
              <wp:posOffset>-553720</wp:posOffset>
            </wp:positionV>
            <wp:extent cx="8255" cy="825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22368" behindDoc="1" locked="0" layoutInCell="0" allowOverlap="1">
            <wp:simplePos x="0" y="0"/>
            <wp:positionH relativeFrom="column">
              <wp:posOffset>637540</wp:posOffset>
            </wp:positionH>
            <wp:positionV relativeFrom="paragraph">
              <wp:posOffset>-553720</wp:posOffset>
            </wp:positionV>
            <wp:extent cx="8255" cy="825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23392" behindDoc="1" locked="0" layoutInCell="0" allowOverlap="1">
            <wp:simplePos x="0" y="0"/>
            <wp:positionH relativeFrom="column">
              <wp:posOffset>654685</wp:posOffset>
            </wp:positionH>
            <wp:positionV relativeFrom="paragraph">
              <wp:posOffset>-553720</wp:posOffset>
            </wp:positionV>
            <wp:extent cx="8890" cy="825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24416" behindDoc="1" locked="0" layoutInCell="0" allowOverlap="1">
            <wp:simplePos x="0" y="0"/>
            <wp:positionH relativeFrom="column">
              <wp:posOffset>671830</wp:posOffset>
            </wp:positionH>
            <wp:positionV relativeFrom="paragraph">
              <wp:posOffset>-553720</wp:posOffset>
            </wp:positionV>
            <wp:extent cx="8255" cy="825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25440" behindDoc="1" locked="0" layoutInCell="0" allowOverlap="1">
            <wp:simplePos x="0" y="0"/>
            <wp:positionH relativeFrom="column">
              <wp:posOffset>688975</wp:posOffset>
            </wp:positionH>
            <wp:positionV relativeFrom="paragraph">
              <wp:posOffset>-553720</wp:posOffset>
            </wp:positionV>
            <wp:extent cx="8255" cy="825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26464" behindDoc="1" locked="0" layoutInCell="0" allowOverlap="1">
            <wp:simplePos x="0" y="0"/>
            <wp:positionH relativeFrom="column">
              <wp:posOffset>706120</wp:posOffset>
            </wp:positionH>
            <wp:positionV relativeFrom="paragraph">
              <wp:posOffset>-553720</wp:posOffset>
            </wp:positionV>
            <wp:extent cx="8255" cy="825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27488" behindDoc="1" locked="0" layoutInCell="0" allowOverlap="1">
            <wp:simplePos x="0" y="0"/>
            <wp:positionH relativeFrom="column">
              <wp:posOffset>723265</wp:posOffset>
            </wp:positionH>
            <wp:positionV relativeFrom="paragraph">
              <wp:posOffset>-553720</wp:posOffset>
            </wp:positionV>
            <wp:extent cx="8890" cy="825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28512" behindDoc="1" locked="0" layoutInCell="0" allowOverlap="1">
            <wp:simplePos x="0" y="0"/>
            <wp:positionH relativeFrom="column">
              <wp:posOffset>740410</wp:posOffset>
            </wp:positionH>
            <wp:positionV relativeFrom="paragraph">
              <wp:posOffset>-553720</wp:posOffset>
            </wp:positionV>
            <wp:extent cx="8890" cy="82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29536" behindDoc="1" locked="0" layoutInCell="0" allowOverlap="1">
            <wp:simplePos x="0" y="0"/>
            <wp:positionH relativeFrom="column">
              <wp:posOffset>757555</wp:posOffset>
            </wp:positionH>
            <wp:positionV relativeFrom="paragraph">
              <wp:posOffset>-553720</wp:posOffset>
            </wp:positionV>
            <wp:extent cx="8255" cy="825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30560" behindDoc="1" locked="0" layoutInCell="0" allowOverlap="1">
            <wp:simplePos x="0" y="0"/>
            <wp:positionH relativeFrom="column">
              <wp:posOffset>774700</wp:posOffset>
            </wp:positionH>
            <wp:positionV relativeFrom="paragraph">
              <wp:posOffset>-553720</wp:posOffset>
            </wp:positionV>
            <wp:extent cx="8255" cy="825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31584" behindDoc="1" locked="0" layoutInCell="0" allowOverlap="1">
            <wp:simplePos x="0" y="0"/>
            <wp:positionH relativeFrom="column">
              <wp:posOffset>791845</wp:posOffset>
            </wp:positionH>
            <wp:positionV relativeFrom="paragraph">
              <wp:posOffset>-553720</wp:posOffset>
            </wp:positionV>
            <wp:extent cx="8255" cy="825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32608" behindDoc="1" locked="0" layoutInCell="0" allowOverlap="1">
            <wp:simplePos x="0" y="0"/>
            <wp:positionH relativeFrom="column">
              <wp:posOffset>808990</wp:posOffset>
            </wp:positionH>
            <wp:positionV relativeFrom="paragraph">
              <wp:posOffset>-553720</wp:posOffset>
            </wp:positionV>
            <wp:extent cx="8890" cy="825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33632" behindDoc="1" locked="0" layoutInCell="0" allowOverlap="1">
            <wp:simplePos x="0" y="0"/>
            <wp:positionH relativeFrom="column">
              <wp:posOffset>826135</wp:posOffset>
            </wp:positionH>
            <wp:positionV relativeFrom="paragraph">
              <wp:posOffset>-553720</wp:posOffset>
            </wp:positionV>
            <wp:extent cx="8890" cy="825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34656" behindDoc="1" locked="0" layoutInCell="0" allowOverlap="1">
            <wp:simplePos x="0" y="0"/>
            <wp:positionH relativeFrom="column">
              <wp:posOffset>843280</wp:posOffset>
            </wp:positionH>
            <wp:positionV relativeFrom="paragraph">
              <wp:posOffset>-553720</wp:posOffset>
            </wp:positionV>
            <wp:extent cx="8255" cy="825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35680" behindDoc="1" locked="0" layoutInCell="0" allowOverlap="1">
            <wp:simplePos x="0" y="0"/>
            <wp:positionH relativeFrom="column">
              <wp:posOffset>860425</wp:posOffset>
            </wp:positionH>
            <wp:positionV relativeFrom="paragraph">
              <wp:posOffset>-553720</wp:posOffset>
            </wp:positionV>
            <wp:extent cx="8255" cy="825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36704" behindDoc="1" locked="0" layoutInCell="0" allowOverlap="1">
            <wp:simplePos x="0" y="0"/>
            <wp:positionH relativeFrom="column">
              <wp:posOffset>877570</wp:posOffset>
            </wp:positionH>
            <wp:positionV relativeFrom="paragraph">
              <wp:posOffset>-553720</wp:posOffset>
            </wp:positionV>
            <wp:extent cx="8255" cy="825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37728" behindDoc="1" locked="0" layoutInCell="0" allowOverlap="1">
            <wp:simplePos x="0" y="0"/>
            <wp:positionH relativeFrom="column">
              <wp:posOffset>894715</wp:posOffset>
            </wp:positionH>
            <wp:positionV relativeFrom="paragraph">
              <wp:posOffset>-553720</wp:posOffset>
            </wp:positionV>
            <wp:extent cx="8890" cy="825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38752" behindDoc="1" locked="0" layoutInCell="0" allowOverlap="1">
            <wp:simplePos x="0" y="0"/>
            <wp:positionH relativeFrom="column">
              <wp:posOffset>911860</wp:posOffset>
            </wp:positionH>
            <wp:positionV relativeFrom="paragraph">
              <wp:posOffset>-553720</wp:posOffset>
            </wp:positionV>
            <wp:extent cx="8890" cy="825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39776" behindDoc="1" locked="0" layoutInCell="0" allowOverlap="1">
            <wp:simplePos x="0" y="0"/>
            <wp:positionH relativeFrom="column">
              <wp:posOffset>929005</wp:posOffset>
            </wp:positionH>
            <wp:positionV relativeFrom="paragraph">
              <wp:posOffset>-553720</wp:posOffset>
            </wp:positionV>
            <wp:extent cx="8255" cy="825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40800" behindDoc="1" locked="0" layoutInCell="0" allowOverlap="1">
            <wp:simplePos x="0" y="0"/>
            <wp:positionH relativeFrom="column">
              <wp:posOffset>946150</wp:posOffset>
            </wp:positionH>
            <wp:positionV relativeFrom="paragraph">
              <wp:posOffset>-553720</wp:posOffset>
            </wp:positionV>
            <wp:extent cx="8255" cy="825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41824" behindDoc="1" locked="0" layoutInCell="0" allowOverlap="1">
            <wp:simplePos x="0" y="0"/>
            <wp:positionH relativeFrom="column">
              <wp:posOffset>963295</wp:posOffset>
            </wp:positionH>
            <wp:positionV relativeFrom="paragraph">
              <wp:posOffset>-553720</wp:posOffset>
            </wp:positionV>
            <wp:extent cx="8255" cy="825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42848" behindDoc="1" locked="0" layoutInCell="0" allowOverlap="1">
            <wp:simplePos x="0" y="0"/>
            <wp:positionH relativeFrom="column">
              <wp:posOffset>980440</wp:posOffset>
            </wp:positionH>
            <wp:positionV relativeFrom="paragraph">
              <wp:posOffset>-553720</wp:posOffset>
            </wp:positionV>
            <wp:extent cx="8890" cy="825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43872" behindDoc="1" locked="0" layoutInCell="0" allowOverlap="1">
            <wp:simplePos x="0" y="0"/>
            <wp:positionH relativeFrom="column">
              <wp:posOffset>997585</wp:posOffset>
            </wp:positionH>
            <wp:positionV relativeFrom="paragraph">
              <wp:posOffset>-553720</wp:posOffset>
            </wp:positionV>
            <wp:extent cx="8890" cy="825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44896" behindDoc="1" locked="0" layoutInCell="0" allowOverlap="1">
            <wp:simplePos x="0" y="0"/>
            <wp:positionH relativeFrom="column">
              <wp:posOffset>1014730</wp:posOffset>
            </wp:positionH>
            <wp:positionV relativeFrom="paragraph">
              <wp:posOffset>-553720</wp:posOffset>
            </wp:positionV>
            <wp:extent cx="8255" cy="825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45920" behindDoc="1" locked="0" layoutInCell="0" allowOverlap="1">
            <wp:simplePos x="0" y="0"/>
            <wp:positionH relativeFrom="column">
              <wp:posOffset>1031875</wp:posOffset>
            </wp:positionH>
            <wp:positionV relativeFrom="paragraph">
              <wp:posOffset>-553720</wp:posOffset>
            </wp:positionV>
            <wp:extent cx="8255" cy="8255"/>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46944" behindDoc="1" locked="0" layoutInCell="0" allowOverlap="1">
            <wp:simplePos x="0" y="0"/>
            <wp:positionH relativeFrom="column">
              <wp:posOffset>1049020</wp:posOffset>
            </wp:positionH>
            <wp:positionV relativeFrom="paragraph">
              <wp:posOffset>-553720</wp:posOffset>
            </wp:positionV>
            <wp:extent cx="8255" cy="825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47968" behindDoc="1" locked="0" layoutInCell="0" allowOverlap="1">
            <wp:simplePos x="0" y="0"/>
            <wp:positionH relativeFrom="column">
              <wp:posOffset>1066165</wp:posOffset>
            </wp:positionH>
            <wp:positionV relativeFrom="paragraph">
              <wp:posOffset>-553720</wp:posOffset>
            </wp:positionV>
            <wp:extent cx="8890" cy="825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48992" behindDoc="1" locked="0" layoutInCell="0" allowOverlap="1">
            <wp:simplePos x="0" y="0"/>
            <wp:positionH relativeFrom="column">
              <wp:posOffset>1083310</wp:posOffset>
            </wp:positionH>
            <wp:positionV relativeFrom="paragraph">
              <wp:posOffset>-553720</wp:posOffset>
            </wp:positionV>
            <wp:extent cx="8890" cy="825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50016" behindDoc="1" locked="0" layoutInCell="0" allowOverlap="1">
            <wp:simplePos x="0" y="0"/>
            <wp:positionH relativeFrom="column">
              <wp:posOffset>1100455</wp:posOffset>
            </wp:positionH>
            <wp:positionV relativeFrom="paragraph">
              <wp:posOffset>-553720</wp:posOffset>
            </wp:positionV>
            <wp:extent cx="8255" cy="825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51040" behindDoc="1" locked="0" layoutInCell="0" allowOverlap="1">
            <wp:simplePos x="0" y="0"/>
            <wp:positionH relativeFrom="column">
              <wp:posOffset>1117600</wp:posOffset>
            </wp:positionH>
            <wp:positionV relativeFrom="paragraph">
              <wp:posOffset>-553720</wp:posOffset>
            </wp:positionV>
            <wp:extent cx="8255" cy="825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52064" behindDoc="1" locked="0" layoutInCell="0" allowOverlap="1">
            <wp:simplePos x="0" y="0"/>
            <wp:positionH relativeFrom="column">
              <wp:posOffset>1134745</wp:posOffset>
            </wp:positionH>
            <wp:positionV relativeFrom="paragraph">
              <wp:posOffset>-553720</wp:posOffset>
            </wp:positionV>
            <wp:extent cx="8255" cy="825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53088" behindDoc="1" locked="0" layoutInCell="0" allowOverlap="1">
            <wp:simplePos x="0" y="0"/>
            <wp:positionH relativeFrom="column">
              <wp:posOffset>1151890</wp:posOffset>
            </wp:positionH>
            <wp:positionV relativeFrom="paragraph">
              <wp:posOffset>-553720</wp:posOffset>
            </wp:positionV>
            <wp:extent cx="8890" cy="825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54112" behindDoc="1" locked="0" layoutInCell="0" allowOverlap="1">
            <wp:simplePos x="0" y="0"/>
            <wp:positionH relativeFrom="column">
              <wp:posOffset>1169035</wp:posOffset>
            </wp:positionH>
            <wp:positionV relativeFrom="paragraph">
              <wp:posOffset>-553720</wp:posOffset>
            </wp:positionV>
            <wp:extent cx="8890" cy="825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55136" behindDoc="1" locked="0" layoutInCell="0" allowOverlap="1">
            <wp:simplePos x="0" y="0"/>
            <wp:positionH relativeFrom="column">
              <wp:posOffset>1186180</wp:posOffset>
            </wp:positionH>
            <wp:positionV relativeFrom="paragraph">
              <wp:posOffset>-553720</wp:posOffset>
            </wp:positionV>
            <wp:extent cx="8255" cy="825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56160" behindDoc="1" locked="0" layoutInCell="0" allowOverlap="1">
            <wp:simplePos x="0" y="0"/>
            <wp:positionH relativeFrom="column">
              <wp:posOffset>1203325</wp:posOffset>
            </wp:positionH>
            <wp:positionV relativeFrom="paragraph">
              <wp:posOffset>-553720</wp:posOffset>
            </wp:positionV>
            <wp:extent cx="8255" cy="825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57184" behindDoc="1" locked="0" layoutInCell="0" allowOverlap="1">
            <wp:simplePos x="0" y="0"/>
            <wp:positionH relativeFrom="column">
              <wp:posOffset>1220470</wp:posOffset>
            </wp:positionH>
            <wp:positionV relativeFrom="paragraph">
              <wp:posOffset>-553720</wp:posOffset>
            </wp:positionV>
            <wp:extent cx="8255" cy="825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58208" behindDoc="1" locked="0" layoutInCell="0" allowOverlap="1">
            <wp:simplePos x="0" y="0"/>
            <wp:positionH relativeFrom="column">
              <wp:posOffset>1237615</wp:posOffset>
            </wp:positionH>
            <wp:positionV relativeFrom="paragraph">
              <wp:posOffset>-553720</wp:posOffset>
            </wp:positionV>
            <wp:extent cx="8890" cy="825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59232" behindDoc="1" locked="0" layoutInCell="0" allowOverlap="1">
            <wp:simplePos x="0" y="0"/>
            <wp:positionH relativeFrom="column">
              <wp:posOffset>1254760</wp:posOffset>
            </wp:positionH>
            <wp:positionV relativeFrom="paragraph">
              <wp:posOffset>-553720</wp:posOffset>
            </wp:positionV>
            <wp:extent cx="8890" cy="825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60256" behindDoc="1" locked="0" layoutInCell="0" allowOverlap="1">
            <wp:simplePos x="0" y="0"/>
            <wp:positionH relativeFrom="column">
              <wp:posOffset>1271905</wp:posOffset>
            </wp:positionH>
            <wp:positionV relativeFrom="paragraph">
              <wp:posOffset>-553720</wp:posOffset>
            </wp:positionV>
            <wp:extent cx="8255" cy="825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61280" behindDoc="1" locked="0" layoutInCell="0" allowOverlap="1">
            <wp:simplePos x="0" y="0"/>
            <wp:positionH relativeFrom="column">
              <wp:posOffset>1289050</wp:posOffset>
            </wp:positionH>
            <wp:positionV relativeFrom="paragraph">
              <wp:posOffset>-553720</wp:posOffset>
            </wp:positionV>
            <wp:extent cx="8255" cy="825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62304" behindDoc="1" locked="0" layoutInCell="0" allowOverlap="1">
            <wp:simplePos x="0" y="0"/>
            <wp:positionH relativeFrom="column">
              <wp:posOffset>1306195</wp:posOffset>
            </wp:positionH>
            <wp:positionV relativeFrom="paragraph">
              <wp:posOffset>-553720</wp:posOffset>
            </wp:positionV>
            <wp:extent cx="8255" cy="825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63328" behindDoc="1" locked="0" layoutInCell="0" allowOverlap="1">
            <wp:simplePos x="0" y="0"/>
            <wp:positionH relativeFrom="column">
              <wp:posOffset>1323340</wp:posOffset>
            </wp:positionH>
            <wp:positionV relativeFrom="paragraph">
              <wp:posOffset>-553720</wp:posOffset>
            </wp:positionV>
            <wp:extent cx="8890" cy="825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64352" behindDoc="1" locked="0" layoutInCell="0" allowOverlap="1">
            <wp:simplePos x="0" y="0"/>
            <wp:positionH relativeFrom="column">
              <wp:posOffset>1340485</wp:posOffset>
            </wp:positionH>
            <wp:positionV relativeFrom="paragraph">
              <wp:posOffset>-553720</wp:posOffset>
            </wp:positionV>
            <wp:extent cx="8890" cy="825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65376" behindDoc="1" locked="0" layoutInCell="0" allowOverlap="1">
            <wp:simplePos x="0" y="0"/>
            <wp:positionH relativeFrom="column">
              <wp:posOffset>1357630</wp:posOffset>
            </wp:positionH>
            <wp:positionV relativeFrom="paragraph">
              <wp:posOffset>-553720</wp:posOffset>
            </wp:positionV>
            <wp:extent cx="8255" cy="825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66400" behindDoc="1" locked="0" layoutInCell="0" allowOverlap="1">
            <wp:simplePos x="0" y="0"/>
            <wp:positionH relativeFrom="column">
              <wp:posOffset>1374775</wp:posOffset>
            </wp:positionH>
            <wp:positionV relativeFrom="paragraph">
              <wp:posOffset>-553720</wp:posOffset>
            </wp:positionV>
            <wp:extent cx="8255" cy="8255"/>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67424" behindDoc="1" locked="0" layoutInCell="0" allowOverlap="1">
            <wp:simplePos x="0" y="0"/>
            <wp:positionH relativeFrom="column">
              <wp:posOffset>1391920</wp:posOffset>
            </wp:positionH>
            <wp:positionV relativeFrom="paragraph">
              <wp:posOffset>-553720</wp:posOffset>
            </wp:positionV>
            <wp:extent cx="8890" cy="825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68448" behindDoc="1" locked="0" layoutInCell="0" allowOverlap="1">
            <wp:simplePos x="0" y="0"/>
            <wp:positionH relativeFrom="column">
              <wp:posOffset>1409065</wp:posOffset>
            </wp:positionH>
            <wp:positionV relativeFrom="paragraph">
              <wp:posOffset>-553720</wp:posOffset>
            </wp:positionV>
            <wp:extent cx="8890" cy="825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69472" behindDoc="1" locked="0" layoutInCell="0" allowOverlap="1">
            <wp:simplePos x="0" y="0"/>
            <wp:positionH relativeFrom="column">
              <wp:posOffset>1426210</wp:posOffset>
            </wp:positionH>
            <wp:positionV relativeFrom="paragraph">
              <wp:posOffset>-553720</wp:posOffset>
            </wp:positionV>
            <wp:extent cx="8255" cy="825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70496" behindDoc="1" locked="0" layoutInCell="0" allowOverlap="1">
            <wp:simplePos x="0" y="0"/>
            <wp:positionH relativeFrom="column">
              <wp:posOffset>1443355</wp:posOffset>
            </wp:positionH>
            <wp:positionV relativeFrom="paragraph">
              <wp:posOffset>-553720</wp:posOffset>
            </wp:positionV>
            <wp:extent cx="8255" cy="825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71520" behindDoc="1" locked="0" layoutInCell="0" allowOverlap="1">
            <wp:simplePos x="0" y="0"/>
            <wp:positionH relativeFrom="column">
              <wp:posOffset>1460500</wp:posOffset>
            </wp:positionH>
            <wp:positionV relativeFrom="paragraph">
              <wp:posOffset>-553720</wp:posOffset>
            </wp:positionV>
            <wp:extent cx="8255" cy="825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72544" behindDoc="1" locked="0" layoutInCell="0" allowOverlap="1">
            <wp:simplePos x="0" y="0"/>
            <wp:positionH relativeFrom="column">
              <wp:posOffset>1477645</wp:posOffset>
            </wp:positionH>
            <wp:positionV relativeFrom="paragraph">
              <wp:posOffset>-553720</wp:posOffset>
            </wp:positionV>
            <wp:extent cx="8890" cy="825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73568" behindDoc="1" locked="0" layoutInCell="0" allowOverlap="1">
            <wp:simplePos x="0" y="0"/>
            <wp:positionH relativeFrom="column">
              <wp:posOffset>1494790</wp:posOffset>
            </wp:positionH>
            <wp:positionV relativeFrom="paragraph">
              <wp:posOffset>-553720</wp:posOffset>
            </wp:positionV>
            <wp:extent cx="8890" cy="825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74592" behindDoc="1" locked="0" layoutInCell="0" allowOverlap="1">
            <wp:simplePos x="0" y="0"/>
            <wp:positionH relativeFrom="column">
              <wp:posOffset>1511935</wp:posOffset>
            </wp:positionH>
            <wp:positionV relativeFrom="paragraph">
              <wp:posOffset>-553720</wp:posOffset>
            </wp:positionV>
            <wp:extent cx="8255" cy="825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75616" behindDoc="1" locked="0" layoutInCell="0" allowOverlap="1">
            <wp:simplePos x="0" y="0"/>
            <wp:positionH relativeFrom="column">
              <wp:posOffset>1529080</wp:posOffset>
            </wp:positionH>
            <wp:positionV relativeFrom="paragraph">
              <wp:posOffset>-553720</wp:posOffset>
            </wp:positionV>
            <wp:extent cx="8255" cy="825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76640" behindDoc="1" locked="0" layoutInCell="0" allowOverlap="1">
            <wp:simplePos x="0" y="0"/>
            <wp:positionH relativeFrom="column">
              <wp:posOffset>1546225</wp:posOffset>
            </wp:positionH>
            <wp:positionV relativeFrom="paragraph">
              <wp:posOffset>-553720</wp:posOffset>
            </wp:positionV>
            <wp:extent cx="8255" cy="825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77664" behindDoc="1" locked="0" layoutInCell="0" allowOverlap="1">
            <wp:simplePos x="0" y="0"/>
            <wp:positionH relativeFrom="column">
              <wp:posOffset>1563370</wp:posOffset>
            </wp:positionH>
            <wp:positionV relativeFrom="paragraph">
              <wp:posOffset>-553720</wp:posOffset>
            </wp:positionV>
            <wp:extent cx="8890" cy="825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78688" behindDoc="1" locked="0" layoutInCell="0" allowOverlap="1">
            <wp:simplePos x="0" y="0"/>
            <wp:positionH relativeFrom="column">
              <wp:posOffset>1580515</wp:posOffset>
            </wp:positionH>
            <wp:positionV relativeFrom="paragraph">
              <wp:posOffset>-553720</wp:posOffset>
            </wp:positionV>
            <wp:extent cx="8890" cy="825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79712" behindDoc="1" locked="0" layoutInCell="0" allowOverlap="1">
            <wp:simplePos x="0" y="0"/>
            <wp:positionH relativeFrom="column">
              <wp:posOffset>1597660</wp:posOffset>
            </wp:positionH>
            <wp:positionV relativeFrom="paragraph">
              <wp:posOffset>-553720</wp:posOffset>
            </wp:positionV>
            <wp:extent cx="8255" cy="825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80736" behindDoc="1" locked="0" layoutInCell="0" allowOverlap="1">
            <wp:simplePos x="0" y="0"/>
            <wp:positionH relativeFrom="column">
              <wp:posOffset>1614805</wp:posOffset>
            </wp:positionH>
            <wp:positionV relativeFrom="paragraph">
              <wp:posOffset>-553720</wp:posOffset>
            </wp:positionV>
            <wp:extent cx="8255" cy="8255"/>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81760" behindDoc="1" locked="0" layoutInCell="0" allowOverlap="1">
            <wp:simplePos x="0" y="0"/>
            <wp:positionH relativeFrom="column">
              <wp:posOffset>1631950</wp:posOffset>
            </wp:positionH>
            <wp:positionV relativeFrom="paragraph">
              <wp:posOffset>-553720</wp:posOffset>
            </wp:positionV>
            <wp:extent cx="8255" cy="825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82784" behindDoc="1" locked="0" layoutInCell="0" allowOverlap="1">
            <wp:simplePos x="0" y="0"/>
            <wp:positionH relativeFrom="column">
              <wp:posOffset>1649095</wp:posOffset>
            </wp:positionH>
            <wp:positionV relativeFrom="paragraph">
              <wp:posOffset>-553720</wp:posOffset>
            </wp:positionV>
            <wp:extent cx="8890" cy="825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83808" behindDoc="1" locked="0" layoutInCell="0" allowOverlap="1">
            <wp:simplePos x="0" y="0"/>
            <wp:positionH relativeFrom="column">
              <wp:posOffset>1666240</wp:posOffset>
            </wp:positionH>
            <wp:positionV relativeFrom="paragraph">
              <wp:posOffset>-553720</wp:posOffset>
            </wp:positionV>
            <wp:extent cx="8890" cy="825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84832" behindDoc="1" locked="0" layoutInCell="0" allowOverlap="1">
            <wp:simplePos x="0" y="0"/>
            <wp:positionH relativeFrom="column">
              <wp:posOffset>1683385</wp:posOffset>
            </wp:positionH>
            <wp:positionV relativeFrom="paragraph">
              <wp:posOffset>-553720</wp:posOffset>
            </wp:positionV>
            <wp:extent cx="8255" cy="825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85856" behindDoc="1" locked="0" layoutInCell="0" allowOverlap="1">
            <wp:simplePos x="0" y="0"/>
            <wp:positionH relativeFrom="column">
              <wp:posOffset>1700530</wp:posOffset>
            </wp:positionH>
            <wp:positionV relativeFrom="paragraph">
              <wp:posOffset>-553720</wp:posOffset>
            </wp:positionV>
            <wp:extent cx="8255" cy="825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86880" behindDoc="1" locked="0" layoutInCell="0" allowOverlap="1">
            <wp:simplePos x="0" y="0"/>
            <wp:positionH relativeFrom="column">
              <wp:posOffset>1717675</wp:posOffset>
            </wp:positionH>
            <wp:positionV relativeFrom="paragraph">
              <wp:posOffset>-553720</wp:posOffset>
            </wp:positionV>
            <wp:extent cx="8255" cy="8255"/>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87904" behindDoc="1" locked="0" layoutInCell="0" allowOverlap="1">
            <wp:simplePos x="0" y="0"/>
            <wp:positionH relativeFrom="column">
              <wp:posOffset>1734820</wp:posOffset>
            </wp:positionH>
            <wp:positionV relativeFrom="paragraph">
              <wp:posOffset>-553720</wp:posOffset>
            </wp:positionV>
            <wp:extent cx="8890" cy="825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88928" behindDoc="1" locked="0" layoutInCell="0" allowOverlap="1">
            <wp:simplePos x="0" y="0"/>
            <wp:positionH relativeFrom="column">
              <wp:posOffset>1751965</wp:posOffset>
            </wp:positionH>
            <wp:positionV relativeFrom="paragraph">
              <wp:posOffset>-553720</wp:posOffset>
            </wp:positionV>
            <wp:extent cx="8890" cy="825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89952" behindDoc="1" locked="0" layoutInCell="0" allowOverlap="1">
            <wp:simplePos x="0" y="0"/>
            <wp:positionH relativeFrom="column">
              <wp:posOffset>1769110</wp:posOffset>
            </wp:positionH>
            <wp:positionV relativeFrom="paragraph">
              <wp:posOffset>-553720</wp:posOffset>
            </wp:positionV>
            <wp:extent cx="8255" cy="825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90976" behindDoc="1" locked="0" layoutInCell="0" allowOverlap="1">
            <wp:simplePos x="0" y="0"/>
            <wp:positionH relativeFrom="column">
              <wp:posOffset>1786255</wp:posOffset>
            </wp:positionH>
            <wp:positionV relativeFrom="paragraph">
              <wp:posOffset>-553720</wp:posOffset>
            </wp:positionV>
            <wp:extent cx="8255" cy="825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92000" behindDoc="1" locked="0" layoutInCell="0" allowOverlap="1">
            <wp:simplePos x="0" y="0"/>
            <wp:positionH relativeFrom="column">
              <wp:posOffset>1803400</wp:posOffset>
            </wp:positionH>
            <wp:positionV relativeFrom="paragraph">
              <wp:posOffset>-553720</wp:posOffset>
            </wp:positionV>
            <wp:extent cx="8255" cy="825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93024" behindDoc="1" locked="0" layoutInCell="0" allowOverlap="1">
            <wp:simplePos x="0" y="0"/>
            <wp:positionH relativeFrom="column">
              <wp:posOffset>1820545</wp:posOffset>
            </wp:positionH>
            <wp:positionV relativeFrom="paragraph">
              <wp:posOffset>-553720</wp:posOffset>
            </wp:positionV>
            <wp:extent cx="8890" cy="825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94048" behindDoc="1" locked="0" layoutInCell="0" allowOverlap="1">
            <wp:simplePos x="0" y="0"/>
            <wp:positionH relativeFrom="column">
              <wp:posOffset>1837690</wp:posOffset>
            </wp:positionH>
            <wp:positionV relativeFrom="paragraph">
              <wp:posOffset>-553720</wp:posOffset>
            </wp:positionV>
            <wp:extent cx="8890" cy="825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95072" behindDoc="1" locked="0" layoutInCell="0" allowOverlap="1">
            <wp:simplePos x="0" y="0"/>
            <wp:positionH relativeFrom="column">
              <wp:posOffset>1854835</wp:posOffset>
            </wp:positionH>
            <wp:positionV relativeFrom="paragraph">
              <wp:posOffset>-553720</wp:posOffset>
            </wp:positionV>
            <wp:extent cx="8255" cy="825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96096" behindDoc="1" locked="0" layoutInCell="0" allowOverlap="1">
            <wp:simplePos x="0" y="0"/>
            <wp:positionH relativeFrom="column">
              <wp:posOffset>1871980</wp:posOffset>
            </wp:positionH>
            <wp:positionV relativeFrom="paragraph">
              <wp:posOffset>-553720</wp:posOffset>
            </wp:positionV>
            <wp:extent cx="8255" cy="825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97120" behindDoc="1" locked="0" layoutInCell="0" allowOverlap="1">
            <wp:simplePos x="0" y="0"/>
            <wp:positionH relativeFrom="column">
              <wp:posOffset>1889125</wp:posOffset>
            </wp:positionH>
            <wp:positionV relativeFrom="paragraph">
              <wp:posOffset>-553720</wp:posOffset>
            </wp:positionV>
            <wp:extent cx="8255" cy="825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398144" behindDoc="1" locked="0" layoutInCell="0" allowOverlap="1">
            <wp:simplePos x="0" y="0"/>
            <wp:positionH relativeFrom="column">
              <wp:posOffset>1906270</wp:posOffset>
            </wp:positionH>
            <wp:positionV relativeFrom="paragraph">
              <wp:posOffset>-553720</wp:posOffset>
            </wp:positionV>
            <wp:extent cx="8890" cy="825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399168" behindDoc="1" locked="0" layoutInCell="0" allowOverlap="1">
            <wp:simplePos x="0" y="0"/>
            <wp:positionH relativeFrom="column">
              <wp:posOffset>1923415</wp:posOffset>
            </wp:positionH>
            <wp:positionV relativeFrom="paragraph">
              <wp:posOffset>-553720</wp:posOffset>
            </wp:positionV>
            <wp:extent cx="8890" cy="825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00192" behindDoc="1" locked="0" layoutInCell="0" allowOverlap="1">
            <wp:simplePos x="0" y="0"/>
            <wp:positionH relativeFrom="column">
              <wp:posOffset>1940560</wp:posOffset>
            </wp:positionH>
            <wp:positionV relativeFrom="paragraph">
              <wp:posOffset>-553720</wp:posOffset>
            </wp:positionV>
            <wp:extent cx="8255" cy="825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01216" behindDoc="1" locked="0" layoutInCell="0" allowOverlap="1">
            <wp:simplePos x="0" y="0"/>
            <wp:positionH relativeFrom="column">
              <wp:posOffset>1957705</wp:posOffset>
            </wp:positionH>
            <wp:positionV relativeFrom="paragraph">
              <wp:posOffset>-553720</wp:posOffset>
            </wp:positionV>
            <wp:extent cx="8255" cy="825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02240" behindDoc="1" locked="0" layoutInCell="0" allowOverlap="1">
            <wp:simplePos x="0" y="0"/>
            <wp:positionH relativeFrom="column">
              <wp:posOffset>1974850</wp:posOffset>
            </wp:positionH>
            <wp:positionV relativeFrom="paragraph">
              <wp:posOffset>-553720</wp:posOffset>
            </wp:positionV>
            <wp:extent cx="8255" cy="825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03264" behindDoc="1" locked="0" layoutInCell="0" allowOverlap="1">
            <wp:simplePos x="0" y="0"/>
            <wp:positionH relativeFrom="column">
              <wp:posOffset>1991995</wp:posOffset>
            </wp:positionH>
            <wp:positionV relativeFrom="paragraph">
              <wp:posOffset>-553720</wp:posOffset>
            </wp:positionV>
            <wp:extent cx="8890" cy="825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04288" behindDoc="1" locked="0" layoutInCell="0" allowOverlap="1">
            <wp:simplePos x="0" y="0"/>
            <wp:positionH relativeFrom="column">
              <wp:posOffset>2009140</wp:posOffset>
            </wp:positionH>
            <wp:positionV relativeFrom="paragraph">
              <wp:posOffset>-553720</wp:posOffset>
            </wp:positionV>
            <wp:extent cx="8890" cy="825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05312" behindDoc="1" locked="0" layoutInCell="0" allowOverlap="1">
            <wp:simplePos x="0" y="0"/>
            <wp:positionH relativeFrom="column">
              <wp:posOffset>2026285</wp:posOffset>
            </wp:positionH>
            <wp:positionV relativeFrom="paragraph">
              <wp:posOffset>-553720</wp:posOffset>
            </wp:positionV>
            <wp:extent cx="8255" cy="825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06336" behindDoc="1" locked="0" layoutInCell="0" allowOverlap="1">
            <wp:simplePos x="0" y="0"/>
            <wp:positionH relativeFrom="column">
              <wp:posOffset>2043430</wp:posOffset>
            </wp:positionH>
            <wp:positionV relativeFrom="paragraph">
              <wp:posOffset>-553720</wp:posOffset>
            </wp:positionV>
            <wp:extent cx="8255" cy="825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07360" behindDoc="1" locked="0" layoutInCell="0" allowOverlap="1">
            <wp:simplePos x="0" y="0"/>
            <wp:positionH relativeFrom="column">
              <wp:posOffset>2060575</wp:posOffset>
            </wp:positionH>
            <wp:positionV relativeFrom="paragraph">
              <wp:posOffset>-553720</wp:posOffset>
            </wp:positionV>
            <wp:extent cx="8890" cy="825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08384" behindDoc="1" locked="0" layoutInCell="0" allowOverlap="1">
            <wp:simplePos x="0" y="0"/>
            <wp:positionH relativeFrom="column">
              <wp:posOffset>2077720</wp:posOffset>
            </wp:positionH>
            <wp:positionV relativeFrom="paragraph">
              <wp:posOffset>-553720</wp:posOffset>
            </wp:positionV>
            <wp:extent cx="8890" cy="825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09408" behindDoc="1" locked="0" layoutInCell="0" allowOverlap="1">
            <wp:simplePos x="0" y="0"/>
            <wp:positionH relativeFrom="column">
              <wp:posOffset>2094865</wp:posOffset>
            </wp:positionH>
            <wp:positionV relativeFrom="paragraph">
              <wp:posOffset>-553720</wp:posOffset>
            </wp:positionV>
            <wp:extent cx="8255" cy="825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10432" behindDoc="1" locked="0" layoutInCell="0" allowOverlap="1">
            <wp:simplePos x="0" y="0"/>
            <wp:positionH relativeFrom="column">
              <wp:posOffset>2112010</wp:posOffset>
            </wp:positionH>
            <wp:positionV relativeFrom="paragraph">
              <wp:posOffset>-553720</wp:posOffset>
            </wp:positionV>
            <wp:extent cx="8255" cy="825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11456" behindDoc="1" locked="0" layoutInCell="0" allowOverlap="1">
            <wp:simplePos x="0" y="0"/>
            <wp:positionH relativeFrom="column">
              <wp:posOffset>2129155</wp:posOffset>
            </wp:positionH>
            <wp:positionV relativeFrom="paragraph">
              <wp:posOffset>-553720</wp:posOffset>
            </wp:positionV>
            <wp:extent cx="8255" cy="825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12480" behindDoc="1" locked="0" layoutInCell="0" allowOverlap="1">
            <wp:simplePos x="0" y="0"/>
            <wp:positionH relativeFrom="column">
              <wp:posOffset>2146300</wp:posOffset>
            </wp:positionH>
            <wp:positionV relativeFrom="paragraph">
              <wp:posOffset>-553720</wp:posOffset>
            </wp:positionV>
            <wp:extent cx="8890" cy="825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13504" behindDoc="1" locked="0" layoutInCell="0" allowOverlap="1">
            <wp:simplePos x="0" y="0"/>
            <wp:positionH relativeFrom="column">
              <wp:posOffset>2163445</wp:posOffset>
            </wp:positionH>
            <wp:positionV relativeFrom="paragraph">
              <wp:posOffset>-553720</wp:posOffset>
            </wp:positionV>
            <wp:extent cx="8890" cy="825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14528" behindDoc="1" locked="0" layoutInCell="0" allowOverlap="1">
            <wp:simplePos x="0" y="0"/>
            <wp:positionH relativeFrom="column">
              <wp:posOffset>2180590</wp:posOffset>
            </wp:positionH>
            <wp:positionV relativeFrom="paragraph">
              <wp:posOffset>-553720</wp:posOffset>
            </wp:positionV>
            <wp:extent cx="8255" cy="8255"/>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15552" behindDoc="1" locked="0" layoutInCell="0" allowOverlap="1">
            <wp:simplePos x="0" y="0"/>
            <wp:positionH relativeFrom="column">
              <wp:posOffset>2197735</wp:posOffset>
            </wp:positionH>
            <wp:positionV relativeFrom="paragraph">
              <wp:posOffset>-553720</wp:posOffset>
            </wp:positionV>
            <wp:extent cx="8255" cy="825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16576" behindDoc="1" locked="0" layoutInCell="0" allowOverlap="1">
            <wp:simplePos x="0" y="0"/>
            <wp:positionH relativeFrom="column">
              <wp:posOffset>2214880</wp:posOffset>
            </wp:positionH>
            <wp:positionV relativeFrom="paragraph">
              <wp:posOffset>-553720</wp:posOffset>
            </wp:positionV>
            <wp:extent cx="8255" cy="825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17600" behindDoc="1" locked="0" layoutInCell="0" allowOverlap="1">
            <wp:simplePos x="0" y="0"/>
            <wp:positionH relativeFrom="column">
              <wp:posOffset>2232025</wp:posOffset>
            </wp:positionH>
            <wp:positionV relativeFrom="paragraph">
              <wp:posOffset>-553720</wp:posOffset>
            </wp:positionV>
            <wp:extent cx="8890" cy="825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18624" behindDoc="1" locked="0" layoutInCell="0" allowOverlap="1">
            <wp:simplePos x="0" y="0"/>
            <wp:positionH relativeFrom="column">
              <wp:posOffset>2249170</wp:posOffset>
            </wp:positionH>
            <wp:positionV relativeFrom="paragraph">
              <wp:posOffset>-553720</wp:posOffset>
            </wp:positionV>
            <wp:extent cx="8890" cy="825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19648" behindDoc="1" locked="0" layoutInCell="0" allowOverlap="1">
            <wp:simplePos x="0" y="0"/>
            <wp:positionH relativeFrom="column">
              <wp:posOffset>2266315</wp:posOffset>
            </wp:positionH>
            <wp:positionV relativeFrom="paragraph">
              <wp:posOffset>-553720</wp:posOffset>
            </wp:positionV>
            <wp:extent cx="8255" cy="825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20672" behindDoc="1" locked="0" layoutInCell="0" allowOverlap="1">
            <wp:simplePos x="0" y="0"/>
            <wp:positionH relativeFrom="column">
              <wp:posOffset>2283460</wp:posOffset>
            </wp:positionH>
            <wp:positionV relativeFrom="paragraph">
              <wp:posOffset>-553720</wp:posOffset>
            </wp:positionV>
            <wp:extent cx="8255" cy="825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21696" behindDoc="1" locked="0" layoutInCell="0" allowOverlap="1">
            <wp:simplePos x="0" y="0"/>
            <wp:positionH relativeFrom="column">
              <wp:posOffset>2300605</wp:posOffset>
            </wp:positionH>
            <wp:positionV relativeFrom="paragraph">
              <wp:posOffset>-553720</wp:posOffset>
            </wp:positionV>
            <wp:extent cx="8255" cy="825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22720" behindDoc="1" locked="0" layoutInCell="0" allowOverlap="1">
            <wp:simplePos x="0" y="0"/>
            <wp:positionH relativeFrom="column">
              <wp:posOffset>2317750</wp:posOffset>
            </wp:positionH>
            <wp:positionV relativeFrom="paragraph">
              <wp:posOffset>-553720</wp:posOffset>
            </wp:positionV>
            <wp:extent cx="8890" cy="825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23744" behindDoc="1" locked="0" layoutInCell="0" allowOverlap="1">
            <wp:simplePos x="0" y="0"/>
            <wp:positionH relativeFrom="column">
              <wp:posOffset>2334895</wp:posOffset>
            </wp:positionH>
            <wp:positionV relativeFrom="paragraph">
              <wp:posOffset>-553720</wp:posOffset>
            </wp:positionV>
            <wp:extent cx="8890" cy="825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24768" behindDoc="1" locked="0" layoutInCell="0" allowOverlap="1">
            <wp:simplePos x="0" y="0"/>
            <wp:positionH relativeFrom="column">
              <wp:posOffset>2352040</wp:posOffset>
            </wp:positionH>
            <wp:positionV relativeFrom="paragraph">
              <wp:posOffset>-553720</wp:posOffset>
            </wp:positionV>
            <wp:extent cx="8255" cy="825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25792" behindDoc="1" locked="0" layoutInCell="0" allowOverlap="1">
            <wp:simplePos x="0" y="0"/>
            <wp:positionH relativeFrom="column">
              <wp:posOffset>2369185</wp:posOffset>
            </wp:positionH>
            <wp:positionV relativeFrom="paragraph">
              <wp:posOffset>-553720</wp:posOffset>
            </wp:positionV>
            <wp:extent cx="8255" cy="825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26816" behindDoc="1" locked="0" layoutInCell="0" allowOverlap="1">
            <wp:simplePos x="0" y="0"/>
            <wp:positionH relativeFrom="column">
              <wp:posOffset>2386330</wp:posOffset>
            </wp:positionH>
            <wp:positionV relativeFrom="paragraph">
              <wp:posOffset>-553720</wp:posOffset>
            </wp:positionV>
            <wp:extent cx="8255" cy="825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27840" behindDoc="1" locked="0" layoutInCell="0" allowOverlap="1">
            <wp:simplePos x="0" y="0"/>
            <wp:positionH relativeFrom="column">
              <wp:posOffset>2403475</wp:posOffset>
            </wp:positionH>
            <wp:positionV relativeFrom="paragraph">
              <wp:posOffset>-553720</wp:posOffset>
            </wp:positionV>
            <wp:extent cx="8890" cy="825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28864" behindDoc="1" locked="0" layoutInCell="0" allowOverlap="1">
            <wp:simplePos x="0" y="0"/>
            <wp:positionH relativeFrom="column">
              <wp:posOffset>2420620</wp:posOffset>
            </wp:positionH>
            <wp:positionV relativeFrom="paragraph">
              <wp:posOffset>-553720</wp:posOffset>
            </wp:positionV>
            <wp:extent cx="8890" cy="825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29888" behindDoc="1" locked="0" layoutInCell="0" allowOverlap="1">
            <wp:simplePos x="0" y="0"/>
            <wp:positionH relativeFrom="column">
              <wp:posOffset>2437765</wp:posOffset>
            </wp:positionH>
            <wp:positionV relativeFrom="paragraph">
              <wp:posOffset>-553720</wp:posOffset>
            </wp:positionV>
            <wp:extent cx="8255" cy="825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30912" behindDoc="1" locked="0" layoutInCell="0" allowOverlap="1">
            <wp:simplePos x="0" y="0"/>
            <wp:positionH relativeFrom="column">
              <wp:posOffset>2454910</wp:posOffset>
            </wp:positionH>
            <wp:positionV relativeFrom="paragraph">
              <wp:posOffset>-553720</wp:posOffset>
            </wp:positionV>
            <wp:extent cx="8255" cy="825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31936" behindDoc="1" locked="0" layoutInCell="0" allowOverlap="1">
            <wp:simplePos x="0" y="0"/>
            <wp:positionH relativeFrom="column">
              <wp:posOffset>2472055</wp:posOffset>
            </wp:positionH>
            <wp:positionV relativeFrom="paragraph">
              <wp:posOffset>-553720</wp:posOffset>
            </wp:positionV>
            <wp:extent cx="8255" cy="825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32960" behindDoc="1" locked="0" layoutInCell="0" allowOverlap="1">
            <wp:simplePos x="0" y="0"/>
            <wp:positionH relativeFrom="column">
              <wp:posOffset>2489200</wp:posOffset>
            </wp:positionH>
            <wp:positionV relativeFrom="paragraph">
              <wp:posOffset>-553720</wp:posOffset>
            </wp:positionV>
            <wp:extent cx="8890" cy="825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33984" behindDoc="1" locked="0" layoutInCell="0" allowOverlap="1">
            <wp:simplePos x="0" y="0"/>
            <wp:positionH relativeFrom="column">
              <wp:posOffset>2506345</wp:posOffset>
            </wp:positionH>
            <wp:positionV relativeFrom="paragraph">
              <wp:posOffset>-553720</wp:posOffset>
            </wp:positionV>
            <wp:extent cx="8890" cy="825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35008" behindDoc="1" locked="0" layoutInCell="0" allowOverlap="1">
            <wp:simplePos x="0" y="0"/>
            <wp:positionH relativeFrom="column">
              <wp:posOffset>2523490</wp:posOffset>
            </wp:positionH>
            <wp:positionV relativeFrom="paragraph">
              <wp:posOffset>-553720</wp:posOffset>
            </wp:positionV>
            <wp:extent cx="8255" cy="825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36032" behindDoc="1" locked="0" layoutInCell="0" allowOverlap="1">
            <wp:simplePos x="0" y="0"/>
            <wp:positionH relativeFrom="column">
              <wp:posOffset>2540635</wp:posOffset>
            </wp:positionH>
            <wp:positionV relativeFrom="paragraph">
              <wp:posOffset>-553720</wp:posOffset>
            </wp:positionV>
            <wp:extent cx="8255" cy="825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37056" behindDoc="1" locked="0" layoutInCell="0" allowOverlap="1">
            <wp:simplePos x="0" y="0"/>
            <wp:positionH relativeFrom="column">
              <wp:posOffset>2557780</wp:posOffset>
            </wp:positionH>
            <wp:positionV relativeFrom="paragraph">
              <wp:posOffset>-553720</wp:posOffset>
            </wp:positionV>
            <wp:extent cx="8255" cy="8255"/>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38080" behindDoc="1" locked="0" layoutInCell="0" allowOverlap="1">
            <wp:simplePos x="0" y="0"/>
            <wp:positionH relativeFrom="column">
              <wp:posOffset>2574925</wp:posOffset>
            </wp:positionH>
            <wp:positionV relativeFrom="paragraph">
              <wp:posOffset>-553720</wp:posOffset>
            </wp:positionV>
            <wp:extent cx="8890" cy="825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39104" behindDoc="1" locked="0" layoutInCell="0" allowOverlap="1">
            <wp:simplePos x="0" y="0"/>
            <wp:positionH relativeFrom="column">
              <wp:posOffset>2592070</wp:posOffset>
            </wp:positionH>
            <wp:positionV relativeFrom="paragraph">
              <wp:posOffset>-553720</wp:posOffset>
            </wp:positionV>
            <wp:extent cx="8890" cy="825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40128" behindDoc="1" locked="0" layoutInCell="0" allowOverlap="1">
            <wp:simplePos x="0" y="0"/>
            <wp:positionH relativeFrom="column">
              <wp:posOffset>2609215</wp:posOffset>
            </wp:positionH>
            <wp:positionV relativeFrom="paragraph">
              <wp:posOffset>-553720</wp:posOffset>
            </wp:positionV>
            <wp:extent cx="8255" cy="825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41152" behindDoc="1" locked="0" layoutInCell="0" allowOverlap="1">
            <wp:simplePos x="0" y="0"/>
            <wp:positionH relativeFrom="column">
              <wp:posOffset>2626360</wp:posOffset>
            </wp:positionH>
            <wp:positionV relativeFrom="paragraph">
              <wp:posOffset>-553720</wp:posOffset>
            </wp:positionV>
            <wp:extent cx="8255" cy="825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42176" behindDoc="1" locked="0" layoutInCell="0" allowOverlap="1">
            <wp:simplePos x="0" y="0"/>
            <wp:positionH relativeFrom="column">
              <wp:posOffset>2643505</wp:posOffset>
            </wp:positionH>
            <wp:positionV relativeFrom="paragraph">
              <wp:posOffset>-553720</wp:posOffset>
            </wp:positionV>
            <wp:extent cx="8255" cy="825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43200" behindDoc="1" locked="0" layoutInCell="0" allowOverlap="1">
            <wp:simplePos x="0" y="0"/>
            <wp:positionH relativeFrom="column">
              <wp:posOffset>2660650</wp:posOffset>
            </wp:positionH>
            <wp:positionV relativeFrom="paragraph">
              <wp:posOffset>-553720</wp:posOffset>
            </wp:positionV>
            <wp:extent cx="8255" cy="825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44224" behindDoc="1" locked="0" layoutInCell="0" allowOverlap="1">
            <wp:simplePos x="0" y="0"/>
            <wp:positionH relativeFrom="column">
              <wp:posOffset>2677795</wp:posOffset>
            </wp:positionH>
            <wp:positionV relativeFrom="paragraph">
              <wp:posOffset>-553720</wp:posOffset>
            </wp:positionV>
            <wp:extent cx="8255" cy="825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45248" behindDoc="1" locked="0" layoutInCell="0" allowOverlap="1">
            <wp:simplePos x="0" y="0"/>
            <wp:positionH relativeFrom="column">
              <wp:posOffset>2694940</wp:posOffset>
            </wp:positionH>
            <wp:positionV relativeFrom="paragraph">
              <wp:posOffset>-553720</wp:posOffset>
            </wp:positionV>
            <wp:extent cx="8890" cy="825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46272" behindDoc="1" locked="0" layoutInCell="0" allowOverlap="1">
            <wp:simplePos x="0" y="0"/>
            <wp:positionH relativeFrom="column">
              <wp:posOffset>2712085</wp:posOffset>
            </wp:positionH>
            <wp:positionV relativeFrom="paragraph">
              <wp:posOffset>-553720</wp:posOffset>
            </wp:positionV>
            <wp:extent cx="8255" cy="825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47296" behindDoc="1" locked="0" layoutInCell="0" allowOverlap="1">
            <wp:simplePos x="0" y="0"/>
            <wp:positionH relativeFrom="column">
              <wp:posOffset>2729230</wp:posOffset>
            </wp:positionH>
            <wp:positionV relativeFrom="paragraph">
              <wp:posOffset>-553720</wp:posOffset>
            </wp:positionV>
            <wp:extent cx="8255" cy="825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48320" behindDoc="1" locked="0" layoutInCell="0" allowOverlap="1">
            <wp:simplePos x="0" y="0"/>
            <wp:positionH relativeFrom="column">
              <wp:posOffset>2746375</wp:posOffset>
            </wp:positionH>
            <wp:positionV relativeFrom="paragraph">
              <wp:posOffset>-553720</wp:posOffset>
            </wp:positionV>
            <wp:extent cx="8255" cy="825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49344" behindDoc="1" locked="0" layoutInCell="0" allowOverlap="1">
            <wp:simplePos x="0" y="0"/>
            <wp:positionH relativeFrom="column">
              <wp:posOffset>2763520</wp:posOffset>
            </wp:positionH>
            <wp:positionV relativeFrom="paragraph">
              <wp:posOffset>-553720</wp:posOffset>
            </wp:positionV>
            <wp:extent cx="8255" cy="825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50368" behindDoc="1" locked="0" layoutInCell="0" allowOverlap="1">
            <wp:simplePos x="0" y="0"/>
            <wp:positionH relativeFrom="column">
              <wp:posOffset>2780665</wp:posOffset>
            </wp:positionH>
            <wp:positionV relativeFrom="paragraph">
              <wp:posOffset>-553720</wp:posOffset>
            </wp:positionV>
            <wp:extent cx="8890" cy="825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51392" behindDoc="1" locked="0" layoutInCell="0" allowOverlap="1">
            <wp:simplePos x="0" y="0"/>
            <wp:positionH relativeFrom="column">
              <wp:posOffset>2797810</wp:posOffset>
            </wp:positionH>
            <wp:positionV relativeFrom="paragraph">
              <wp:posOffset>-553720</wp:posOffset>
            </wp:positionV>
            <wp:extent cx="8255" cy="825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52416" behindDoc="1" locked="0" layoutInCell="0" allowOverlap="1">
            <wp:simplePos x="0" y="0"/>
            <wp:positionH relativeFrom="column">
              <wp:posOffset>2814955</wp:posOffset>
            </wp:positionH>
            <wp:positionV relativeFrom="paragraph">
              <wp:posOffset>-553720</wp:posOffset>
            </wp:positionV>
            <wp:extent cx="8255" cy="825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53440" behindDoc="1" locked="0" layoutInCell="0" allowOverlap="1">
            <wp:simplePos x="0" y="0"/>
            <wp:positionH relativeFrom="column">
              <wp:posOffset>2832100</wp:posOffset>
            </wp:positionH>
            <wp:positionV relativeFrom="paragraph">
              <wp:posOffset>-553720</wp:posOffset>
            </wp:positionV>
            <wp:extent cx="8255" cy="825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54464" behindDoc="1" locked="0" layoutInCell="0" allowOverlap="1">
            <wp:simplePos x="0" y="0"/>
            <wp:positionH relativeFrom="column">
              <wp:posOffset>2849245</wp:posOffset>
            </wp:positionH>
            <wp:positionV relativeFrom="paragraph">
              <wp:posOffset>-553720</wp:posOffset>
            </wp:positionV>
            <wp:extent cx="8255" cy="825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55488" behindDoc="1" locked="0" layoutInCell="0" allowOverlap="1">
            <wp:simplePos x="0" y="0"/>
            <wp:positionH relativeFrom="column">
              <wp:posOffset>2866390</wp:posOffset>
            </wp:positionH>
            <wp:positionV relativeFrom="paragraph">
              <wp:posOffset>-553720</wp:posOffset>
            </wp:positionV>
            <wp:extent cx="8890" cy="825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56512" behindDoc="1" locked="0" layoutInCell="0" allowOverlap="1">
            <wp:simplePos x="0" y="0"/>
            <wp:positionH relativeFrom="column">
              <wp:posOffset>2883535</wp:posOffset>
            </wp:positionH>
            <wp:positionV relativeFrom="paragraph">
              <wp:posOffset>-553720</wp:posOffset>
            </wp:positionV>
            <wp:extent cx="8255" cy="825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57536" behindDoc="1" locked="0" layoutInCell="0" allowOverlap="1">
            <wp:simplePos x="0" y="0"/>
            <wp:positionH relativeFrom="column">
              <wp:posOffset>2900680</wp:posOffset>
            </wp:positionH>
            <wp:positionV relativeFrom="paragraph">
              <wp:posOffset>-553720</wp:posOffset>
            </wp:positionV>
            <wp:extent cx="8255" cy="825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58560" behindDoc="1" locked="0" layoutInCell="0" allowOverlap="1">
            <wp:simplePos x="0" y="0"/>
            <wp:positionH relativeFrom="column">
              <wp:posOffset>2917825</wp:posOffset>
            </wp:positionH>
            <wp:positionV relativeFrom="paragraph">
              <wp:posOffset>-553720</wp:posOffset>
            </wp:positionV>
            <wp:extent cx="8255" cy="825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59584" behindDoc="1" locked="0" layoutInCell="0" allowOverlap="1">
            <wp:simplePos x="0" y="0"/>
            <wp:positionH relativeFrom="column">
              <wp:posOffset>2934970</wp:posOffset>
            </wp:positionH>
            <wp:positionV relativeFrom="paragraph">
              <wp:posOffset>-553720</wp:posOffset>
            </wp:positionV>
            <wp:extent cx="8255" cy="825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60608" behindDoc="1" locked="0" layoutInCell="0" allowOverlap="1">
            <wp:simplePos x="0" y="0"/>
            <wp:positionH relativeFrom="column">
              <wp:posOffset>2952115</wp:posOffset>
            </wp:positionH>
            <wp:positionV relativeFrom="paragraph">
              <wp:posOffset>-553720</wp:posOffset>
            </wp:positionV>
            <wp:extent cx="8890" cy="825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61632" behindDoc="1" locked="0" layoutInCell="0" allowOverlap="1">
            <wp:simplePos x="0" y="0"/>
            <wp:positionH relativeFrom="column">
              <wp:posOffset>2969260</wp:posOffset>
            </wp:positionH>
            <wp:positionV relativeFrom="paragraph">
              <wp:posOffset>-553720</wp:posOffset>
            </wp:positionV>
            <wp:extent cx="8255" cy="825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62656" behindDoc="1" locked="0" layoutInCell="0" allowOverlap="1">
            <wp:simplePos x="0" y="0"/>
            <wp:positionH relativeFrom="column">
              <wp:posOffset>2986405</wp:posOffset>
            </wp:positionH>
            <wp:positionV relativeFrom="paragraph">
              <wp:posOffset>-553720</wp:posOffset>
            </wp:positionV>
            <wp:extent cx="8255" cy="825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63680" behindDoc="1" locked="0" layoutInCell="0" allowOverlap="1">
            <wp:simplePos x="0" y="0"/>
            <wp:positionH relativeFrom="column">
              <wp:posOffset>3003550</wp:posOffset>
            </wp:positionH>
            <wp:positionV relativeFrom="paragraph">
              <wp:posOffset>-553720</wp:posOffset>
            </wp:positionV>
            <wp:extent cx="8255" cy="825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64704" behindDoc="1" locked="0" layoutInCell="0" allowOverlap="1">
            <wp:simplePos x="0" y="0"/>
            <wp:positionH relativeFrom="column">
              <wp:posOffset>3020695</wp:posOffset>
            </wp:positionH>
            <wp:positionV relativeFrom="paragraph">
              <wp:posOffset>-553720</wp:posOffset>
            </wp:positionV>
            <wp:extent cx="8255" cy="825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65728" behindDoc="1" locked="0" layoutInCell="0" allowOverlap="1">
            <wp:simplePos x="0" y="0"/>
            <wp:positionH relativeFrom="column">
              <wp:posOffset>3037840</wp:posOffset>
            </wp:positionH>
            <wp:positionV relativeFrom="paragraph">
              <wp:posOffset>-553720</wp:posOffset>
            </wp:positionV>
            <wp:extent cx="8890" cy="825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66752" behindDoc="1" locked="0" layoutInCell="0" allowOverlap="1">
            <wp:simplePos x="0" y="0"/>
            <wp:positionH relativeFrom="column">
              <wp:posOffset>3054985</wp:posOffset>
            </wp:positionH>
            <wp:positionV relativeFrom="paragraph">
              <wp:posOffset>-553720</wp:posOffset>
            </wp:positionV>
            <wp:extent cx="8255" cy="825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67776" behindDoc="1" locked="0" layoutInCell="0" allowOverlap="1">
            <wp:simplePos x="0" y="0"/>
            <wp:positionH relativeFrom="column">
              <wp:posOffset>3072130</wp:posOffset>
            </wp:positionH>
            <wp:positionV relativeFrom="paragraph">
              <wp:posOffset>-553720</wp:posOffset>
            </wp:positionV>
            <wp:extent cx="8255" cy="825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68800" behindDoc="1" locked="0" layoutInCell="0" allowOverlap="1">
            <wp:simplePos x="0" y="0"/>
            <wp:positionH relativeFrom="column">
              <wp:posOffset>3089275</wp:posOffset>
            </wp:positionH>
            <wp:positionV relativeFrom="paragraph">
              <wp:posOffset>-553720</wp:posOffset>
            </wp:positionV>
            <wp:extent cx="8255" cy="825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69824" behindDoc="1" locked="0" layoutInCell="0" allowOverlap="1">
            <wp:simplePos x="0" y="0"/>
            <wp:positionH relativeFrom="column">
              <wp:posOffset>3106420</wp:posOffset>
            </wp:positionH>
            <wp:positionV relativeFrom="paragraph">
              <wp:posOffset>-553720</wp:posOffset>
            </wp:positionV>
            <wp:extent cx="8255" cy="825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70848" behindDoc="1" locked="0" layoutInCell="0" allowOverlap="1">
            <wp:simplePos x="0" y="0"/>
            <wp:positionH relativeFrom="column">
              <wp:posOffset>3123565</wp:posOffset>
            </wp:positionH>
            <wp:positionV relativeFrom="paragraph">
              <wp:posOffset>-553720</wp:posOffset>
            </wp:positionV>
            <wp:extent cx="8890" cy="825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71872" behindDoc="1" locked="0" layoutInCell="0" allowOverlap="1">
            <wp:simplePos x="0" y="0"/>
            <wp:positionH relativeFrom="column">
              <wp:posOffset>3140710</wp:posOffset>
            </wp:positionH>
            <wp:positionV relativeFrom="paragraph">
              <wp:posOffset>-553720</wp:posOffset>
            </wp:positionV>
            <wp:extent cx="8255" cy="825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72896" behindDoc="1" locked="0" layoutInCell="0" allowOverlap="1">
            <wp:simplePos x="0" y="0"/>
            <wp:positionH relativeFrom="column">
              <wp:posOffset>3157855</wp:posOffset>
            </wp:positionH>
            <wp:positionV relativeFrom="paragraph">
              <wp:posOffset>-553720</wp:posOffset>
            </wp:positionV>
            <wp:extent cx="8255" cy="825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73920" behindDoc="1" locked="0" layoutInCell="0" allowOverlap="1">
            <wp:simplePos x="0" y="0"/>
            <wp:positionH relativeFrom="column">
              <wp:posOffset>3175000</wp:posOffset>
            </wp:positionH>
            <wp:positionV relativeFrom="paragraph">
              <wp:posOffset>-553720</wp:posOffset>
            </wp:positionV>
            <wp:extent cx="8255" cy="825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74944" behindDoc="1" locked="0" layoutInCell="0" allowOverlap="1">
            <wp:simplePos x="0" y="0"/>
            <wp:positionH relativeFrom="column">
              <wp:posOffset>3192145</wp:posOffset>
            </wp:positionH>
            <wp:positionV relativeFrom="paragraph">
              <wp:posOffset>-553720</wp:posOffset>
            </wp:positionV>
            <wp:extent cx="8255" cy="825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75968" behindDoc="1" locked="0" layoutInCell="0" allowOverlap="1">
            <wp:simplePos x="0" y="0"/>
            <wp:positionH relativeFrom="column">
              <wp:posOffset>3209290</wp:posOffset>
            </wp:positionH>
            <wp:positionV relativeFrom="paragraph">
              <wp:posOffset>-553720</wp:posOffset>
            </wp:positionV>
            <wp:extent cx="8890" cy="825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76992" behindDoc="1" locked="0" layoutInCell="0" allowOverlap="1">
            <wp:simplePos x="0" y="0"/>
            <wp:positionH relativeFrom="column">
              <wp:posOffset>3226435</wp:posOffset>
            </wp:positionH>
            <wp:positionV relativeFrom="paragraph">
              <wp:posOffset>-553720</wp:posOffset>
            </wp:positionV>
            <wp:extent cx="8255" cy="825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78016" behindDoc="1" locked="0" layoutInCell="0" allowOverlap="1">
            <wp:simplePos x="0" y="0"/>
            <wp:positionH relativeFrom="column">
              <wp:posOffset>3243580</wp:posOffset>
            </wp:positionH>
            <wp:positionV relativeFrom="paragraph">
              <wp:posOffset>-553720</wp:posOffset>
            </wp:positionV>
            <wp:extent cx="8255" cy="825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79040" behindDoc="1" locked="0" layoutInCell="0" allowOverlap="1">
            <wp:simplePos x="0" y="0"/>
            <wp:positionH relativeFrom="column">
              <wp:posOffset>3260725</wp:posOffset>
            </wp:positionH>
            <wp:positionV relativeFrom="paragraph">
              <wp:posOffset>-553720</wp:posOffset>
            </wp:positionV>
            <wp:extent cx="8255" cy="825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80064" behindDoc="1" locked="0" layoutInCell="0" allowOverlap="1">
            <wp:simplePos x="0" y="0"/>
            <wp:positionH relativeFrom="column">
              <wp:posOffset>3277870</wp:posOffset>
            </wp:positionH>
            <wp:positionV relativeFrom="paragraph">
              <wp:posOffset>-553720</wp:posOffset>
            </wp:positionV>
            <wp:extent cx="8255" cy="825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81088" behindDoc="1" locked="0" layoutInCell="0" allowOverlap="1">
            <wp:simplePos x="0" y="0"/>
            <wp:positionH relativeFrom="column">
              <wp:posOffset>3295015</wp:posOffset>
            </wp:positionH>
            <wp:positionV relativeFrom="paragraph">
              <wp:posOffset>-553720</wp:posOffset>
            </wp:positionV>
            <wp:extent cx="8890" cy="825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82112" behindDoc="1" locked="0" layoutInCell="0" allowOverlap="1">
            <wp:simplePos x="0" y="0"/>
            <wp:positionH relativeFrom="column">
              <wp:posOffset>3312160</wp:posOffset>
            </wp:positionH>
            <wp:positionV relativeFrom="paragraph">
              <wp:posOffset>-553720</wp:posOffset>
            </wp:positionV>
            <wp:extent cx="8255" cy="825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83136" behindDoc="1" locked="0" layoutInCell="0" allowOverlap="1">
            <wp:simplePos x="0" y="0"/>
            <wp:positionH relativeFrom="column">
              <wp:posOffset>3329305</wp:posOffset>
            </wp:positionH>
            <wp:positionV relativeFrom="paragraph">
              <wp:posOffset>-553720</wp:posOffset>
            </wp:positionV>
            <wp:extent cx="8255" cy="825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84160" behindDoc="1" locked="0" layoutInCell="0" allowOverlap="1">
            <wp:simplePos x="0" y="0"/>
            <wp:positionH relativeFrom="column">
              <wp:posOffset>3346450</wp:posOffset>
            </wp:positionH>
            <wp:positionV relativeFrom="paragraph">
              <wp:posOffset>-553720</wp:posOffset>
            </wp:positionV>
            <wp:extent cx="8255" cy="825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85184" behindDoc="1" locked="0" layoutInCell="0" allowOverlap="1">
            <wp:simplePos x="0" y="0"/>
            <wp:positionH relativeFrom="column">
              <wp:posOffset>3363595</wp:posOffset>
            </wp:positionH>
            <wp:positionV relativeFrom="paragraph">
              <wp:posOffset>-553720</wp:posOffset>
            </wp:positionV>
            <wp:extent cx="8255" cy="825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86208" behindDoc="1" locked="0" layoutInCell="0" allowOverlap="1">
            <wp:simplePos x="0" y="0"/>
            <wp:positionH relativeFrom="column">
              <wp:posOffset>3380740</wp:posOffset>
            </wp:positionH>
            <wp:positionV relativeFrom="paragraph">
              <wp:posOffset>-553720</wp:posOffset>
            </wp:positionV>
            <wp:extent cx="8890" cy="825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487232" behindDoc="1" locked="0" layoutInCell="0" allowOverlap="1">
            <wp:simplePos x="0" y="0"/>
            <wp:positionH relativeFrom="column">
              <wp:posOffset>3397885</wp:posOffset>
            </wp:positionH>
            <wp:positionV relativeFrom="paragraph">
              <wp:posOffset>-553720</wp:posOffset>
            </wp:positionV>
            <wp:extent cx="8255" cy="825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488256" behindDoc="1" locked="0" layoutInCell="0" allowOverlap="1">
            <wp:simplePos x="0" y="0"/>
            <wp:positionH relativeFrom="column">
              <wp:posOffset>3415030</wp:posOffset>
            </wp:positionH>
            <wp:positionV relativeFrom="paragraph">
              <wp:posOffset>-553720</wp:posOffset>
            </wp:positionV>
            <wp:extent cx="8255" cy="825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p>
    <w:p w:rsidR="00A621E3" w:rsidRDefault="00A621E3">
      <w:pPr>
        <w:spacing w:line="157" w:lineRule="exact"/>
        <w:rPr>
          <w:sz w:val="20"/>
          <w:szCs w:val="20"/>
        </w:rPr>
      </w:pPr>
    </w:p>
    <w:p w:rsidR="00A621E3" w:rsidRDefault="00EC630E">
      <w:pPr>
        <w:spacing w:line="246" w:lineRule="auto"/>
        <w:jc w:val="both"/>
        <w:rPr>
          <w:sz w:val="20"/>
          <w:szCs w:val="20"/>
        </w:rPr>
      </w:pPr>
      <w:r>
        <w:rPr>
          <w:rFonts w:ascii="Arial" w:eastAsia="Arial" w:hAnsi="Arial" w:cs="Arial"/>
          <w:i/>
          <w:iCs/>
          <w:sz w:val="20"/>
          <w:szCs w:val="20"/>
        </w:rPr>
        <w:t xml:space="preserve">If you hold your shares in the name of a bank, broker or other nominee, </w:t>
      </w:r>
      <w:r>
        <w:rPr>
          <w:rFonts w:ascii="Arial" w:eastAsia="Arial" w:hAnsi="Arial" w:cs="Arial"/>
          <w:i/>
          <w:iCs/>
          <w:sz w:val="20"/>
          <w:szCs w:val="20"/>
        </w:rPr>
        <w:t>your ability to vote at the Annual Meeting depends on their voting processes. Please follow the directions of your bank, broker or other nominee carefully.</w:t>
      </w:r>
    </w:p>
    <w:p w:rsidR="00A621E3" w:rsidRDefault="00A621E3">
      <w:pPr>
        <w:spacing w:line="437"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74" w:lineRule="exact"/>
        <w:rPr>
          <w:sz w:val="20"/>
          <w:szCs w:val="20"/>
        </w:rPr>
      </w:pPr>
    </w:p>
    <w:p w:rsidR="00A621E3" w:rsidRDefault="00EC630E">
      <w:pPr>
        <w:ind w:left="120"/>
        <w:rPr>
          <w:sz w:val="20"/>
          <w:szCs w:val="20"/>
        </w:rPr>
      </w:pPr>
      <w:r>
        <w:rPr>
          <w:rFonts w:ascii="Arial" w:eastAsia="Arial" w:hAnsi="Arial" w:cs="Arial"/>
          <w:b/>
          <w:bCs/>
          <w:color w:val="CF0A2C"/>
          <w:sz w:val="32"/>
          <w:szCs w:val="32"/>
        </w:rPr>
        <w:t>Can I change my mind after I vote?</w:t>
      </w:r>
    </w:p>
    <w:p w:rsidR="00A621E3" w:rsidRDefault="00EC630E">
      <w:pPr>
        <w:spacing w:line="20" w:lineRule="exact"/>
        <w:rPr>
          <w:sz w:val="20"/>
          <w:szCs w:val="20"/>
        </w:rPr>
      </w:pPr>
      <w:r>
        <w:rPr>
          <w:noProof/>
          <w:sz w:val="20"/>
          <w:szCs w:val="20"/>
        </w:rPr>
        <w:drawing>
          <wp:anchor distT="0" distB="0" distL="114300" distR="114300" simplePos="0" relativeHeight="251489280"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0" w:lineRule="exact"/>
        <w:rPr>
          <w:sz w:val="20"/>
          <w:szCs w:val="20"/>
        </w:rPr>
      </w:pPr>
    </w:p>
    <w:p w:rsidR="00A621E3" w:rsidRDefault="00EC630E">
      <w:pPr>
        <w:spacing w:line="246" w:lineRule="auto"/>
        <w:ind w:left="120"/>
        <w:jc w:val="both"/>
        <w:rPr>
          <w:sz w:val="20"/>
          <w:szCs w:val="20"/>
        </w:rPr>
      </w:pPr>
      <w:r>
        <w:rPr>
          <w:rFonts w:ascii="Arial" w:eastAsia="Arial" w:hAnsi="Arial" w:cs="Arial"/>
          <w:sz w:val="20"/>
          <w:szCs w:val="20"/>
        </w:rPr>
        <w:t xml:space="preserve">If you </w:t>
      </w:r>
      <w:r>
        <w:rPr>
          <w:rFonts w:ascii="Arial" w:eastAsia="Arial" w:hAnsi="Arial" w:cs="Arial"/>
          <w:sz w:val="20"/>
          <w:szCs w:val="20"/>
        </w:rPr>
        <w:t>are a stockholder of record, you may change or revoke any previously cast vote, so long as the new vote or revocation is received before the polls close at the Annual Meeting. You may do this by:</w:t>
      </w:r>
    </w:p>
    <w:p w:rsidR="00A621E3" w:rsidRDefault="00A621E3">
      <w:pPr>
        <w:spacing w:line="218" w:lineRule="exact"/>
        <w:rPr>
          <w:sz w:val="20"/>
          <w:szCs w:val="20"/>
        </w:rPr>
      </w:pPr>
    </w:p>
    <w:p w:rsidR="00A621E3" w:rsidRDefault="00EC630E">
      <w:pPr>
        <w:numPr>
          <w:ilvl w:val="0"/>
          <w:numId w:val="16"/>
        </w:numPr>
        <w:tabs>
          <w:tab w:val="left" w:pos="360"/>
        </w:tabs>
        <w:spacing w:line="260" w:lineRule="auto"/>
        <w:ind w:left="360" w:right="20" w:hanging="190"/>
        <w:rPr>
          <w:rFonts w:ascii="Arial" w:eastAsia="Arial" w:hAnsi="Arial" w:cs="Arial"/>
          <w:color w:val="CF0A2C"/>
          <w:sz w:val="20"/>
          <w:szCs w:val="20"/>
        </w:rPr>
      </w:pPr>
      <w:r>
        <w:rPr>
          <w:rFonts w:ascii="Arial" w:eastAsia="Arial" w:hAnsi="Arial" w:cs="Arial"/>
          <w:sz w:val="20"/>
          <w:szCs w:val="20"/>
        </w:rPr>
        <w:t xml:space="preserve">signing another proxy card with a later date and returning </w:t>
      </w:r>
      <w:r>
        <w:rPr>
          <w:rFonts w:ascii="Arial" w:eastAsia="Arial" w:hAnsi="Arial" w:cs="Arial"/>
          <w:sz w:val="20"/>
          <w:szCs w:val="20"/>
        </w:rPr>
        <w:t>it to us for receipt prior to the Annual Meeting;</w:t>
      </w:r>
    </w:p>
    <w:p w:rsidR="00A621E3" w:rsidRDefault="00A621E3">
      <w:pPr>
        <w:spacing w:line="203" w:lineRule="exact"/>
        <w:rPr>
          <w:rFonts w:ascii="Arial" w:eastAsia="Arial" w:hAnsi="Arial" w:cs="Arial"/>
          <w:color w:val="CF0A2C"/>
          <w:sz w:val="20"/>
          <w:szCs w:val="20"/>
        </w:rPr>
      </w:pPr>
    </w:p>
    <w:p w:rsidR="00A621E3" w:rsidRDefault="00EC630E">
      <w:pPr>
        <w:numPr>
          <w:ilvl w:val="0"/>
          <w:numId w:val="16"/>
        </w:numPr>
        <w:tabs>
          <w:tab w:val="left" w:pos="360"/>
        </w:tabs>
        <w:spacing w:line="250" w:lineRule="auto"/>
        <w:ind w:left="360" w:right="20" w:hanging="190"/>
        <w:jc w:val="both"/>
        <w:rPr>
          <w:rFonts w:ascii="Arial" w:eastAsia="Arial" w:hAnsi="Arial" w:cs="Arial"/>
          <w:color w:val="CF0A2C"/>
          <w:sz w:val="20"/>
          <w:szCs w:val="20"/>
        </w:rPr>
      </w:pPr>
      <w:r>
        <w:rPr>
          <w:rFonts w:ascii="Arial" w:eastAsia="Arial" w:hAnsi="Arial" w:cs="Arial"/>
          <w:sz w:val="20"/>
          <w:szCs w:val="20"/>
        </w:rPr>
        <w:t>voting again through the Internet or by telephone prior to 11:59 a.m. Beijing/Hong Kong time on May 24, 2023 / 11:59 p.m. U.S. Eastern time on May 23, 2023;</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numPr>
          <w:ilvl w:val="0"/>
          <w:numId w:val="17"/>
        </w:numPr>
        <w:tabs>
          <w:tab w:val="left" w:pos="240"/>
        </w:tabs>
        <w:spacing w:line="260" w:lineRule="auto"/>
        <w:ind w:left="240" w:right="40" w:hanging="192"/>
        <w:rPr>
          <w:rFonts w:ascii="Arial" w:eastAsia="Arial" w:hAnsi="Arial" w:cs="Arial"/>
          <w:color w:val="CF0A2C"/>
          <w:sz w:val="20"/>
          <w:szCs w:val="20"/>
        </w:rPr>
      </w:pPr>
      <w:r>
        <w:rPr>
          <w:rFonts w:ascii="Arial" w:eastAsia="Arial" w:hAnsi="Arial" w:cs="Arial"/>
          <w:sz w:val="20"/>
          <w:szCs w:val="20"/>
        </w:rPr>
        <w:t xml:space="preserve">giving written notice to the Corporate </w:t>
      </w:r>
      <w:r>
        <w:rPr>
          <w:rFonts w:ascii="Arial" w:eastAsia="Arial" w:hAnsi="Arial" w:cs="Arial"/>
          <w:sz w:val="20"/>
          <w:szCs w:val="20"/>
        </w:rPr>
        <w:t>Secretary of the Company prior to the Annual Meeting; or</w:t>
      </w:r>
    </w:p>
    <w:p w:rsidR="00A621E3" w:rsidRDefault="00A621E3">
      <w:pPr>
        <w:spacing w:line="203" w:lineRule="exact"/>
        <w:rPr>
          <w:rFonts w:ascii="Arial" w:eastAsia="Arial" w:hAnsi="Arial" w:cs="Arial"/>
          <w:color w:val="CF0A2C"/>
          <w:sz w:val="20"/>
          <w:szCs w:val="20"/>
        </w:rPr>
      </w:pPr>
    </w:p>
    <w:p w:rsidR="00A621E3" w:rsidRDefault="00EC630E">
      <w:pPr>
        <w:numPr>
          <w:ilvl w:val="0"/>
          <w:numId w:val="17"/>
        </w:numPr>
        <w:tabs>
          <w:tab w:val="left" w:pos="240"/>
        </w:tabs>
        <w:ind w:left="240" w:hanging="192"/>
        <w:rPr>
          <w:rFonts w:ascii="Arial" w:eastAsia="Arial" w:hAnsi="Arial" w:cs="Arial"/>
          <w:color w:val="CF0A2C"/>
          <w:sz w:val="20"/>
          <w:szCs w:val="20"/>
        </w:rPr>
      </w:pPr>
      <w:r>
        <w:rPr>
          <w:rFonts w:ascii="Arial" w:eastAsia="Arial" w:hAnsi="Arial" w:cs="Arial"/>
          <w:sz w:val="20"/>
          <w:szCs w:val="20"/>
        </w:rPr>
        <w:t>voting again at the Annual Meeting.</w:t>
      </w:r>
    </w:p>
    <w:p w:rsidR="00A621E3" w:rsidRDefault="00A621E3">
      <w:pPr>
        <w:spacing w:line="216" w:lineRule="exact"/>
        <w:rPr>
          <w:sz w:val="20"/>
          <w:szCs w:val="20"/>
        </w:rPr>
      </w:pPr>
    </w:p>
    <w:p w:rsidR="00A621E3" w:rsidRDefault="00EC630E">
      <w:pPr>
        <w:spacing w:line="246" w:lineRule="auto"/>
        <w:jc w:val="both"/>
        <w:rPr>
          <w:sz w:val="20"/>
          <w:szCs w:val="20"/>
        </w:rPr>
      </w:pPr>
      <w:r>
        <w:rPr>
          <w:rFonts w:ascii="Arial" w:eastAsia="Arial" w:hAnsi="Arial" w:cs="Arial"/>
          <w:i/>
          <w:iCs/>
          <w:sz w:val="20"/>
          <w:szCs w:val="20"/>
        </w:rPr>
        <w:t>If you hold your shares in the name of a bank, broker or other nominee, your ability change your vote depends on their voting processes. Please follow the direct</w:t>
      </w:r>
      <w:r>
        <w:rPr>
          <w:rFonts w:ascii="Arial" w:eastAsia="Arial" w:hAnsi="Arial" w:cs="Arial"/>
          <w:i/>
          <w:iCs/>
          <w:sz w:val="20"/>
          <w:szCs w:val="20"/>
        </w:rPr>
        <w:t>ions of your bank, broker or other nominee carefully.</w:t>
      </w:r>
    </w:p>
    <w:p w:rsidR="00A621E3" w:rsidRDefault="00A621E3">
      <w:pPr>
        <w:spacing w:line="691"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00" w:lineRule="exact"/>
        <w:rPr>
          <w:sz w:val="20"/>
          <w:szCs w:val="20"/>
        </w:rPr>
      </w:pPr>
    </w:p>
    <w:p w:rsidR="00A621E3" w:rsidRDefault="00A621E3">
      <w:pPr>
        <w:spacing w:line="293" w:lineRule="exact"/>
        <w:rPr>
          <w:sz w:val="20"/>
          <w:szCs w:val="20"/>
        </w:rPr>
      </w:pPr>
    </w:p>
    <w:p w:rsidR="00A621E3" w:rsidRDefault="00EC630E">
      <w:pPr>
        <w:ind w:left="120"/>
        <w:rPr>
          <w:sz w:val="20"/>
          <w:szCs w:val="20"/>
        </w:rPr>
      </w:pPr>
      <w:r>
        <w:rPr>
          <w:rFonts w:ascii="Arial" w:eastAsia="Arial" w:hAnsi="Arial" w:cs="Arial"/>
          <w:b/>
          <w:bCs/>
          <w:color w:val="CF0A2C"/>
          <w:sz w:val="32"/>
          <w:szCs w:val="32"/>
        </w:rPr>
        <w:t>Who will count the votes?</w:t>
      </w:r>
    </w:p>
    <w:p w:rsidR="00A621E3" w:rsidRDefault="00EC630E">
      <w:pPr>
        <w:spacing w:line="20" w:lineRule="exact"/>
        <w:rPr>
          <w:sz w:val="20"/>
          <w:szCs w:val="20"/>
        </w:rPr>
      </w:pPr>
      <w:r>
        <w:rPr>
          <w:noProof/>
          <w:sz w:val="20"/>
          <w:szCs w:val="20"/>
        </w:rPr>
        <w:drawing>
          <wp:anchor distT="0" distB="0" distL="114300" distR="114300" simplePos="0" relativeHeight="251490304"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55" w:lineRule="exact"/>
        <w:rPr>
          <w:sz w:val="20"/>
          <w:szCs w:val="20"/>
        </w:rPr>
      </w:pPr>
    </w:p>
    <w:p w:rsidR="00A621E3" w:rsidRDefault="00EC630E">
      <w:pPr>
        <w:ind w:left="120"/>
        <w:rPr>
          <w:sz w:val="20"/>
          <w:szCs w:val="20"/>
        </w:rPr>
      </w:pPr>
      <w:r>
        <w:rPr>
          <w:rFonts w:ascii="Arial" w:eastAsia="Arial" w:hAnsi="Arial" w:cs="Arial"/>
          <w:sz w:val="16"/>
          <w:szCs w:val="16"/>
        </w:rPr>
        <w:t>Representatives of Broadridge Financial Solutions will count the votes and will serve as the independent inspector of election.</w:t>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2" w:lineRule="exact"/>
        <w:rPr>
          <w:sz w:val="20"/>
          <w:szCs w:val="20"/>
        </w:rPr>
      </w:pPr>
    </w:p>
    <w:p w:rsidR="00A621E3" w:rsidRDefault="00EC630E">
      <w:pPr>
        <w:numPr>
          <w:ilvl w:val="0"/>
          <w:numId w:val="18"/>
        </w:numPr>
        <w:tabs>
          <w:tab w:val="left" w:pos="640"/>
        </w:tabs>
        <w:ind w:left="640" w:hanging="346"/>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491328" behindDoc="1" locked="0" layoutInCell="0" allowOverlap="1">
            <wp:simplePos x="0" y="0"/>
            <wp:positionH relativeFrom="column">
              <wp:posOffset>287655</wp:posOffset>
            </wp:positionH>
            <wp:positionV relativeFrom="paragraph">
              <wp:posOffset>-95885</wp:posOffset>
            </wp:positionV>
            <wp:extent cx="8255" cy="10287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14" w:name="page14"/>
      <w:bookmarkEnd w:id="14"/>
      <w:r>
        <w:rPr>
          <w:rFonts w:ascii="Arial" w:eastAsia="Arial" w:hAnsi="Arial" w:cs="Arial"/>
          <w:b/>
          <w:bCs/>
          <w:noProof/>
          <w:color w:val="0000EE"/>
          <w:sz w:val="18"/>
          <w:szCs w:val="18"/>
          <w:u w:val="single"/>
        </w:rPr>
        <w:lastRenderedPageBreak/>
        <w:drawing>
          <wp:anchor distT="0" distB="0" distL="114300" distR="114300" simplePos="0" relativeHeight="25149235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493376" behindDoc="1" locked="0" layoutInCell="0" allowOverlap="1">
            <wp:simplePos x="0" y="0"/>
            <wp:positionH relativeFrom="column">
              <wp:posOffset>3622675</wp:posOffset>
            </wp:positionH>
            <wp:positionV relativeFrom="paragraph">
              <wp:posOffset>205740</wp:posOffset>
            </wp:positionV>
            <wp:extent cx="3446145" cy="20574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
                      <a:extLst/>
                    </a:blip>
                    <a:srcRect/>
                    <a:stretch>
                      <a:fillRect/>
                    </a:stretch>
                  </pic:blipFill>
                  <pic:spPr bwMode="auto">
                    <a:xfrm>
                      <a:off x="0" y="0"/>
                      <a:ext cx="344614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5940"/>
        <w:rPr>
          <w:sz w:val="20"/>
          <w:szCs w:val="20"/>
        </w:rPr>
      </w:pPr>
      <w:r>
        <w:rPr>
          <w:rFonts w:ascii="Arial" w:eastAsia="Arial" w:hAnsi="Arial" w:cs="Arial"/>
          <w:b/>
          <w:bCs/>
          <w:color w:val="FFFFFF"/>
          <w:sz w:val="16"/>
          <w:szCs w:val="16"/>
        </w:rPr>
        <w:t>QUESTIONS AND ANSWERS ABOUT THE MEETING AND VOTING</w:t>
      </w:r>
    </w:p>
    <w:p w:rsidR="00A621E3" w:rsidRDefault="00A621E3">
      <w:pPr>
        <w:spacing w:line="189" w:lineRule="exact"/>
        <w:rPr>
          <w:sz w:val="20"/>
          <w:szCs w:val="20"/>
        </w:rPr>
      </w:pPr>
    </w:p>
    <w:p w:rsidR="00A621E3" w:rsidRDefault="00EC630E">
      <w:pPr>
        <w:ind w:left="120"/>
        <w:rPr>
          <w:sz w:val="20"/>
          <w:szCs w:val="20"/>
        </w:rPr>
      </w:pPr>
      <w:r>
        <w:rPr>
          <w:rFonts w:ascii="Arial" w:eastAsia="Arial" w:hAnsi="Arial" w:cs="Arial"/>
          <w:b/>
          <w:bCs/>
          <w:color w:val="CF0A2C"/>
          <w:sz w:val="32"/>
          <w:szCs w:val="32"/>
        </w:rPr>
        <w:t>What if I return my proxy card but do not provide voting instructions?</w:t>
      </w:r>
    </w:p>
    <w:p w:rsidR="00A621E3" w:rsidRDefault="00EC630E">
      <w:pPr>
        <w:spacing w:line="20" w:lineRule="exact"/>
        <w:rPr>
          <w:sz w:val="20"/>
          <w:szCs w:val="20"/>
        </w:rPr>
      </w:pPr>
      <w:r>
        <w:rPr>
          <w:noProof/>
          <w:sz w:val="20"/>
          <w:szCs w:val="20"/>
        </w:rPr>
        <w:drawing>
          <wp:anchor distT="0" distB="0" distL="114300" distR="114300" simplePos="0" relativeHeight="251494400"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0" w:lineRule="exact"/>
        <w:rPr>
          <w:sz w:val="20"/>
          <w:szCs w:val="20"/>
        </w:rPr>
      </w:pPr>
    </w:p>
    <w:p w:rsidR="00A621E3" w:rsidRDefault="00EC630E">
      <w:pPr>
        <w:spacing w:line="250" w:lineRule="auto"/>
        <w:ind w:left="120"/>
        <w:jc w:val="both"/>
        <w:rPr>
          <w:sz w:val="20"/>
          <w:szCs w:val="20"/>
        </w:rPr>
      </w:pPr>
      <w:r>
        <w:rPr>
          <w:rFonts w:ascii="Arial" w:eastAsia="Arial" w:hAnsi="Arial" w:cs="Arial"/>
          <w:sz w:val="20"/>
          <w:szCs w:val="20"/>
        </w:rPr>
        <w:t xml:space="preserve">If </w:t>
      </w:r>
      <w:r>
        <w:rPr>
          <w:rFonts w:ascii="Arial" w:eastAsia="Arial" w:hAnsi="Arial" w:cs="Arial"/>
          <w:sz w:val="20"/>
          <w:szCs w:val="20"/>
        </w:rPr>
        <w:t>you vote by proxy card, your shares will be voted as you instruct by the individuals named on the proxy card. If you sign and return a proxy card but do not specify how your</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spacing w:line="250" w:lineRule="auto"/>
        <w:jc w:val="both"/>
        <w:rPr>
          <w:sz w:val="20"/>
          <w:szCs w:val="20"/>
        </w:rPr>
      </w:pPr>
      <w:r>
        <w:rPr>
          <w:rFonts w:ascii="Arial" w:eastAsia="Arial" w:hAnsi="Arial" w:cs="Arial"/>
          <w:sz w:val="20"/>
          <w:szCs w:val="20"/>
        </w:rPr>
        <w:t xml:space="preserve">shares are to be voted, the persons named as proxies on the proxy card will </w:t>
      </w:r>
      <w:r>
        <w:rPr>
          <w:rFonts w:ascii="Arial" w:eastAsia="Arial" w:hAnsi="Arial" w:cs="Arial"/>
          <w:sz w:val="20"/>
          <w:szCs w:val="20"/>
        </w:rPr>
        <w:t>vote your shares in accordance with the recommendations of the Board set forth on page 2.</w:t>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63" w:lineRule="exact"/>
        <w:rPr>
          <w:sz w:val="20"/>
          <w:szCs w:val="20"/>
        </w:rPr>
      </w:pPr>
    </w:p>
    <w:p w:rsidR="00A621E3" w:rsidRDefault="00EC630E">
      <w:pPr>
        <w:ind w:left="120"/>
        <w:rPr>
          <w:sz w:val="20"/>
          <w:szCs w:val="20"/>
        </w:rPr>
      </w:pPr>
      <w:r>
        <w:rPr>
          <w:rFonts w:ascii="Arial" w:eastAsia="Arial" w:hAnsi="Arial" w:cs="Arial"/>
          <w:b/>
          <w:bCs/>
          <w:color w:val="CF0A2C"/>
          <w:sz w:val="32"/>
          <w:szCs w:val="32"/>
        </w:rPr>
        <w:t>What does it mean if I receive more than one Notice or proxy card?</w:t>
      </w:r>
    </w:p>
    <w:p w:rsidR="00A621E3" w:rsidRDefault="00EC630E">
      <w:pPr>
        <w:spacing w:line="20" w:lineRule="exact"/>
        <w:rPr>
          <w:sz w:val="20"/>
          <w:szCs w:val="20"/>
        </w:rPr>
      </w:pPr>
      <w:r>
        <w:rPr>
          <w:noProof/>
          <w:sz w:val="20"/>
          <w:szCs w:val="20"/>
        </w:rPr>
        <w:drawing>
          <wp:anchor distT="0" distB="0" distL="114300" distR="114300" simplePos="0" relativeHeight="251495424"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96" w:lineRule="exact"/>
        <w:rPr>
          <w:sz w:val="20"/>
          <w:szCs w:val="20"/>
        </w:rPr>
      </w:pPr>
    </w:p>
    <w:p w:rsidR="00A621E3" w:rsidRDefault="00EC630E">
      <w:pPr>
        <w:spacing w:line="259" w:lineRule="auto"/>
        <w:ind w:left="120"/>
        <w:jc w:val="both"/>
        <w:rPr>
          <w:sz w:val="20"/>
          <w:szCs w:val="20"/>
        </w:rPr>
      </w:pPr>
      <w:r>
        <w:rPr>
          <w:rFonts w:ascii="Arial" w:eastAsia="Arial" w:hAnsi="Arial" w:cs="Arial"/>
          <w:sz w:val="19"/>
          <w:szCs w:val="19"/>
        </w:rPr>
        <w:t xml:space="preserve">If you received more than one Notice or </w:t>
      </w:r>
      <w:r>
        <w:rPr>
          <w:rFonts w:ascii="Arial" w:eastAsia="Arial" w:hAnsi="Arial" w:cs="Arial"/>
          <w:sz w:val="19"/>
          <w:szCs w:val="19"/>
        </w:rPr>
        <w:t>proxy card, it means that you have multiple accounts with brokers and/or our transfer agent. Please vote all of these shares. We recommend that you contact your broker and/or our transfer agent to consolidate as many accounts as possible under the same nam</w:t>
      </w:r>
      <w:r>
        <w:rPr>
          <w:rFonts w:ascii="Arial" w:eastAsia="Arial" w:hAnsi="Arial" w:cs="Arial"/>
          <w:sz w:val="19"/>
          <w:szCs w:val="19"/>
        </w:rPr>
        <w:t>e and address. Our U.S. transfer agent</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6" w:lineRule="exact"/>
        <w:rPr>
          <w:sz w:val="20"/>
          <w:szCs w:val="20"/>
        </w:rPr>
      </w:pPr>
    </w:p>
    <w:p w:rsidR="00A621E3" w:rsidRDefault="00EC630E">
      <w:pPr>
        <w:ind w:left="6"/>
        <w:rPr>
          <w:sz w:val="20"/>
          <w:szCs w:val="20"/>
        </w:rPr>
      </w:pPr>
      <w:r>
        <w:rPr>
          <w:rFonts w:ascii="Arial" w:eastAsia="Arial" w:hAnsi="Arial" w:cs="Arial"/>
          <w:sz w:val="16"/>
          <w:szCs w:val="16"/>
        </w:rPr>
        <w:t>is Computershare Trust Company, N.A., which may be reached at 1</w:t>
      </w:r>
    </w:p>
    <w:p w:rsidR="00A621E3" w:rsidRDefault="00A621E3">
      <w:pPr>
        <w:spacing w:line="62" w:lineRule="exact"/>
        <w:rPr>
          <w:sz w:val="20"/>
          <w:szCs w:val="20"/>
        </w:rPr>
      </w:pPr>
    </w:p>
    <w:p w:rsidR="00A621E3" w:rsidRDefault="00EC630E">
      <w:pPr>
        <w:numPr>
          <w:ilvl w:val="0"/>
          <w:numId w:val="19"/>
        </w:numPr>
        <w:tabs>
          <w:tab w:val="left" w:pos="565"/>
        </w:tabs>
        <w:spacing w:line="241" w:lineRule="auto"/>
        <w:ind w:left="6" w:hanging="6"/>
        <w:jc w:val="both"/>
        <w:rPr>
          <w:rFonts w:ascii="Arial" w:eastAsia="Arial" w:hAnsi="Arial" w:cs="Arial"/>
          <w:sz w:val="20"/>
          <w:szCs w:val="20"/>
        </w:rPr>
      </w:pPr>
      <w:r>
        <w:rPr>
          <w:rFonts w:ascii="Arial" w:eastAsia="Arial" w:hAnsi="Arial" w:cs="Arial"/>
          <w:sz w:val="20"/>
          <w:szCs w:val="20"/>
        </w:rPr>
        <w:t>854-0865 (U.S.) and 1 (781) 575-3102 (International). Computershare Investor Services Limited, which can be reached at 852-2862-8500 (Hong Kong), ac</w:t>
      </w:r>
      <w:r>
        <w:rPr>
          <w:rFonts w:ascii="Arial" w:eastAsia="Arial" w:hAnsi="Arial" w:cs="Arial"/>
          <w:sz w:val="20"/>
          <w:szCs w:val="20"/>
        </w:rPr>
        <w:t>ts as our co-transfer agent to maintain the Hong Kong share register.</w:t>
      </w:r>
    </w:p>
    <w:p w:rsidR="00A621E3" w:rsidRDefault="00A621E3">
      <w:pPr>
        <w:spacing w:line="445"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34"/>
            <w:col w:w="5406"/>
          </w:cols>
        </w:sectPr>
      </w:pPr>
    </w:p>
    <w:p w:rsidR="00A621E3" w:rsidRDefault="00A621E3">
      <w:pPr>
        <w:spacing w:line="256" w:lineRule="exact"/>
        <w:rPr>
          <w:sz w:val="20"/>
          <w:szCs w:val="20"/>
        </w:rPr>
      </w:pPr>
    </w:p>
    <w:p w:rsidR="00A621E3" w:rsidRDefault="00EC630E">
      <w:pPr>
        <w:ind w:left="120"/>
        <w:rPr>
          <w:sz w:val="20"/>
          <w:szCs w:val="20"/>
        </w:rPr>
      </w:pPr>
      <w:r>
        <w:rPr>
          <w:rFonts w:ascii="Arial" w:eastAsia="Arial" w:hAnsi="Arial" w:cs="Arial"/>
          <w:b/>
          <w:bCs/>
          <w:color w:val="CF0A2C"/>
          <w:sz w:val="32"/>
          <w:szCs w:val="32"/>
        </w:rPr>
        <w:t>Will my shares be voted if I do not provide my proxy?</w:t>
      </w:r>
    </w:p>
    <w:p w:rsidR="00A621E3" w:rsidRDefault="00EC630E">
      <w:pPr>
        <w:spacing w:line="20" w:lineRule="exact"/>
        <w:rPr>
          <w:sz w:val="20"/>
          <w:szCs w:val="20"/>
        </w:rPr>
      </w:pPr>
      <w:r>
        <w:rPr>
          <w:noProof/>
          <w:sz w:val="20"/>
          <w:szCs w:val="20"/>
        </w:rPr>
        <w:drawing>
          <wp:anchor distT="0" distB="0" distL="114300" distR="114300" simplePos="0" relativeHeight="251496448"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0"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 xml:space="preserve">Your shares may be voted on certain matters if they are held in the name </w:t>
      </w:r>
      <w:r>
        <w:rPr>
          <w:rFonts w:ascii="Arial" w:eastAsia="Arial" w:hAnsi="Arial" w:cs="Arial"/>
          <w:sz w:val="20"/>
          <w:szCs w:val="20"/>
        </w:rPr>
        <w:t>of a brokerage firm, even if you do not provide the brokerage firm with voting instructions. Brokerage firms have the authority under NYSE rules to vote shares for which their customers do not provide voting instructions on certain “routine” matters.</w:t>
      </w:r>
    </w:p>
    <w:p w:rsidR="00A621E3" w:rsidRDefault="00A621E3">
      <w:pPr>
        <w:spacing w:line="155" w:lineRule="exact"/>
        <w:rPr>
          <w:sz w:val="20"/>
          <w:szCs w:val="20"/>
        </w:rPr>
      </w:pPr>
    </w:p>
    <w:p w:rsidR="00A621E3" w:rsidRDefault="00EC630E">
      <w:pPr>
        <w:spacing w:line="260" w:lineRule="auto"/>
        <w:ind w:left="120"/>
        <w:jc w:val="both"/>
        <w:rPr>
          <w:sz w:val="20"/>
          <w:szCs w:val="20"/>
        </w:rPr>
      </w:pPr>
      <w:r>
        <w:rPr>
          <w:rFonts w:ascii="Arial" w:eastAsia="Arial" w:hAnsi="Arial" w:cs="Arial"/>
          <w:sz w:val="20"/>
          <w:szCs w:val="20"/>
        </w:rPr>
        <w:t xml:space="preserve">The </w:t>
      </w:r>
      <w:r>
        <w:rPr>
          <w:rFonts w:ascii="Arial" w:eastAsia="Arial" w:hAnsi="Arial" w:cs="Arial"/>
          <w:sz w:val="20"/>
          <w:szCs w:val="20"/>
        </w:rPr>
        <w:t>proposal to approve and ratify the appointment of KPMG Huazhen LLP and KPMG as our independent</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spacing w:line="273" w:lineRule="auto"/>
        <w:ind w:right="20"/>
        <w:jc w:val="both"/>
        <w:rPr>
          <w:sz w:val="20"/>
          <w:szCs w:val="20"/>
        </w:rPr>
      </w:pPr>
      <w:r>
        <w:rPr>
          <w:rFonts w:ascii="Arial" w:eastAsia="Arial" w:hAnsi="Arial" w:cs="Arial"/>
          <w:sz w:val="18"/>
          <w:szCs w:val="18"/>
        </w:rPr>
        <w:t>auditors for 2023 is considered a routine matter for which brokerage firms may vote shares for which they have not received voting instructions. The other ma</w:t>
      </w:r>
      <w:r>
        <w:rPr>
          <w:rFonts w:ascii="Arial" w:eastAsia="Arial" w:hAnsi="Arial" w:cs="Arial"/>
          <w:sz w:val="18"/>
          <w:szCs w:val="18"/>
        </w:rPr>
        <w:t>tters to be voted on at our Annual Meeting are not considered “routine” under applicable rules. When a matter is not a routine matter and the brokerage firm has not received voting instructions from the beneficial owner of the shares with respect to that m</w:t>
      </w:r>
      <w:r>
        <w:rPr>
          <w:rFonts w:ascii="Arial" w:eastAsia="Arial" w:hAnsi="Arial" w:cs="Arial"/>
          <w:sz w:val="18"/>
          <w:szCs w:val="18"/>
        </w:rPr>
        <w:t>atter, the brokerage firm cannot vote the shares on that proposal. This is called a “broker non-vote.”</w:t>
      </w:r>
    </w:p>
    <w:p w:rsidR="00A621E3" w:rsidRDefault="00A621E3">
      <w:pPr>
        <w:spacing w:line="367"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54" w:lineRule="exact"/>
        <w:rPr>
          <w:sz w:val="20"/>
          <w:szCs w:val="20"/>
        </w:rPr>
      </w:pPr>
    </w:p>
    <w:p w:rsidR="00A621E3" w:rsidRDefault="00EC630E">
      <w:pPr>
        <w:ind w:left="120"/>
        <w:rPr>
          <w:sz w:val="20"/>
          <w:szCs w:val="20"/>
        </w:rPr>
      </w:pPr>
      <w:r>
        <w:rPr>
          <w:rFonts w:ascii="Arial" w:eastAsia="Arial" w:hAnsi="Arial" w:cs="Arial"/>
          <w:b/>
          <w:bCs/>
          <w:color w:val="CF0A2C"/>
          <w:sz w:val="32"/>
          <w:szCs w:val="32"/>
        </w:rPr>
        <w:t>How many votes must be present to hold the Annual Meeting?</w:t>
      </w:r>
    </w:p>
    <w:p w:rsidR="00A621E3" w:rsidRDefault="00EC630E">
      <w:pPr>
        <w:spacing w:line="20" w:lineRule="exact"/>
        <w:rPr>
          <w:sz w:val="20"/>
          <w:szCs w:val="20"/>
        </w:rPr>
      </w:pPr>
      <w:r>
        <w:rPr>
          <w:noProof/>
          <w:sz w:val="20"/>
          <w:szCs w:val="20"/>
        </w:rPr>
        <w:drawing>
          <wp:anchor distT="0" distB="0" distL="114300" distR="114300" simplePos="0" relativeHeight="251497472"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96" w:lineRule="exact"/>
        <w:rPr>
          <w:sz w:val="20"/>
          <w:szCs w:val="20"/>
        </w:rPr>
      </w:pPr>
    </w:p>
    <w:p w:rsidR="00A621E3" w:rsidRDefault="00EC630E">
      <w:pPr>
        <w:spacing w:line="244" w:lineRule="auto"/>
        <w:ind w:left="120"/>
        <w:jc w:val="both"/>
        <w:rPr>
          <w:sz w:val="20"/>
          <w:szCs w:val="20"/>
        </w:rPr>
      </w:pPr>
      <w:r>
        <w:rPr>
          <w:rFonts w:ascii="Arial" w:eastAsia="Arial" w:hAnsi="Arial" w:cs="Arial"/>
          <w:sz w:val="20"/>
          <w:szCs w:val="20"/>
        </w:rPr>
        <w:t>Your shares are counted as present at</w:t>
      </w:r>
      <w:r>
        <w:rPr>
          <w:rFonts w:ascii="Arial" w:eastAsia="Arial" w:hAnsi="Arial" w:cs="Arial"/>
          <w:sz w:val="20"/>
          <w:szCs w:val="20"/>
        </w:rPr>
        <w:t xml:space="preserve"> the Annual Meeting if you attend the Annual Meeting in person or if you properly submit a proxy by Internet, telephone or mail. In order for us to conduct our Annual Meeting, a majority of the shares of Company common stock outstanding as of</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6" w:lineRule="exact"/>
        <w:rPr>
          <w:sz w:val="20"/>
          <w:szCs w:val="20"/>
        </w:rPr>
      </w:pPr>
    </w:p>
    <w:p w:rsidR="00A621E3" w:rsidRDefault="00EC630E">
      <w:pPr>
        <w:spacing w:line="263" w:lineRule="auto"/>
        <w:ind w:right="20"/>
        <w:jc w:val="both"/>
        <w:rPr>
          <w:sz w:val="20"/>
          <w:szCs w:val="20"/>
        </w:rPr>
      </w:pPr>
      <w:r>
        <w:rPr>
          <w:rFonts w:ascii="Arial" w:eastAsia="Arial" w:hAnsi="Arial" w:cs="Arial"/>
          <w:sz w:val="19"/>
          <w:szCs w:val="19"/>
        </w:rPr>
        <w:t>March 27,</w:t>
      </w:r>
      <w:r>
        <w:rPr>
          <w:rFonts w:ascii="Arial" w:eastAsia="Arial" w:hAnsi="Arial" w:cs="Arial"/>
          <w:sz w:val="19"/>
          <w:szCs w:val="19"/>
        </w:rPr>
        <w:t xml:space="preserve"> 2023 must be present in person or represented by proxy at the Annual Meeting. This is referred to as a “quorum.” Abstentions and broker non-votes will be counted for purposes of establishing a quorum at the Annual Meeting.</w:t>
      </w:r>
    </w:p>
    <w:p w:rsidR="00A621E3" w:rsidRDefault="00A621E3">
      <w:pPr>
        <w:spacing w:line="411"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72" w:lineRule="exact"/>
        <w:rPr>
          <w:sz w:val="20"/>
          <w:szCs w:val="20"/>
        </w:rPr>
      </w:pPr>
    </w:p>
    <w:p w:rsidR="00A621E3" w:rsidRDefault="00EC630E">
      <w:pPr>
        <w:ind w:left="120"/>
        <w:rPr>
          <w:sz w:val="20"/>
          <w:szCs w:val="20"/>
        </w:rPr>
      </w:pPr>
      <w:r>
        <w:rPr>
          <w:rFonts w:ascii="Arial" w:eastAsia="Arial" w:hAnsi="Arial" w:cs="Arial"/>
          <w:b/>
          <w:bCs/>
          <w:color w:val="CF0A2C"/>
          <w:sz w:val="32"/>
          <w:szCs w:val="32"/>
        </w:rPr>
        <w:t>H</w:t>
      </w:r>
      <w:r>
        <w:rPr>
          <w:rFonts w:ascii="Arial" w:eastAsia="Arial" w:hAnsi="Arial" w:cs="Arial"/>
          <w:b/>
          <w:bCs/>
          <w:color w:val="CF0A2C"/>
          <w:sz w:val="32"/>
          <w:szCs w:val="32"/>
        </w:rPr>
        <w:t>ow many votes are needed to elect directors?</w:t>
      </w:r>
    </w:p>
    <w:p w:rsidR="00A621E3" w:rsidRDefault="00EC630E">
      <w:pPr>
        <w:spacing w:line="20" w:lineRule="exact"/>
        <w:rPr>
          <w:sz w:val="20"/>
          <w:szCs w:val="20"/>
        </w:rPr>
      </w:pPr>
      <w:r>
        <w:rPr>
          <w:noProof/>
          <w:sz w:val="20"/>
          <w:szCs w:val="20"/>
        </w:rPr>
        <w:drawing>
          <wp:anchor distT="0" distB="0" distL="114300" distR="114300" simplePos="0" relativeHeight="251498496"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tabs>
          <w:tab w:val="left" w:pos="5720"/>
        </w:tabs>
        <w:ind w:left="120"/>
        <w:rPr>
          <w:sz w:val="20"/>
          <w:szCs w:val="20"/>
        </w:rPr>
      </w:pPr>
      <w:r>
        <w:rPr>
          <w:rFonts w:ascii="Arial" w:eastAsia="Arial" w:hAnsi="Arial" w:cs="Arial"/>
          <w:sz w:val="20"/>
          <w:szCs w:val="20"/>
        </w:rPr>
        <w:t>You  may  vote  “FOR”  each  nominee  or  “AGAINST”  each</w:t>
      </w:r>
      <w:r>
        <w:rPr>
          <w:sz w:val="20"/>
          <w:szCs w:val="20"/>
        </w:rPr>
        <w:tab/>
      </w:r>
      <w:r>
        <w:rPr>
          <w:rFonts w:ascii="Arial" w:eastAsia="Arial" w:hAnsi="Arial" w:cs="Arial"/>
          <w:sz w:val="20"/>
          <w:szCs w:val="20"/>
        </w:rPr>
        <w:t>more nominees. Unless you mark “AGAINST” or “ABSTAIN”</w:t>
      </w:r>
    </w:p>
    <w:p w:rsidR="00A621E3" w:rsidRDefault="00A621E3">
      <w:pPr>
        <w:spacing w:line="16" w:lineRule="exact"/>
        <w:rPr>
          <w:sz w:val="20"/>
          <w:szCs w:val="20"/>
        </w:rPr>
      </w:pPr>
    </w:p>
    <w:p w:rsidR="00A621E3" w:rsidRDefault="00EC630E">
      <w:pPr>
        <w:tabs>
          <w:tab w:val="left" w:pos="5720"/>
        </w:tabs>
        <w:ind w:left="120"/>
        <w:rPr>
          <w:sz w:val="20"/>
          <w:szCs w:val="20"/>
        </w:rPr>
      </w:pPr>
      <w:r>
        <w:rPr>
          <w:rFonts w:ascii="Arial" w:eastAsia="Arial" w:hAnsi="Arial" w:cs="Arial"/>
          <w:sz w:val="20"/>
          <w:szCs w:val="20"/>
        </w:rPr>
        <w:t>nominee, or “ABSTAIN” from voting on one or</w:t>
      </w:r>
      <w:r>
        <w:rPr>
          <w:sz w:val="20"/>
          <w:szCs w:val="20"/>
        </w:rPr>
        <w:tab/>
      </w:r>
      <w:r>
        <w:rPr>
          <w:rFonts w:ascii="Arial" w:eastAsia="Arial" w:hAnsi="Arial" w:cs="Arial"/>
          <w:sz w:val="16"/>
          <w:szCs w:val="16"/>
        </w:rPr>
        <w:t>with respect to a particular nominee or</w:t>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71"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9</w:t>
      </w:r>
    </w:p>
    <w:p w:rsidR="00A621E3" w:rsidRDefault="00EC630E">
      <w:pPr>
        <w:spacing w:line="20" w:lineRule="exact"/>
        <w:rPr>
          <w:sz w:val="20"/>
          <w:szCs w:val="20"/>
        </w:rPr>
      </w:pPr>
      <w:r>
        <w:rPr>
          <w:noProof/>
          <w:sz w:val="20"/>
          <w:szCs w:val="20"/>
        </w:rPr>
        <w:drawing>
          <wp:anchor distT="0" distB="0" distL="114300" distR="114300" simplePos="0" relativeHeight="251499520"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15" w:name="page15"/>
      <w:bookmarkEnd w:id="15"/>
      <w:r>
        <w:rPr>
          <w:rFonts w:ascii="Arial" w:eastAsia="Arial" w:hAnsi="Arial" w:cs="Arial"/>
          <w:b/>
          <w:bCs/>
          <w:color w:val="0000EE"/>
          <w:sz w:val="18"/>
          <w:szCs w:val="18"/>
          <w:u w:val="single"/>
        </w:rPr>
        <w:lastRenderedPageBreak/>
        <w:t>Table of Contents</w:t>
      </w:r>
    </w:p>
    <w:p w:rsidR="00A621E3" w:rsidRDefault="00A621E3">
      <w:pPr>
        <w:spacing w:line="387" w:lineRule="exact"/>
        <w:rPr>
          <w:sz w:val="20"/>
          <w:szCs w:val="20"/>
        </w:rPr>
      </w:pPr>
    </w:p>
    <w:p w:rsidR="00A621E3" w:rsidRDefault="00EC630E">
      <w:pPr>
        <w:ind w:left="180"/>
        <w:rPr>
          <w:sz w:val="20"/>
          <w:szCs w:val="20"/>
        </w:rPr>
      </w:pPr>
      <w:r>
        <w:rPr>
          <w:rFonts w:ascii="Arial" w:eastAsia="Arial" w:hAnsi="Arial" w:cs="Arial"/>
          <w:b/>
          <w:bCs/>
          <w:color w:val="FFFFFF"/>
          <w:sz w:val="16"/>
          <w:szCs w:val="16"/>
          <w:shd w:val="clear" w:color="auto" w:fill="CF0A2C"/>
        </w:rPr>
        <w:t>QUESTIONS AND ANSWERS ABOUT THE MEETING AND VOTING</w:t>
      </w:r>
    </w:p>
    <w:p w:rsidR="00A621E3" w:rsidRDefault="00A621E3">
      <w:pPr>
        <w:spacing w:line="263"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 xml:space="preserve">nominees or for all nominees, your proxy will be voted “FOR” each of the director nominees named in </w:t>
      </w:r>
      <w:r>
        <w:rPr>
          <w:rFonts w:ascii="Arial" w:eastAsia="Arial" w:hAnsi="Arial" w:cs="Arial"/>
          <w:sz w:val="20"/>
          <w:szCs w:val="20"/>
        </w:rPr>
        <w:t>this proxy statement. In an uncontested election, a nominee will be elected as a director if the number of “FOR” votes exceeds 50% of the number of votes cast with respect to that director’s election. Abstentions will be counted as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0" w:lineRule="exact"/>
        <w:rPr>
          <w:sz w:val="20"/>
          <w:szCs w:val="20"/>
        </w:rPr>
      </w:pPr>
    </w:p>
    <w:p w:rsidR="00A621E3" w:rsidRDefault="00EC630E">
      <w:pPr>
        <w:spacing w:line="244" w:lineRule="auto"/>
        <w:jc w:val="both"/>
        <w:rPr>
          <w:sz w:val="20"/>
          <w:szCs w:val="20"/>
        </w:rPr>
      </w:pPr>
      <w:r>
        <w:rPr>
          <w:rFonts w:ascii="Arial" w:eastAsia="Arial" w:hAnsi="Arial" w:cs="Arial"/>
          <w:sz w:val="20"/>
          <w:szCs w:val="20"/>
        </w:rPr>
        <w:t>present but not v</w:t>
      </w:r>
      <w:r>
        <w:rPr>
          <w:rFonts w:ascii="Arial" w:eastAsia="Arial" w:hAnsi="Arial" w:cs="Arial"/>
          <w:sz w:val="20"/>
          <w:szCs w:val="20"/>
        </w:rPr>
        <w:t>oted. Abstentions and broker non-votes will not affect the outcome of the election of directors. Full details of the Company’s majority voting policy are set out in our Corporate Governance Principles and are described under “Governance of the Company—Majo</w:t>
      </w:r>
      <w:r>
        <w:rPr>
          <w:rFonts w:ascii="Arial" w:eastAsia="Arial" w:hAnsi="Arial" w:cs="Arial"/>
          <w:sz w:val="20"/>
          <w:szCs w:val="20"/>
        </w:rPr>
        <w:t>rity Voting Policy.”</w:t>
      </w:r>
    </w:p>
    <w:p w:rsidR="00A621E3" w:rsidRDefault="00EC630E">
      <w:pPr>
        <w:spacing w:line="20" w:lineRule="exact"/>
        <w:rPr>
          <w:sz w:val="20"/>
          <w:szCs w:val="20"/>
        </w:rPr>
      </w:pPr>
      <w:r>
        <w:rPr>
          <w:noProof/>
          <w:sz w:val="20"/>
          <w:szCs w:val="20"/>
        </w:rPr>
        <w:drawing>
          <wp:anchor distT="0" distB="0" distL="114300" distR="114300" simplePos="0" relativeHeight="251500544" behindDoc="1" locked="0" layoutInCell="0" allowOverlap="1">
            <wp:simplePos x="0" y="0"/>
            <wp:positionH relativeFrom="column">
              <wp:posOffset>-3651885</wp:posOffset>
            </wp:positionH>
            <wp:positionV relativeFrom="paragraph">
              <wp:posOffset>-1622425</wp:posOffset>
            </wp:positionV>
            <wp:extent cx="7174865" cy="5588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p>
    <w:p w:rsidR="00A621E3" w:rsidRDefault="00A621E3">
      <w:pPr>
        <w:spacing w:line="428" w:lineRule="exact"/>
        <w:rPr>
          <w:sz w:val="20"/>
          <w:szCs w:val="20"/>
        </w:rPr>
      </w:pP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A621E3">
      <w:pPr>
        <w:spacing w:line="274" w:lineRule="exact"/>
        <w:rPr>
          <w:sz w:val="20"/>
          <w:szCs w:val="20"/>
        </w:rPr>
      </w:pPr>
    </w:p>
    <w:p w:rsidR="00A621E3" w:rsidRDefault="00EC630E">
      <w:pPr>
        <w:ind w:left="120"/>
        <w:rPr>
          <w:sz w:val="20"/>
          <w:szCs w:val="20"/>
        </w:rPr>
      </w:pPr>
      <w:r>
        <w:rPr>
          <w:rFonts w:ascii="Arial" w:eastAsia="Arial" w:hAnsi="Arial" w:cs="Arial"/>
          <w:b/>
          <w:bCs/>
          <w:color w:val="CF0A2C"/>
          <w:sz w:val="32"/>
          <w:szCs w:val="32"/>
        </w:rPr>
        <w:t>How many votes are needed to approve the other proposals?</w:t>
      </w:r>
    </w:p>
    <w:p w:rsidR="00A621E3" w:rsidRDefault="00EC630E">
      <w:pPr>
        <w:spacing w:line="20" w:lineRule="exact"/>
        <w:rPr>
          <w:sz w:val="20"/>
          <w:szCs w:val="20"/>
        </w:rPr>
      </w:pPr>
      <w:r>
        <w:rPr>
          <w:noProof/>
          <w:sz w:val="20"/>
          <w:szCs w:val="20"/>
        </w:rPr>
        <w:drawing>
          <wp:anchor distT="0" distB="0" distL="114300" distR="114300" simplePos="0" relativeHeight="251501568"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0" w:lineRule="exact"/>
        <w:rPr>
          <w:sz w:val="20"/>
          <w:szCs w:val="20"/>
        </w:rPr>
      </w:pPr>
    </w:p>
    <w:p w:rsidR="00A621E3" w:rsidRDefault="00EC630E">
      <w:pPr>
        <w:spacing w:line="255" w:lineRule="auto"/>
        <w:ind w:left="120"/>
        <w:jc w:val="both"/>
        <w:rPr>
          <w:sz w:val="20"/>
          <w:szCs w:val="20"/>
        </w:rPr>
      </w:pPr>
      <w:r>
        <w:rPr>
          <w:rFonts w:ascii="Arial" w:eastAsia="Arial" w:hAnsi="Arial" w:cs="Arial"/>
          <w:sz w:val="19"/>
          <w:szCs w:val="19"/>
        </w:rPr>
        <w:t xml:space="preserve">Proposals 2, 3, 5 and 6 must receive the “FOR” vote of a majority of the shares of our common stock, present in person </w:t>
      </w:r>
      <w:r>
        <w:rPr>
          <w:rFonts w:ascii="Arial" w:eastAsia="Arial" w:hAnsi="Arial" w:cs="Arial"/>
          <w:sz w:val="19"/>
          <w:szCs w:val="19"/>
        </w:rPr>
        <w:t>or represented by proxy, and entitled to vote at the Annual Meeting. For each of these proposals, you may vote “FOR,” “AGAINST” or “ABSTAIN.” Abstentions will be counted as shares present and entitled to vote at the Annual Meeting. Accordingly, abstentions</w:t>
      </w:r>
      <w:r>
        <w:rPr>
          <w:rFonts w:ascii="Arial" w:eastAsia="Arial" w:hAnsi="Arial" w:cs="Arial"/>
          <w:sz w:val="19"/>
          <w:szCs w:val="19"/>
        </w:rPr>
        <w:t xml:space="preserve"> will have the same effect as a vote “AGAINST” Proposals 2, 3, 5 and 6. Broker non-votes will not be counted as shares present and entitled to vote with respect to the particular matter on which the broker has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spacing w:line="260" w:lineRule="auto"/>
        <w:jc w:val="both"/>
        <w:rPr>
          <w:sz w:val="20"/>
          <w:szCs w:val="20"/>
        </w:rPr>
      </w:pPr>
      <w:r>
        <w:rPr>
          <w:rFonts w:ascii="Arial" w:eastAsia="Arial" w:hAnsi="Arial" w:cs="Arial"/>
          <w:sz w:val="20"/>
          <w:szCs w:val="20"/>
        </w:rPr>
        <w:t>not voted. Thus, broker non-votes will not</w:t>
      </w:r>
      <w:r>
        <w:rPr>
          <w:rFonts w:ascii="Arial" w:eastAsia="Arial" w:hAnsi="Arial" w:cs="Arial"/>
          <w:sz w:val="20"/>
          <w:szCs w:val="20"/>
        </w:rPr>
        <w:t xml:space="preserve"> affect the outcome of any of these proposals.</w:t>
      </w:r>
    </w:p>
    <w:p w:rsidR="00A621E3" w:rsidRDefault="00A621E3">
      <w:pPr>
        <w:spacing w:line="177" w:lineRule="exact"/>
        <w:rPr>
          <w:sz w:val="20"/>
          <w:szCs w:val="20"/>
        </w:rPr>
      </w:pPr>
    </w:p>
    <w:p w:rsidR="00A621E3" w:rsidRDefault="00EC630E">
      <w:pPr>
        <w:spacing w:line="274" w:lineRule="auto"/>
        <w:jc w:val="both"/>
        <w:rPr>
          <w:sz w:val="20"/>
          <w:szCs w:val="20"/>
        </w:rPr>
      </w:pPr>
      <w:r>
        <w:rPr>
          <w:rFonts w:ascii="Arial" w:eastAsia="Arial" w:hAnsi="Arial" w:cs="Arial"/>
          <w:sz w:val="18"/>
          <w:szCs w:val="18"/>
        </w:rPr>
        <w:t>For Proposal 4, you may vote for the option of “1 YEAR,” “2 YEARS,” “3 YEARS” or “ABSTAIN.” The frequency that receives the highest number of votes cast will be the stockholders’ recommendation as to the freq</w:t>
      </w:r>
      <w:r>
        <w:rPr>
          <w:rFonts w:ascii="Arial" w:eastAsia="Arial" w:hAnsi="Arial" w:cs="Arial"/>
          <w:sz w:val="18"/>
          <w:szCs w:val="18"/>
        </w:rPr>
        <w:t>uency of future advisory votes to approve named executive officer compensation. Abstentions will be counted as present but not voted. Abstentions and broker non-votes will not affect the outcome of Proposal 4.</w:t>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46" w:lineRule="exact"/>
        <w:rPr>
          <w:sz w:val="20"/>
          <w:szCs w:val="20"/>
        </w:rPr>
      </w:pPr>
    </w:p>
    <w:p w:rsidR="00A621E3" w:rsidRDefault="00EC630E">
      <w:pPr>
        <w:ind w:left="120"/>
        <w:rPr>
          <w:sz w:val="20"/>
          <w:szCs w:val="20"/>
        </w:rPr>
      </w:pPr>
      <w:r>
        <w:rPr>
          <w:rFonts w:ascii="Arial" w:eastAsia="Arial" w:hAnsi="Arial" w:cs="Arial"/>
          <w:b/>
          <w:bCs/>
          <w:color w:val="CF0A2C"/>
          <w:sz w:val="32"/>
          <w:szCs w:val="32"/>
        </w:rPr>
        <w:t>May stockholder</w:t>
      </w:r>
      <w:r>
        <w:rPr>
          <w:rFonts w:ascii="Arial" w:eastAsia="Arial" w:hAnsi="Arial" w:cs="Arial"/>
          <w:b/>
          <w:bCs/>
          <w:color w:val="CF0A2C"/>
          <w:sz w:val="32"/>
          <w:szCs w:val="32"/>
        </w:rPr>
        <w:t>s ask questions?</w:t>
      </w:r>
    </w:p>
    <w:p w:rsidR="00A621E3" w:rsidRDefault="00EC630E">
      <w:pPr>
        <w:spacing w:line="20" w:lineRule="exact"/>
        <w:rPr>
          <w:sz w:val="20"/>
          <w:szCs w:val="20"/>
        </w:rPr>
      </w:pPr>
      <w:r>
        <w:rPr>
          <w:noProof/>
          <w:sz w:val="20"/>
          <w:szCs w:val="20"/>
        </w:rPr>
        <w:drawing>
          <wp:anchor distT="0" distB="0" distL="114300" distR="114300" simplePos="0" relativeHeight="251502592"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55" w:lineRule="exact"/>
        <w:rPr>
          <w:sz w:val="20"/>
          <w:szCs w:val="20"/>
        </w:rPr>
      </w:pPr>
    </w:p>
    <w:p w:rsidR="00A621E3" w:rsidRDefault="00EC630E">
      <w:pPr>
        <w:ind w:left="120"/>
        <w:rPr>
          <w:sz w:val="20"/>
          <w:szCs w:val="20"/>
        </w:rPr>
      </w:pPr>
      <w:r>
        <w:rPr>
          <w:rFonts w:ascii="Arial" w:eastAsia="Arial" w:hAnsi="Arial" w:cs="Arial"/>
          <w:sz w:val="20"/>
          <w:szCs w:val="20"/>
        </w:rPr>
        <w:t>Yes. Representatives of the Company will answer stockholders’ questions of general interest following the Annual Meeting.</w:t>
      </w:r>
    </w:p>
    <w:p w:rsidR="00A621E3" w:rsidRDefault="00A621E3">
      <w:pPr>
        <w:spacing w:line="304" w:lineRule="exact"/>
        <w:rPr>
          <w:sz w:val="20"/>
          <w:szCs w:val="20"/>
        </w:rPr>
      </w:pPr>
    </w:p>
    <w:p w:rsidR="00A621E3" w:rsidRDefault="00EC630E">
      <w:pPr>
        <w:ind w:left="120"/>
        <w:rPr>
          <w:sz w:val="20"/>
          <w:szCs w:val="20"/>
        </w:rPr>
      </w:pPr>
      <w:r>
        <w:rPr>
          <w:rFonts w:ascii="Arial" w:eastAsia="Arial" w:hAnsi="Arial" w:cs="Arial"/>
          <w:b/>
          <w:bCs/>
          <w:color w:val="CF0A2C"/>
          <w:sz w:val="32"/>
          <w:szCs w:val="32"/>
        </w:rPr>
        <w:t>When will the Company announce the voting results?</w:t>
      </w:r>
    </w:p>
    <w:p w:rsidR="00A621E3" w:rsidRDefault="00EC630E">
      <w:pPr>
        <w:spacing w:line="20" w:lineRule="exact"/>
        <w:rPr>
          <w:sz w:val="20"/>
          <w:szCs w:val="20"/>
        </w:rPr>
      </w:pPr>
      <w:r>
        <w:rPr>
          <w:noProof/>
          <w:sz w:val="20"/>
          <w:szCs w:val="20"/>
        </w:rPr>
        <w:drawing>
          <wp:anchor distT="0" distB="0" distL="114300" distR="114300" simplePos="0" relativeHeight="251503616"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spacing w:line="253" w:lineRule="auto"/>
        <w:ind w:left="120" w:right="20"/>
        <w:rPr>
          <w:sz w:val="20"/>
          <w:szCs w:val="20"/>
        </w:rPr>
      </w:pPr>
      <w:r>
        <w:rPr>
          <w:rFonts w:ascii="Arial" w:eastAsia="Arial" w:hAnsi="Arial" w:cs="Arial"/>
          <w:sz w:val="20"/>
          <w:szCs w:val="20"/>
        </w:rPr>
        <w:t xml:space="preserve">The Company will announce the voting results of the </w:t>
      </w:r>
      <w:r>
        <w:rPr>
          <w:rFonts w:ascii="Arial" w:eastAsia="Arial" w:hAnsi="Arial" w:cs="Arial"/>
          <w:sz w:val="20"/>
          <w:szCs w:val="20"/>
        </w:rPr>
        <w:t>Annual Meeting. The voting results will also be filed with HKEX Meeting on a Current Report on Form 8-K filed with the SEC simultaneously. within four business days of the Annual</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84" w:lineRule="exact"/>
        <w:rPr>
          <w:sz w:val="20"/>
          <w:szCs w:val="20"/>
        </w:rPr>
      </w:pPr>
    </w:p>
    <w:p w:rsidR="00A621E3" w:rsidRDefault="00EC630E">
      <w:pPr>
        <w:spacing w:line="286" w:lineRule="auto"/>
        <w:ind w:left="120" w:right="680"/>
        <w:rPr>
          <w:sz w:val="20"/>
          <w:szCs w:val="20"/>
        </w:rPr>
      </w:pPr>
      <w:r>
        <w:rPr>
          <w:rFonts w:ascii="Arial" w:eastAsia="Arial" w:hAnsi="Arial" w:cs="Arial"/>
          <w:b/>
          <w:bCs/>
          <w:color w:val="CF0A2C"/>
          <w:sz w:val="32"/>
          <w:szCs w:val="32"/>
        </w:rPr>
        <w:t>What if other matters are presented for consideration at the Annual Meetin</w:t>
      </w:r>
      <w:r>
        <w:rPr>
          <w:rFonts w:ascii="Arial" w:eastAsia="Arial" w:hAnsi="Arial" w:cs="Arial"/>
          <w:b/>
          <w:bCs/>
          <w:color w:val="CF0A2C"/>
          <w:sz w:val="32"/>
          <w:szCs w:val="32"/>
        </w:rPr>
        <w:t>g?</w:t>
      </w:r>
    </w:p>
    <w:p w:rsidR="00A621E3" w:rsidRDefault="00EC630E">
      <w:pPr>
        <w:spacing w:line="20" w:lineRule="exact"/>
        <w:rPr>
          <w:sz w:val="20"/>
          <w:szCs w:val="20"/>
        </w:rPr>
      </w:pPr>
      <w:r>
        <w:rPr>
          <w:noProof/>
          <w:sz w:val="20"/>
          <w:szCs w:val="20"/>
        </w:rPr>
        <w:drawing>
          <wp:anchor distT="0" distB="0" distL="114300" distR="114300" simplePos="0" relativeHeight="251504640" behindDoc="1" locked="0" layoutInCell="0" allowOverlap="1">
            <wp:simplePos x="0" y="0"/>
            <wp:positionH relativeFrom="column">
              <wp:posOffset>73660</wp:posOffset>
            </wp:positionH>
            <wp:positionV relativeFrom="paragraph">
              <wp:posOffset>57785</wp:posOffset>
            </wp:positionV>
            <wp:extent cx="6995160" cy="825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79" w:lineRule="exact"/>
        <w:rPr>
          <w:sz w:val="20"/>
          <w:szCs w:val="20"/>
        </w:rPr>
      </w:pPr>
    </w:p>
    <w:p w:rsidR="00A621E3" w:rsidRDefault="00EC630E">
      <w:pPr>
        <w:spacing w:line="246" w:lineRule="auto"/>
        <w:ind w:left="120"/>
        <w:jc w:val="both"/>
        <w:rPr>
          <w:sz w:val="20"/>
          <w:szCs w:val="20"/>
        </w:rPr>
      </w:pPr>
      <w:r>
        <w:rPr>
          <w:rFonts w:ascii="Arial" w:eastAsia="Arial" w:hAnsi="Arial" w:cs="Arial"/>
          <w:sz w:val="20"/>
          <w:szCs w:val="20"/>
        </w:rPr>
        <w:t>The Company knows of no other matters to be submitted to the stockholders at the Annual Meeting, other than the proposals referred to in this proxy statement. If any other matters properly come before the stockholders at the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59" w:lineRule="exact"/>
        <w:rPr>
          <w:sz w:val="20"/>
          <w:szCs w:val="20"/>
        </w:rPr>
      </w:pPr>
    </w:p>
    <w:p w:rsidR="00A621E3" w:rsidRDefault="00EC630E">
      <w:pPr>
        <w:spacing w:line="250" w:lineRule="auto"/>
        <w:ind w:right="20"/>
        <w:jc w:val="both"/>
        <w:rPr>
          <w:sz w:val="20"/>
          <w:szCs w:val="20"/>
        </w:rPr>
      </w:pPr>
      <w:r>
        <w:rPr>
          <w:rFonts w:ascii="Arial" w:eastAsia="Arial" w:hAnsi="Arial" w:cs="Arial"/>
          <w:sz w:val="20"/>
          <w:szCs w:val="20"/>
        </w:rPr>
        <w:t>Annual Meeting, it is the intention of the persons named on the proxy to vote the shares represented thereby on such matters in accordance with their best judgment.</w:t>
      </w:r>
    </w:p>
    <w:p w:rsidR="00A621E3" w:rsidRDefault="00A621E3">
      <w:pPr>
        <w:spacing w:line="424"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80" w:lineRule="exact"/>
        <w:rPr>
          <w:sz w:val="20"/>
          <w:szCs w:val="20"/>
        </w:rPr>
      </w:pPr>
    </w:p>
    <w:p w:rsidR="00A621E3" w:rsidRDefault="00EC630E">
      <w:pPr>
        <w:numPr>
          <w:ilvl w:val="0"/>
          <w:numId w:val="20"/>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50566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16" w:name="page16"/>
      <w:bookmarkEnd w:id="16"/>
      <w:r>
        <w:rPr>
          <w:rFonts w:ascii="Arial" w:eastAsia="Arial" w:hAnsi="Arial" w:cs="Arial"/>
          <w:b/>
          <w:bCs/>
          <w:noProof/>
          <w:color w:val="0000EE"/>
          <w:sz w:val="18"/>
          <w:szCs w:val="18"/>
          <w:u w:val="single"/>
        </w:rPr>
        <w:lastRenderedPageBreak/>
        <w:drawing>
          <wp:anchor distT="0" distB="0" distL="114300" distR="114300" simplePos="0" relativeHeight="25150668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507712" behindDoc="1" locked="0" layoutInCell="0" allowOverlap="1">
            <wp:simplePos x="0" y="0"/>
            <wp:positionH relativeFrom="column">
              <wp:posOffset>73660</wp:posOffset>
            </wp:positionH>
            <wp:positionV relativeFrom="paragraph">
              <wp:posOffset>205740</wp:posOffset>
            </wp:positionV>
            <wp:extent cx="6995160" cy="50609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2">
                      <a:extLst/>
                    </a:blip>
                    <a:srcRect/>
                    <a:stretch>
                      <a:fillRect/>
                    </a:stretch>
                  </pic:blipFill>
                  <pic:spPr bwMode="auto">
                    <a:xfrm>
                      <a:off x="0" y="0"/>
                      <a:ext cx="6995160" cy="50609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11" w:lineRule="exact"/>
        <w:rPr>
          <w:sz w:val="20"/>
          <w:szCs w:val="20"/>
        </w:rPr>
      </w:pPr>
    </w:p>
    <w:p w:rsidR="00A621E3" w:rsidRDefault="00EC630E">
      <w:pPr>
        <w:ind w:left="200"/>
        <w:rPr>
          <w:sz w:val="20"/>
          <w:szCs w:val="20"/>
        </w:rPr>
      </w:pPr>
      <w:r>
        <w:rPr>
          <w:rFonts w:ascii="Arial" w:eastAsia="Arial" w:hAnsi="Arial" w:cs="Arial"/>
          <w:b/>
          <w:bCs/>
          <w:color w:val="FFFFFF"/>
          <w:sz w:val="32"/>
          <w:szCs w:val="32"/>
        </w:rPr>
        <w:t>GOVERNANCE OF THE COMPANY</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93"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The business and affairs of the Company are managed under the direction of the Board of Directors. The Board believes that good corporate governance is a critical factor in achieving b</w:t>
      </w:r>
      <w:r>
        <w:rPr>
          <w:rFonts w:ascii="Arial" w:eastAsia="Arial" w:hAnsi="Arial" w:cs="Arial"/>
          <w:sz w:val="20"/>
          <w:szCs w:val="20"/>
        </w:rPr>
        <w:t>usiness success and in fulfilling the Board’s responsibilities to stockholders. The Board believes that its practices align management and stockholder interests.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73" w:lineRule="exact"/>
        <w:rPr>
          <w:sz w:val="20"/>
          <w:szCs w:val="20"/>
        </w:rPr>
      </w:pPr>
    </w:p>
    <w:p w:rsidR="00A621E3" w:rsidRDefault="00EC630E">
      <w:pPr>
        <w:spacing w:line="276" w:lineRule="auto"/>
        <w:jc w:val="both"/>
        <w:rPr>
          <w:sz w:val="20"/>
          <w:szCs w:val="20"/>
        </w:rPr>
      </w:pPr>
      <w:r>
        <w:rPr>
          <w:rFonts w:ascii="Arial" w:eastAsia="Arial" w:hAnsi="Arial" w:cs="Arial"/>
          <w:sz w:val="18"/>
          <w:szCs w:val="18"/>
        </w:rPr>
        <w:t>The corporate governance section of our website makes available certain of the Company’s corporate governance materials, including our Corporate Governance Principles, the charters for each committee and our Code of Conduct. To access these documents on ou</w:t>
      </w:r>
      <w:r>
        <w:rPr>
          <w:rFonts w:ascii="Arial" w:eastAsia="Arial" w:hAnsi="Arial" w:cs="Arial"/>
          <w:sz w:val="18"/>
          <w:szCs w:val="18"/>
        </w:rPr>
        <w:t xml:space="preserve">r Investor Relations website, </w:t>
      </w:r>
      <w:r>
        <w:rPr>
          <w:rFonts w:ascii="Arial" w:eastAsia="Arial" w:hAnsi="Arial" w:cs="Arial"/>
          <w:i/>
          <w:iCs/>
          <w:sz w:val="18"/>
          <w:szCs w:val="18"/>
        </w:rPr>
        <w:t>ir.yumchina.com</w:t>
      </w:r>
      <w:r>
        <w:rPr>
          <w:rFonts w:ascii="Arial" w:eastAsia="Arial" w:hAnsi="Arial" w:cs="Arial"/>
          <w:sz w:val="18"/>
          <w:szCs w:val="18"/>
        </w:rPr>
        <w:t>, click on “About Yum China” and then “Corporate Governance.”</w:t>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140" w:lineRule="exact"/>
        <w:rPr>
          <w:sz w:val="20"/>
          <w:szCs w:val="20"/>
        </w:rPr>
      </w:pPr>
    </w:p>
    <w:p w:rsidR="00A621E3" w:rsidRDefault="00EC630E">
      <w:pPr>
        <w:ind w:left="120"/>
        <w:rPr>
          <w:sz w:val="20"/>
          <w:szCs w:val="20"/>
        </w:rPr>
      </w:pPr>
      <w:r>
        <w:rPr>
          <w:rFonts w:ascii="Arial" w:eastAsia="Arial" w:hAnsi="Arial" w:cs="Arial"/>
          <w:sz w:val="20"/>
          <w:szCs w:val="20"/>
        </w:rPr>
        <w:t>Highlights of our corporate governance policies and practices are described below.</w:t>
      </w:r>
    </w:p>
    <w:p w:rsidR="00A621E3" w:rsidRDefault="00A621E3">
      <w:pPr>
        <w:spacing w:line="243"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960"/>
        <w:gridCol w:w="8060"/>
      </w:tblGrid>
      <w:tr w:rsidR="00A621E3">
        <w:trPr>
          <w:trHeight w:val="250"/>
        </w:trPr>
        <w:tc>
          <w:tcPr>
            <w:tcW w:w="2960" w:type="dxa"/>
            <w:vAlign w:val="bottom"/>
          </w:tcPr>
          <w:p w:rsidR="00A621E3" w:rsidRDefault="00EC630E">
            <w:pPr>
              <w:rPr>
                <w:sz w:val="20"/>
                <w:szCs w:val="20"/>
              </w:rPr>
            </w:pPr>
            <w:r>
              <w:rPr>
                <w:rFonts w:ascii="Arial" w:eastAsia="Arial" w:hAnsi="Arial" w:cs="Arial"/>
                <w:i/>
                <w:iCs/>
                <w:sz w:val="18"/>
                <w:szCs w:val="18"/>
              </w:rPr>
              <w:t>Director Independence</w:t>
            </w:r>
          </w:p>
        </w:tc>
        <w:tc>
          <w:tcPr>
            <w:tcW w:w="8060" w:type="dxa"/>
            <w:vAlign w:val="bottom"/>
          </w:tcPr>
          <w:p w:rsidR="00A621E3" w:rsidRDefault="00EC630E">
            <w:pPr>
              <w:ind w:left="46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Independent Board Chairman</w:t>
            </w:r>
          </w:p>
        </w:tc>
      </w:tr>
      <w:tr w:rsidR="00A621E3">
        <w:trPr>
          <w:trHeight w:val="473"/>
        </w:trPr>
        <w:tc>
          <w:tcPr>
            <w:tcW w:w="2960" w:type="dxa"/>
            <w:vAlign w:val="bottom"/>
          </w:tcPr>
          <w:p w:rsidR="00A621E3" w:rsidRDefault="00A621E3">
            <w:pPr>
              <w:rPr>
                <w:sz w:val="24"/>
                <w:szCs w:val="24"/>
              </w:rPr>
            </w:pPr>
          </w:p>
        </w:tc>
        <w:tc>
          <w:tcPr>
            <w:tcW w:w="8060" w:type="dxa"/>
            <w:vAlign w:val="bottom"/>
          </w:tcPr>
          <w:p w:rsidR="00A621E3" w:rsidRDefault="00EC630E">
            <w:pPr>
              <w:ind w:left="46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8 of 9 director nominees are independent</w:t>
            </w:r>
          </w:p>
        </w:tc>
      </w:tr>
      <w:tr w:rsidR="00A621E3">
        <w:trPr>
          <w:trHeight w:val="459"/>
        </w:trPr>
        <w:tc>
          <w:tcPr>
            <w:tcW w:w="2960" w:type="dxa"/>
            <w:vAlign w:val="bottom"/>
          </w:tcPr>
          <w:p w:rsidR="00A621E3" w:rsidRDefault="00EC630E">
            <w:pPr>
              <w:rPr>
                <w:sz w:val="20"/>
                <w:szCs w:val="20"/>
              </w:rPr>
            </w:pPr>
            <w:r>
              <w:rPr>
                <w:rFonts w:ascii="Arial" w:eastAsia="Arial" w:hAnsi="Arial" w:cs="Arial"/>
                <w:i/>
                <w:iCs/>
                <w:sz w:val="18"/>
                <w:szCs w:val="18"/>
              </w:rPr>
              <w:t>Director Elections and Attendance</w:t>
            </w:r>
          </w:p>
        </w:tc>
        <w:tc>
          <w:tcPr>
            <w:tcW w:w="8060" w:type="dxa"/>
            <w:vAlign w:val="bottom"/>
          </w:tcPr>
          <w:p w:rsidR="00A621E3" w:rsidRDefault="00EC630E">
            <w:pPr>
              <w:ind w:left="46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Annual election of all directors</w:t>
            </w:r>
          </w:p>
        </w:tc>
      </w:tr>
      <w:tr w:rsidR="00A621E3">
        <w:trPr>
          <w:trHeight w:val="473"/>
        </w:trPr>
        <w:tc>
          <w:tcPr>
            <w:tcW w:w="2960" w:type="dxa"/>
            <w:vAlign w:val="bottom"/>
          </w:tcPr>
          <w:p w:rsidR="00A621E3" w:rsidRDefault="00A621E3">
            <w:pPr>
              <w:rPr>
                <w:sz w:val="24"/>
                <w:szCs w:val="24"/>
              </w:rPr>
            </w:pPr>
          </w:p>
        </w:tc>
        <w:tc>
          <w:tcPr>
            <w:tcW w:w="8060" w:type="dxa"/>
            <w:vAlign w:val="bottom"/>
          </w:tcPr>
          <w:p w:rsidR="00A621E3" w:rsidRDefault="00EC630E">
            <w:pPr>
              <w:ind w:left="46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Majority voting policy for elections of directors in uncontested elections</w:t>
            </w:r>
          </w:p>
        </w:tc>
      </w:tr>
      <w:tr w:rsidR="00A621E3">
        <w:trPr>
          <w:trHeight w:val="472"/>
        </w:trPr>
        <w:tc>
          <w:tcPr>
            <w:tcW w:w="2960" w:type="dxa"/>
            <w:vAlign w:val="bottom"/>
          </w:tcPr>
          <w:p w:rsidR="00A621E3" w:rsidRDefault="00A621E3">
            <w:pPr>
              <w:rPr>
                <w:sz w:val="24"/>
                <w:szCs w:val="24"/>
              </w:rPr>
            </w:pPr>
          </w:p>
        </w:tc>
        <w:tc>
          <w:tcPr>
            <w:tcW w:w="8060" w:type="dxa"/>
            <w:vAlign w:val="bottom"/>
          </w:tcPr>
          <w:p w:rsidR="00A621E3" w:rsidRDefault="00EC630E">
            <w:pPr>
              <w:ind w:left="46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Proxy access for director</w:t>
            </w:r>
            <w:r>
              <w:rPr>
                <w:rFonts w:ascii="Arial" w:eastAsia="Arial" w:hAnsi="Arial" w:cs="Arial"/>
                <w:color w:val="000000"/>
                <w:sz w:val="20"/>
                <w:szCs w:val="20"/>
              </w:rPr>
              <w:t xml:space="preserve"> nominees by stockholders</w:t>
            </w:r>
          </w:p>
        </w:tc>
      </w:tr>
      <w:tr w:rsidR="00A621E3">
        <w:trPr>
          <w:trHeight w:val="473"/>
        </w:trPr>
        <w:tc>
          <w:tcPr>
            <w:tcW w:w="2960" w:type="dxa"/>
            <w:vAlign w:val="bottom"/>
          </w:tcPr>
          <w:p w:rsidR="00A621E3" w:rsidRDefault="00A621E3">
            <w:pPr>
              <w:rPr>
                <w:sz w:val="24"/>
                <w:szCs w:val="24"/>
              </w:rPr>
            </w:pPr>
          </w:p>
        </w:tc>
        <w:tc>
          <w:tcPr>
            <w:tcW w:w="8060" w:type="dxa"/>
            <w:vAlign w:val="bottom"/>
          </w:tcPr>
          <w:p w:rsidR="00A621E3" w:rsidRDefault="00EC630E">
            <w:pPr>
              <w:ind w:left="46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97% director attendance at Board and committee meetings in 2022</w:t>
            </w:r>
          </w:p>
        </w:tc>
      </w:tr>
      <w:tr w:rsidR="00A621E3">
        <w:trPr>
          <w:trHeight w:val="459"/>
        </w:trPr>
        <w:tc>
          <w:tcPr>
            <w:tcW w:w="2960" w:type="dxa"/>
            <w:vAlign w:val="bottom"/>
          </w:tcPr>
          <w:p w:rsidR="00A621E3" w:rsidRDefault="00EC630E">
            <w:pPr>
              <w:rPr>
                <w:sz w:val="20"/>
                <w:szCs w:val="20"/>
              </w:rPr>
            </w:pPr>
            <w:r>
              <w:rPr>
                <w:rFonts w:ascii="Arial" w:eastAsia="Arial" w:hAnsi="Arial" w:cs="Arial"/>
                <w:i/>
                <w:iCs/>
                <w:sz w:val="18"/>
                <w:szCs w:val="18"/>
              </w:rPr>
              <w:t>Board Refreshment and Diversity</w:t>
            </w:r>
          </w:p>
        </w:tc>
        <w:tc>
          <w:tcPr>
            <w:tcW w:w="8060" w:type="dxa"/>
            <w:vAlign w:val="bottom"/>
          </w:tcPr>
          <w:p w:rsidR="00A621E3" w:rsidRDefault="00EC630E">
            <w:pPr>
              <w:ind w:left="46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Board Diversity Policy</w:t>
            </w:r>
          </w:p>
        </w:tc>
      </w:tr>
      <w:tr w:rsidR="00A621E3">
        <w:trPr>
          <w:trHeight w:val="452"/>
        </w:trPr>
        <w:tc>
          <w:tcPr>
            <w:tcW w:w="2960" w:type="dxa"/>
            <w:vAlign w:val="bottom"/>
          </w:tcPr>
          <w:p w:rsidR="00A621E3" w:rsidRDefault="00A621E3">
            <w:pPr>
              <w:rPr>
                <w:sz w:val="24"/>
                <w:szCs w:val="24"/>
              </w:rPr>
            </w:pPr>
          </w:p>
        </w:tc>
        <w:tc>
          <w:tcPr>
            <w:tcW w:w="8060" w:type="dxa"/>
            <w:vAlign w:val="bottom"/>
          </w:tcPr>
          <w:p w:rsidR="00A621E3" w:rsidRDefault="00EC630E">
            <w:pPr>
              <w:ind w:left="460"/>
              <w:rPr>
                <w:sz w:val="20"/>
                <w:szCs w:val="20"/>
              </w:rPr>
            </w:pPr>
            <w:r>
              <w:rPr>
                <w:rFonts w:ascii="Arial" w:eastAsia="Arial" w:hAnsi="Arial" w:cs="Arial"/>
                <w:color w:val="CF0A2C"/>
                <w:w w:val="92"/>
                <w:sz w:val="20"/>
                <w:szCs w:val="20"/>
              </w:rPr>
              <w:t>•</w:t>
            </w:r>
            <w:r>
              <w:rPr>
                <w:rFonts w:ascii="Arial" w:eastAsia="Arial" w:hAnsi="Arial" w:cs="Arial"/>
                <w:color w:val="000000"/>
                <w:w w:val="92"/>
                <w:sz w:val="20"/>
                <w:szCs w:val="20"/>
              </w:rPr>
              <w:t>  </w:t>
            </w:r>
            <w:r>
              <w:rPr>
                <w:rFonts w:ascii="Arial" w:eastAsia="Arial" w:hAnsi="Arial" w:cs="Arial"/>
                <w:color w:val="000000"/>
                <w:w w:val="92"/>
                <w:sz w:val="20"/>
                <w:szCs w:val="20"/>
              </w:rPr>
              <w:t>Directors with experience, qualifications and skills across a wide range of public and private</w:t>
            </w:r>
          </w:p>
        </w:tc>
      </w:tr>
      <w:tr w:rsidR="00A621E3">
        <w:trPr>
          <w:trHeight w:val="250"/>
        </w:trPr>
        <w:tc>
          <w:tcPr>
            <w:tcW w:w="2960" w:type="dxa"/>
            <w:vAlign w:val="bottom"/>
          </w:tcPr>
          <w:p w:rsidR="00A621E3" w:rsidRDefault="00A621E3">
            <w:pPr>
              <w:rPr>
                <w:sz w:val="21"/>
                <w:szCs w:val="21"/>
              </w:rPr>
            </w:pPr>
          </w:p>
        </w:tc>
        <w:tc>
          <w:tcPr>
            <w:tcW w:w="8060" w:type="dxa"/>
            <w:vAlign w:val="bottom"/>
          </w:tcPr>
          <w:p w:rsidR="00A621E3" w:rsidRDefault="00EC630E">
            <w:pPr>
              <w:ind w:left="600"/>
              <w:rPr>
                <w:sz w:val="20"/>
                <w:szCs w:val="20"/>
              </w:rPr>
            </w:pPr>
            <w:r>
              <w:rPr>
                <w:rFonts w:ascii="Arial" w:eastAsia="Arial" w:hAnsi="Arial" w:cs="Arial"/>
                <w:sz w:val="20"/>
                <w:szCs w:val="20"/>
              </w:rPr>
              <w:t>companies</w:t>
            </w:r>
          </w:p>
        </w:tc>
      </w:tr>
      <w:tr w:rsidR="00A621E3">
        <w:trPr>
          <w:trHeight w:val="473"/>
        </w:trPr>
        <w:tc>
          <w:tcPr>
            <w:tcW w:w="2960" w:type="dxa"/>
            <w:vAlign w:val="bottom"/>
          </w:tcPr>
          <w:p w:rsidR="00A621E3" w:rsidRDefault="00A621E3">
            <w:pPr>
              <w:rPr>
                <w:sz w:val="24"/>
                <w:szCs w:val="24"/>
              </w:rPr>
            </w:pPr>
          </w:p>
        </w:tc>
        <w:tc>
          <w:tcPr>
            <w:tcW w:w="8060" w:type="dxa"/>
            <w:vAlign w:val="bottom"/>
          </w:tcPr>
          <w:p w:rsidR="00A621E3" w:rsidRDefault="00EC630E">
            <w:pPr>
              <w:ind w:left="46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Directors reflect diversity of age, gender, race and nationality</w:t>
            </w:r>
          </w:p>
        </w:tc>
      </w:tr>
      <w:tr w:rsidR="00A621E3">
        <w:trPr>
          <w:trHeight w:val="473"/>
        </w:trPr>
        <w:tc>
          <w:tcPr>
            <w:tcW w:w="2960" w:type="dxa"/>
            <w:vAlign w:val="bottom"/>
          </w:tcPr>
          <w:p w:rsidR="00A621E3" w:rsidRDefault="00A621E3">
            <w:pPr>
              <w:rPr>
                <w:sz w:val="24"/>
                <w:szCs w:val="24"/>
              </w:rPr>
            </w:pPr>
          </w:p>
        </w:tc>
        <w:tc>
          <w:tcPr>
            <w:tcW w:w="8060" w:type="dxa"/>
            <w:vAlign w:val="bottom"/>
          </w:tcPr>
          <w:p w:rsidR="00A621E3" w:rsidRDefault="00EC630E">
            <w:pPr>
              <w:ind w:left="46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Average director nominee age of 57 as of April 12, 2023</w:t>
            </w:r>
          </w:p>
        </w:tc>
      </w:tr>
      <w:tr w:rsidR="00A621E3">
        <w:trPr>
          <w:trHeight w:val="452"/>
        </w:trPr>
        <w:tc>
          <w:tcPr>
            <w:tcW w:w="2960" w:type="dxa"/>
            <w:vAlign w:val="bottom"/>
          </w:tcPr>
          <w:p w:rsidR="00A621E3" w:rsidRDefault="00A621E3">
            <w:pPr>
              <w:rPr>
                <w:sz w:val="24"/>
                <w:szCs w:val="24"/>
              </w:rPr>
            </w:pPr>
          </w:p>
        </w:tc>
        <w:tc>
          <w:tcPr>
            <w:tcW w:w="8060" w:type="dxa"/>
            <w:vAlign w:val="bottom"/>
          </w:tcPr>
          <w:p w:rsidR="00A621E3" w:rsidRDefault="00EC630E">
            <w:pPr>
              <w:ind w:left="460"/>
              <w:rPr>
                <w:sz w:val="20"/>
                <w:szCs w:val="20"/>
              </w:rPr>
            </w:pPr>
            <w:r>
              <w:rPr>
                <w:rFonts w:ascii="Arial" w:eastAsia="Arial" w:hAnsi="Arial" w:cs="Arial"/>
                <w:color w:val="CF0A2C"/>
                <w:w w:val="90"/>
                <w:sz w:val="20"/>
                <w:szCs w:val="20"/>
              </w:rPr>
              <w:t>•</w:t>
            </w:r>
            <w:r>
              <w:rPr>
                <w:rFonts w:ascii="Arial" w:eastAsia="Arial" w:hAnsi="Arial" w:cs="Arial"/>
                <w:color w:val="000000"/>
                <w:w w:val="90"/>
                <w:sz w:val="20"/>
                <w:szCs w:val="20"/>
              </w:rPr>
              <w:t>  </w:t>
            </w:r>
            <w:r>
              <w:rPr>
                <w:rFonts w:ascii="Arial" w:eastAsia="Arial" w:hAnsi="Arial" w:cs="Arial"/>
                <w:color w:val="000000"/>
                <w:w w:val="90"/>
                <w:sz w:val="20"/>
                <w:szCs w:val="20"/>
              </w:rPr>
              <w:t>Independent and non-management directors may generally not stand for re-election after age</w:t>
            </w:r>
          </w:p>
        </w:tc>
      </w:tr>
      <w:tr w:rsidR="00A621E3">
        <w:trPr>
          <w:trHeight w:val="250"/>
        </w:trPr>
        <w:tc>
          <w:tcPr>
            <w:tcW w:w="2960" w:type="dxa"/>
            <w:vAlign w:val="bottom"/>
          </w:tcPr>
          <w:p w:rsidR="00A621E3" w:rsidRDefault="00A621E3">
            <w:pPr>
              <w:rPr>
                <w:sz w:val="21"/>
                <w:szCs w:val="21"/>
              </w:rPr>
            </w:pPr>
          </w:p>
        </w:tc>
        <w:tc>
          <w:tcPr>
            <w:tcW w:w="8060" w:type="dxa"/>
            <w:vAlign w:val="bottom"/>
          </w:tcPr>
          <w:p w:rsidR="00A621E3" w:rsidRDefault="00EC630E">
            <w:pPr>
              <w:ind w:left="600"/>
              <w:rPr>
                <w:sz w:val="20"/>
                <w:szCs w:val="20"/>
              </w:rPr>
            </w:pPr>
            <w:r>
              <w:rPr>
                <w:rFonts w:ascii="Arial" w:eastAsia="Arial" w:hAnsi="Arial" w:cs="Arial"/>
                <w:sz w:val="20"/>
                <w:szCs w:val="20"/>
              </w:rPr>
              <w:t>75</w:t>
            </w:r>
          </w:p>
        </w:tc>
      </w:tr>
      <w:tr w:rsidR="00A621E3">
        <w:trPr>
          <w:trHeight w:val="438"/>
        </w:trPr>
        <w:tc>
          <w:tcPr>
            <w:tcW w:w="2960" w:type="dxa"/>
            <w:vAlign w:val="bottom"/>
          </w:tcPr>
          <w:p w:rsidR="00A621E3" w:rsidRDefault="00EC630E">
            <w:pPr>
              <w:rPr>
                <w:sz w:val="20"/>
                <w:szCs w:val="20"/>
              </w:rPr>
            </w:pPr>
            <w:r>
              <w:rPr>
                <w:rFonts w:ascii="Arial" w:eastAsia="Arial" w:hAnsi="Arial" w:cs="Arial"/>
                <w:i/>
                <w:iCs/>
                <w:sz w:val="18"/>
                <w:szCs w:val="18"/>
              </w:rPr>
              <w:t xml:space="preserve">Other </w:t>
            </w:r>
            <w:r>
              <w:rPr>
                <w:rFonts w:ascii="Arial" w:eastAsia="Arial" w:hAnsi="Arial" w:cs="Arial"/>
                <w:i/>
                <w:iCs/>
                <w:sz w:val="18"/>
                <w:szCs w:val="18"/>
              </w:rPr>
              <w:t>Governance Practices</w:t>
            </w:r>
          </w:p>
        </w:tc>
        <w:tc>
          <w:tcPr>
            <w:tcW w:w="8060" w:type="dxa"/>
            <w:vAlign w:val="bottom"/>
          </w:tcPr>
          <w:p w:rsidR="00A621E3" w:rsidRDefault="00EC630E">
            <w:pPr>
              <w:ind w:left="460"/>
              <w:rPr>
                <w:sz w:val="20"/>
                <w:szCs w:val="20"/>
              </w:rPr>
            </w:pPr>
            <w:r>
              <w:rPr>
                <w:rFonts w:ascii="Arial" w:eastAsia="Arial" w:hAnsi="Arial" w:cs="Arial"/>
                <w:color w:val="CF0A2C"/>
                <w:w w:val="90"/>
                <w:sz w:val="20"/>
                <w:szCs w:val="20"/>
              </w:rPr>
              <w:t>•</w:t>
            </w:r>
            <w:r>
              <w:rPr>
                <w:rFonts w:ascii="Arial" w:eastAsia="Arial" w:hAnsi="Arial" w:cs="Arial"/>
                <w:color w:val="000000"/>
                <w:w w:val="90"/>
                <w:sz w:val="20"/>
                <w:szCs w:val="20"/>
              </w:rPr>
              <w:t>  </w:t>
            </w:r>
            <w:r>
              <w:rPr>
                <w:rFonts w:ascii="Arial" w:eastAsia="Arial" w:hAnsi="Arial" w:cs="Arial"/>
                <w:color w:val="000000"/>
                <w:w w:val="90"/>
                <w:sz w:val="20"/>
                <w:szCs w:val="20"/>
              </w:rPr>
              <w:t>Stockholders holding at least 25% of the Company’s outstanding shares have the right to call</w:t>
            </w:r>
          </w:p>
        </w:tc>
      </w:tr>
      <w:tr w:rsidR="00A621E3">
        <w:trPr>
          <w:trHeight w:val="250"/>
        </w:trPr>
        <w:tc>
          <w:tcPr>
            <w:tcW w:w="2960" w:type="dxa"/>
            <w:vAlign w:val="bottom"/>
          </w:tcPr>
          <w:p w:rsidR="00A621E3" w:rsidRDefault="00A621E3">
            <w:pPr>
              <w:rPr>
                <w:sz w:val="21"/>
                <w:szCs w:val="21"/>
              </w:rPr>
            </w:pPr>
          </w:p>
        </w:tc>
        <w:tc>
          <w:tcPr>
            <w:tcW w:w="8060" w:type="dxa"/>
            <w:vAlign w:val="bottom"/>
          </w:tcPr>
          <w:p w:rsidR="00A621E3" w:rsidRDefault="00EC630E">
            <w:pPr>
              <w:ind w:left="600"/>
              <w:rPr>
                <w:sz w:val="20"/>
                <w:szCs w:val="20"/>
              </w:rPr>
            </w:pPr>
            <w:r>
              <w:rPr>
                <w:rFonts w:ascii="Arial" w:eastAsia="Arial" w:hAnsi="Arial" w:cs="Arial"/>
                <w:sz w:val="20"/>
                <w:szCs w:val="20"/>
              </w:rPr>
              <w:t>special meetings</w:t>
            </w:r>
          </w:p>
        </w:tc>
      </w:tr>
      <w:tr w:rsidR="00A621E3">
        <w:trPr>
          <w:trHeight w:val="473"/>
        </w:trPr>
        <w:tc>
          <w:tcPr>
            <w:tcW w:w="2960" w:type="dxa"/>
            <w:vAlign w:val="bottom"/>
          </w:tcPr>
          <w:p w:rsidR="00A621E3" w:rsidRDefault="00A621E3">
            <w:pPr>
              <w:rPr>
                <w:sz w:val="24"/>
                <w:szCs w:val="24"/>
              </w:rPr>
            </w:pPr>
          </w:p>
        </w:tc>
        <w:tc>
          <w:tcPr>
            <w:tcW w:w="8060" w:type="dxa"/>
            <w:vAlign w:val="bottom"/>
          </w:tcPr>
          <w:p w:rsidR="00A621E3" w:rsidRDefault="00EC630E">
            <w:pPr>
              <w:ind w:left="46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Active stockholder engagement</w:t>
            </w:r>
          </w:p>
        </w:tc>
      </w:tr>
      <w:tr w:rsidR="00A621E3">
        <w:trPr>
          <w:trHeight w:val="473"/>
        </w:trPr>
        <w:tc>
          <w:tcPr>
            <w:tcW w:w="2960" w:type="dxa"/>
            <w:vAlign w:val="bottom"/>
          </w:tcPr>
          <w:p w:rsidR="00A621E3" w:rsidRDefault="00A621E3">
            <w:pPr>
              <w:rPr>
                <w:sz w:val="24"/>
                <w:szCs w:val="24"/>
              </w:rPr>
            </w:pPr>
          </w:p>
        </w:tc>
        <w:tc>
          <w:tcPr>
            <w:tcW w:w="8060" w:type="dxa"/>
            <w:vAlign w:val="bottom"/>
          </w:tcPr>
          <w:p w:rsidR="00A621E3" w:rsidRDefault="00EC630E">
            <w:pPr>
              <w:ind w:left="46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No shareholder rights plan (also known as a poison pill)</w:t>
            </w:r>
          </w:p>
        </w:tc>
      </w:tr>
      <w:tr w:rsidR="00A621E3">
        <w:trPr>
          <w:trHeight w:val="472"/>
        </w:trPr>
        <w:tc>
          <w:tcPr>
            <w:tcW w:w="2960" w:type="dxa"/>
            <w:vAlign w:val="bottom"/>
          </w:tcPr>
          <w:p w:rsidR="00A621E3" w:rsidRDefault="00A621E3">
            <w:pPr>
              <w:rPr>
                <w:sz w:val="24"/>
                <w:szCs w:val="24"/>
              </w:rPr>
            </w:pPr>
          </w:p>
        </w:tc>
        <w:tc>
          <w:tcPr>
            <w:tcW w:w="8060" w:type="dxa"/>
            <w:vAlign w:val="bottom"/>
          </w:tcPr>
          <w:p w:rsidR="00A621E3" w:rsidRDefault="00EC630E">
            <w:pPr>
              <w:ind w:left="46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 xml:space="preserve">Director and </w:t>
            </w:r>
            <w:r>
              <w:rPr>
                <w:rFonts w:ascii="Arial" w:eastAsia="Arial" w:hAnsi="Arial" w:cs="Arial"/>
                <w:color w:val="000000"/>
                <w:sz w:val="20"/>
                <w:szCs w:val="20"/>
              </w:rPr>
              <w:t>executive officer stock ownership policies</w:t>
            </w:r>
          </w:p>
        </w:tc>
      </w:tr>
      <w:tr w:rsidR="00A621E3">
        <w:trPr>
          <w:trHeight w:val="473"/>
        </w:trPr>
        <w:tc>
          <w:tcPr>
            <w:tcW w:w="2960" w:type="dxa"/>
            <w:vAlign w:val="bottom"/>
          </w:tcPr>
          <w:p w:rsidR="00A621E3" w:rsidRDefault="00A621E3">
            <w:pPr>
              <w:rPr>
                <w:sz w:val="24"/>
                <w:szCs w:val="24"/>
              </w:rPr>
            </w:pPr>
          </w:p>
        </w:tc>
        <w:tc>
          <w:tcPr>
            <w:tcW w:w="8060" w:type="dxa"/>
            <w:vAlign w:val="bottom"/>
          </w:tcPr>
          <w:p w:rsidR="00A621E3" w:rsidRDefault="00EC630E">
            <w:pPr>
              <w:ind w:left="46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Policy prohibiting hedging or other speculative trading of Company stock</w:t>
            </w:r>
          </w:p>
        </w:tc>
      </w:tr>
      <w:tr w:rsidR="00A621E3">
        <w:trPr>
          <w:trHeight w:val="452"/>
        </w:trPr>
        <w:tc>
          <w:tcPr>
            <w:tcW w:w="2960" w:type="dxa"/>
            <w:vAlign w:val="bottom"/>
          </w:tcPr>
          <w:p w:rsidR="00A621E3" w:rsidRDefault="00A621E3">
            <w:pPr>
              <w:rPr>
                <w:sz w:val="24"/>
                <w:szCs w:val="24"/>
              </w:rPr>
            </w:pPr>
          </w:p>
        </w:tc>
        <w:tc>
          <w:tcPr>
            <w:tcW w:w="8060" w:type="dxa"/>
            <w:vAlign w:val="bottom"/>
          </w:tcPr>
          <w:p w:rsidR="00A621E3" w:rsidRDefault="00EC630E">
            <w:pPr>
              <w:ind w:left="460"/>
              <w:rPr>
                <w:sz w:val="20"/>
                <w:szCs w:val="20"/>
              </w:rPr>
            </w:pPr>
            <w:r>
              <w:rPr>
                <w:rFonts w:ascii="Arial" w:eastAsia="Arial" w:hAnsi="Arial" w:cs="Arial"/>
                <w:color w:val="CF0A2C"/>
                <w:w w:val="92"/>
                <w:sz w:val="20"/>
                <w:szCs w:val="20"/>
              </w:rPr>
              <w:t>•</w:t>
            </w:r>
            <w:r>
              <w:rPr>
                <w:rFonts w:ascii="Arial" w:eastAsia="Arial" w:hAnsi="Arial" w:cs="Arial"/>
                <w:color w:val="000000"/>
                <w:w w:val="92"/>
                <w:sz w:val="20"/>
                <w:szCs w:val="20"/>
              </w:rPr>
              <w:t>  </w:t>
            </w:r>
            <w:r>
              <w:rPr>
                <w:rFonts w:ascii="Arial" w:eastAsia="Arial" w:hAnsi="Arial" w:cs="Arial"/>
                <w:color w:val="000000"/>
                <w:w w:val="92"/>
                <w:sz w:val="20"/>
                <w:szCs w:val="20"/>
              </w:rPr>
              <w:t>Policy regarding resignation if any director experiences a significant change in professional</w:t>
            </w:r>
          </w:p>
        </w:tc>
      </w:tr>
      <w:tr w:rsidR="00A621E3">
        <w:trPr>
          <w:trHeight w:val="250"/>
        </w:trPr>
        <w:tc>
          <w:tcPr>
            <w:tcW w:w="2960" w:type="dxa"/>
            <w:vAlign w:val="bottom"/>
          </w:tcPr>
          <w:p w:rsidR="00A621E3" w:rsidRDefault="00A621E3">
            <w:pPr>
              <w:rPr>
                <w:sz w:val="21"/>
                <w:szCs w:val="21"/>
              </w:rPr>
            </w:pPr>
          </w:p>
        </w:tc>
        <w:tc>
          <w:tcPr>
            <w:tcW w:w="8060" w:type="dxa"/>
            <w:vAlign w:val="bottom"/>
          </w:tcPr>
          <w:p w:rsidR="00A621E3" w:rsidRDefault="00EC630E">
            <w:pPr>
              <w:ind w:left="600"/>
              <w:rPr>
                <w:sz w:val="20"/>
                <w:szCs w:val="20"/>
              </w:rPr>
            </w:pPr>
            <w:r>
              <w:rPr>
                <w:rFonts w:ascii="Arial" w:eastAsia="Arial" w:hAnsi="Arial" w:cs="Arial"/>
                <w:sz w:val="20"/>
                <w:szCs w:val="20"/>
              </w:rPr>
              <w:t>roles and responsibilities</w:t>
            </w:r>
          </w:p>
        </w:tc>
      </w:tr>
      <w:tr w:rsidR="00A621E3">
        <w:trPr>
          <w:trHeight w:val="473"/>
        </w:trPr>
        <w:tc>
          <w:tcPr>
            <w:tcW w:w="2960" w:type="dxa"/>
            <w:vAlign w:val="bottom"/>
          </w:tcPr>
          <w:p w:rsidR="00A621E3" w:rsidRDefault="00A621E3">
            <w:pPr>
              <w:rPr>
                <w:sz w:val="24"/>
                <w:szCs w:val="24"/>
              </w:rPr>
            </w:pPr>
          </w:p>
        </w:tc>
        <w:tc>
          <w:tcPr>
            <w:tcW w:w="8060" w:type="dxa"/>
            <w:vAlign w:val="bottom"/>
          </w:tcPr>
          <w:p w:rsidR="00A621E3" w:rsidRDefault="00EC630E">
            <w:pPr>
              <w:ind w:left="460"/>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Board access to senior management and independent advisors</w:t>
            </w:r>
          </w:p>
        </w:tc>
      </w:tr>
    </w:tbl>
    <w:p w:rsidR="00A621E3" w:rsidRDefault="00A621E3">
      <w:pPr>
        <w:spacing w:line="145" w:lineRule="exact"/>
        <w:rPr>
          <w:sz w:val="20"/>
          <w:szCs w:val="20"/>
        </w:rPr>
      </w:pP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tabs>
          <w:tab w:val="left" w:pos="10860"/>
        </w:tabs>
        <w:ind w:left="8220"/>
        <w:rPr>
          <w:sz w:val="20"/>
          <w:szCs w:val="20"/>
        </w:rPr>
      </w:pPr>
      <w:r>
        <w:rPr>
          <w:rFonts w:ascii="Arial" w:eastAsia="Arial" w:hAnsi="Arial" w:cs="Arial"/>
          <w:b/>
          <w:bCs/>
          <w:color w:val="4C4C4C"/>
          <w:sz w:val="14"/>
          <w:szCs w:val="14"/>
        </w:rPr>
        <w:lastRenderedPageBreak/>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11</w:t>
      </w:r>
    </w:p>
    <w:p w:rsidR="00A621E3" w:rsidRDefault="00EC630E">
      <w:pPr>
        <w:spacing w:line="20" w:lineRule="exact"/>
        <w:rPr>
          <w:sz w:val="20"/>
          <w:szCs w:val="20"/>
        </w:rPr>
      </w:pPr>
      <w:r>
        <w:rPr>
          <w:noProof/>
          <w:sz w:val="20"/>
          <w:szCs w:val="20"/>
        </w:rPr>
        <w:drawing>
          <wp:anchor distT="0" distB="0" distL="114300" distR="114300" simplePos="0" relativeHeight="251508736"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17" w:name="page17"/>
      <w:bookmarkEnd w:id="17"/>
      <w:r>
        <w:rPr>
          <w:rFonts w:ascii="Arial" w:eastAsia="Arial" w:hAnsi="Arial" w:cs="Arial"/>
          <w:b/>
          <w:bCs/>
          <w:noProof/>
          <w:color w:val="0000EE"/>
          <w:sz w:val="18"/>
          <w:szCs w:val="18"/>
          <w:u w:val="single"/>
        </w:rPr>
        <w:lastRenderedPageBreak/>
        <w:drawing>
          <wp:anchor distT="0" distB="0" distL="114300" distR="114300" simplePos="0" relativeHeight="25150976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A621E3">
      <w:pPr>
        <w:spacing w:line="387" w:lineRule="exact"/>
        <w:rPr>
          <w:sz w:val="20"/>
          <w:szCs w:val="20"/>
        </w:rPr>
      </w:pPr>
    </w:p>
    <w:p w:rsidR="00A621E3" w:rsidRDefault="00EC630E">
      <w:pPr>
        <w:ind w:left="200"/>
        <w:rPr>
          <w:sz w:val="20"/>
          <w:szCs w:val="20"/>
        </w:rPr>
      </w:pPr>
      <w:r>
        <w:rPr>
          <w:rFonts w:ascii="Arial" w:eastAsia="Arial" w:hAnsi="Arial" w:cs="Arial"/>
          <w:b/>
          <w:bCs/>
          <w:color w:val="FFFFFF"/>
          <w:sz w:val="16"/>
          <w:szCs w:val="16"/>
          <w:shd w:val="clear" w:color="auto" w:fill="CF0A2C"/>
        </w:rPr>
        <w:t>GOVERNANCE OF THE COMPANY</w:t>
      </w:r>
    </w:p>
    <w:p w:rsidR="00A621E3" w:rsidRDefault="00A621E3">
      <w:pPr>
        <w:spacing w:line="189" w:lineRule="exact"/>
        <w:rPr>
          <w:sz w:val="20"/>
          <w:szCs w:val="20"/>
        </w:rPr>
      </w:pPr>
    </w:p>
    <w:p w:rsidR="00A621E3" w:rsidRDefault="00EC630E">
      <w:pPr>
        <w:spacing w:line="286" w:lineRule="auto"/>
        <w:ind w:left="120" w:right="520"/>
        <w:rPr>
          <w:sz w:val="20"/>
          <w:szCs w:val="20"/>
        </w:rPr>
      </w:pPr>
      <w:r>
        <w:rPr>
          <w:rFonts w:ascii="Arial" w:eastAsia="Arial" w:hAnsi="Arial" w:cs="Arial"/>
          <w:b/>
          <w:bCs/>
          <w:color w:val="CF0A2C"/>
          <w:sz w:val="32"/>
          <w:szCs w:val="32"/>
        </w:rPr>
        <w:t xml:space="preserve">What is the composition of the Board of Directors and how often </w:t>
      </w:r>
      <w:r>
        <w:rPr>
          <w:rFonts w:ascii="Arial" w:eastAsia="Arial" w:hAnsi="Arial" w:cs="Arial"/>
          <w:b/>
          <w:bCs/>
          <w:color w:val="CF0A2C"/>
          <w:sz w:val="32"/>
          <w:szCs w:val="32"/>
        </w:rPr>
        <w:t>are members elected?</w:t>
      </w:r>
    </w:p>
    <w:p w:rsidR="00A621E3" w:rsidRDefault="00EC630E">
      <w:pPr>
        <w:spacing w:line="20" w:lineRule="exact"/>
        <w:rPr>
          <w:sz w:val="20"/>
          <w:szCs w:val="20"/>
        </w:rPr>
      </w:pPr>
      <w:r>
        <w:rPr>
          <w:noProof/>
          <w:sz w:val="20"/>
          <w:szCs w:val="20"/>
        </w:rPr>
        <w:drawing>
          <wp:anchor distT="0" distB="0" distL="114300" distR="114300" simplePos="0" relativeHeight="251510784" behindDoc="1" locked="0" layoutInCell="0" allowOverlap="1">
            <wp:simplePos x="0" y="0"/>
            <wp:positionH relativeFrom="column">
              <wp:posOffset>73660</wp:posOffset>
            </wp:positionH>
            <wp:positionV relativeFrom="paragraph">
              <wp:posOffset>57785</wp:posOffset>
            </wp:positionV>
            <wp:extent cx="6995160" cy="825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79"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 xml:space="preserve">Our Board of Directors presently consists of 10 directors, eight of whom are standing for re-election at the Annual Meeting. Each director is elected for a one-year term. Two of our current directors, Cyril Han </w:t>
      </w:r>
      <w:r>
        <w:rPr>
          <w:rFonts w:ascii="Arial" w:eastAsia="Arial" w:hAnsi="Arial" w:cs="Arial"/>
          <w:sz w:val="20"/>
          <w:szCs w:val="20"/>
        </w:rPr>
        <w:t>and Louis T. Hsieh, will not stand for re-election at the Annual Meeting. The Company thanks Messrs. Han and Hsieh for their service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59" w:lineRule="exact"/>
        <w:rPr>
          <w:sz w:val="20"/>
          <w:szCs w:val="20"/>
        </w:rPr>
      </w:pPr>
    </w:p>
    <w:p w:rsidR="00A621E3" w:rsidRDefault="00EC630E">
      <w:pPr>
        <w:spacing w:line="278" w:lineRule="auto"/>
        <w:ind w:right="20"/>
        <w:jc w:val="both"/>
        <w:rPr>
          <w:sz w:val="20"/>
          <w:szCs w:val="20"/>
        </w:rPr>
      </w:pPr>
      <w:r>
        <w:rPr>
          <w:rFonts w:ascii="Arial" w:eastAsia="Arial" w:hAnsi="Arial" w:cs="Arial"/>
          <w:sz w:val="18"/>
          <w:szCs w:val="18"/>
        </w:rPr>
        <w:t xml:space="preserve">as members of our Board. Christina Xiaojing Zhu is standing for election for the first time at the Annual Meeting. The </w:t>
      </w:r>
      <w:r>
        <w:rPr>
          <w:rFonts w:ascii="Arial" w:eastAsia="Arial" w:hAnsi="Arial" w:cs="Arial"/>
          <w:sz w:val="18"/>
          <w:szCs w:val="18"/>
        </w:rPr>
        <w:t>Board has determined to reduce the number of directors constituting the Board from 10 to nine following the Annual Meeting. Proxies may not be voted for more than nine persons in the election of directors.</w:t>
      </w:r>
    </w:p>
    <w:p w:rsidR="00A621E3" w:rsidRDefault="00A621E3">
      <w:pPr>
        <w:spacing w:line="398"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00" w:lineRule="exact"/>
        <w:rPr>
          <w:sz w:val="20"/>
          <w:szCs w:val="20"/>
        </w:rPr>
      </w:pPr>
    </w:p>
    <w:p w:rsidR="00A621E3" w:rsidRDefault="00A621E3">
      <w:pPr>
        <w:spacing w:line="209" w:lineRule="exact"/>
        <w:rPr>
          <w:sz w:val="20"/>
          <w:szCs w:val="20"/>
        </w:rPr>
      </w:pPr>
    </w:p>
    <w:p w:rsidR="00A621E3" w:rsidRDefault="00EC630E">
      <w:pPr>
        <w:ind w:left="120"/>
        <w:rPr>
          <w:sz w:val="20"/>
          <w:szCs w:val="20"/>
        </w:rPr>
      </w:pPr>
      <w:r>
        <w:rPr>
          <w:rFonts w:ascii="Arial" w:eastAsia="Arial" w:hAnsi="Arial" w:cs="Arial"/>
          <w:b/>
          <w:bCs/>
          <w:color w:val="CF0A2C"/>
          <w:sz w:val="32"/>
          <w:szCs w:val="32"/>
        </w:rPr>
        <w:t xml:space="preserve">How often did the </w:t>
      </w:r>
      <w:r>
        <w:rPr>
          <w:rFonts w:ascii="Arial" w:eastAsia="Arial" w:hAnsi="Arial" w:cs="Arial"/>
          <w:b/>
          <w:bCs/>
          <w:color w:val="CF0A2C"/>
          <w:sz w:val="32"/>
          <w:szCs w:val="32"/>
        </w:rPr>
        <w:t>Board meet in 2022?</w:t>
      </w:r>
    </w:p>
    <w:p w:rsidR="00A621E3" w:rsidRDefault="00EC630E">
      <w:pPr>
        <w:spacing w:line="20" w:lineRule="exact"/>
        <w:rPr>
          <w:sz w:val="20"/>
          <w:szCs w:val="20"/>
        </w:rPr>
      </w:pPr>
      <w:r>
        <w:rPr>
          <w:noProof/>
          <w:sz w:val="20"/>
          <w:szCs w:val="20"/>
        </w:rPr>
        <w:drawing>
          <wp:anchor distT="0" distB="0" distL="114300" distR="114300" simplePos="0" relativeHeight="251511808"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96"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Directors are expected, absent extraordinary circumstances, to attend all Board meetings and meetings of committees on which they serve. Our Board met 7 times and the committees collectively met 25 times during</w:t>
      </w:r>
      <w:r>
        <w:rPr>
          <w:rFonts w:ascii="Arial" w:eastAsia="Arial" w:hAnsi="Arial" w:cs="Arial"/>
          <w:sz w:val="20"/>
          <w:szCs w:val="20"/>
        </w:rPr>
        <w:t xml:space="preserve"> 2022. In 2022, overall attendance at Board and committee meetings was 97% and all directors attended at least 75%</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6" w:lineRule="exact"/>
        <w:rPr>
          <w:sz w:val="20"/>
          <w:szCs w:val="20"/>
        </w:rPr>
      </w:pPr>
    </w:p>
    <w:p w:rsidR="00A621E3" w:rsidRDefault="00EC630E">
      <w:pPr>
        <w:spacing w:line="260" w:lineRule="auto"/>
        <w:jc w:val="both"/>
        <w:rPr>
          <w:sz w:val="20"/>
          <w:szCs w:val="20"/>
        </w:rPr>
      </w:pPr>
      <w:r>
        <w:rPr>
          <w:rFonts w:ascii="Arial" w:eastAsia="Arial" w:hAnsi="Arial" w:cs="Arial"/>
          <w:sz w:val="19"/>
          <w:szCs w:val="19"/>
        </w:rPr>
        <w:t xml:space="preserve">of the aggregate total of meetings of the Board and committees on which the director served. Our independent directors meet privately in </w:t>
      </w:r>
      <w:r>
        <w:rPr>
          <w:rFonts w:ascii="Arial" w:eastAsia="Arial" w:hAnsi="Arial" w:cs="Arial"/>
          <w:sz w:val="19"/>
          <w:szCs w:val="19"/>
        </w:rPr>
        <w:t>executive session without management present at each regularly scheduled Board meeting. Our independent Chairman leads these Board executive sessions.</w:t>
      </w:r>
    </w:p>
    <w:p w:rsidR="00A621E3" w:rsidRDefault="00A621E3">
      <w:pPr>
        <w:spacing w:line="413"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00" w:lineRule="exact"/>
        <w:rPr>
          <w:sz w:val="20"/>
          <w:szCs w:val="20"/>
        </w:rPr>
      </w:pPr>
    </w:p>
    <w:p w:rsidR="00A621E3" w:rsidRDefault="00A621E3">
      <w:pPr>
        <w:spacing w:line="208" w:lineRule="exact"/>
        <w:rPr>
          <w:sz w:val="20"/>
          <w:szCs w:val="20"/>
        </w:rPr>
      </w:pPr>
    </w:p>
    <w:p w:rsidR="00A621E3" w:rsidRDefault="00EC630E">
      <w:pPr>
        <w:spacing w:line="286" w:lineRule="auto"/>
        <w:ind w:left="120" w:right="160"/>
        <w:rPr>
          <w:sz w:val="20"/>
          <w:szCs w:val="20"/>
        </w:rPr>
      </w:pPr>
      <w:r>
        <w:rPr>
          <w:rFonts w:ascii="Arial" w:eastAsia="Arial" w:hAnsi="Arial" w:cs="Arial"/>
          <w:b/>
          <w:bCs/>
          <w:color w:val="CF0A2C"/>
          <w:sz w:val="32"/>
          <w:szCs w:val="32"/>
        </w:rPr>
        <w:t>What is the Board’s policy regarding director attendance at the Annual Me</w:t>
      </w:r>
      <w:r>
        <w:rPr>
          <w:rFonts w:ascii="Arial" w:eastAsia="Arial" w:hAnsi="Arial" w:cs="Arial"/>
          <w:b/>
          <w:bCs/>
          <w:color w:val="CF0A2C"/>
          <w:sz w:val="32"/>
          <w:szCs w:val="32"/>
        </w:rPr>
        <w:t>eting?</w:t>
      </w:r>
    </w:p>
    <w:p w:rsidR="00A621E3" w:rsidRDefault="00EC630E">
      <w:pPr>
        <w:spacing w:line="20" w:lineRule="exact"/>
        <w:rPr>
          <w:sz w:val="20"/>
          <w:szCs w:val="20"/>
        </w:rPr>
      </w:pPr>
      <w:r>
        <w:rPr>
          <w:noProof/>
          <w:sz w:val="20"/>
          <w:szCs w:val="20"/>
        </w:rPr>
        <w:drawing>
          <wp:anchor distT="0" distB="0" distL="114300" distR="114300" simplePos="0" relativeHeight="251512832" behindDoc="1" locked="0" layoutInCell="0" allowOverlap="1">
            <wp:simplePos x="0" y="0"/>
            <wp:positionH relativeFrom="column">
              <wp:posOffset>73660</wp:posOffset>
            </wp:positionH>
            <wp:positionV relativeFrom="paragraph">
              <wp:posOffset>57785</wp:posOffset>
            </wp:positionV>
            <wp:extent cx="6995160" cy="825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324" w:lineRule="exact"/>
        <w:rPr>
          <w:sz w:val="20"/>
          <w:szCs w:val="20"/>
        </w:rPr>
      </w:pPr>
    </w:p>
    <w:p w:rsidR="00A621E3" w:rsidRDefault="00EC630E">
      <w:pPr>
        <w:spacing w:line="260" w:lineRule="auto"/>
        <w:ind w:left="120" w:right="20"/>
        <w:rPr>
          <w:sz w:val="20"/>
          <w:szCs w:val="20"/>
        </w:rPr>
      </w:pPr>
      <w:r>
        <w:rPr>
          <w:rFonts w:ascii="Arial" w:eastAsia="Arial" w:hAnsi="Arial" w:cs="Arial"/>
          <w:sz w:val="20"/>
          <w:szCs w:val="20"/>
        </w:rPr>
        <w:t>All directors are encouraged to attend the Annual Meeting. All incumbent directors attended the 2022 annual meeting of the Company’s stockholders.</w:t>
      </w:r>
    </w:p>
    <w:p w:rsidR="00A621E3" w:rsidRDefault="00A621E3">
      <w:pPr>
        <w:spacing w:line="373" w:lineRule="exact"/>
        <w:rPr>
          <w:sz w:val="20"/>
          <w:szCs w:val="20"/>
        </w:rPr>
      </w:pPr>
    </w:p>
    <w:p w:rsidR="00A621E3" w:rsidRDefault="00EC630E">
      <w:pPr>
        <w:ind w:left="120"/>
        <w:rPr>
          <w:sz w:val="20"/>
          <w:szCs w:val="20"/>
        </w:rPr>
      </w:pPr>
      <w:r>
        <w:rPr>
          <w:rFonts w:ascii="Arial" w:eastAsia="Arial" w:hAnsi="Arial" w:cs="Arial"/>
          <w:b/>
          <w:bCs/>
          <w:color w:val="CF0A2C"/>
          <w:sz w:val="32"/>
          <w:szCs w:val="32"/>
        </w:rPr>
        <w:t>How are director nominees selected?</w:t>
      </w:r>
    </w:p>
    <w:p w:rsidR="00A621E3" w:rsidRDefault="00EC630E">
      <w:pPr>
        <w:spacing w:line="20" w:lineRule="exact"/>
        <w:rPr>
          <w:sz w:val="20"/>
          <w:szCs w:val="20"/>
        </w:rPr>
      </w:pPr>
      <w:r>
        <w:rPr>
          <w:noProof/>
          <w:sz w:val="20"/>
          <w:szCs w:val="20"/>
        </w:rPr>
        <w:drawing>
          <wp:anchor distT="0" distB="0" distL="114300" distR="114300" simplePos="0" relativeHeight="251513856"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42" w:lineRule="exact"/>
        <w:rPr>
          <w:sz w:val="20"/>
          <w:szCs w:val="20"/>
        </w:rPr>
      </w:pPr>
    </w:p>
    <w:p w:rsidR="00A621E3" w:rsidRDefault="00EC630E">
      <w:pPr>
        <w:spacing w:line="270" w:lineRule="auto"/>
        <w:ind w:left="120"/>
        <w:jc w:val="both"/>
        <w:rPr>
          <w:sz w:val="20"/>
          <w:szCs w:val="20"/>
        </w:rPr>
      </w:pPr>
      <w:r>
        <w:rPr>
          <w:rFonts w:ascii="Arial" w:eastAsia="Arial" w:hAnsi="Arial" w:cs="Arial"/>
          <w:sz w:val="18"/>
          <w:szCs w:val="18"/>
        </w:rPr>
        <w:t xml:space="preserve">The Nominating and Governance </w:t>
      </w:r>
      <w:r>
        <w:rPr>
          <w:rFonts w:ascii="Arial" w:eastAsia="Arial" w:hAnsi="Arial" w:cs="Arial"/>
          <w:sz w:val="18"/>
          <w:szCs w:val="18"/>
        </w:rPr>
        <w:t>Committee is responsible for recommending director candidates to the full Board for nomination and election at the annual meetings of stockholders. The Nominating and Governance Committee’s charter provides that it may retain third-party search firms to id</w:t>
      </w:r>
      <w:r>
        <w:rPr>
          <w:rFonts w:ascii="Arial" w:eastAsia="Arial" w:hAnsi="Arial" w:cs="Arial"/>
          <w:sz w:val="18"/>
          <w:szCs w:val="18"/>
        </w:rPr>
        <w:t>entify candidates from time to time. When the Nominating and Governance Committee engages a search firm, it provides the firm with guidance as to the skills, experience and qualifications that it is seeking in potential candidates, which may include, among</w:t>
      </w:r>
      <w:r>
        <w:rPr>
          <w:rFonts w:ascii="Arial" w:eastAsia="Arial" w:hAnsi="Arial" w:cs="Arial"/>
          <w:sz w:val="18"/>
          <w:szCs w:val="18"/>
        </w:rPr>
        <w:t xml:space="preserve"> other things, new directors who would contribute to the collective diversity of the Board. After conducting skills mapping and interviewing candidates, the search firm then provides a candidate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22" w:lineRule="exact"/>
        <w:rPr>
          <w:sz w:val="20"/>
          <w:szCs w:val="20"/>
        </w:rPr>
      </w:pPr>
    </w:p>
    <w:p w:rsidR="00A621E3" w:rsidRDefault="00EC630E">
      <w:pPr>
        <w:spacing w:line="246" w:lineRule="auto"/>
        <w:ind w:right="20"/>
        <w:jc w:val="both"/>
        <w:rPr>
          <w:sz w:val="20"/>
          <w:szCs w:val="20"/>
        </w:rPr>
      </w:pPr>
      <w:r>
        <w:rPr>
          <w:rFonts w:ascii="Arial" w:eastAsia="Arial" w:hAnsi="Arial" w:cs="Arial"/>
          <w:sz w:val="20"/>
          <w:szCs w:val="20"/>
        </w:rPr>
        <w:t>list to the Nominating and Governance Committee. The Nomi</w:t>
      </w:r>
      <w:r>
        <w:rPr>
          <w:rFonts w:ascii="Arial" w:eastAsia="Arial" w:hAnsi="Arial" w:cs="Arial"/>
          <w:sz w:val="20"/>
          <w:szCs w:val="20"/>
        </w:rPr>
        <w:t>nating and Governance Committee then interviews the candidates before any candidate is submitted to the full Board for approval.</w:t>
      </w:r>
    </w:p>
    <w:p w:rsidR="00A621E3" w:rsidRDefault="00A621E3">
      <w:pPr>
        <w:spacing w:line="191" w:lineRule="exact"/>
        <w:rPr>
          <w:sz w:val="20"/>
          <w:szCs w:val="20"/>
        </w:rPr>
      </w:pPr>
    </w:p>
    <w:p w:rsidR="00A621E3" w:rsidRDefault="00EC630E">
      <w:pPr>
        <w:spacing w:line="244" w:lineRule="auto"/>
        <w:ind w:right="20"/>
        <w:jc w:val="both"/>
        <w:rPr>
          <w:sz w:val="20"/>
          <w:szCs w:val="20"/>
        </w:rPr>
      </w:pPr>
      <w:r>
        <w:rPr>
          <w:rFonts w:ascii="Arial" w:eastAsia="Arial" w:hAnsi="Arial" w:cs="Arial"/>
          <w:sz w:val="20"/>
          <w:szCs w:val="20"/>
        </w:rPr>
        <w:t xml:space="preserve">After considering and evaluating a number of highly qualified candidates, the Nominating and Governance Committee recommended </w:t>
      </w:r>
      <w:r>
        <w:rPr>
          <w:rFonts w:ascii="Arial" w:eastAsia="Arial" w:hAnsi="Arial" w:cs="Arial"/>
          <w:sz w:val="20"/>
          <w:szCs w:val="20"/>
        </w:rPr>
        <w:t>to the Board that Christina Xiaojing Zhu be nominated to stand for election by our stockholders at the Annual Meeting.</w:t>
      </w:r>
    </w:p>
    <w:p w:rsidR="00A621E3" w:rsidRDefault="00A621E3">
      <w:pPr>
        <w:spacing w:line="194" w:lineRule="exact"/>
        <w:rPr>
          <w:sz w:val="20"/>
          <w:szCs w:val="20"/>
        </w:rPr>
      </w:pPr>
    </w:p>
    <w:p w:rsidR="00A621E3" w:rsidRDefault="00EC630E">
      <w:pPr>
        <w:spacing w:line="250" w:lineRule="auto"/>
        <w:ind w:right="20"/>
        <w:jc w:val="both"/>
        <w:rPr>
          <w:sz w:val="20"/>
          <w:szCs w:val="20"/>
        </w:rPr>
      </w:pPr>
      <w:r>
        <w:rPr>
          <w:rFonts w:ascii="Arial" w:eastAsia="Arial" w:hAnsi="Arial" w:cs="Arial"/>
          <w:sz w:val="20"/>
          <w:szCs w:val="20"/>
        </w:rPr>
        <w:t xml:space="preserve">The Nominating and Governance Committee will also consider director candidates recommended by stockholders or other sources in the same </w:t>
      </w:r>
      <w:r>
        <w:rPr>
          <w:rFonts w:ascii="Arial" w:eastAsia="Arial" w:hAnsi="Arial" w:cs="Arial"/>
          <w:sz w:val="20"/>
          <w:szCs w:val="20"/>
        </w:rPr>
        <w:t>manner as nominees identified</w:t>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74" w:lineRule="exact"/>
        <w:rPr>
          <w:sz w:val="20"/>
          <w:szCs w:val="20"/>
        </w:rPr>
      </w:pPr>
    </w:p>
    <w:p w:rsidR="00A621E3" w:rsidRDefault="00EC630E">
      <w:pPr>
        <w:numPr>
          <w:ilvl w:val="0"/>
          <w:numId w:val="21"/>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51488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18" w:name="page18"/>
      <w:bookmarkEnd w:id="18"/>
      <w:r>
        <w:rPr>
          <w:rFonts w:ascii="Arial" w:eastAsia="Arial" w:hAnsi="Arial" w:cs="Arial"/>
          <w:b/>
          <w:bCs/>
          <w:color w:val="0000EE"/>
          <w:sz w:val="18"/>
          <w:szCs w:val="18"/>
          <w:u w:val="single"/>
        </w:rPr>
        <w:lastRenderedPageBreak/>
        <w:t>Table of Contents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3" w:lineRule="exact"/>
        <w:rPr>
          <w:sz w:val="20"/>
          <w:szCs w:val="20"/>
        </w:rPr>
      </w:pPr>
    </w:p>
    <w:p w:rsidR="00A621E3" w:rsidRDefault="00EC630E">
      <w:pPr>
        <w:spacing w:line="257" w:lineRule="auto"/>
        <w:ind w:left="120"/>
        <w:jc w:val="both"/>
        <w:rPr>
          <w:sz w:val="20"/>
          <w:szCs w:val="20"/>
        </w:rPr>
      </w:pPr>
      <w:r>
        <w:rPr>
          <w:rFonts w:ascii="Arial" w:eastAsia="Arial" w:hAnsi="Arial" w:cs="Arial"/>
          <w:sz w:val="19"/>
          <w:szCs w:val="19"/>
        </w:rPr>
        <w:t xml:space="preserve">by the Committee. For a stockholder to submit a candidate for consideration by the Nominating and Governance </w:t>
      </w:r>
      <w:r>
        <w:rPr>
          <w:rFonts w:ascii="Arial" w:eastAsia="Arial" w:hAnsi="Arial" w:cs="Arial"/>
          <w:sz w:val="19"/>
          <w:szCs w:val="19"/>
        </w:rPr>
        <w:t>Committee, a stockholder must notify the Company’s Corporate Secretary by mail at Yum China Holdings, Inc., 101 East Park Boulevard, Suite 805, Plano, Texas 75074 or at Yum China Holdings, Inc., Yum China Building, 20 Tian Yao Qiao Road, Shanghai 200030, P</w:t>
      </w:r>
      <w:r>
        <w:rPr>
          <w:rFonts w:ascii="Arial" w:eastAsia="Arial" w:hAnsi="Arial" w:cs="Arial"/>
          <w:sz w:val="19"/>
          <w:szCs w:val="19"/>
        </w:rPr>
        <w:t>eople’s Republic of China.</w:t>
      </w:r>
    </w:p>
    <w:p w:rsidR="00A621E3" w:rsidRDefault="00A621E3">
      <w:pPr>
        <w:spacing w:line="185" w:lineRule="exact"/>
        <w:rPr>
          <w:sz w:val="20"/>
          <w:szCs w:val="20"/>
        </w:rPr>
      </w:pPr>
    </w:p>
    <w:p w:rsidR="00A621E3" w:rsidRDefault="00EC630E">
      <w:pPr>
        <w:spacing w:line="257" w:lineRule="auto"/>
        <w:ind w:left="120"/>
        <w:jc w:val="both"/>
        <w:rPr>
          <w:sz w:val="20"/>
          <w:szCs w:val="20"/>
        </w:rPr>
      </w:pPr>
      <w:r>
        <w:rPr>
          <w:rFonts w:ascii="Arial" w:eastAsia="Arial" w:hAnsi="Arial" w:cs="Arial"/>
          <w:sz w:val="19"/>
          <w:szCs w:val="19"/>
        </w:rPr>
        <w:t>In accordance with the Corporate Governance Principles, our Board seeks members from diverse professional backgrounds who combine a broad spectrum of experience and expertise with a reputation for integrity. Directors should hav</w:t>
      </w:r>
      <w:r>
        <w:rPr>
          <w:rFonts w:ascii="Arial" w:eastAsia="Arial" w:hAnsi="Arial" w:cs="Arial"/>
          <w:sz w:val="19"/>
          <w:szCs w:val="19"/>
        </w:rPr>
        <w:t>e experience in positions with a high degree of responsibility and be leaders in the companies or institutions with which they are affiliated, and are selected based upon contributions they can make to the Board and management. The Nominat-</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4" w:lineRule="exact"/>
        <w:rPr>
          <w:sz w:val="20"/>
          <w:szCs w:val="20"/>
        </w:rPr>
      </w:pPr>
    </w:p>
    <w:p w:rsidR="00A621E3" w:rsidRDefault="00EC630E">
      <w:pPr>
        <w:ind w:left="2560"/>
        <w:rPr>
          <w:sz w:val="20"/>
          <w:szCs w:val="20"/>
        </w:rPr>
      </w:pPr>
      <w:r>
        <w:rPr>
          <w:rFonts w:ascii="Arial" w:eastAsia="Arial" w:hAnsi="Arial" w:cs="Arial"/>
          <w:b/>
          <w:bCs/>
          <w:color w:val="FFFFFF"/>
          <w:sz w:val="16"/>
          <w:szCs w:val="16"/>
        </w:rPr>
        <w:t xml:space="preserve">GOVERNANCE </w:t>
      </w:r>
      <w:r>
        <w:rPr>
          <w:rFonts w:ascii="Arial" w:eastAsia="Arial" w:hAnsi="Arial" w:cs="Arial"/>
          <w:b/>
          <w:bCs/>
          <w:color w:val="FFFFFF"/>
          <w:sz w:val="16"/>
          <w:szCs w:val="16"/>
        </w:rPr>
        <w:t>OF THE COMPANY</w:t>
      </w:r>
    </w:p>
    <w:p w:rsidR="00A621E3" w:rsidRDefault="00EC630E">
      <w:pPr>
        <w:spacing w:line="20" w:lineRule="exact"/>
        <w:rPr>
          <w:sz w:val="20"/>
          <w:szCs w:val="20"/>
        </w:rPr>
      </w:pPr>
      <w:r>
        <w:rPr>
          <w:noProof/>
          <w:sz w:val="20"/>
          <w:szCs w:val="20"/>
        </w:rPr>
        <w:drawing>
          <wp:anchor distT="0" distB="0" distL="114300" distR="114300" simplePos="0" relativeHeight="251515904" behindDoc="1" locked="0" layoutInCell="0" allowOverlap="1">
            <wp:simplePos x="0" y="0"/>
            <wp:positionH relativeFrom="column">
              <wp:posOffset>-3651885</wp:posOffset>
            </wp:positionH>
            <wp:positionV relativeFrom="paragraph">
              <wp:posOffset>-713105</wp:posOffset>
            </wp:positionV>
            <wp:extent cx="7174865" cy="5588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noProof/>
          <w:sz w:val="20"/>
          <w:szCs w:val="20"/>
        </w:rPr>
        <w:drawing>
          <wp:anchor distT="0" distB="0" distL="114300" distR="114300" simplePos="0" relativeHeight="251516928" behindDoc="1" locked="0" layoutInCell="0" allowOverlap="1">
            <wp:simplePos x="0" y="0"/>
            <wp:positionH relativeFrom="column">
              <wp:posOffset>1477645</wp:posOffset>
            </wp:positionH>
            <wp:positionV relativeFrom="paragraph">
              <wp:posOffset>-156210</wp:posOffset>
            </wp:positionV>
            <wp:extent cx="1945640" cy="20574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
                      <a:extLst/>
                    </a:blip>
                    <a:srcRect/>
                    <a:stretch>
                      <a:fillRect/>
                    </a:stretch>
                  </pic:blipFill>
                  <pic:spPr bwMode="auto">
                    <a:xfrm>
                      <a:off x="0" y="0"/>
                      <a:ext cx="1945640" cy="205740"/>
                    </a:xfrm>
                    <a:prstGeom prst="rect">
                      <a:avLst/>
                    </a:prstGeom>
                    <a:noFill/>
                  </pic:spPr>
                </pic:pic>
              </a:graphicData>
            </a:graphic>
          </wp:anchor>
        </w:drawing>
      </w:r>
    </w:p>
    <w:p w:rsidR="00A621E3" w:rsidRDefault="00A621E3">
      <w:pPr>
        <w:spacing w:line="243" w:lineRule="exact"/>
        <w:rPr>
          <w:sz w:val="20"/>
          <w:szCs w:val="20"/>
        </w:rPr>
      </w:pPr>
    </w:p>
    <w:p w:rsidR="00A621E3" w:rsidRDefault="00EC630E">
      <w:pPr>
        <w:spacing w:line="259" w:lineRule="auto"/>
        <w:jc w:val="both"/>
        <w:rPr>
          <w:sz w:val="20"/>
          <w:szCs w:val="20"/>
        </w:rPr>
      </w:pPr>
      <w:r>
        <w:rPr>
          <w:rFonts w:ascii="Arial" w:eastAsia="Arial" w:hAnsi="Arial" w:cs="Arial"/>
          <w:sz w:val="19"/>
          <w:szCs w:val="19"/>
        </w:rPr>
        <w:t xml:space="preserve">ing and Governance Committee seeks to complete customary vetting procedures and background checks with respect to individuals suggested for potential Board membership by stockholders of the Company or other sources. We believe that each </w:t>
      </w:r>
      <w:r>
        <w:rPr>
          <w:rFonts w:ascii="Arial" w:eastAsia="Arial" w:hAnsi="Arial" w:cs="Arial"/>
          <w:sz w:val="19"/>
          <w:szCs w:val="19"/>
        </w:rPr>
        <w:t>of our directors and director nominees has met the guidelines set forth in the Corporate Governance Principles.</w:t>
      </w:r>
    </w:p>
    <w:p w:rsidR="00A621E3" w:rsidRDefault="00A621E3">
      <w:pPr>
        <w:spacing w:line="178" w:lineRule="exact"/>
        <w:rPr>
          <w:sz w:val="20"/>
          <w:szCs w:val="20"/>
        </w:rPr>
      </w:pPr>
    </w:p>
    <w:p w:rsidR="00A621E3" w:rsidRDefault="00EC630E">
      <w:pPr>
        <w:spacing w:line="276" w:lineRule="auto"/>
        <w:ind w:right="20"/>
        <w:jc w:val="both"/>
        <w:rPr>
          <w:sz w:val="20"/>
          <w:szCs w:val="20"/>
        </w:rPr>
      </w:pPr>
      <w:r>
        <w:rPr>
          <w:rFonts w:ascii="Arial" w:eastAsia="Arial" w:hAnsi="Arial" w:cs="Arial"/>
          <w:sz w:val="18"/>
          <w:szCs w:val="18"/>
        </w:rPr>
        <w:t>The Company is party to a shareholders agreement with Primavera Capital Group (“</w:t>
      </w:r>
      <w:r>
        <w:rPr>
          <w:rFonts w:ascii="Arial" w:eastAsia="Arial" w:hAnsi="Arial" w:cs="Arial"/>
          <w:b/>
          <w:bCs/>
          <w:i/>
          <w:iCs/>
          <w:sz w:val="18"/>
          <w:szCs w:val="18"/>
        </w:rPr>
        <w:t>Primavera</w:t>
      </w:r>
      <w:r>
        <w:rPr>
          <w:rFonts w:ascii="Arial" w:eastAsia="Arial" w:hAnsi="Arial" w:cs="Arial"/>
          <w:sz w:val="18"/>
          <w:szCs w:val="18"/>
        </w:rPr>
        <w:t xml:space="preserve">”), and API (Hong Kong) Investment Limited, an </w:t>
      </w:r>
      <w:r>
        <w:rPr>
          <w:rFonts w:ascii="Arial" w:eastAsia="Arial" w:hAnsi="Arial" w:cs="Arial"/>
          <w:sz w:val="18"/>
          <w:szCs w:val="18"/>
        </w:rPr>
        <w:t>affiliate of Zhejiang Ant Small and Micro Financial Services Group Co., Ltd. (currently known as Ant Group Co., Ltd., “</w:t>
      </w:r>
      <w:r>
        <w:rPr>
          <w:rFonts w:ascii="Arial" w:eastAsia="Arial" w:hAnsi="Arial" w:cs="Arial"/>
          <w:b/>
          <w:bCs/>
          <w:i/>
          <w:iCs/>
          <w:sz w:val="18"/>
          <w:szCs w:val="18"/>
        </w:rPr>
        <w:t>Ant Group</w:t>
      </w:r>
      <w:r>
        <w:rPr>
          <w:rFonts w:ascii="Arial" w:eastAsia="Arial" w:hAnsi="Arial" w:cs="Arial"/>
          <w:sz w:val="18"/>
          <w:szCs w:val="18"/>
        </w:rPr>
        <w:t>”) pursuant to which Primavera has identified two director designees, Dr. Fred Hu and Mr. William Wang.</w:t>
      </w:r>
    </w:p>
    <w:p w:rsidR="00A621E3" w:rsidRDefault="00A621E3">
      <w:pPr>
        <w:spacing w:line="873" w:lineRule="exact"/>
        <w:rPr>
          <w:sz w:val="20"/>
          <w:szCs w:val="20"/>
        </w:rPr>
      </w:pP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A621E3">
      <w:pPr>
        <w:spacing w:line="393" w:lineRule="exact"/>
        <w:rPr>
          <w:sz w:val="20"/>
          <w:szCs w:val="20"/>
        </w:rPr>
      </w:pPr>
    </w:p>
    <w:p w:rsidR="00A621E3" w:rsidRDefault="00EC630E">
      <w:pPr>
        <w:ind w:left="120"/>
        <w:rPr>
          <w:sz w:val="20"/>
          <w:szCs w:val="20"/>
        </w:rPr>
      </w:pPr>
      <w:r>
        <w:rPr>
          <w:rFonts w:ascii="Arial" w:eastAsia="Arial" w:hAnsi="Arial" w:cs="Arial"/>
          <w:b/>
          <w:bCs/>
          <w:color w:val="CF0A2C"/>
          <w:sz w:val="32"/>
          <w:szCs w:val="32"/>
        </w:rPr>
        <w:t>What are the director nominees’ qualifications and skills?</w:t>
      </w:r>
    </w:p>
    <w:p w:rsidR="00A621E3" w:rsidRDefault="00EC630E">
      <w:pPr>
        <w:spacing w:line="20" w:lineRule="exact"/>
        <w:rPr>
          <w:sz w:val="20"/>
          <w:szCs w:val="20"/>
        </w:rPr>
      </w:pPr>
      <w:r>
        <w:rPr>
          <w:noProof/>
          <w:sz w:val="20"/>
          <w:szCs w:val="20"/>
        </w:rPr>
        <w:drawing>
          <wp:anchor distT="0" distB="0" distL="114300" distR="114300" simplePos="0" relativeHeight="251517952"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0" w:lineRule="exact"/>
        <w:rPr>
          <w:sz w:val="20"/>
          <w:szCs w:val="20"/>
        </w:rPr>
      </w:pPr>
    </w:p>
    <w:p w:rsidR="00A621E3" w:rsidRDefault="00EC630E">
      <w:pPr>
        <w:spacing w:line="250" w:lineRule="auto"/>
        <w:ind w:left="120"/>
        <w:jc w:val="both"/>
        <w:rPr>
          <w:sz w:val="20"/>
          <w:szCs w:val="20"/>
        </w:rPr>
      </w:pPr>
      <w:r>
        <w:rPr>
          <w:rFonts w:ascii="Arial" w:eastAsia="Arial" w:hAnsi="Arial" w:cs="Arial"/>
          <w:sz w:val="20"/>
          <w:szCs w:val="20"/>
        </w:rPr>
        <w:t xml:space="preserve">As listed below, our director nominees have experience, qualifications and skills across a wide range of public and private companies </w:t>
      </w:r>
      <w:r>
        <w:rPr>
          <w:rFonts w:ascii="Arial" w:eastAsia="Arial" w:hAnsi="Arial" w:cs="Arial"/>
          <w:sz w:val="20"/>
          <w:szCs w:val="20"/>
        </w:rPr>
        <w:t>spanning many different industries,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spacing w:line="250" w:lineRule="auto"/>
        <w:ind w:right="20"/>
        <w:jc w:val="both"/>
        <w:rPr>
          <w:sz w:val="20"/>
          <w:szCs w:val="20"/>
        </w:rPr>
      </w:pPr>
      <w:r>
        <w:rPr>
          <w:rFonts w:ascii="Arial" w:eastAsia="Arial" w:hAnsi="Arial" w:cs="Arial"/>
          <w:sz w:val="20"/>
          <w:szCs w:val="20"/>
        </w:rPr>
        <w:t>possessing a broad spectrum of experience both individually and collectively. They possess a diverse mix of regional, industry and professional expertise.</w:t>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14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900"/>
        <w:gridCol w:w="2260"/>
        <w:gridCol w:w="1140"/>
        <w:gridCol w:w="1320"/>
        <w:gridCol w:w="1840"/>
        <w:gridCol w:w="1560"/>
      </w:tblGrid>
      <w:tr w:rsidR="00A621E3">
        <w:trPr>
          <w:trHeight w:val="189"/>
        </w:trPr>
        <w:tc>
          <w:tcPr>
            <w:tcW w:w="2900" w:type="dxa"/>
            <w:vAlign w:val="bottom"/>
          </w:tcPr>
          <w:p w:rsidR="00A621E3" w:rsidRDefault="00A621E3">
            <w:pPr>
              <w:rPr>
                <w:sz w:val="16"/>
                <w:szCs w:val="16"/>
              </w:rPr>
            </w:pPr>
          </w:p>
        </w:tc>
        <w:tc>
          <w:tcPr>
            <w:tcW w:w="2260" w:type="dxa"/>
            <w:vAlign w:val="bottom"/>
          </w:tcPr>
          <w:p w:rsidR="00A621E3" w:rsidRDefault="00EC630E">
            <w:pPr>
              <w:ind w:left="859"/>
              <w:jc w:val="center"/>
              <w:rPr>
                <w:sz w:val="20"/>
                <w:szCs w:val="20"/>
              </w:rPr>
            </w:pPr>
            <w:r>
              <w:rPr>
                <w:rFonts w:ascii="Arial" w:eastAsia="Arial" w:hAnsi="Arial" w:cs="Arial"/>
                <w:b/>
                <w:bCs/>
                <w:color w:val="CF0A2C"/>
                <w:sz w:val="16"/>
                <w:szCs w:val="16"/>
              </w:rPr>
              <w:t>Executive</w:t>
            </w:r>
          </w:p>
        </w:tc>
        <w:tc>
          <w:tcPr>
            <w:tcW w:w="1140" w:type="dxa"/>
            <w:vAlign w:val="bottom"/>
          </w:tcPr>
          <w:p w:rsidR="00A621E3" w:rsidRDefault="00A621E3">
            <w:pPr>
              <w:rPr>
                <w:sz w:val="16"/>
                <w:szCs w:val="16"/>
              </w:rPr>
            </w:pPr>
          </w:p>
        </w:tc>
        <w:tc>
          <w:tcPr>
            <w:tcW w:w="1320" w:type="dxa"/>
            <w:vAlign w:val="bottom"/>
          </w:tcPr>
          <w:p w:rsidR="00A621E3" w:rsidRDefault="00EC630E">
            <w:pPr>
              <w:ind w:left="19"/>
              <w:jc w:val="center"/>
              <w:rPr>
                <w:sz w:val="20"/>
                <w:szCs w:val="20"/>
              </w:rPr>
            </w:pPr>
            <w:r>
              <w:rPr>
                <w:rFonts w:ascii="Arial" w:eastAsia="Arial" w:hAnsi="Arial" w:cs="Arial"/>
                <w:b/>
                <w:bCs/>
                <w:color w:val="CF0A2C"/>
                <w:sz w:val="16"/>
                <w:szCs w:val="16"/>
              </w:rPr>
              <w:t>Information</w:t>
            </w:r>
          </w:p>
        </w:tc>
        <w:tc>
          <w:tcPr>
            <w:tcW w:w="1840" w:type="dxa"/>
            <w:vAlign w:val="bottom"/>
          </w:tcPr>
          <w:p w:rsidR="00A621E3" w:rsidRDefault="00EC630E">
            <w:pPr>
              <w:jc w:val="center"/>
              <w:rPr>
                <w:sz w:val="20"/>
                <w:szCs w:val="20"/>
              </w:rPr>
            </w:pPr>
            <w:r>
              <w:rPr>
                <w:rFonts w:ascii="Arial" w:eastAsia="Arial" w:hAnsi="Arial" w:cs="Arial"/>
                <w:b/>
                <w:bCs/>
                <w:color w:val="CF0A2C"/>
                <w:sz w:val="16"/>
                <w:szCs w:val="16"/>
              </w:rPr>
              <w:t>Regional</w:t>
            </w:r>
          </w:p>
        </w:tc>
        <w:tc>
          <w:tcPr>
            <w:tcW w:w="1560" w:type="dxa"/>
            <w:vAlign w:val="bottom"/>
          </w:tcPr>
          <w:p w:rsidR="00A621E3" w:rsidRDefault="00EC630E">
            <w:pPr>
              <w:jc w:val="center"/>
              <w:rPr>
                <w:sz w:val="20"/>
                <w:szCs w:val="20"/>
              </w:rPr>
            </w:pPr>
            <w:r>
              <w:rPr>
                <w:rFonts w:ascii="Arial" w:eastAsia="Arial" w:hAnsi="Arial" w:cs="Arial"/>
                <w:b/>
                <w:bCs/>
                <w:color w:val="CF0A2C"/>
                <w:w w:val="99"/>
                <w:sz w:val="16"/>
                <w:szCs w:val="16"/>
              </w:rPr>
              <w:t>Public</w:t>
            </w:r>
          </w:p>
        </w:tc>
      </w:tr>
      <w:tr w:rsidR="00A621E3">
        <w:trPr>
          <w:trHeight w:val="207"/>
        </w:trPr>
        <w:tc>
          <w:tcPr>
            <w:tcW w:w="2900" w:type="dxa"/>
            <w:tcBorders>
              <w:bottom w:val="single" w:sz="8" w:space="0" w:color="CF0A2C"/>
            </w:tcBorders>
            <w:vAlign w:val="bottom"/>
          </w:tcPr>
          <w:p w:rsidR="00A621E3" w:rsidRDefault="00A621E3">
            <w:pPr>
              <w:rPr>
                <w:sz w:val="18"/>
                <w:szCs w:val="18"/>
              </w:rPr>
            </w:pPr>
          </w:p>
        </w:tc>
        <w:tc>
          <w:tcPr>
            <w:tcW w:w="2260" w:type="dxa"/>
            <w:tcBorders>
              <w:bottom w:val="single" w:sz="8" w:space="0" w:color="CF0A2C"/>
            </w:tcBorders>
            <w:vAlign w:val="bottom"/>
          </w:tcPr>
          <w:p w:rsidR="00A621E3" w:rsidRDefault="00EC630E">
            <w:pPr>
              <w:ind w:left="859"/>
              <w:jc w:val="center"/>
              <w:rPr>
                <w:sz w:val="20"/>
                <w:szCs w:val="20"/>
              </w:rPr>
            </w:pPr>
            <w:r>
              <w:rPr>
                <w:rFonts w:ascii="Arial" w:eastAsia="Arial" w:hAnsi="Arial" w:cs="Arial"/>
                <w:b/>
                <w:bCs/>
                <w:color w:val="CF0A2C"/>
                <w:sz w:val="16"/>
                <w:szCs w:val="16"/>
              </w:rPr>
              <w:t>Leadership</w:t>
            </w:r>
          </w:p>
        </w:tc>
        <w:tc>
          <w:tcPr>
            <w:tcW w:w="1140" w:type="dxa"/>
            <w:tcBorders>
              <w:bottom w:val="single" w:sz="8" w:space="0" w:color="CF0A2C"/>
            </w:tcBorders>
            <w:vAlign w:val="bottom"/>
          </w:tcPr>
          <w:p w:rsidR="00A621E3" w:rsidRDefault="00EC630E">
            <w:pPr>
              <w:jc w:val="center"/>
              <w:rPr>
                <w:sz w:val="20"/>
                <w:szCs w:val="20"/>
              </w:rPr>
            </w:pPr>
            <w:r>
              <w:rPr>
                <w:rFonts w:ascii="Arial" w:eastAsia="Arial" w:hAnsi="Arial" w:cs="Arial"/>
                <w:b/>
                <w:bCs/>
                <w:color w:val="CF0A2C"/>
                <w:sz w:val="16"/>
                <w:szCs w:val="16"/>
              </w:rPr>
              <w:t>Industry</w:t>
            </w:r>
          </w:p>
        </w:tc>
        <w:tc>
          <w:tcPr>
            <w:tcW w:w="1320" w:type="dxa"/>
            <w:tcBorders>
              <w:bottom w:val="single" w:sz="8" w:space="0" w:color="CF0A2C"/>
            </w:tcBorders>
            <w:vAlign w:val="bottom"/>
          </w:tcPr>
          <w:p w:rsidR="00A621E3" w:rsidRDefault="00EC630E">
            <w:pPr>
              <w:ind w:left="19"/>
              <w:jc w:val="center"/>
              <w:rPr>
                <w:sz w:val="20"/>
                <w:szCs w:val="20"/>
              </w:rPr>
            </w:pPr>
            <w:r>
              <w:rPr>
                <w:rFonts w:ascii="Arial" w:eastAsia="Arial" w:hAnsi="Arial" w:cs="Arial"/>
                <w:b/>
                <w:bCs/>
                <w:color w:val="CF0A2C"/>
                <w:sz w:val="16"/>
                <w:szCs w:val="16"/>
              </w:rPr>
              <w:t>Technology</w:t>
            </w:r>
          </w:p>
        </w:tc>
        <w:tc>
          <w:tcPr>
            <w:tcW w:w="1840" w:type="dxa"/>
            <w:tcBorders>
              <w:bottom w:val="single" w:sz="8" w:space="0" w:color="CF0A2C"/>
            </w:tcBorders>
            <w:vAlign w:val="bottom"/>
          </w:tcPr>
          <w:p w:rsidR="00A621E3" w:rsidRDefault="00EC630E">
            <w:pPr>
              <w:jc w:val="center"/>
              <w:rPr>
                <w:sz w:val="20"/>
                <w:szCs w:val="20"/>
              </w:rPr>
            </w:pPr>
            <w:r>
              <w:rPr>
                <w:rFonts w:ascii="Arial" w:eastAsia="Arial" w:hAnsi="Arial" w:cs="Arial"/>
                <w:b/>
                <w:bCs/>
                <w:color w:val="CF0A2C"/>
                <w:sz w:val="16"/>
                <w:szCs w:val="16"/>
              </w:rPr>
              <w:t>(China/Asia Pacific)</w:t>
            </w:r>
          </w:p>
        </w:tc>
        <w:tc>
          <w:tcPr>
            <w:tcW w:w="1560" w:type="dxa"/>
            <w:tcBorders>
              <w:bottom w:val="single" w:sz="8" w:space="0" w:color="CF0A2C"/>
            </w:tcBorders>
            <w:vAlign w:val="bottom"/>
          </w:tcPr>
          <w:p w:rsidR="00A621E3" w:rsidRDefault="00EC630E">
            <w:pPr>
              <w:jc w:val="center"/>
              <w:rPr>
                <w:sz w:val="20"/>
                <w:szCs w:val="20"/>
              </w:rPr>
            </w:pPr>
            <w:r>
              <w:rPr>
                <w:rFonts w:ascii="Arial" w:eastAsia="Arial" w:hAnsi="Arial" w:cs="Arial"/>
                <w:b/>
                <w:bCs/>
                <w:color w:val="CF0A2C"/>
                <w:sz w:val="16"/>
                <w:szCs w:val="16"/>
              </w:rPr>
              <w:t>Company Board</w:t>
            </w:r>
          </w:p>
        </w:tc>
      </w:tr>
      <w:tr w:rsidR="00A621E3">
        <w:trPr>
          <w:trHeight w:val="248"/>
        </w:trPr>
        <w:tc>
          <w:tcPr>
            <w:tcW w:w="2900" w:type="dxa"/>
            <w:vAlign w:val="bottom"/>
          </w:tcPr>
          <w:p w:rsidR="00A621E3" w:rsidRDefault="00EC630E">
            <w:pPr>
              <w:rPr>
                <w:sz w:val="20"/>
                <w:szCs w:val="20"/>
              </w:rPr>
            </w:pPr>
            <w:r>
              <w:rPr>
                <w:rFonts w:ascii="Arial" w:eastAsia="Arial" w:hAnsi="Arial" w:cs="Arial"/>
                <w:b/>
                <w:bCs/>
                <w:color w:val="CF0A2C"/>
                <w:sz w:val="16"/>
                <w:szCs w:val="16"/>
              </w:rPr>
              <w:t>Fred Hu</w:t>
            </w:r>
          </w:p>
        </w:tc>
        <w:tc>
          <w:tcPr>
            <w:tcW w:w="2260" w:type="dxa"/>
            <w:vAlign w:val="bottom"/>
          </w:tcPr>
          <w:p w:rsidR="00A621E3" w:rsidRDefault="00EC630E">
            <w:pPr>
              <w:spacing w:line="161" w:lineRule="exact"/>
              <w:ind w:left="859"/>
              <w:jc w:val="center"/>
              <w:rPr>
                <w:sz w:val="20"/>
                <w:szCs w:val="20"/>
              </w:rPr>
            </w:pPr>
            <w:r>
              <w:rPr>
                <w:rFonts w:ascii="MS PGothic" w:eastAsia="MS PGothic" w:hAnsi="MS PGothic" w:cs="MS PGothic"/>
                <w:color w:val="CF0A2C"/>
                <w:w w:val="74"/>
                <w:sz w:val="16"/>
                <w:szCs w:val="16"/>
              </w:rPr>
              <w:t>✓</w:t>
            </w:r>
          </w:p>
        </w:tc>
        <w:tc>
          <w:tcPr>
            <w:tcW w:w="1140" w:type="dxa"/>
            <w:vAlign w:val="bottom"/>
          </w:tcPr>
          <w:p w:rsidR="00A621E3" w:rsidRDefault="00A621E3">
            <w:pPr>
              <w:rPr>
                <w:sz w:val="21"/>
                <w:szCs w:val="21"/>
              </w:rPr>
            </w:pPr>
          </w:p>
        </w:tc>
        <w:tc>
          <w:tcPr>
            <w:tcW w:w="1320" w:type="dxa"/>
            <w:vAlign w:val="bottom"/>
          </w:tcPr>
          <w:p w:rsidR="00A621E3" w:rsidRDefault="00EC630E">
            <w:pPr>
              <w:spacing w:line="161" w:lineRule="exact"/>
              <w:ind w:left="19"/>
              <w:jc w:val="center"/>
              <w:rPr>
                <w:sz w:val="20"/>
                <w:szCs w:val="20"/>
              </w:rPr>
            </w:pPr>
            <w:r>
              <w:rPr>
                <w:rFonts w:ascii="MS PGothic" w:eastAsia="MS PGothic" w:hAnsi="MS PGothic" w:cs="MS PGothic"/>
                <w:color w:val="CF0A2C"/>
                <w:w w:val="87"/>
                <w:sz w:val="16"/>
                <w:szCs w:val="16"/>
              </w:rPr>
              <w:t>✓</w:t>
            </w:r>
          </w:p>
        </w:tc>
        <w:tc>
          <w:tcPr>
            <w:tcW w:w="1840" w:type="dxa"/>
            <w:vAlign w:val="bottom"/>
          </w:tcPr>
          <w:p w:rsidR="00A621E3" w:rsidRDefault="00EC630E">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r>
      <w:tr w:rsidR="00A621E3">
        <w:trPr>
          <w:trHeight w:val="271"/>
        </w:trPr>
        <w:tc>
          <w:tcPr>
            <w:tcW w:w="2900" w:type="dxa"/>
            <w:vAlign w:val="bottom"/>
          </w:tcPr>
          <w:p w:rsidR="00A621E3" w:rsidRDefault="00EC630E">
            <w:pPr>
              <w:rPr>
                <w:sz w:val="20"/>
                <w:szCs w:val="20"/>
              </w:rPr>
            </w:pPr>
            <w:r>
              <w:rPr>
                <w:rFonts w:ascii="Arial" w:eastAsia="Arial" w:hAnsi="Arial" w:cs="Arial"/>
                <w:b/>
                <w:bCs/>
                <w:color w:val="CF0A2C"/>
                <w:sz w:val="16"/>
                <w:szCs w:val="16"/>
              </w:rPr>
              <w:t>Joey Wat</w:t>
            </w:r>
          </w:p>
        </w:tc>
        <w:tc>
          <w:tcPr>
            <w:tcW w:w="2260" w:type="dxa"/>
            <w:vAlign w:val="bottom"/>
          </w:tcPr>
          <w:p w:rsidR="00A621E3" w:rsidRDefault="00EC630E">
            <w:pPr>
              <w:spacing w:line="161" w:lineRule="exact"/>
              <w:ind w:left="859"/>
              <w:jc w:val="center"/>
              <w:rPr>
                <w:sz w:val="20"/>
                <w:szCs w:val="20"/>
              </w:rPr>
            </w:pPr>
            <w:r>
              <w:rPr>
                <w:rFonts w:ascii="MS PGothic" w:eastAsia="MS PGothic" w:hAnsi="MS PGothic" w:cs="MS PGothic"/>
                <w:color w:val="CF0A2C"/>
                <w:w w:val="74"/>
                <w:sz w:val="16"/>
                <w:szCs w:val="16"/>
              </w:rPr>
              <w:t>✓</w:t>
            </w:r>
          </w:p>
        </w:tc>
        <w:tc>
          <w:tcPr>
            <w:tcW w:w="1140" w:type="dxa"/>
            <w:vAlign w:val="bottom"/>
          </w:tcPr>
          <w:p w:rsidR="00A621E3" w:rsidRDefault="00EC630E">
            <w:pPr>
              <w:spacing w:line="161" w:lineRule="exact"/>
              <w:jc w:val="center"/>
              <w:rPr>
                <w:sz w:val="20"/>
                <w:szCs w:val="20"/>
              </w:rPr>
            </w:pPr>
            <w:r>
              <w:rPr>
                <w:rFonts w:ascii="MS PGothic" w:eastAsia="MS PGothic" w:hAnsi="MS PGothic" w:cs="MS PGothic"/>
                <w:color w:val="CF0A2C"/>
                <w:w w:val="74"/>
                <w:sz w:val="16"/>
                <w:szCs w:val="16"/>
              </w:rPr>
              <w:t>✓</w:t>
            </w:r>
          </w:p>
        </w:tc>
        <w:tc>
          <w:tcPr>
            <w:tcW w:w="1320" w:type="dxa"/>
            <w:vAlign w:val="bottom"/>
          </w:tcPr>
          <w:p w:rsidR="00A621E3" w:rsidRDefault="00EC630E">
            <w:pPr>
              <w:spacing w:line="161" w:lineRule="exact"/>
              <w:ind w:left="19"/>
              <w:jc w:val="center"/>
              <w:rPr>
                <w:sz w:val="20"/>
                <w:szCs w:val="20"/>
              </w:rPr>
            </w:pPr>
            <w:r>
              <w:rPr>
                <w:rFonts w:ascii="MS PGothic" w:eastAsia="MS PGothic" w:hAnsi="MS PGothic" w:cs="MS PGothic"/>
                <w:color w:val="CF0A2C"/>
                <w:w w:val="87"/>
                <w:sz w:val="16"/>
                <w:szCs w:val="16"/>
              </w:rPr>
              <w:t>✓</w:t>
            </w:r>
          </w:p>
        </w:tc>
        <w:tc>
          <w:tcPr>
            <w:tcW w:w="1840" w:type="dxa"/>
            <w:vAlign w:val="bottom"/>
          </w:tcPr>
          <w:p w:rsidR="00A621E3" w:rsidRDefault="00EC630E">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r>
      <w:tr w:rsidR="00A621E3">
        <w:trPr>
          <w:trHeight w:val="310"/>
        </w:trPr>
        <w:tc>
          <w:tcPr>
            <w:tcW w:w="2900" w:type="dxa"/>
            <w:vAlign w:val="bottom"/>
          </w:tcPr>
          <w:p w:rsidR="00A621E3" w:rsidRDefault="00EC630E">
            <w:pPr>
              <w:rPr>
                <w:sz w:val="20"/>
                <w:szCs w:val="20"/>
              </w:rPr>
            </w:pPr>
            <w:r>
              <w:rPr>
                <w:rFonts w:ascii="Arial" w:eastAsia="Arial" w:hAnsi="Arial" w:cs="Arial"/>
                <w:b/>
                <w:bCs/>
                <w:color w:val="CF0A2C"/>
                <w:sz w:val="16"/>
                <w:szCs w:val="16"/>
              </w:rPr>
              <w:t>Peter A. Bassi</w:t>
            </w:r>
          </w:p>
        </w:tc>
        <w:tc>
          <w:tcPr>
            <w:tcW w:w="2260" w:type="dxa"/>
            <w:vAlign w:val="bottom"/>
          </w:tcPr>
          <w:p w:rsidR="00A621E3" w:rsidRDefault="00EC630E">
            <w:pPr>
              <w:spacing w:line="161" w:lineRule="exact"/>
              <w:ind w:left="859"/>
              <w:jc w:val="center"/>
              <w:rPr>
                <w:sz w:val="20"/>
                <w:szCs w:val="20"/>
              </w:rPr>
            </w:pPr>
            <w:r>
              <w:rPr>
                <w:rFonts w:ascii="MS PGothic" w:eastAsia="MS PGothic" w:hAnsi="MS PGothic" w:cs="MS PGothic"/>
                <w:color w:val="CF0A2C"/>
                <w:w w:val="74"/>
                <w:sz w:val="16"/>
                <w:szCs w:val="16"/>
              </w:rPr>
              <w:t>✓</w:t>
            </w:r>
          </w:p>
        </w:tc>
        <w:tc>
          <w:tcPr>
            <w:tcW w:w="1140" w:type="dxa"/>
            <w:vAlign w:val="bottom"/>
          </w:tcPr>
          <w:p w:rsidR="00A621E3" w:rsidRDefault="00EC630E">
            <w:pPr>
              <w:spacing w:line="161" w:lineRule="exact"/>
              <w:jc w:val="center"/>
              <w:rPr>
                <w:sz w:val="20"/>
                <w:szCs w:val="20"/>
              </w:rPr>
            </w:pPr>
            <w:r>
              <w:rPr>
                <w:rFonts w:ascii="MS PGothic" w:eastAsia="MS PGothic" w:hAnsi="MS PGothic" w:cs="MS PGothic"/>
                <w:color w:val="CF0A2C"/>
                <w:w w:val="74"/>
                <w:sz w:val="16"/>
                <w:szCs w:val="16"/>
              </w:rPr>
              <w:t>✓</w:t>
            </w:r>
          </w:p>
        </w:tc>
        <w:tc>
          <w:tcPr>
            <w:tcW w:w="1320" w:type="dxa"/>
            <w:vAlign w:val="bottom"/>
          </w:tcPr>
          <w:p w:rsidR="00A621E3" w:rsidRDefault="00A621E3">
            <w:pPr>
              <w:rPr>
                <w:sz w:val="24"/>
                <w:szCs w:val="24"/>
              </w:rPr>
            </w:pPr>
          </w:p>
        </w:tc>
        <w:tc>
          <w:tcPr>
            <w:tcW w:w="1840" w:type="dxa"/>
            <w:vAlign w:val="bottom"/>
          </w:tcPr>
          <w:p w:rsidR="00A621E3" w:rsidRDefault="00A621E3">
            <w:pPr>
              <w:rPr>
                <w:sz w:val="24"/>
                <w:szCs w:val="24"/>
              </w:rPr>
            </w:pPr>
          </w:p>
        </w:tc>
        <w:tc>
          <w:tcPr>
            <w:tcW w:w="156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r>
      <w:tr w:rsidR="00A621E3">
        <w:trPr>
          <w:trHeight w:val="310"/>
        </w:trPr>
        <w:tc>
          <w:tcPr>
            <w:tcW w:w="2900" w:type="dxa"/>
            <w:vAlign w:val="bottom"/>
          </w:tcPr>
          <w:p w:rsidR="00A621E3" w:rsidRDefault="00EC630E">
            <w:pPr>
              <w:rPr>
                <w:sz w:val="20"/>
                <w:szCs w:val="20"/>
              </w:rPr>
            </w:pPr>
            <w:r>
              <w:rPr>
                <w:rFonts w:ascii="Arial" w:eastAsia="Arial" w:hAnsi="Arial" w:cs="Arial"/>
                <w:b/>
                <w:bCs/>
                <w:color w:val="CF0A2C"/>
                <w:sz w:val="16"/>
                <w:szCs w:val="16"/>
              </w:rPr>
              <w:t>Edouard Ettedgui</w:t>
            </w:r>
          </w:p>
        </w:tc>
        <w:tc>
          <w:tcPr>
            <w:tcW w:w="2260" w:type="dxa"/>
            <w:vAlign w:val="bottom"/>
          </w:tcPr>
          <w:p w:rsidR="00A621E3" w:rsidRDefault="00EC630E">
            <w:pPr>
              <w:spacing w:line="161" w:lineRule="exact"/>
              <w:ind w:left="859"/>
              <w:jc w:val="center"/>
              <w:rPr>
                <w:sz w:val="20"/>
                <w:szCs w:val="20"/>
              </w:rPr>
            </w:pPr>
            <w:r>
              <w:rPr>
                <w:rFonts w:ascii="MS PGothic" w:eastAsia="MS PGothic" w:hAnsi="MS PGothic" w:cs="MS PGothic"/>
                <w:color w:val="CF0A2C"/>
                <w:w w:val="74"/>
                <w:sz w:val="16"/>
                <w:szCs w:val="16"/>
              </w:rPr>
              <w:t>✓</w:t>
            </w:r>
          </w:p>
        </w:tc>
        <w:tc>
          <w:tcPr>
            <w:tcW w:w="1140" w:type="dxa"/>
            <w:vAlign w:val="bottom"/>
          </w:tcPr>
          <w:p w:rsidR="00A621E3" w:rsidRDefault="00EC630E">
            <w:pPr>
              <w:spacing w:line="161" w:lineRule="exact"/>
              <w:jc w:val="center"/>
              <w:rPr>
                <w:sz w:val="20"/>
                <w:szCs w:val="20"/>
              </w:rPr>
            </w:pPr>
            <w:r>
              <w:rPr>
                <w:rFonts w:ascii="MS PGothic" w:eastAsia="MS PGothic" w:hAnsi="MS PGothic" w:cs="MS PGothic"/>
                <w:color w:val="CF0A2C"/>
                <w:w w:val="74"/>
                <w:sz w:val="16"/>
                <w:szCs w:val="16"/>
              </w:rPr>
              <w:t>✓</w:t>
            </w:r>
          </w:p>
        </w:tc>
        <w:tc>
          <w:tcPr>
            <w:tcW w:w="1320" w:type="dxa"/>
            <w:vAlign w:val="bottom"/>
          </w:tcPr>
          <w:p w:rsidR="00A621E3" w:rsidRDefault="00A621E3">
            <w:pPr>
              <w:rPr>
                <w:sz w:val="24"/>
                <w:szCs w:val="24"/>
              </w:rPr>
            </w:pPr>
          </w:p>
        </w:tc>
        <w:tc>
          <w:tcPr>
            <w:tcW w:w="1840" w:type="dxa"/>
            <w:vAlign w:val="bottom"/>
          </w:tcPr>
          <w:p w:rsidR="00A621E3" w:rsidRDefault="00EC630E">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r>
      <w:tr w:rsidR="00A621E3">
        <w:trPr>
          <w:trHeight w:val="310"/>
        </w:trPr>
        <w:tc>
          <w:tcPr>
            <w:tcW w:w="2900" w:type="dxa"/>
            <w:vAlign w:val="bottom"/>
          </w:tcPr>
          <w:p w:rsidR="00A621E3" w:rsidRDefault="00EC630E">
            <w:pPr>
              <w:rPr>
                <w:sz w:val="20"/>
                <w:szCs w:val="20"/>
              </w:rPr>
            </w:pPr>
            <w:r>
              <w:rPr>
                <w:rFonts w:ascii="Arial" w:eastAsia="Arial" w:hAnsi="Arial" w:cs="Arial"/>
                <w:b/>
                <w:bCs/>
                <w:color w:val="CF0A2C"/>
                <w:sz w:val="16"/>
                <w:szCs w:val="16"/>
              </w:rPr>
              <w:t>Ruby Lu</w:t>
            </w:r>
          </w:p>
        </w:tc>
        <w:tc>
          <w:tcPr>
            <w:tcW w:w="2260" w:type="dxa"/>
            <w:vAlign w:val="bottom"/>
          </w:tcPr>
          <w:p w:rsidR="00A621E3" w:rsidRDefault="00EC630E">
            <w:pPr>
              <w:spacing w:line="161" w:lineRule="exact"/>
              <w:ind w:left="859"/>
              <w:jc w:val="center"/>
              <w:rPr>
                <w:sz w:val="20"/>
                <w:szCs w:val="20"/>
              </w:rPr>
            </w:pPr>
            <w:r>
              <w:rPr>
                <w:rFonts w:ascii="MS PGothic" w:eastAsia="MS PGothic" w:hAnsi="MS PGothic" w:cs="MS PGothic"/>
                <w:color w:val="CF0A2C"/>
                <w:w w:val="74"/>
                <w:sz w:val="16"/>
                <w:szCs w:val="16"/>
              </w:rPr>
              <w:t>✓</w:t>
            </w:r>
          </w:p>
        </w:tc>
        <w:tc>
          <w:tcPr>
            <w:tcW w:w="1140" w:type="dxa"/>
            <w:vAlign w:val="bottom"/>
          </w:tcPr>
          <w:p w:rsidR="00A621E3" w:rsidRDefault="00A621E3">
            <w:pPr>
              <w:rPr>
                <w:sz w:val="24"/>
                <w:szCs w:val="24"/>
              </w:rPr>
            </w:pPr>
          </w:p>
        </w:tc>
        <w:tc>
          <w:tcPr>
            <w:tcW w:w="1320" w:type="dxa"/>
            <w:vAlign w:val="bottom"/>
          </w:tcPr>
          <w:p w:rsidR="00A621E3" w:rsidRDefault="00EC630E">
            <w:pPr>
              <w:spacing w:line="161" w:lineRule="exact"/>
              <w:ind w:left="19"/>
              <w:jc w:val="center"/>
              <w:rPr>
                <w:sz w:val="20"/>
                <w:szCs w:val="20"/>
              </w:rPr>
            </w:pPr>
            <w:r>
              <w:rPr>
                <w:rFonts w:ascii="MS PGothic" w:eastAsia="MS PGothic" w:hAnsi="MS PGothic" w:cs="MS PGothic"/>
                <w:color w:val="CF0A2C"/>
                <w:w w:val="87"/>
                <w:sz w:val="16"/>
                <w:szCs w:val="16"/>
              </w:rPr>
              <w:t>✓</w:t>
            </w:r>
          </w:p>
        </w:tc>
        <w:tc>
          <w:tcPr>
            <w:tcW w:w="1840" w:type="dxa"/>
            <w:vAlign w:val="bottom"/>
          </w:tcPr>
          <w:p w:rsidR="00A621E3" w:rsidRDefault="00EC630E">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r>
      <w:tr w:rsidR="00A621E3">
        <w:trPr>
          <w:trHeight w:val="311"/>
        </w:trPr>
        <w:tc>
          <w:tcPr>
            <w:tcW w:w="2900" w:type="dxa"/>
            <w:vAlign w:val="bottom"/>
          </w:tcPr>
          <w:p w:rsidR="00A621E3" w:rsidRDefault="00EC630E">
            <w:pPr>
              <w:rPr>
                <w:sz w:val="20"/>
                <w:szCs w:val="20"/>
              </w:rPr>
            </w:pPr>
            <w:r>
              <w:rPr>
                <w:rFonts w:ascii="Arial" w:eastAsia="Arial" w:hAnsi="Arial" w:cs="Arial"/>
                <w:b/>
                <w:bCs/>
                <w:color w:val="CF0A2C"/>
                <w:sz w:val="16"/>
                <w:szCs w:val="16"/>
              </w:rPr>
              <w:t>Zili Shao</w:t>
            </w:r>
          </w:p>
        </w:tc>
        <w:tc>
          <w:tcPr>
            <w:tcW w:w="2260" w:type="dxa"/>
            <w:vAlign w:val="bottom"/>
          </w:tcPr>
          <w:p w:rsidR="00A621E3" w:rsidRDefault="00EC630E">
            <w:pPr>
              <w:spacing w:line="161" w:lineRule="exact"/>
              <w:ind w:left="859"/>
              <w:jc w:val="center"/>
              <w:rPr>
                <w:sz w:val="20"/>
                <w:szCs w:val="20"/>
              </w:rPr>
            </w:pPr>
            <w:r>
              <w:rPr>
                <w:rFonts w:ascii="MS PGothic" w:eastAsia="MS PGothic" w:hAnsi="MS PGothic" w:cs="MS PGothic"/>
                <w:color w:val="CF0A2C"/>
                <w:w w:val="74"/>
                <w:sz w:val="16"/>
                <w:szCs w:val="16"/>
              </w:rPr>
              <w:t>✓</w:t>
            </w:r>
          </w:p>
        </w:tc>
        <w:tc>
          <w:tcPr>
            <w:tcW w:w="1140" w:type="dxa"/>
            <w:vAlign w:val="bottom"/>
          </w:tcPr>
          <w:p w:rsidR="00A621E3" w:rsidRDefault="00A621E3">
            <w:pPr>
              <w:rPr>
                <w:sz w:val="24"/>
                <w:szCs w:val="24"/>
              </w:rPr>
            </w:pPr>
          </w:p>
        </w:tc>
        <w:tc>
          <w:tcPr>
            <w:tcW w:w="1320" w:type="dxa"/>
            <w:vAlign w:val="bottom"/>
          </w:tcPr>
          <w:p w:rsidR="00A621E3" w:rsidRDefault="00A621E3">
            <w:pPr>
              <w:rPr>
                <w:sz w:val="24"/>
                <w:szCs w:val="24"/>
              </w:rPr>
            </w:pPr>
          </w:p>
        </w:tc>
        <w:tc>
          <w:tcPr>
            <w:tcW w:w="1840" w:type="dxa"/>
            <w:vAlign w:val="bottom"/>
          </w:tcPr>
          <w:p w:rsidR="00A621E3" w:rsidRDefault="00EC630E">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r>
      <w:tr w:rsidR="00A621E3">
        <w:trPr>
          <w:trHeight w:val="310"/>
        </w:trPr>
        <w:tc>
          <w:tcPr>
            <w:tcW w:w="2900" w:type="dxa"/>
            <w:vAlign w:val="bottom"/>
          </w:tcPr>
          <w:p w:rsidR="00A621E3" w:rsidRDefault="00EC630E">
            <w:pPr>
              <w:rPr>
                <w:sz w:val="20"/>
                <w:szCs w:val="20"/>
              </w:rPr>
            </w:pPr>
            <w:r>
              <w:rPr>
                <w:rFonts w:ascii="Arial" w:eastAsia="Arial" w:hAnsi="Arial" w:cs="Arial"/>
                <w:b/>
                <w:bCs/>
                <w:color w:val="CF0A2C"/>
                <w:sz w:val="16"/>
                <w:szCs w:val="16"/>
              </w:rPr>
              <w:t>William Wang</w:t>
            </w:r>
          </w:p>
        </w:tc>
        <w:tc>
          <w:tcPr>
            <w:tcW w:w="2260" w:type="dxa"/>
            <w:vAlign w:val="bottom"/>
          </w:tcPr>
          <w:p w:rsidR="00A621E3" w:rsidRDefault="00EC630E">
            <w:pPr>
              <w:spacing w:line="161" w:lineRule="exact"/>
              <w:ind w:left="859"/>
              <w:jc w:val="center"/>
              <w:rPr>
                <w:sz w:val="20"/>
                <w:szCs w:val="20"/>
              </w:rPr>
            </w:pPr>
            <w:r>
              <w:rPr>
                <w:rFonts w:ascii="MS PGothic" w:eastAsia="MS PGothic" w:hAnsi="MS PGothic" w:cs="MS PGothic"/>
                <w:color w:val="CF0A2C"/>
                <w:w w:val="74"/>
                <w:sz w:val="16"/>
                <w:szCs w:val="16"/>
              </w:rPr>
              <w:t>✓</w:t>
            </w:r>
          </w:p>
        </w:tc>
        <w:tc>
          <w:tcPr>
            <w:tcW w:w="1140" w:type="dxa"/>
            <w:vAlign w:val="bottom"/>
          </w:tcPr>
          <w:p w:rsidR="00A621E3" w:rsidRDefault="00A621E3">
            <w:pPr>
              <w:rPr>
                <w:sz w:val="24"/>
                <w:szCs w:val="24"/>
              </w:rPr>
            </w:pPr>
          </w:p>
        </w:tc>
        <w:tc>
          <w:tcPr>
            <w:tcW w:w="1320" w:type="dxa"/>
            <w:vAlign w:val="bottom"/>
          </w:tcPr>
          <w:p w:rsidR="00A621E3" w:rsidRDefault="00EC630E">
            <w:pPr>
              <w:spacing w:line="161" w:lineRule="exact"/>
              <w:ind w:left="19"/>
              <w:jc w:val="center"/>
              <w:rPr>
                <w:sz w:val="20"/>
                <w:szCs w:val="20"/>
              </w:rPr>
            </w:pPr>
            <w:r>
              <w:rPr>
                <w:rFonts w:ascii="MS PGothic" w:eastAsia="MS PGothic" w:hAnsi="MS PGothic" w:cs="MS PGothic"/>
                <w:color w:val="CF0A2C"/>
                <w:w w:val="87"/>
                <w:sz w:val="16"/>
                <w:szCs w:val="16"/>
              </w:rPr>
              <w:t>✓</w:t>
            </w:r>
          </w:p>
        </w:tc>
        <w:tc>
          <w:tcPr>
            <w:tcW w:w="1840" w:type="dxa"/>
            <w:vAlign w:val="bottom"/>
          </w:tcPr>
          <w:p w:rsidR="00A621E3" w:rsidRDefault="00EC630E">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r>
      <w:tr w:rsidR="00A621E3">
        <w:trPr>
          <w:trHeight w:val="310"/>
        </w:trPr>
        <w:tc>
          <w:tcPr>
            <w:tcW w:w="2900" w:type="dxa"/>
            <w:vAlign w:val="bottom"/>
          </w:tcPr>
          <w:p w:rsidR="00A621E3" w:rsidRDefault="00EC630E">
            <w:pPr>
              <w:rPr>
                <w:sz w:val="20"/>
                <w:szCs w:val="20"/>
              </w:rPr>
            </w:pPr>
            <w:r>
              <w:rPr>
                <w:rFonts w:ascii="Arial" w:eastAsia="Arial" w:hAnsi="Arial" w:cs="Arial"/>
                <w:b/>
                <w:bCs/>
                <w:color w:val="CF0A2C"/>
                <w:sz w:val="16"/>
                <w:szCs w:val="16"/>
              </w:rPr>
              <w:t>Min (Jenny) Zhang</w:t>
            </w:r>
          </w:p>
        </w:tc>
        <w:tc>
          <w:tcPr>
            <w:tcW w:w="2260" w:type="dxa"/>
            <w:vAlign w:val="bottom"/>
          </w:tcPr>
          <w:p w:rsidR="00A621E3" w:rsidRDefault="00EC630E">
            <w:pPr>
              <w:spacing w:line="161" w:lineRule="exact"/>
              <w:ind w:left="859"/>
              <w:jc w:val="center"/>
              <w:rPr>
                <w:sz w:val="20"/>
                <w:szCs w:val="20"/>
              </w:rPr>
            </w:pPr>
            <w:r>
              <w:rPr>
                <w:rFonts w:ascii="MS PGothic" w:eastAsia="MS PGothic" w:hAnsi="MS PGothic" w:cs="MS PGothic"/>
                <w:color w:val="CF0A2C"/>
                <w:w w:val="74"/>
                <w:sz w:val="16"/>
                <w:szCs w:val="16"/>
              </w:rPr>
              <w:t>✓</w:t>
            </w:r>
          </w:p>
        </w:tc>
        <w:tc>
          <w:tcPr>
            <w:tcW w:w="1140" w:type="dxa"/>
            <w:vAlign w:val="bottom"/>
          </w:tcPr>
          <w:p w:rsidR="00A621E3" w:rsidRDefault="00EC630E">
            <w:pPr>
              <w:spacing w:line="161" w:lineRule="exact"/>
              <w:jc w:val="center"/>
              <w:rPr>
                <w:sz w:val="20"/>
                <w:szCs w:val="20"/>
              </w:rPr>
            </w:pPr>
            <w:r>
              <w:rPr>
                <w:rFonts w:ascii="MS PGothic" w:eastAsia="MS PGothic" w:hAnsi="MS PGothic" w:cs="MS PGothic"/>
                <w:color w:val="CF0A2C"/>
                <w:w w:val="74"/>
                <w:sz w:val="16"/>
                <w:szCs w:val="16"/>
              </w:rPr>
              <w:t>✓</w:t>
            </w:r>
          </w:p>
        </w:tc>
        <w:tc>
          <w:tcPr>
            <w:tcW w:w="1320" w:type="dxa"/>
            <w:vAlign w:val="bottom"/>
          </w:tcPr>
          <w:p w:rsidR="00A621E3" w:rsidRDefault="00EC630E">
            <w:pPr>
              <w:spacing w:line="161" w:lineRule="exact"/>
              <w:ind w:left="19"/>
              <w:jc w:val="center"/>
              <w:rPr>
                <w:sz w:val="20"/>
                <w:szCs w:val="20"/>
              </w:rPr>
            </w:pPr>
            <w:r>
              <w:rPr>
                <w:rFonts w:ascii="MS PGothic" w:eastAsia="MS PGothic" w:hAnsi="MS PGothic" w:cs="MS PGothic"/>
                <w:color w:val="CF0A2C"/>
                <w:w w:val="87"/>
                <w:sz w:val="16"/>
                <w:szCs w:val="16"/>
              </w:rPr>
              <w:t>✓</w:t>
            </w:r>
          </w:p>
        </w:tc>
        <w:tc>
          <w:tcPr>
            <w:tcW w:w="1840" w:type="dxa"/>
            <w:vAlign w:val="bottom"/>
          </w:tcPr>
          <w:p w:rsidR="00A621E3" w:rsidRDefault="00EC630E">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r>
      <w:tr w:rsidR="00A621E3">
        <w:trPr>
          <w:trHeight w:val="310"/>
        </w:trPr>
        <w:tc>
          <w:tcPr>
            <w:tcW w:w="2900" w:type="dxa"/>
            <w:vAlign w:val="bottom"/>
          </w:tcPr>
          <w:p w:rsidR="00A621E3" w:rsidRDefault="00EC630E">
            <w:pPr>
              <w:rPr>
                <w:sz w:val="20"/>
                <w:szCs w:val="20"/>
              </w:rPr>
            </w:pPr>
            <w:r>
              <w:rPr>
                <w:rFonts w:ascii="Arial" w:eastAsia="Arial" w:hAnsi="Arial" w:cs="Arial"/>
                <w:b/>
                <w:bCs/>
                <w:color w:val="CF0A2C"/>
                <w:sz w:val="16"/>
                <w:szCs w:val="16"/>
              </w:rPr>
              <w:t>Christina Xiaojing Zhu</w:t>
            </w:r>
          </w:p>
        </w:tc>
        <w:tc>
          <w:tcPr>
            <w:tcW w:w="2260" w:type="dxa"/>
            <w:vAlign w:val="bottom"/>
          </w:tcPr>
          <w:p w:rsidR="00A621E3" w:rsidRDefault="00EC630E">
            <w:pPr>
              <w:spacing w:line="161" w:lineRule="exact"/>
              <w:ind w:left="859"/>
              <w:jc w:val="center"/>
              <w:rPr>
                <w:sz w:val="20"/>
                <w:szCs w:val="20"/>
              </w:rPr>
            </w:pPr>
            <w:r>
              <w:rPr>
                <w:rFonts w:ascii="MS PGothic" w:eastAsia="MS PGothic" w:hAnsi="MS PGothic" w:cs="MS PGothic"/>
                <w:color w:val="CF0A2C"/>
                <w:w w:val="74"/>
                <w:sz w:val="16"/>
                <w:szCs w:val="16"/>
              </w:rPr>
              <w:t>✓</w:t>
            </w:r>
          </w:p>
        </w:tc>
        <w:tc>
          <w:tcPr>
            <w:tcW w:w="1140" w:type="dxa"/>
            <w:vAlign w:val="bottom"/>
          </w:tcPr>
          <w:p w:rsidR="00A621E3" w:rsidRDefault="00EC630E">
            <w:pPr>
              <w:spacing w:line="161" w:lineRule="exact"/>
              <w:jc w:val="center"/>
              <w:rPr>
                <w:sz w:val="20"/>
                <w:szCs w:val="20"/>
              </w:rPr>
            </w:pPr>
            <w:r>
              <w:rPr>
                <w:rFonts w:ascii="MS PGothic" w:eastAsia="MS PGothic" w:hAnsi="MS PGothic" w:cs="MS PGothic"/>
                <w:color w:val="CF0A2C"/>
                <w:w w:val="74"/>
                <w:sz w:val="16"/>
                <w:szCs w:val="16"/>
              </w:rPr>
              <w:t>✓</w:t>
            </w:r>
          </w:p>
        </w:tc>
        <w:tc>
          <w:tcPr>
            <w:tcW w:w="1320" w:type="dxa"/>
            <w:vAlign w:val="bottom"/>
          </w:tcPr>
          <w:p w:rsidR="00A621E3" w:rsidRDefault="00EC630E">
            <w:pPr>
              <w:spacing w:line="161" w:lineRule="exact"/>
              <w:ind w:left="19"/>
              <w:jc w:val="center"/>
              <w:rPr>
                <w:sz w:val="20"/>
                <w:szCs w:val="20"/>
              </w:rPr>
            </w:pPr>
            <w:r>
              <w:rPr>
                <w:rFonts w:ascii="MS PGothic" w:eastAsia="MS PGothic" w:hAnsi="MS PGothic" w:cs="MS PGothic"/>
                <w:color w:val="CF0A2C"/>
                <w:w w:val="87"/>
                <w:sz w:val="16"/>
                <w:szCs w:val="16"/>
              </w:rPr>
              <w:t>✓</w:t>
            </w:r>
          </w:p>
        </w:tc>
        <w:tc>
          <w:tcPr>
            <w:tcW w:w="1840" w:type="dxa"/>
            <w:vAlign w:val="bottom"/>
          </w:tcPr>
          <w:p w:rsidR="00A621E3" w:rsidRDefault="00EC630E">
            <w:pPr>
              <w:spacing w:line="161" w:lineRule="exact"/>
              <w:jc w:val="center"/>
              <w:rPr>
                <w:sz w:val="20"/>
                <w:szCs w:val="20"/>
              </w:rPr>
            </w:pPr>
            <w:r>
              <w:rPr>
                <w:rFonts w:ascii="MS PGothic" w:eastAsia="MS PGothic" w:hAnsi="MS PGothic" w:cs="MS PGothic"/>
                <w:color w:val="CF0A2C"/>
                <w:w w:val="74"/>
                <w:sz w:val="16"/>
                <w:szCs w:val="16"/>
              </w:rPr>
              <w:t>✓</w:t>
            </w:r>
          </w:p>
        </w:tc>
        <w:tc>
          <w:tcPr>
            <w:tcW w:w="1560" w:type="dxa"/>
            <w:vAlign w:val="bottom"/>
          </w:tcPr>
          <w:p w:rsidR="00A621E3" w:rsidRDefault="00EC630E">
            <w:pPr>
              <w:spacing w:line="161" w:lineRule="exact"/>
              <w:jc w:val="center"/>
              <w:rPr>
                <w:sz w:val="20"/>
                <w:szCs w:val="20"/>
              </w:rPr>
            </w:pPr>
            <w:r>
              <w:rPr>
                <w:rFonts w:ascii="MS PGothic" w:eastAsia="MS PGothic" w:hAnsi="MS PGothic" w:cs="MS PGothic"/>
                <w:color w:val="CF0A2C"/>
                <w:w w:val="87"/>
                <w:sz w:val="16"/>
                <w:szCs w:val="16"/>
              </w:rPr>
              <w:t>✓</w:t>
            </w:r>
          </w:p>
        </w:tc>
      </w:tr>
    </w:tbl>
    <w:p w:rsidR="00A621E3" w:rsidRDefault="00A621E3">
      <w:pPr>
        <w:spacing w:line="384" w:lineRule="exact"/>
        <w:rPr>
          <w:sz w:val="20"/>
          <w:szCs w:val="20"/>
        </w:rPr>
      </w:pPr>
    </w:p>
    <w:p w:rsidR="00A621E3" w:rsidRDefault="00EC630E">
      <w:pPr>
        <w:ind w:left="120"/>
        <w:rPr>
          <w:sz w:val="20"/>
          <w:szCs w:val="20"/>
        </w:rPr>
      </w:pPr>
      <w:r>
        <w:rPr>
          <w:rFonts w:ascii="Arial" w:eastAsia="Arial" w:hAnsi="Arial" w:cs="Arial"/>
          <w:b/>
          <w:bCs/>
          <w:color w:val="CF0A2C"/>
          <w:sz w:val="32"/>
          <w:szCs w:val="32"/>
        </w:rPr>
        <w:t>How does the composition of our Board reflect diversity?</w:t>
      </w:r>
    </w:p>
    <w:p w:rsidR="00A621E3" w:rsidRDefault="00EC630E">
      <w:pPr>
        <w:spacing w:line="20" w:lineRule="exact"/>
        <w:rPr>
          <w:sz w:val="20"/>
          <w:szCs w:val="20"/>
        </w:rPr>
      </w:pPr>
      <w:r>
        <w:rPr>
          <w:noProof/>
          <w:sz w:val="20"/>
          <w:szCs w:val="20"/>
        </w:rPr>
        <w:drawing>
          <wp:anchor distT="0" distB="0" distL="114300" distR="114300" simplePos="0" relativeHeight="251518976"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56"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 xml:space="preserve">The Nominating and Governance Committee seeks to recommend nominees that bring a unique perspective to the Board in order to </w:t>
      </w:r>
      <w:r>
        <w:rPr>
          <w:rFonts w:ascii="Arial" w:eastAsia="Arial" w:hAnsi="Arial" w:cs="Arial"/>
          <w:sz w:val="20"/>
          <w:szCs w:val="20"/>
        </w:rPr>
        <w:t>contribute to the collective diversity of the Board. The Board believes that having directors of diverse backgrounds helps the Board better oversee the Company’s management and operations and assess risk</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36" w:lineRule="exact"/>
        <w:rPr>
          <w:sz w:val="20"/>
          <w:szCs w:val="20"/>
        </w:rPr>
      </w:pPr>
    </w:p>
    <w:p w:rsidR="00A621E3" w:rsidRDefault="00EC630E">
      <w:pPr>
        <w:spacing w:line="243" w:lineRule="auto"/>
        <w:ind w:right="20"/>
        <w:jc w:val="both"/>
        <w:rPr>
          <w:sz w:val="20"/>
          <w:szCs w:val="20"/>
        </w:rPr>
      </w:pPr>
      <w:r>
        <w:rPr>
          <w:rFonts w:ascii="Arial" w:eastAsia="Arial" w:hAnsi="Arial" w:cs="Arial"/>
          <w:sz w:val="20"/>
          <w:szCs w:val="20"/>
        </w:rPr>
        <w:t>and opportunities for the Company’s business mod</w:t>
      </w:r>
      <w:r>
        <w:rPr>
          <w:rFonts w:ascii="Arial" w:eastAsia="Arial" w:hAnsi="Arial" w:cs="Arial"/>
          <w:sz w:val="20"/>
          <w:szCs w:val="20"/>
        </w:rPr>
        <w:t xml:space="preserve">el from a variety of perspectives. Under our Board Diversity Policy, diversity is broadly construed to mean a variety of perspectives, skills, personal and professional experiences and backgrounds, and other characteristics represented in both visible and </w:t>
      </w:r>
      <w:r>
        <w:rPr>
          <w:rFonts w:ascii="Arial" w:eastAsia="Arial" w:hAnsi="Arial" w:cs="Arial"/>
          <w:sz w:val="20"/>
          <w:szCs w:val="20"/>
        </w:rPr>
        <w:t>non-visible ways that include, but are not</w:t>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80"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13</w:t>
      </w:r>
    </w:p>
    <w:p w:rsidR="00A621E3" w:rsidRDefault="00EC630E">
      <w:pPr>
        <w:spacing w:line="20" w:lineRule="exact"/>
        <w:rPr>
          <w:sz w:val="20"/>
          <w:szCs w:val="20"/>
        </w:rPr>
      </w:pPr>
      <w:r>
        <w:rPr>
          <w:noProof/>
          <w:sz w:val="20"/>
          <w:szCs w:val="20"/>
        </w:rPr>
        <w:drawing>
          <wp:anchor distT="0" distB="0" distL="114300" distR="114300" simplePos="0" relativeHeight="251520000"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19" w:name="page19"/>
      <w:bookmarkEnd w:id="19"/>
      <w:r>
        <w:rPr>
          <w:rFonts w:ascii="Arial" w:eastAsia="Arial" w:hAnsi="Arial" w:cs="Arial"/>
          <w:b/>
          <w:bCs/>
          <w:color w:val="0000EE"/>
          <w:sz w:val="18"/>
          <w:szCs w:val="18"/>
          <w:u w:val="single"/>
        </w:rPr>
        <w:lastRenderedPageBreak/>
        <w:t>Table of Contents</w:t>
      </w:r>
    </w:p>
    <w:p w:rsidR="00A621E3" w:rsidRDefault="00A621E3">
      <w:pPr>
        <w:spacing w:line="387" w:lineRule="exact"/>
        <w:rPr>
          <w:sz w:val="20"/>
          <w:szCs w:val="20"/>
        </w:rPr>
      </w:pPr>
    </w:p>
    <w:p w:rsidR="00A621E3" w:rsidRDefault="00EC630E">
      <w:pPr>
        <w:ind w:left="200"/>
        <w:rPr>
          <w:sz w:val="20"/>
          <w:szCs w:val="20"/>
        </w:rPr>
      </w:pPr>
      <w:r>
        <w:rPr>
          <w:rFonts w:ascii="Arial" w:eastAsia="Arial" w:hAnsi="Arial" w:cs="Arial"/>
          <w:b/>
          <w:bCs/>
          <w:color w:val="FFFFFF"/>
          <w:sz w:val="16"/>
          <w:szCs w:val="16"/>
          <w:shd w:val="clear" w:color="auto" w:fill="CF0A2C"/>
        </w:rPr>
        <w:t>GOVERNANCE OF THE COMPANY</w:t>
      </w:r>
    </w:p>
    <w:p w:rsidR="00A621E3" w:rsidRDefault="00A621E3">
      <w:pPr>
        <w:spacing w:line="263"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 xml:space="preserve">limited to, age, gender, race and nationality. As a part of the director </w:t>
      </w:r>
      <w:r>
        <w:rPr>
          <w:rFonts w:ascii="Arial" w:eastAsia="Arial" w:hAnsi="Arial" w:cs="Arial"/>
          <w:sz w:val="20"/>
          <w:szCs w:val="20"/>
        </w:rPr>
        <w:t>nominating process, the Nominating and Governance Committee considers several factors to ensure the entire Board collectively embraces a wide variety of characteristics. Each director nominee will generally exhibit different and varying degrees of these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0" w:lineRule="exact"/>
        <w:rPr>
          <w:sz w:val="20"/>
          <w:szCs w:val="20"/>
        </w:rPr>
      </w:pPr>
    </w:p>
    <w:p w:rsidR="00A621E3" w:rsidRDefault="00EC630E">
      <w:pPr>
        <w:spacing w:line="282" w:lineRule="auto"/>
        <w:ind w:right="20"/>
        <w:jc w:val="both"/>
        <w:rPr>
          <w:sz w:val="20"/>
          <w:szCs w:val="20"/>
        </w:rPr>
      </w:pPr>
      <w:r>
        <w:rPr>
          <w:rFonts w:ascii="Arial" w:eastAsia="Arial" w:hAnsi="Arial" w:cs="Arial"/>
          <w:sz w:val="18"/>
          <w:szCs w:val="18"/>
        </w:rPr>
        <w:t>characteristics. With respect to the Company’s current slate of director nominees, the Company also benefits from the diversity inherent from differences in Board member age, gender, race and nationality. Forty-four percent of director nominees are wo</w:t>
      </w:r>
      <w:r>
        <w:rPr>
          <w:rFonts w:ascii="Arial" w:eastAsia="Arial" w:hAnsi="Arial" w:cs="Arial"/>
          <w:sz w:val="18"/>
          <w:szCs w:val="18"/>
        </w:rPr>
        <w:t>men.</w:t>
      </w:r>
    </w:p>
    <w:p w:rsidR="00A621E3" w:rsidRDefault="00EC630E">
      <w:pPr>
        <w:spacing w:line="20" w:lineRule="exact"/>
        <w:rPr>
          <w:sz w:val="20"/>
          <w:szCs w:val="20"/>
        </w:rPr>
      </w:pPr>
      <w:r>
        <w:rPr>
          <w:noProof/>
          <w:sz w:val="20"/>
          <w:szCs w:val="20"/>
        </w:rPr>
        <w:drawing>
          <wp:anchor distT="0" distB="0" distL="114300" distR="114300" simplePos="0" relativeHeight="251521024" behindDoc="1" locked="0" layoutInCell="0" allowOverlap="1">
            <wp:simplePos x="0" y="0"/>
            <wp:positionH relativeFrom="column">
              <wp:posOffset>-3651885</wp:posOffset>
            </wp:positionH>
            <wp:positionV relativeFrom="paragraph">
              <wp:posOffset>-1497965</wp:posOffset>
            </wp:positionV>
            <wp:extent cx="7174865" cy="5524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p>
    <w:p w:rsidR="00A621E3" w:rsidRDefault="00A621E3">
      <w:pPr>
        <w:spacing w:line="624" w:lineRule="exact"/>
        <w:rPr>
          <w:sz w:val="20"/>
          <w:szCs w:val="20"/>
        </w:rPr>
      </w:pP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A621E3">
      <w:pPr>
        <w:spacing w:line="200" w:lineRule="exact"/>
        <w:rPr>
          <w:sz w:val="20"/>
          <w:szCs w:val="20"/>
        </w:rPr>
      </w:pPr>
    </w:p>
    <w:p w:rsidR="00A621E3" w:rsidRDefault="00A621E3">
      <w:pPr>
        <w:spacing w:line="209" w:lineRule="exact"/>
        <w:rPr>
          <w:sz w:val="20"/>
          <w:szCs w:val="20"/>
        </w:rPr>
      </w:pPr>
    </w:p>
    <w:p w:rsidR="00A621E3" w:rsidRDefault="00EC630E">
      <w:pPr>
        <w:ind w:left="120"/>
        <w:rPr>
          <w:sz w:val="20"/>
          <w:szCs w:val="20"/>
        </w:rPr>
      </w:pPr>
      <w:r>
        <w:rPr>
          <w:rFonts w:ascii="Arial" w:eastAsia="Arial" w:hAnsi="Arial" w:cs="Arial"/>
          <w:b/>
          <w:bCs/>
          <w:color w:val="CF0A2C"/>
          <w:sz w:val="32"/>
          <w:szCs w:val="32"/>
        </w:rPr>
        <w:t>Can stockholders nominate directors for election to the Board?</w:t>
      </w:r>
    </w:p>
    <w:p w:rsidR="00A621E3" w:rsidRDefault="00EC630E">
      <w:pPr>
        <w:spacing w:line="20" w:lineRule="exact"/>
        <w:rPr>
          <w:sz w:val="20"/>
          <w:szCs w:val="20"/>
        </w:rPr>
      </w:pPr>
      <w:r>
        <w:rPr>
          <w:noProof/>
          <w:sz w:val="20"/>
          <w:szCs w:val="20"/>
        </w:rPr>
        <w:drawing>
          <wp:anchor distT="0" distB="0" distL="114300" distR="114300" simplePos="0" relativeHeight="251522048"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55" w:lineRule="exact"/>
        <w:rPr>
          <w:sz w:val="20"/>
          <w:szCs w:val="20"/>
        </w:rPr>
      </w:pPr>
    </w:p>
    <w:p w:rsidR="00A621E3" w:rsidRDefault="00EC630E">
      <w:pPr>
        <w:spacing w:line="260" w:lineRule="auto"/>
        <w:ind w:left="120" w:right="20"/>
        <w:rPr>
          <w:sz w:val="20"/>
          <w:szCs w:val="20"/>
        </w:rPr>
      </w:pPr>
      <w:r>
        <w:rPr>
          <w:rFonts w:ascii="Arial" w:eastAsia="Arial" w:hAnsi="Arial" w:cs="Arial"/>
          <w:sz w:val="20"/>
          <w:szCs w:val="20"/>
        </w:rPr>
        <w:t>Yes, under our Amended and Restated Bylaws (the “</w:t>
      </w:r>
      <w:r>
        <w:rPr>
          <w:rFonts w:ascii="Arial" w:eastAsia="Arial" w:hAnsi="Arial" w:cs="Arial"/>
          <w:b/>
          <w:bCs/>
          <w:i/>
          <w:iCs/>
          <w:sz w:val="20"/>
          <w:szCs w:val="20"/>
        </w:rPr>
        <w:t>Bylaws</w:t>
      </w:r>
      <w:r>
        <w:rPr>
          <w:rFonts w:ascii="Arial" w:eastAsia="Arial" w:hAnsi="Arial" w:cs="Arial"/>
          <w:sz w:val="20"/>
          <w:szCs w:val="20"/>
        </w:rPr>
        <w:t>”), stockholders may nominate persons for election as directors at an annual meeting by following</w:t>
      </w:r>
      <w:r>
        <w:rPr>
          <w:rFonts w:ascii="Arial" w:eastAsia="Arial" w:hAnsi="Arial" w:cs="Arial"/>
          <w:sz w:val="20"/>
          <w:szCs w:val="20"/>
        </w:rPr>
        <w:t xml:space="preserve"> the procedures described under “Additional Information.”</w:t>
      </w:r>
    </w:p>
    <w:p w:rsidR="00A621E3" w:rsidRDefault="00A621E3">
      <w:pPr>
        <w:spacing w:line="373" w:lineRule="exact"/>
        <w:rPr>
          <w:sz w:val="20"/>
          <w:szCs w:val="20"/>
        </w:rPr>
      </w:pPr>
    </w:p>
    <w:p w:rsidR="00A621E3" w:rsidRDefault="00EC630E">
      <w:pPr>
        <w:ind w:left="120"/>
        <w:rPr>
          <w:sz w:val="20"/>
          <w:szCs w:val="20"/>
        </w:rPr>
      </w:pPr>
      <w:r>
        <w:rPr>
          <w:rFonts w:ascii="Arial" w:eastAsia="Arial" w:hAnsi="Arial" w:cs="Arial"/>
          <w:b/>
          <w:bCs/>
          <w:color w:val="CF0A2C"/>
          <w:sz w:val="32"/>
          <w:szCs w:val="32"/>
        </w:rPr>
        <w:t>What is the Board’s leadership structure?</w:t>
      </w:r>
    </w:p>
    <w:p w:rsidR="00A621E3" w:rsidRDefault="00EC630E">
      <w:pPr>
        <w:spacing w:line="20" w:lineRule="exact"/>
        <w:rPr>
          <w:sz w:val="20"/>
          <w:szCs w:val="20"/>
        </w:rPr>
      </w:pPr>
      <w:r>
        <w:rPr>
          <w:noProof/>
          <w:sz w:val="20"/>
          <w:szCs w:val="20"/>
        </w:rPr>
        <w:drawing>
          <wp:anchor distT="0" distB="0" distL="114300" distR="114300" simplePos="0" relativeHeight="251523072"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96" w:lineRule="exact"/>
        <w:rPr>
          <w:sz w:val="20"/>
          <w:szCs w:val="20"/>
        </w:rPr>
      </w:pPr>
    </w:p>
    <w:p w:rsidR="00A621E3" w:rsidRDefault="00EC630E">
      <w:pPr>
        <w:spacing w:line="272" w:lineRule="auto"/>
        <w:ind w:left="120"/>
        <w:jc w:val="both"/>
        <w:rPr>
          <w:sz w:val="20"/>
          <w:szCs w:val="20"/>
        </w:rPr>
      </w:pPr>
      <w:r>
        <w:rPr>
          <w:rFonts w:ascii="Arial" w:eastAsia="Arial" w:hAnsi="Arial" w:cs="Arial"/>
          <w:sz w:val="18"/>
          <w:szCs w:val="18"/>
        </w:rPr>
        <w:t xml:space="preserve">Our Board is currently led by an independent Chairman, Dr. Fred Hu. Our Board believes that Board independence and oversight of </w:t>
      </w:r>
      <w:r>
        <w:rPr>
          <w:rFonts w:ascii="Arial" w:eastAsia="Arial" w:hAnsi="Arial" w:cs="Arial"/>
          <w:sz w:val="18"/>
          <w:szCs w:val="18"/>
        </w:rPr>
        <w:t>management are effectively maintained through a strong independent Chairman and through the Board’s composition, committee system and policy of having regular executive sessions of non-management directors, all of which are discussed below this section. Fu</w:t>
      </w:r>
      <w:r>
        <w:rPr>
          <w:rFonts w:ascii="Arial" w:eastAsia="Arial" w:hAnsi="Arial" w:cs="Arial"/>
          <w:sz w:val="18"/>
          <w:szCs w:val="18"/>
        </w:rPr>
        <w:t>rther, separating the Chairman and Chief Executive Officer roles enables the Chairman to focus on corporate governance matters and the Chief Executive Officer to</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6" w:lineRule="exact"/>
        <w:rPr>
          <w:sz w:val="20"/>
          <w:szCs w:val="20"/>
        </w:rPr>
      </w:pPr>
    </w:p>
    <w:p w:rsidR="00A621E3" w:rsidRDefault="00EC630E">
      <w:pPr>
        <w:spacing w:line="278" w:lineRule="auto"/>
        <w:jc w:val="both"/>
        <w:rPr>
          <w:sz w:val="20"/>
          <w:szCs w:val="20"/>
        </w:rPr>
      </w:pPr>
      <w:r>
        <w:rPr>
          <w:rFonts w:ascii="Arial" w:eastAsia="Arial" w:hAnsi="Arial" w:cs="Arial"/>
          <w:sz w:val="18"/>
          <w:szCs w:val="18"/>
        </w:rPr>
        <w:t xml:space="preserve">focus on the Company’s business. We find that this structure works well to foster an open </w:t>
      </w:r>
      <w:r>
        <w:rPr>
          <w:rFonts w:ascii="Arial" w:eastAsia="Arial" w:hAnsi="Arial" w:cs="Arial"/>
          <w:sz w:val="18"/>
          <w:szCs w:val="18"/>
        </w:rPr>
        <w:t>dialogue and constructive feedback among the independent directors and management. It further allows the Board to effectively represent the best interests of all stockholders and contribute to the Company’s long-term success.</w:t>
      </w:r>
    </w:p>
    <w:p w:rsidR="00A621E3" w:rsidRDefault="00A621E3">
      <w:pPr>
        <w:spacing w:line="165" w:lineRule="exact"/>
        <w:rPr>
          <w:sz w:val="20"/>
          <w:szCs w:val="20"/>
        </w:rPr>
      </w:pPr>
    </w:p>
    <w:p w:rsidR="00A621E3" w:rsidRDefault="00EC630E">
      <w:pPr>
        <w:spacing w:line="287" w:lineRule="auto"/>
        <w:ind w:right="20"/>
        <w:jc w:val="both"/>
        <w:rPr>
          <w:sz w:val="20"/>
          <w:szCs w:val="20"/>
        </w:rPr>
      </w:pPr>
      <w:r>
        <w:rPr>
          <w:rFonts w:ascii="Arial" w:eastAsia="Arial" w:hAnsi="Arial" w:cs="Arial"/>
          <w:sz w:val="19"/>
          <w:szCs w:val="19"/>
        </w:rPr>
        <w:t>To promote effective independ</w:t>
      </w:r>
      <w:r>
        <w:rPr>
          <w:rFonts w:ascii="Arial" w:eastAsia="Arial" w:hAnsi="Arial" w:cs="Arial"/>
          <w:sz w:val="19"/>
          <w:szCs w:val="19"/>
        </w:rPr>
        <w:t>ent oversight, the Board has adopted a number of governance practices discussed below.</w:t>
      </w:r>
    </w:p>
    <w:p w:rsidR="00A621E3" w:rsidRDefault="00A621E3">
      <w:pPr>
        <w:spacing w:line="425"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383" w:lineRule="exact"/>
        <w:rPr>
          <w:sz w:val="20"/>
          <w:szCs w:val="20"/>
        </w:rPr>
      </w:pPr>
    </w:p>
    <w:p w:rsidR="00A621E3" w:rsidRDefault="00EC630E">
      <w:pPr>
        <w:ind w:left="120"/>
        <w:rPr>
          <w:sz w:val="20"/>
          <w:szCs w:val="20"/>
        </w:rPr>
      </w:pPr>
      <w:r>
        <w:rPr>
          <w:rFonts w:ascii="Arial" w:eastAsia="Arial" w:hAnsi="Arial" w:cs="Arial"/>
          <w:b/>
          <w:bCs/>
          <w:color w:val="CF0A2C"/>
          <w:sz w:val="32"/>
          <w:szCs w:val="32"/>
        </w:rPr>
        <w:t>What are the Company’s governance policies and ethical guidelines?</w:t>
      </w:r>
    </w:p>
    <w:p w:rsidR="00A621E3" w:rsidRDefault="00EC630E">
      <w:pPr>
        <w:spacing w:line="20" w:lineRule="exact"/>
        <w:rPr>
          <w:sz w:val="20"/>
          <w:szCs w:val="20"/>
        </w:rPr>
      </w:pPr>
      <w:r>
        <w:rPr>
          <w:noProof/>
          <w:sz w:val="20"/>
          <w:szCs w:val="20"/>
        </w:rPr>
        <w:drawing>
          <wp:anchor distT="0" distB="0" distL="114300" distR="114300" simplePos="0" relativeHeight="251524096"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4" w:lineRule="exact"/>
        <w:rPr>
          <w:sz w:val="20"/>
          <w:szCs w:val="20"/>
        </w:rPr>
      </w:pPr>
    </w:p>
    <w:p w:rsidR="00A621E3" w:rsidRDefault="00EC630E">
      <w:pPr>
        <w:numPr>
          <w:ilvl w:val="0"/>
          <w:numId w:val="22"/>
        </w:numPr>
        <w:tabs>
          <w:tab w:val="left" w:pos="360"/>
        </w:tabs>
        <w:spacing w:line="243" w:lineRule="auto"/>
        <w:ind w:left="360" w:hanging="190"/>
        <w:jc w:val="both"/>
        <w:rPr>
          <w:rFonts w:ascii="Arial" w:eastAsia="Arial" w:hAnsi="Arial" w:cs="Arial"/>
          <w:color w:val="CF0A2C"/>
          <w:sz w:val="20"/>
          <w:szCs w:val="20"/>
        </w:rPr>
      </w:pPr>
      <w:r>
        <w:rPr>
          <w:rFonts w:ascii="Arial" w:eastAsia="Arial" w:hAnsi="Arial" w:cs="Arial"/>
          <w:b/>
          <w:bCs/>
          <w:sz w:val="20"/>
          <w:szCs w:val="20"/>
        </w:rPr>
        <w:t xml:space="preserve">Board Committee Charters. </w:t>
      </w:r>
      <w:r>
        <w:rPr>
          <w:rFonts w:ascii="Arial" w:eastAsia="Arial" w:hAnsi="Arial" w:cs="Arial"/>
          <w:sz w:val="20"/>
          <w:szCs w:val="20"/>
        </w:rPr>
        <w:t xml:space="preserve">The Audit </w:t>
      </w:r>
      <w:r>
        <w:rPr>
          <w:rFonts w:ascii="Arial" w:eastAsia="Arial" w:hAnsi="Arial" w:cs="Arial"/>
          <w:sz w:val="20"/>
          <w:szCs w:val="20"/>
        </w:rPr>
        <w:t>Committee,</w:t>
      </w:r>
      <w:r>
        <w:rPr>
          <w:rFonts w:ascii="Arial" w:eastAsia="Arial" w:hAnsi="Arial" w:cs="Arial"/>
          <w:b/>
          <w:bCs/>
          <w:sz w:val="20"/>
          <w:szCs w:val="20"/>
        </w:rPr>
        <w:t xml:space="preserve"> </w:t>
      </w:r>
      <w:r>
        <w:rPr>
          <w:rFonts w:ascii="Arial" w:eastAsia="Arial" w:hAnsi="Arial" w:cs="Arial"/>
          <w:sz w:val="20"/>
          <w:szCs w:val="20"/>
        </w:rPr>
        <w:t xml:space="preserve">Compensation Committee, Nominating and Governance Committee and Food Safety and Sustainability Committee of the Board of Directors operate pursuant to their respective written charters. These charters were approved by the Board of Directors and </w:t>
      </w:r>
      <w:r>
        <w:rPr>
          <w:rFonts w:ascii="Arial" w:eastAsia="Arial" w:hAnsi="Arial" w:cs="Arial"/>
          <w:sz w:val="20"/>
          <w:szCs w:val="20"/>
        </w:rPr>
        <w:t xml:space="preserve">are reviewed annually by the respective committees. Each charter is available on the Company’s website at </w:t>
      </w:r>
      <w:r>
        <w:rPr>
          <w:rFonts w:ascii="Arial" w:eastAsia="Arial" w:hAnsi="Arial" w:cs="Arial"/>
          <w:i/>
          <w:iCs/>
          <w:sz w:val="20"/>
          <w:szCs w:val="20"/>
        </w:rPr>
        <w:t>ir.yumchina.com</w:t>
      </w:r>
      <w:r>
        <w:rPr>
          <w:rFonts w:ascii="Arial" w:eastAsia="Arial" w:hAnsi="Arial" w:cs="Arial"/>
          <w:sz w:val="20"/>
          <w:szCs w:val="20"/>
        </w:rPr>
        <w:t>.</w:t>
      </w:r>
    </w:p>
    <w:p w:rsidR="00A621E3" w:rsidRDefault="00A621E3">
      <w:pPr>
        <w:spacing w:line="216" w:lineRule="exact"/>
        <w:rPr>
          <w:rFonts w:ascii="Arial" w:eastAsia="Arial" w:hAnsi="Arial" w:cs="Arial"/>
          <w:color w:val="CF0A2C"/>
          <w:sz w:val="20"/>
          <w:szCs w:val="20"/>
        </w:rPr>
      </w:pPr>
    </w:p>
    <w:p w:rsidR="00A621E3" w:rsidRDefault="00EC630E">
      <w:pPr>
        <w:numPr>
          <w:ilvl w:val="0"/>
          <w:numId w:val="22"/>
        </w:numPr>
        <w:tabs>
          <w:tab w:val="left" w:pos="360"/>
        </w:tabs>
        <w:spacing w:line="267" w:lineRule="auto"/>
        <w:ind w:left="360" w:hanging="190"/>
        <w:rPr>
          <w:rFonts w:ascii="Arial" w:eastAsia="Arial" w:hAnsi="Arial" w:cs="Arial"/>
          <w:color w:val="CF0A2C"/>
          <w:sz w:val="20"/>
          <w:szCs w:val="20"/>
        </w:rPr>
      </w:pPr>
      <w:r>
        <w:rPr>
          <w:rFonts w:ascii="Arial" w:eastAsia="Arial" w:hAnsi="Arial" w:cs="Arial"/>
          <w:b/>
          <w:bCs/>
          <w:sz w:val="20"/>
          <w:szCs w:val="20"/>
        </w:rPr>
        <w:t xml:space="preserve">Governance Principles. </w:t>
      </w:r>
      <w:r>
        <w:rPr>
          <w:rFonts w:ascii="Arial" w:eastAsia="Arial" w:hAnsi="Arial" w:cs="Arial"/>
          <w:sz w:val="20"/>
          <w:szCs w:val="20"/>
        </w:rPr>
        <w:t>The Board of Directors has adopted</w:t>
      </w:r>
      <w:r>
        <w:rPr>
          <w:rFonts w:ascii="Arial" w:eastAsia="Arial" w:hAnsi="Arial" w:cs="Arial"/>
          <w:b/>
          <w:bCs/>
          <w:sz w:val="20"/>
          <w:szCs w:val="20"/>
        </w:rPr>
        <w:t xml:space="preserve"> </w:t>
      </w:r>
      <w:r>
        <w:rPr>
          <w:rFonts w:ascii="Arial" w:eastAsia="Arial" w:hAnsi="Arial" w:cs="Arial"/>
          <w:sz w:val="20"/>
          <w:szCs w:val="20"/>
        </w:rPr>
        <w:t>Corporate Governance Principles, which are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spacing w:line="269" w:lineRule="auto"/>
        <w:ind w:left="152" w:right="20"/>
        <w:jc w:val="both"/>
        <w:rPr>
          <w:sz w:val="20"/>
          <w:szCs w:val="20"/>
        </w:rPr>
      </w:pPr>
      <w:r>
        <w:rPr>
          <w:rFonts w:ascii="Arial" w:eastAsia="Arial" w:hAnsi="Arial" w:cs="Arial"/>
          <w:sz w:val="19"/>
          <w:szCs w:val="19"/>
        </w:rPr>
        <w:t xml:space="preserve">intended to embody the governance principles and procedures by which the Board functions. These principles are available on the Company’s website at </w:t>
      </w:r>
      <w:r>
        <w:rPr>
          <w:rFonts w:ascii="Arial" w:eastAsia="Arial" w:hAnsi="Arial" w:cs="Arial"/>
          <w:i/>
          <w:iCs/>
          <w:sz w:val="19"/>
          <w:szCs w:val="19"/>
        </w:rPr>
        <w:t>ir.yumchina.com</w:t>
      </w:r>
      <w:r>
        <w:rPr>
          <w:rFonts w:ascii="Arial" w:eastAsia="Arial" w:hAnsi="Arial" w:cs="Arial"/>
          <w:sz w:val="19"/>
          <w:szCs w:val="19"/>
        </w:rPr>
        <w:t>.</w:t>
      </w:r>
    </w:p>
    <w:p w:rsidR="00A621E3" w:rsidRDefault="00A621E3">
      <w:pPr>
        <w:spacing w:line="191" w:lineRule="exact"/>
        <w:rPr>
          <w:sz w:val="20"/>
          <w:szCs w:val="20"/>
        </w:rPr>
      </w:pPr>
    </w:p>
    <w:p w:rsidR="00A621E3" w:rsidRDefault="00EC630E">
      <w:pPr>
        <w:numPr>
          <w:ilvl w:val="0"/>
          <w:numId w:val="23"/>
        </w:numPr>
        <w:tabs>
          <w:tab w:val="left" w:pos="192"/>
        </w:tabs>
        <w:spacing w:line="244" w:lineRule="auto"/>
        <w:ind w:left="192" w:right="20" w:hanging="192"/>
        <w:jc w:val="both"/>
        <w:rPr>
          <w:rFonts w:ascii="Arial" w:eastAsia="Arial" w:hAnsi="Arial" w:cs="Arial"/>
          <w:color w:val="CF0A2C"/>
          <w:sz w:val="20"/>
          <w:szCs w:val="20"/>
        </w:rPr>
      </w:pPr>
      <w:r>
        <w:rPr>
          <w:rFonts w:ascii="Arial" w:eastAsia="Arial" w:hAnsi="Arial" w:cs="Arial"/>
          <w:b/>
          <w:bCs/>
          <w:sz w:val="20"/>
          <w:szCs w:val="20"/>
        </w:rPr>
        <w:t xml:space="preserve">Ethical Guidelines. </w:t>
      </w:r>
      <w:r>
        <w:rPr>
          <w:rFonts w:ascii="Arial" w:eastAsia="Arial" w:hAnsi="Arial" w:cs="Arial"/>
          <w:sz w:val="20"/>
          <w:szCs w:val="20"/>
        </w:rPr>
        <w:t>Yum China’s Code of Conduct was adopted</w:t>
      </w:r>
      <w:r>
        <w:rPr>
          <w:rFonts w:ascii="Arial" w:eastAsia="Arial" w:hAnsi="Arial" w:cs="Arial"/>
          <w:b/>
          <w:bCs/>
          <w:sz w:val="20"/>
          <w:szCs w:val="20"/>
        </w:rPr>
        <w:t xml:space="preserve"> </w:t>
      </w:r>
      <w:r>
        <w:rPr>
          <w:rFonts w:ascii="Arial" w:eastAsia="Arial" w:hAnsi="Arial" w:cs="Arial"/>
          <w:sz w:val="20"/>
          <w:szCs w:val="20"/>
        </w:rPr>
        <w:t>to emphasize the Company’s co</w:t>
      </w:r>
      <w:r>
        <w:rPr>
          <w:rFonts w:ascii="Arial" w:eastAsia="Arial" w:hAnsi="Arial" w:cs="Arial"/>
          <w:sz w:val="20"/>
          <w:szCs w:val="20"/>
        </w:rPr>
        <w:t>mmitment to the highest standards of business conduct. The Code of Conduct also sets forth information and procedures for employees to report ethical or accounting concerns, misconduct or violations of the Code of Conduct in a confidential manner. The Code</w:t>
      </w:r>
      <w:r>
        <w:rPr>
          <w:rFonts w:ascii="Arial" w:eastAsia="Arial" w:hAnsi="Arial" w:cs="Arial"/>
          <w:sz w:val="20"/>
          <w:szCs w:val="20"/>
        </w:rPr>
        <w:t xml:space="preserve"> of Conduct applies to all</w:t>
      </w:r>
    </w:p>
    <w:p w:rsidR="00A621E3" w:rsidRDefault="00A621E3">
      <w:pPr>
        <w:spacing w:line="222"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88"/>
            <w:col w:w="5352"/>
          </w:cols>
        </w:sectPr>
      </w:pPr>
    </w:p>
    <w:p w:rsidR="00A621E3" w:rsidRDefault="00A621E3">
      <w:pPr>
        <w:spacing w:line="44" w:lineRule="exact"/>
        <w:rPr>
          <w:sz w:val="20"/>
          <w:szCs w:val="20"/>
        </w:rPr>
      </w:pPr>
    </w:p>
    <w:p w:rsidR="00A621E3" w:rsidRDefault="00EC630E">
      <w:pPr>
        <w:numPr>
          <w:ilvl w:val="0"/>
          <w:numId w:val="24"/>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52512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20" w:name="page20"/>
      <w:bookmarkEnd w:id="20"/>
      <w:r>
        <w:rPr>
          <w:rFonts w:ascii="Arial" w:eastAsia="Arial" w:hAnsi="Arial" w:cs="Arial"/>
          <w:b/>
          <w:bCs/>
          <w:color w:val="0000EE"/>
          <w:sz w:val="18"/>
          <w:szCs w:val="18"/>
          <w:u w:val="single"/>
        </w:rPr>
        <w:lastRenderedPageBreak/>
        <w:t>Table of Contents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3" w:lineRule="exact"/>
        <w:rPr>
          <w:sz w:val="20"/>
          <w:szCs w:val="20"/>
        </w:rPr>
      </w:pPr>
    </w:p>
    <w:p w:rsidR="00A621E3" w:rsidRDefault="00EC630E">
      <w:pPr>
        <w:spacing w:line="271" w:lineRule="auto"/>
        <w:ind w:left="320"/>
        <w:jc w:val="both"/>
        <w:rPr>
          <w:sz w:val="20"/>
          <w:szCs w:val="20"/>
        </w:rPr>
      </w:pPr>
      <w:r>
        <w:rPr>
          <w:rFonts w:ascii="Arial" w:eastAsia="Arial" w:hAnsi="Arial" w:cs="Arial"/>
          <w:sz w:val="18"/>
          <w:szCs w:val="18"/>
        </w:rPr>
        <w:t>directors and employees of the Company, including the principal executive officer, the principal financial officer and the principal accounting officer. All employees of the Company are required, on an annual basis, to complete the Yum China Code of Conduc</w:t>
      </w:r>
      <w:r>
        <w:rPr>
          <w:rFonts w:ascii="Arial" w:eastAsia="Arial" w:hAnsi="Arial" w:cs="Arial"/>
          <w:sz w:val="18"/>
          <w:szCs w:val="18"/>
        </w:rPr>
        <w:t xml:space="preserve">t Questionnaire and certify in writing that they have read and understand the Code of Conduct. The Code of Conduct is available on the Company’s website at </w:t>
      </w:r>
      <w:r>
        <w:rPr>
          <w:rFonts w:ascii="Arial" w:eastAsia="Arial" w:hAnsi="Arial" w:cs="Arial"/>
          <w:i/>
          <w:iCs/>
          <w:sz w:val="18"/>
          <w:szCs w:val="18"/>
        </w:rPr>
        <w:t>ir.yumchina.com</w:t>
      </w:r>
      <w:r>
        <w:rPr>
          <w:rFonts w:ascii="Arial" w:eastAsia="Arial" w:hAnsi="Arial" w:cs="Arial"/>
          <w:sz w:val="18"/>
          <w:szCs w:val="18"/>
        </w:rPr>
        <w:t>. The Company intends to post amendments to</w:t>
      </w:r>
      <w:r>
        <w:rPr>
          <w:rFonts w:ascii="Arial" w:eastAsia="Arial" w:hAnsi="Arial" w:cs="Arial"/>
          <w:i/>
          <w:iCs/>
          <w:sz w:val="18"/>
          <w:szCs w:val="18"/>
        </w:rPr>
        <w:t xml:space="preserve"> </w:t>
      </w:r>
      <w:r>
        <w:rPr>
          <w:rFonts w:ascii="Arial" w:eastAsia="Arial" w:hAnsi="Arial" w:cs="Arial"/>
          <w:sz w:val="18"/>
          <w:szCs w:val="18"/>
        </w:rPr>
        <w:t>or waivers from the Code of Conduct (to t</w:t>
      </w:r>
      <w:r>
        <w:rPr>
          <w:rFonts w:ascii="Arial" w:eastAsia="Arial" w:hAnsi="Arial" w:cs="Arial"/>
          <w:sz w:val="18"/>
          <w:szCs w:val="18"/>
        </w:rPr>
        <w:t>he extent applicable to directors or executive officers and required by the rules of the SEC, NYSE or HKEX) on this website.</w:t>
      </w:r>
    </w:p>
    <w:p w:rsidR="00A621E3" w:rsidRDefault="00A621E3">
      <w:pPr>
        <w:spacing w:line="191" w:lineRule="exact"/>
        <w:rPr>
          <w:sz w:val="20"/>
          <w:szCs w:val="20"/>
        </w:rPr>
      </w:pPr>
    </w:p>
    <w:p w:rsidR="00A621E3" w:rsidRDefault="00EC630E">
      <w:pPr>
        <w:numPr>
          <w:ilvl w:val="0"/>
          <w:numId w:val="25"/>
        </w:numPr>
        <w:tabs>
          <w:tab w:val="left" w:pos="360"/>
        </w:tabs>
        <w:spacing w:line="260" w:lineRule="auto"/>
        <w:ind w:left="360" w:hanging="190"/>
        <w:jc w:val="both"/>
        <w:rPr>
          <w:rFonts w:ascii="Arial" w:eastAsia="Arial" w:hAnsi="Arial" w:cs="Arial"/>
          <w:color w:val="CF0A2C"/>
          <w:sz w:val="19"/>
          <w:szCs w:val="19"/>
        </w:rPr>
      </w:pPr>
      <w:r>
        <w:rPr>
          <w:rFonts w:ascii="Arial" w:eastAsia="Arial" w:hAnsi="Arial" w:cs="Arial"/>
          <w:b/>
          <w:bCs/>
          <w:sz w:val="19"/>
          <w:szCs w:val="19"/>
        </w:rPr>
        <w:t xml:space="preserve">Conflicts of Interest Policy Applicable to Directors. </w:t>
      </w:r>
      <w:r>
        <w:rPr>
          <w:rFonts w:ascii="Arial" w:eastAsia="Arial" w:hAnsi="Arial" w:cs="Arial"/>
          <w:sz w:val="19"/>
          <w:szCs w:val="19"/>
        </w:rPr>
        <w:t>As set</w:t>
      </w:r>
      <w:r>
        <w:rPr>
          <w:rFonts w:ascii="Arial" w:eastAsia="Arial" w:hAnsi="Arial" w:cs="Arial"/>
          <w:b/>
          <w:bCs/>
          <w:sz w:val="19"/>
          <w:szCs w:val="19"/>
        </w:rPr>
        <w:t xml:space="preserve"> </w:t>
      </w:r>
      <w:r>
        <w:rPr>
          <w:rFonts w:ascii="Arial" w:eastAsia="Arial" w:hAnsi="Arial" w:cs="Arial"/>
          <w:sz w:val="19"/>
          <w:szCs w:val="19"/>
        </w:rPr>
        <w:t>out in Yum China’s Code of Conduct, Yum China’s conflicts of interest</w:t>
      </w:r>
      <w:r>
        <w:rPr>
          <w:rFonts w:ascii="Arial" w:eastAsia="Arial" w:hAnsi="Arial" w:cs="Arial"/>
          <w:sz w:val="19"/>
          <w:szCs w:val="19"/>
        </w:rPr>
        <w:t xml:space="preserve"> policy with respect to directors is designed to ensure adequate disclosure and consideration of the types of conflict of interest situations that are reasonably likely to be of concern to the Company.</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4" w:lineRule="exact"/>
        <w:rPr>
          <w:sz w:val="20"/>
          <w:szCs w:val="20"/>
        </w:rPr>
      </w:pPr>
    </w:p>
    <w:p w:rsidR="00A621E3" w:rsidRDefault="00EC630E">
      <w:pPr>
        <w:ind w:left="2420"/>
        <w:rPr>
          <w:sz w:val="20"/>
          <w:szCs w:val="20"/>
        </w:rPr>
      </w:pPr>
      <w:r>
        <w:rPr>
          <w:rFonts w:ascii="Arial" w:eastAsia="Arial" w:hAnsi="Arial" w:cs="Arial"/>
          <w:b/>
          <w:bCs/>
          <w:color w:val="FFFFFF"/>
          <w:sz w:val="16"/>
          <w:szCs w:val="16"/>
        </w:rPr>
        <w:t>GOVERNANCE OF THE COMPANY</w:t>
      </w:r>
    </w:p>
    <w:p w:rsidR="00A621E3" w:rsidRDefault="00EC630E">
      <w:pPr>
        <w:spacing w:line="20" w:lineRule="exact"/>
        <w:rPr>
          <w:sz w:val="20"/>
          <w:szCs w:val="20"/>
        </w:rPr>
      </w:pPr>
      <w:r>
        <w:rPr>
          <w:noProof/>
          <w:sz w:val="20"/>
          <w:szCs w:val="20"/>
        </w:rPr>
        <w:drawing>
          <wp:anchor distT="0" distB="0" distL="114300" distR="114300" simplePos="0" relativeHeight="251526144" behindDoc="1" locked="0" layoutInCell="0" allowOverlap="1">
            <wp:simplePos x="0" y="0"/>
            <wp:positionH relativeFrom="column">
              <wp:posOffset>-3740785</wp:posOffset>
            </wp:positionH>
            <wp:positionV relativeFrom="paragraph">
              <wp:posOffset>-713105</wp:posOffset>
            </wp:positionV>
            <wp:extent cx="7174865" cy="5588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noProof/>
          <w:sz w:val="20"/>
          <w:szCs w:val="20"/>
        </w:rPr>
        <w:drawing>
          <wp:anchor distT="0" distB="0" distL="114300" distR="114300" simplePos="0" relativeHeight="251527168" behindDoc="1" locked="0" layoutInCell="0" allowOverlap="1">
            <wp:simplePos x="0" y="0"/>
            <wp:positionH relativeFrom="column">
              <wp:posOffset>1388745</wp:posOffset>
            </wp:positionH>
            <wp:positionV relativeFrom="paragraph">
              <wp:posOffset>-156210</wp:posOffset>
            </wp:positionV>
            <wp:extent cx="1945640" cy="20574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
                      <a:extLst/>
                    </a:blip>
                    <a:srcRect/>
                    <a:stretch>
                      <a:fillRect/>
                    </a:stretch>
                  </pic:blipFill>
                  <pic:spPr bwMode="auto">
                    <a:xfrm>
                      <a:off x="0" y="0"/>
                      <a:ext cx="1945640" cy="205740"/>
                    </a:xfrm>
                    <a:prstGeom prst="rect">
                      <a:avLst/>
                    </a:prstGeom>
                    <a:noFill/>
                  </pic:spPr>
                </pic:pic>
              </a:graphicData>
            </a:graphic>
          </wp:anchor>
        </w:drawing>
      </w:r>
    </w:p>
    <w:p w:rsidR="00A621E3" w:rsidRDefault="00A621E3">
      <w:pPr>
        <w:spacing w:line="243" w:lineRule="exact"/>
        <w:rPr>
          <w:sz w:val="20"/>
          <w:szCs w:val="20"/>
        </w:rPr>
      </w:pPr>
    </w:p>
    <w:p w:rsidR="00A621E3" w:rsidRDefault="00EC630E">
      <w:pPr>
        <w:spacing w:line="271" w:lineRule="auto"/>
        <w:jc w:val="both"/>
        <w:rPr>
          <w:sz w:val="20"/>
          <w:szCs w:val="20"/>
        </w:rPr>
      </w:pPr>
      <w:r>
        <w:rPr>
          <w:rFonts w:ascii="Arial" w:eastAsia="Arial" w:hAnsi="Arial" w:cs="Arial"/>
          <w:sz w:val="18"/>
          <w:szCs w:val="18"/>
        </w:rPr>
        <w:t xml:space="preserve">Accordingly, </w:t>
      </w:r>
      <w:r>
        <w:rPr>
          <w:rFonts w:ascii="Arial" w:eastAsia="Arial" w:hAnsi="Arial" w:cs="Arial"/>
          <w:sz w:val="18"/>
          <w:szCs w:val="18"/>
        </w:rPr>
        <w:t>directors are required to disclose to the Company all potential conflict of interest situations that could reasonably be expected to impact the independence and judgment of directors in performing their duties as members of the Board of Directors of the Co</w:t>
      </w:r>
      <w:r>
        <w:rPr>
          <w:rFonts w:ascii="Arial" w:eastAsia="Arial" w:hAnsi="Arial" w:cs="Arial"/>
          <w:sz w:val="18"/>
          <w:szCs w:val="18"/>
        </w:rPr>
        <w:t>mpany. Such disclosures are required to be made by the director at such time and in such manner as to provide adequate notice and sufficient information to the Company to enable the Company to fully and adequately consider the relevant facts and circumstan</w:t>
      </w:r>
      <w:r>
        <w:rPr>
          <w:rFonts w:ascii="Arial" w:eastAsia="Arial" w:hAnsi="Arial" w:cs="Arial"/>
          <w:sz w:val="18"/>
          <w:szCs w:val="18"/>
        </w:rPr>
        <w:t>ces related to the potential conflict of interest and to determine the actions, if any, that should be taken to resolve such potential conflict of interest.</w:t>
      </w:r>
    </w:p>
    <w:p w:rsidR="00A621E3" w:rsidRDefault="00A621E3">
      <w:pPr>
        <w:spacing w:line="170" w:lineRule="exact"/>
        <w:rPr>
          <w:sz w:val="20"/>
          <w:szCs w:val="20"/>
        </w:rPr>
      </w:pPr>
    </w:p>
    <w:p w:rsidR="00A621E3" w:rsidRDefault="00EC630E">
      <w:pPr>
        <w:spacing w:line="250" w:lineRule="auto"/>
        <w:ind w:right="20"/>
        <w:jc w:val="both"/>
        <w:rPr>
          <w:sz w:val="20"/>
          <w:szCs w:val="20"/>
        </w:rPr>
      </w:pPr>
      <w:r>
        <w:rPr>
          <w:rFonts w:ascii="Arial" w:eastAsia="Arial" w:hAnsi="Arial" w:cs="Arial"/>
          <w:sz w:val="20"/>
          <w:szCs w:val="20"/>
        </w:rPr>
        <w:t xml:space="preserve">The Company’s governance policies are compliant with applicable rules and regulations of both the </w:t>
      </w:r>
      <w:r>
        <w:rPr>
          <w:rFonts w:ascii="Arial" w:eastAsia="Arial" w:hAnsi="Arial" w:cs="Arial"/>
          <w:sz w:val="20"/>
          <w:szCs w:val="20"/>
        </w:rPr>
        <w:t>NYSE and the HKEX.</w:t>
      </w:r>
    </w:p>
    <w:p w:rsidR="00A621E3" w:rsidRDefault="00A621E3">
      <w:pPr>
        <w:spacing w:line="922" w:lineRule="exact"/>
        <w:rPr>
          <w:sz w:val="20"/>
          <w:szCs w:val="20"/>
        </w:rPr>
      </w:pPr>
    </w:p>
    <w:p w:rsidR="00A621E3" w:rsidRDefault="00A621E3">
      <w:pPr>
        <w:sectPr w:rsidR="00A621E3">
          <w:pgSz w:w="11900" w:h="16838"/>
          <w:pgMar w:top="486" w:right="439" w:bottom="1440" w:left="320" w:header="0" w:footer="0" w:gutter="0"/>
          <w:cols w:num="2" w:space="720" w:equalWidth="0">
            <w:col w:w="5400" w:space="480"/>
            <w:col w:w="5260"/>
          </w:cols>
        </w:sectPr>
      </w:pPr>
    </w:p>
    <w:p w:rsidR="00A621E3" w:rsidRDefault="00A621E3">
      <w:pPr>
        <w:spacing w:line="391" w:lineRule="exact"/>
        <w:rPr>
          <w:sz w:val="20"/>
          <w:szCs w:val="20"/>
        </w:rPr>
      </w:pPr>
    </w:p>
    <w:p w:rsidR="00A621E3" w:rsidRDefault="00EC630E">
      <w:pPr>
        <w:spacing w:line="286" w:lineRule="auto"/>
        <w:ind w:left="120" w:right="180"/>
        <w:rPr>
          <w:sz w:val="20"/>
          <w:szCs w:val="20"/>
        </w:rPr>
      </w:pPr>
      <w:r>
        <w:rPr>
          <w:rFonts w:ascii="Arial" w:eastAsia="Arial" w:hAnsi="Arial" w:cs="Arial"/>
          <w:b/>
          <w:bCs/>
          <w:color w:val="CF0A2C"/>
          <w:sz w:val="32"/>
          <w:szCs w:val="32"/>
        </w:rPr>
        <w:t>What other significant Board governance practices does the Company have?</w:t>
      </w:r>
    </w:p>
    <w:p w:rsidR="00A621E3" w:rsidRDefault="00EC630E">
      <w:pPr>
        <w:spacing w:line="20" w:lineRule="exact"/>
        <w:rPr>
          <w:sz w:val="20"/>
          <w:szCs w:val="20"/>
        </w:rPr>
      </w:pPr>
      <w:r>
        <w:rPr>
          <w:noProof/>
          <w:sz w:val="20"/>
          <w:szCs w:val="20"/>
        </w:rPr>
        <w:drawing>
          <wp:anchor distT="0" distB="0" distL="114300" distR="114300" simplePos="0" relativeHeight="251528192" behindDoc="1" locked="0" layoutInCell="0" allowOverlap="1">
            <wp:simplePos x="0" y="0"/>
            <wp:positionH relativeFrom="column">
              <wp:posOffset>73660</wp:posOffset>
            </wp:positionH>
            <wp:positionV relativeFrom="paragraph">
              <wp:posOffset>109220</wp:posOffset>
            </wp:positionV>
            <wp:extent cx="6995160" cy="825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54" w:lineRule="exact"/>
        <w:rPr>
          <w:sz w:val="20"/>
          <w:szCs w:val="20"/>
        </w:rPr>
      </w:pPr>
    </w:p>
    <w:p w:rsidR="00A621E3" w:rsidRDefault="00EC630E">
      <w:pPr>
        <w:numPr>
          <w:ilvl w:val="0"/>
          <w:numId w:val="26"/>
        </w:numPr>
        <w:tabs>
          <w:tab w:val="left" w:pos="360"/>
        </w:tabs>
        <w:spacing w:line="246" w:lineRule="auto"/>
        <w:ind w:left="360" w:right="20" w:hanging="190"/>
        <w:jc w:val="both"/>
        <w:rPr>
          <w:rFonts w:ascii="Arial" w:eastAsia="Arial" w:hAnsi="Arial" w:cs="Arial"/>
          <w:color w:val="CF0A2C"/>
          <w:sz w:val="20"/>
          <w:szCs w:val="20"/>
        </w:rPr>
      </w:pPr>
      <w:r>
        <w:rPr>
          <w:rFonts w:ascii="Arial" w:eastAsia="Arial" w:hAnsi="Arial" w:cs="Arial"/>
          <w:b/>
          <w:bCs/>
          <w:sz w:val="20"/>
          <w:szCs w:val="20"/>
        </w:rPr>
        <w:t xml:space="preserve">Annual Election of Directors. </w:t>
      </w:r>
      <w:r>
        <w:rPr>
          <w:rFonts w:ascii="Arial" w:eastAsia="Arial" w:hAnsi="Arial" w:cs="Arial"/>
          <w:sz w:val="20"/>
          <w:szCs w:val="20"/>
        </w:rPr>
        <w:t>In accordance with our</w:t>
      </w:r>
      <w:r>
        <w:rPr>
          <w:rFonts w:ascii="Arial" w:eastAsia="Arial" w:hAnsi="Arial" w:cs="Arial"/>
          <w:b/>
          <w:bCs/>
          <w:sz w:val="20"/>
          <w:szCs w:val="20"/>
        </w:rPr>
        <w:t xml:space="preserve"> </w:t>
      </w:r>
      <w:r>
        <w:rPr>
          <w:rFonts w:ascii="Arial" w:eastAsia="Arial" w:hAnsi="Arial" w:cs="Arial"/>
          <w:sz w:val="20"/>
          <w:szCs w:val="20"/>
        </w:rPr>
        <w:t>Amended and Restated Certificate of Incorporation, our d</w:t>
      </w:r>
      <w:r>
        <w:rPr>
          <w:rFonts w:ascii="Arial" w:eastAsia="Arial" w:hAnsi="Arial" w:cs="Arial"/>
          <w:sz w:val="20"/>
          <w:szCs w:val="20"/>
        </w:rPr>
        <w:t>irectors are elected to serve a one-year term and until their successors are elected and qualified or until their earlier death, resignation or removal.</w:t>
      </w:r>
    </w:p>
    <w:p w:rsidR="00A621E3" w:rsidRDefault="00A621E3">
      <w:pPr>
        <w:spacing w:line="211" w:lineRule="exact"/>
        <w:rPr>
          <w:rFonts w:ascii="Arial" w:eastAsia="Arial" w:hAnsi="Arial" w:cs="Arial"/>
          <w:color w:val="CF0A2C"/>
          <w:sz w:val="20"/>
          <w:szCs w:val="20"/>
        </w:rPr>
      </w:pPr>
    </w:p>
    <w:p w:rsidR="00A621E3" w:rsidRDefault="00EC630E">
      <w:pPr>
        <w:numPr>
          <w:ilvl w:val="0"/>
          <w:numId w:val="26"/>
        </w:numPr>
        <w:tabs>
          <w:tab w:val="left" w:pos="360"/>
        </w:tabs>
        <w:spacing w:line="277" w:lineRule="auto"/>
        <w:ind w:left="360" w:hanging="190"/>
        <w:jc w:val="both"/>
        <w:rPr>
          <w:rFonts w:ascii="Arial" w:eastAsia="Arial" w:hAnsi="Arial" w:cs="Arial"/>
          <w:color w:val="CF0A2C"/>
          <w:sz w:val="18"/>
          <w:szCs w:val="18"/>
        </w:rPr>
      </w:pPr>
      <w:r>
        <w:rPr>
          <w:rFonts w:ascii="Arial" w:eastAsia="Arial" w:hAnsi="Arial" w:cs="Arial"/>
          <w:b/>
          <w:bCs/>
          <w:sz w:val="18"/>
          <w:szCs w:val="18"/>
        </w:rPr>
        <w:t xml:space="preserve">Role of Lead Director. </w:t>
      </w:r>
      <w:r>
        <w:rPr>
          <w:rFonts w:ascii="Arial" w:eastAsia="Arial" w:hAnsi="Arial" w:cs="Arial"/>
          <w:sz w:val="18"/>
          <w:szCs w:val="18"/>
        </w:rPr>
        <w:t>Our Corporate Governance Principles</w:t>
      </w:r>
      <w:r>
        <w:rPr>
          <w:rFonts w:ascii="Arial" w:eastAsia="Arial" w:hAnsi="Arial" w:cs="Arial"/>
          <w:b/>
          <w:bCs/>
          <w:sz w:val="18"/>
          <w:szCs w:val="18"/>
        </w:rPr>
        <w:t xml:space="preserve"> </w:t>
      </w:r>
      <w:r>
        <w:rPr>
          <w:rFonts w:ascii="Arial" w:eastAsia="Arial" w:hAnsi="Arial" w:cs="Arial"/>
          <w:sz w:val="18"/>
          <w:szCs w:val="18"/>
        </w:rPr>
        <w:t>require the independent directors to appoin</w:t>
      </w:r>
      <w:r>
        <w:rPr>
          <w:rFonts w:ascii="Arial" w:eastAsia="Arial" w:hAnsi="Arial" w:cs="Arial"/>
          <w:sz w:val="18"/>
          <w:szCs w:val="18"/>
        </w:rPr>
        <w:t>t a Lead Director when the Chairman does not qualify as independent in accordance with the applicable rules of the NYSE. The Company currently does not have a Lead Director because the Chairman of the Board is independent.</w:t>
      </w:r>
    </w:p>
    <w:p w:rsidR="00A621E3" w:rsidRDefault="00A621E3">
      <w:pPr>
        <w:spacing w:line="186" w:lineRule="exact"/>
        <w:rPr>
          <w:rFonts w:ascii="Arial" w:eastAsia="Arial" w:hAnsi="Arial" w:cs="Arial"/>
          <w:color w:val="CF0A2C"/>
          <w:sz w:val="18"/>
          <w:szCs w:val="18"/>
        </w:rPr>
      </w:pPr>
    </w:p>
    <w:p w:rsidR="00A621E3" w:rsidRDefault="00EC630E">
      <w:pPr>
        <w:numPr>
          <w:ilvl w:val="0"/>
          <w:numId w:val="26"/>
        </w:numPr>
        <w:tabs>
          <w:tab w:val="left" w:pos="360"/>
        </w:tabs>
        <w:spacing w:line="277" w:lineRule="auto"/>
        <w:ind w:left="360" w:hanging="190"/>
        <w:jc w:val="both"/>
        <w:rPr>
          <w:rFonts w:ascii="Arial" w:eastAsia="Arial" w:hAnsi="Arial" w:cs="Arial"/>
          <w:color w:val="CF0A2C"/>
          <w:sz w:val="18"/>
          <w:szCs w:val="18"/>
        </w:rPr>
      </w:pPr>
      <w:r>
        <w:rPr>
          <w:rFonts w:ascii="Arial" w:eastAsia="Arial" w:hAnsi="Arial" w:cs="Arial"/>
          <w:b/>
          <w:bCs/>
          <w:sz w:val="18"/>
          <w:szCs w:val="18"/>
        </w:rPr>
        <w:t xml:space="preserve">Executive Sessions. </w:t>
      </w:r>
      <w:r>
        <w:rPr>
          <w:rFonts w:ascii="Arial" w:eastAsia="Arial" w:hAnsi="Arial" w:cs="Arial"/>
          <w:sz w:val="18"/>
          <w:szCs w:val="18"/>
        </w:rPr>
        <w:t>Our independ</w:t>
      </w:r>
      <w:r>
        <w:rPr>
          <w:rFonts w:ascii="Arial" w:eastAsia="Arial" w:hAnsi="Arial" w:cs="Arial"/>
          <w:sz w:val="18"/>
          <w:szCs w:val="18"/>
        </w:rPr>
        <w:t>ent and non-management</w:t>
      </w:r>
      <w:r>
        <w:rPr>
          <w:rFonts w:ascii="Arial" w:eastAsia="Arial" w:hAnsi="Arial" w:cs="Arial"/>
          <w:b/>
          <w:bCs/>
          <w:sz w:val="18"/>
          <w:szCs w:val="18"/>
        </w:rPr>
        <w:t xml:space="preserve"> </w:t>
      </w:r>
      <w:r>
        <w:rPr>
          <w:rFonts w:ascii="Arial" w:eastAsia="Arial" w:hAnsi="Arial" w:cs="Arial"/>
          <w:sz w:val="18"/>
          <w:szCs w:val="18"/>
        </w:rPr>
        <w:t>directors meet regularly in executive session. The executive sessions are attended only by the independent and non-management directors and are presided over by the independent Chairman. Our independent directors also meet in executi</w:t>
      </w:r>
      <w:r>
        <w:rPr>
          <w:rFonts w:ascii="Arial" w:eastAsia="Arial" w:hAnsi="Arial" w:cs="Arial"/>
          <w:sz w:val="18"/>
          <w:szCs w:val="18"/>
        </w:rPr>
        <w:t>ve session at least once per year.</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34" w:lineRule="exact"/>
        <w:rPr>
          <w:sz w:val="20"/>
          <w:szCs w:val="20"/>
        </w:rPr>
      </w:pPr>
    </w:p>
    <w:p w:rsidR="00A621E3" w:rsidRDefault="00EC630E">
      <w:pPr>
        <w:numPr>
          <w:ilvl w:val="0"/>
          <w:numId w:val="27"/>
        </w:numPr>
        <w:tabs>
          <w:tab w:val="left" w:pos="192"/>
        </w:tabs>
        <w:spacing w:line="269" w:lineRule="auto"/>
        <w:ind w:left="192" w:right="20" w:hanging="192"/>
        <w:jc w:val="both"/>
        <w:rPr>
          <w:rFonts w:ascii="Arial" w:eastAsia="Arial" w:hAnsi="Arial" w:cs="Arial"/>
          <w:color w:val="CF0A2C"/>
          <w:sz w:val="18"/>
          <w:szCs w:val="18"/>
        </w:rPr>
      </w:pPr>
      <w:r>
        <w:rPr>
          <w:rFonts w:ascii="Arial" w:eastAsia="Arial" w:hAnsi="Arial" w:cs="Arial"/>
          <w:b/>
          <w:bCs/>
          <w:sz w:val="18"/>
          <w:szCs w:val="18"/>
        </w:rPr>
        <w:t xml:space="preserve">Board and Committee Evaluations. </w:t>
      </w:r>
      <w:r>
        <w:rPr>
          <w:rFonts w:ascii="Arial" w:eastAsia="Arial" w:hAnsi="Arial" w:cs="Arial"/>
          <w:sz w:val="18"/>
          <w:szCs w:val="18"/>
        </w:rPr>
        <w:t>The Board recognizes that</w:t>
      </w:r>
      <w:r>
        <w:rPr>
          <w:rFonts w:ascii="Arial" w:eastAsia="Arial" w:hAnsi="Arial" w:cs="Arial"/>
          <w:b/>
          <w:bCs/>
          <w:sz w:val="18"/>
          <w:szCs w:val="18"/>
        </w:rPr>
        <w:t xml:space="preserve"> </w:t>
      </w:r>
      <w:r>
        <w:rPr>
          <w:rFonts w:ascii="Arial" w:eastAsia="Arial" w:hAnsi="Arial" w:cs="Arial"/>
          <w:sz w:val="18"/>
          <w:szCs w:val="18"/>
        </w:rPr>
        <w:t xml:space="preserve">a thorough, constructive evaluation process enhances our Board’s effectiveness and is an essential element of good corporate governance. Each year, the </w:t>
      </w:r>
      <w:r>
        <w:rPr>
          <w:rFonts w:ascii="Arial" w:eastAsia="Arial" w:hAnsi="Arial" w:cs="Arial"/>
          <w:sz w:val="18"/>
          <w:szCs w:val="18"/>
        </w:rPr>
        <w:t xml:space="preserve">Nominating and Governance Committee oversees the design and implementation of the evaluation process, focused on the Board’s contribution to the Company and on areas in which the Board believes a better contribution could be made. In addition, each of the </w:t>
      </w:r>
      <w:r>
        <w:rPr>
          <w:rFonts w:ascii="Arial" w:eastAsia="Arial" w:hAnsi="Arial" w:cs="Arial"/>
          <w:sz w:val="18"/>
          <w:szCs w:val="18"/>
        </w:rPr>
        <w:t xml:space="preserve">Audit Committee, the Compensation Committee, the Nominating and Governance Committee and the Food Safety and Sustainability Committee also conducts a similar annual self-evaluation pursuant to their respective charters. Written questionnaires completed by </w:t>
      </w:r>
      <w:r>
        <w:rPr>
          <w:rFonts w:ascii="Arial" w:eastAsia="Arial" w:hAnsi="Arial" w:cs="Arial"/>
          <w:sz w:val="18"/>
          <w:szCs w:val="18"/>
        </w:rPr>
        <w:t>each director, as well as discussions with selected directors, solicit feedback on a wide range of issues, including Board/committee composition and leadership, meetings, responsibilities and overall effectiveness. A summary of the Board and committee eval</w:t>
      </w:r>
      <w:r>
        <w:rPr>
          <w:rFonts w:ascii="Arial" w:eastAsia="Arial" w:hAnsi="Arial" w:cs="Arial"/>
          <w:sz w:val="18"/>
          <w:szCs w:val="18"/>
        </w:rPr>
        <w:t>uation results is discussed with the Board and with the respective committees, and policies and practices are updated in response</w:t>
      </w:r>
    </w:p>
    <w:p w:rsidR="00A621E3" w:rsidRDefault="00A621E3">
      <w:pPr>
        <w:spacing w:line="235"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88"/>
            <w:col w:w="5352"/>
          </w:cols>
        </w:sectPr>
      </w:pPr>
    </w:p>
    <w:p w:rsidR="00A621E3" w:rsidRDefault="00A621E3">
      <w:pPr>
        <w:spacing w:line="37"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15</w:t>
      </w:r>
    </w:p>
    <w:p w:rsidR="00A621E3" w:rsidRDefault="00EC630E">
      <w:pPr>
        <w:spacing w:line="20" w:lineRule="exact"/>
        <w:rPr>
          <w:sz w:val="20"/>
          <w:szCs w:val="20"/>
        </w:rPr>
      </w:pPr>
      <w:r>
        <w:rPr>
          <w:noProof/>
          <w:sz w:val="20"/>
          <w:szCs w:val="20"/>
        </w:rPr>
        <w:drawing>
          <wp:anchor distT="0" distB="0" distL="114300" distR="114300" simplePos="0" relativeHeight="251529216"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21" w:name="page21"/>
      <w:bookmarkEnd w:id="21"/>
      <w:r>
        <w:rPr>
          <w:rFonts w:ascii="Arial" w:eastAsia="Arial" w:hAnsi="Arial" w:cs="Arial"/>
          <w:b/>
          <w:bCs/>
          <w:color w:val="0000EE"/>
          <w:sz w:val="18"/>
          <w:szCs w:val="18"/>
          <w:u w:val="single"/>
        </w:rPr>
        <w:lastRenderedPageBreak/>
        <w:t>Table of Contents</w:t>
      </w:r>
    </w:p>
    <w:p w:rsidR="00A621E3" w:rsidRDefault="00A621E3">
      <w:pPr>
        <w:spacing w:line="387" w:lineRule="exact"/>
        <w:rPr>
          <w:sz w:val="20"/>
          <w:szCs w:val="20"/>
        </w:rPr>
      </w:pPr>
    </w:p>
    <w:p w:rsidR="00A621E3" w:rsidRDefault="00EC630E">
      <w:pPr>
        <w:ind w:left="200"/>
        <w:rPr>
          <w:sz w:val="20"/>
          <w:szCs w:val="20"/>
        </w:rPr>
      </w:pPr>
      <w:r>
        <w:rPr>
          <w:rFonts w:ascii="Arial" w:eastAsia="Arial" w:hAnsi="Arial" w:cs="Arial"/>
          <w:b/>
          <w:bCs/>
          <w:color w:val="FFFFFF"/>
          <w:sz w:val="16"/>
          <w:szCs w:val="16"/>
          <w:shd w:val="clear" w:color="auto" w:fill="CF0A2C"/>
        </w:rPr>
        <w:t>GOVERNANCE OF TH</w:t>
      </w:r>
      <w:r>
        <w:rPr>
          <w:rFonts w:ascii="Arial" w:eastAsia="Arial" w:hAnsi="Arial" w:cs="Arial"/>
          <w:b/>
          <w:bCs/>
          <w:color w:val="FFFFFF"/>
          <w:sz w:val="16"/>
          <w:szCs w:val="16"/>
          <w:shd w:val="clear" w:color="auto" w:fill="CF0A2C"/>
        </w:rPr>
        <w:t>E COMPANY</w:t>
      </w:r>
    </w:p>
    <w:p w:rsidR="00A621E3" w:rsidRDefault="00A621E3">
      <w:pPr>
        <w:spacing w:line="263" w:lineRule="exact"/>
        <w:rPr>
          <w:sz w:val="20"/>
          <w:szCs w:val="20"/>
        </w:rPr>
      </w:pPr>
    </w:p>
    <w:p w:rsidR="00A621E3" w:rsidRDefault="00EC630E">
      <w:pPr>
        <w:spacing w:line="269" w:lineRule="auto"/>
        <w:ind w:left="320" w:right="20"/>
        <w:jc w:val="both"/>
        <w:rPr>
          <w:sz w:val="20"/>
          <w:szCs w:val="20"/>
        </w:rPr>
      </w:pPr>
      <w:r>
        <w:rPr>
          <w:rFonts w:ascii="Arial" w:eastAsia="Arial" w:hAnsi="Arial" w:cs="Arial"/>
          <w:sz w:val="19"/>
          <w:szCs w:val="19"/>
        </w:rPr>
        <w:t>to the evaluation results. Director suggestions for improvements to evaluation questionnaires and processes are considered for incorporation for the following year.</w:t>
      </w:r>
    </w:p>
    <w:p w:rsidR="00A621E3" w:rsidRDefault="00A621E3">
      <w:pPr>
        <w:spacing w:line="191" w:lineRule="exact"/>
        <w:rPr>
          <w:sz w:val="20"/>
          <w:szCs w:val="20"/>
        </w:rPr>
      </w:pPr>
    </w:p>
    <w:p w:rsidR="00A621E3" w:rsidRDefault="00EC630E">
      <w:pPr>
        <w:numPr>
          <w:ilvl w:val="0"/>
          <w:numId w:val="28"/>
        </w:numPr>
        <w:tabs>
          <w:tab w:val="left" w:pos="360"/>
        </w:tabs>
        <w:spacing w:line="262" w:lineRule="auto"/>
        <w:ind w:left="360" w:hanging="190"/>
        <w:jc w:val="both"/>
        <w:rPr>
          <w:rFonts w:ascii="Arial" w:eastAsia="Arial" w:hAnsi="Arial" w:cs="Arial"/>
          <w:color w:val="CF0A2C"/>
          <w:sz w:val="19"/>
          <w:szCs w:val="19"/>
        </w:rPr>
      </w:pPr>
      <w:r>
        <w:rPr>
          <w:rFonts w:ascii="Arial" w:eastAsia="Arial" w:hAnsi="Arial" w:cs="Arial"/>
          <w:b/>
          <w:bCs/>
          <w:sz w:val="19"/>
          <w:szCs w:val="19"/>
        </w:rPr>
        <w:t xml:space="preserve">Retirement Policy. </w:t>
      </w:r>
      <w:r>
        <w:rPr>
          <w:rFonts w:ascii="Arial" w:eastAsia="Arial" w:hAnsi="Arial" w:cs="Arial"/>
          <w:sz w:val="19"/>
          <w:szCs w:val="19"/>
        </w:rPr>
        <w:t>Pursuant to our Corporate Governance</w:t>
      </w:r>
      <w:r>
        <w:rPr>
          <w:rFonts w:ascii="Arial" w:eastAsia="Arial" w:hAnsi="Arial" w:cs="Arial"/>
          <w:b/>
          <w:bCs/>
          <w:sz w:val="19"/>
          <w:szCs w:val="19"/>
        </w:rPr>
        <w:t xml:space="preserve"> </w:t>
      </w:r>
      <w:r>
        <w:rPr>
          <w:rFonts w:ascii="Arial" w:eastAsia="Arial" w:hAnsi="Arial" w:cs="Arial"/>
          <w:sz w:val="19"/>
          <w:szCs w:val="19"/>
        </w:rPr>
        <w:t>Principles, independent</w:t>
      </w:r>
      <w:r>
        <w:rPr>
          <w:rFonts w:ascii="Arial" w:eastAsia="Arial" w:hAnsi="Arial" w:cs="Arial"/>
          <w:sz w:val="19"/>
          <w:szCs w:val="19"/>
        </w:rPr>
        <w:t xml:space="preserve"> or non-management directors may not stand for re-election to the Board after they have reached the age of 75, unless the Board unanimously elects to have the director stand for re-election.</w:t>
      </w:r>
    </w:p>
    <w:p w:rsidR="00A621E3" w:rsidRDefault="00A621E3">
      <w:pPr>
        <w:spacing w:line="197" w:lineRule="exact"/>
        <w:rPr>
          <w:rFonts w:ascii="Arial" w:eastAsia="Arial" w:hAnsi="Arial" w:cs="Arial"/>
          <w:color w:val="CF0A2C"/>
          <w:sz w:val="19"/>
          <w:szCs w:val="19"/>
        </w:rPr>
      </w:pPr>
    </w:p>
    <w:p w:rsidR="00A621E3" w:rsidRDefault="00EC630E">
      <w:pPr>
        <w:numPr>
          <w:ilvl w:val="0"/>
          <w:numId w:val="28"/>
        </w:numPr>
        <w:tabs>
          <w:tab w:val="left" w:pos="360"/>
        </w:tabs>
        <w:spacing w:line="256" w:lineRule="auto"/>
        <w:ind w:left="360" w:hanging="190"/>
        <w:jc w:val="both"/>
        <w:rPr>
          <w:rFonts w:ascii="Arial" w:eastAsia="Arial" w:hAnsi="Arial" w:cs="Arial"/>
          <w:color w:val="CF0A2C"/>
          <w:sz w:val="19"/>
          <w:szCs w:val="19"/>
        </w:rPr>
      </w:pPr>
      <w:r>
        <w:rPr>
          <w:rFonts w:ascii="Arial" w:eastAsia="Arial" w:hAnsi="Arial" w:cs="Arial"/>
          <w:b/>
          <w:bCs/>
          <w:sz w:val="19"/>
          <w:szCs w:val="19"/>
        </w:rPr>
        <w:t xml:space="preserve">Limits on Director Service on Other Public Company Boards. </w:t>
      </w:r>
      <w:r>
        <w:rPr>
          <w:rFonts w:ascii="Arial" w:eastAsia="Arial" w:hAnsi="Arial" w:cs="Arial"/>
          <w:sz w:val="19"/>
          <w:szCs w:val="19"/>
        </w:rPr>
        <w:t>Our C</w:t>
      </w:r>
      <w:r>
        <w:rPr>
          <w:rFonts w:ascii="Arial" w:eastAsia="Arial" w:hAnsi="Arial" w:cs="Arial"/>
          <w:sz w:val="19"/>
          <w:szCs w:val="19"/>
        </w:rPr>
        <w:t>orporate Governance Principles provide that</w:t>
      </w:r>
      <w:r>
        <w:rPr>
          <w:rFonts w:ascii="Arial" w:eastAsia="Arial" w:hAnsi="Arial" w:cs="Arial"/>
          <w:b/>
          <w:bCs/>
          <w:sz w:val="19"/>
          <w:szCs w:val="19"/>
        </w:rPr>
        <w:t xml:space="preserve"> </w:t>
      </w:r>
      <w:r>
        <w:rPr>
          <w:rFonts w:ascii="Arial" w:eastAsia="Arial" w:hAnsi="Arial" w:cs="Arial"/>
          <w:sz w:val="19"/>
          <w:szCs w:val="19"/>
        </w:rPr>
        <w:t xml:space="preserve">directors may serve on no more than four other public company boards. The Company’s Chief Executive Officer, if a director, may serve on no more than one other public company board. All directors are expected to </w:t>
      </w:r>
      <w:r>
        <w:rPr>
          <w:rFonts w:ascii="Arial" w:eastAsia="Arial" w:hAnsi="Arial" w:cs="Arial"/>
          <w:sz w:val="19"/>
          <w:szCs w:val="19"/>
        </w:rPr>
        <w:t>advise the Chairman and the Chair of the Nominating and Governance Committee prior to accepting any other public company directorship or any assignment to the audit committee or compensation committee of other public company boards.</w:t>
      </w:r>
    </w:p>
    <w:p w:rsidR="00A621E3" w:rsidRDefault="00A621E3">
      <w:pPr>
        <w:spacing w:line="207" w:lineRule="exact"/>
        <w:rPr>
          <w:rFonts w:ascii="Arial" w:eastAsia="Arial" w:hAnsi="Arial" w:cs="Arial"/>
          <w:color w:val="CF0A2C"/>
          <w:sz w:val="19"/>
          <w:szCs w:val="19"/>
        </w:rPr>
      </w:pPr>
    </w:p>
    <w:p w:rsidR="00A621E3" w:rsidRDefault="00EC630E">
      <w:pPr>
        <w:numPr>
          <w:ilvl w:val="0"/>
          <w:numId w:val="28"/>
        </w:numPr>
        <w:tabs>
          <w:tab w:val="left" w:pos="360"/>
        </w:tabs>
        <w:spacing w:line="274" w:lineRule="auto"/>
        <w:ind w:left="360" w:hanging="190"/>
        <w:jc w:val="both"/>
        <w:rPr>
          <w:rFonts w:ascii="Arial" w:eastAsia="Arial" w:hAnsi="Arial" w:cs="Arial"/>
          <w:color w:val="CF0A2C"/>
          <w:sz w:val="18"/>
          <w:szCs w:val="18"/>
        </w:rPr>
      </w:pPr>
      <w:r>
        <w:rPr>
          <w:rFonts w:ascii="Arial" w:eastAsia="Arial" w:hAnsi="Arial" w:cs="Arial"/>
          <w:b/>
          <w:bCs/>
          <w:sz w:val="18"/>
          <w:szCs w:val="18"/>
        </w:rPr>
        <w:t>Majority Voting Policy</w:t>
      </w:r>
      <w:r>
        <w:rPr>
          <w:rFonts w:ascii="Arial" w:eastAsia="Arial" w:hAnsi="Arial" w:cs="Arial"/>
          <w:b/>
          <w:bCs/>
          <w:sz w:val="18"/>
          <w:szCs w:val="18"/>
        </w:rPr>
        <w:t xml:space="preserve">. </w:t>
      </w:r>
      <w:r>
        <w:rPr>
          <w:rFonts w:ascii="Arial" w:eastAsia="Arial" w:hAnsi="Arial" w:cs="Arial"/>
          <w:sz w:val="18"/>
          <w:szCs w:val="18"/>
        </w:rPr>
        <w:t>Our Bylaws require majority voting</w:t>
      </w:r>
      <w:r>
        <w:rPr>
          <w:rFonts w:ascii="Arial" w:eastAsia="Arial" w:hAnsi="Arial" w:cs="Arial"/>
          <w:b/>
          <w:bCs/>
          <w:sz w:val="18"/>
          <w:szCs w:val="18"/>
        </w:rPr>
        <w:t xml:space="preserve"> </w:t>
      </w:r>
      <w:r>
        <w:rPr>
          <w:rFonts w:ascii="Arial" w:eastAsia="Arial" w:hAnsi="Arial" w:cs="Arial"/>
          <w:sz w:val="18"/>
          <w:szCs w:val="18"/>
        </w:rPr>
        <w:t>for the election of directors in uncontested elections. This means that director nominees in an uncontested election for directors must receive a number of votes “FOR” their election in excess of 50% of the number of vo</w:t>
      </w:r>
      <w:r>
        <w:rPr>
          <w:rFonts w:ascii="Arial" w:eastAsia="Arial" w:hAnsi="Arial" w:cs="Arial"/>
          <w:sz w:val="18"/>
          <w:szCs w:val="18"/>
        </w:rPr>
        <w:t>tes cast with respect to that director’s election. The Corporate Governance Principles further provide that any incumbent director who does not receive a majority of “FOR” votes will promptly tender to the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0" w:lineRule="exact"/>
        <w:rPr>
          <w:sz w:val="20"/>
          <w:szCs w:val="20"/>
        </w:rPr>
      </w:pPr>
    </w:p>
    <w:p w:rsidR="00A621E3" w:rsidRDefault="00EC630E">
      <w:pPr>
        <w:spacing w:line="273" w:lineRule="auto"/>
        <w:ind w:left="152" w:right="20"/>
        <w:jc w:val="both"/>
        <w:rPr>
          <w:sz w:val="20"/>
          <w:szCs w:val="20"/>
        </w:rPr>
      </w:pPr>
      <w:r>
        <w:rPr>
          <w:rFonts w:ascii="Arial" w:eastAsia="Arial" w:hAnsi="Arial" w:cs="Arial"/>
          <w:sz w:val="18"/>
          <w:szCs w:val="18"/>
        </w:rPr>
        <w:t>Board his or her resignation from the Board</w:t>
      </w:r>
      <w:r>
        <w:rPr>
          <w:rFonts w:ascii="Arial" w:eastAsia="Arial" w:hAnsi="Arial" w:cs="Arial"/>
          <w:sz w:val="18"/>
          <w:szCs w:val="18"/>
        </w:rPr>
        <w:t>. The resignation will specify that it is effective upon the Board’s acceptance of the resignation. The Board will, through a process managed by the Nominating and Governance Committee and excluding the nominee in question, accept or reject the resignation</w:t>
      </w:r>
      <w:r>
        <w:rPr>
          <w:rFonts w:ascii="Arial" w:eastAsia="Arial" w:hAnsi="Arial" w:cs="Arial"/>
          <w:sz w:val="18"/>
          <w:szCs w:val="18"/>
        </w:rPr>
        <w:t xml:space="preserve"> and publicly disclose the Board’s decision regarding the resignation and the rationale behind the decision within 90 days from the date of the certification of the election results.</w:t>
      </w:r>
    </w:p>
    <w:p w:rsidR="00A621E3" w:rsidRDefault="00EC630E">
      <w:pPr>
        <w:spacing w:line="20" w:lineRule="exact"/>
        <w:rPr>
          <w:sz w:val="20"/>
          <w:szCs w:val="20"/>
        </w:rPr>
      </w:pPr>
      <w:r>
        <w:rPr>
          <w:noProof/>
          <w:sz w:val="20"/>
          <w:szCs w:val="20"/>
        </w:rPr>
        <w:drawing>
          <wp:anchor distT="0" distB="0" distL="114300" distR="114300" simplePos="0" relativeHeight="251530240" behindDoc="1" locked="0" layoutInCell="0" allowOverlap="1">
            <wp:simplePos x="0" y="0"/>
            <wp:positionH relativeFrom="column">
              <wp:posOffset>-3682365</wp:posOffset>
            </wp:positionH>
            <wp:positionV relativeFrom="paragraph">
              <wp:posOffset>-2076450</wp:posOffset>
            </wp:positionV>
            <wp:extent cx="7174865" cy="5588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p>
    <w:p w:rsidR="00A621E3" w:rsidRDefault="00A621E3">
      <w:pPr>
        <w:spacing w:line="169" w:lineRule="exact"/>
        <w:rPr>
          <w:sz w:val="20"/>
          <w:szCs w:val="20"/>
        </w:rPr>
      </w:pPr>
    </w:p>
    <w:p w:rsidR="00A621E3" w:rsidRDefault="00EC630E">
      <w:pPr>
        <w:numPr>
          <w:ilvl w:val="0"/>
          <w:numId w:val="29"/>
        </w:numPr>
        <w:tabs>
          <w:tab w:val="left" w:pos="192"/>
        </w:tabs>
        <w:spacing w:line="245" w:lineRule="auto"/>
        <w:ind w:left="192" w:right="20" w:hanging="192"/>
        <w:jc w:val="both"/>
        <w:rPr>
          <w:rFonts w:ascii="Arial" w:eastAsia="Arial" w:hAnsi="Arial" w:cs="Arial"/>
          <w:color w:val="CF0A2C"/>
          <w:sz w:val="20"/>
          <w:szCs w:val="20"/>
        </w:rPr>
      </w:pPr>
      <w:r>
        <w:rPr>
          <w:rFonts w:ascii="Arial" w:eastAsia="Arial" w:hAnsi="Arial" w:cs="Arial"/>
          <w:b/>
          <w:bCs/>
          <w:sz w:val="20"/>
          <w:szCs w:val="20"/>
        </w:rPr>
        <w:t xml:space="preserve">Access to Management and Employees. </w:t>
      </w:r>
      <w:r>
        <w:rPr>
          <w:rFonts w:ascii="Arial" w:eastAsia="Arial" w:hAnsi="Arial" w:cs="Arial"/>
          <w:sz w:val="20"/>
          <w:szCs w:val="20"/>
        </w:rPr>
        <w:t>Our directors have</w:t>
      </w:r>
      <w:r>
        <w:rPr>
          <w:rFonts w:ascii="Arial" w:eastAsia="Arial" w:hAnsi="Arial" w:cs="Arial"/>
          <w:b/>
          <w:bCs/>
          <w:sz w:val="20"/>
          <w:szCs w:val="20"/>
        </w:rPr>
        <w:t xml:space="preserve"> </w:t>
      </w:r>
      <w:r>
        <w:rPr>
          <w:rFonts w:ascii="Arial" w:eastAsia="Arial" w:hAnsi="Arial" w:cs="Arial"/>
          <w:sz w:val="20"/>
          <w:szCs w:val="20"/>
        </w:rPr>
        <w:t xml:space="preserve">complete and </w:t>
      </w:r>
      <w:r>
        <w:rPr>
          <w:rFonts w:ascii="Arial" w:eastAsia="Arial" w:hAnsi="Arial" w:cs="Arial"/>
          <w:sz w:val="20"/>
          <w:szCs w:val="20"/>
        </w:rPr>
        <w:t>open access to senior members of management. Our Chief Executive Officer invites key employees of the Company to attend Board sessions at which the Chief Executive Officer believes they can meaningfully contribute to Board discussion.</w:t>
      </w:r>
    </w:p>
    <w:p w:rsidR="00A621E3" w:rsidRDefault="00A621E3">
      <w:pPr>
        <w:spacing w:line="211" w:lineRule="exact"/>
        <w:rPr>
          <w:rFonts w:ascii="Arial" w:eastAsia="Arial" w:hAnsi="Arial" w:cs="Arial"/>
          <w:color w:val="CF0A2C"/>
          <w:sz w:val="20"/>
          <w:szCs w:val="20"/>
        </w:rPr>
      </w:pPr>
    </w:p>
    <w:p w:rsidR="00A621E3" w:rsidRDefault="00EC630E">
      <w:pPr>
        <w:numPr>
          <w:ilvl w:val="0"/>
          <w:numId w:val="29"/>
        </w:numPr>
        <w:tabs>
          <w:tab w:val="left" w:pos="192"/>
        </w:tabs>
        <w:spacing w:line="270" w:lineRule="auto"/>
        <w:ind w:left="192" w:right="20" w:hanging="192"/>
        <w:jc w:val="both"/>
        <w:rPr>
          <w:rFonts w:ascii="Arial" w:eastAsia="Arial" w:hAnsi="Arial" w:cs="Arial"/>
          <w:color w:val="CF0A2C"/>
          <w:sz w:val="18"/>
          <w:szCs w:val="18"/>
        </w:rPr>
      </w:pPr>
      <w:r>
        <w:rPr>
          <w:rFonts w:ascii="Arial" w:eastAsia="Arial" w:hAnsi="Arial" w:cs="Arial"/>
          <w:b/>
          <w:bCs/>
          <w:sz w:val="18"/>
          <w:szCs w:val="18"/>
        </w:rPr>
        <w:t>Access to Outside Ad</w:t>
      </w:r>
      <w:r>
        <w:rPr>
          <w:rFonts w:ascii="Arial" w:eastAsia="Arial" w:hAnsi="Arial" w:cs="Arial"/>
          <w:b/>
          <w:bCs/>
          <w:sz w:val="18"/>
          <w:szCs w:val="18"/>
        </w:rPr>
        <w:t xml:space="preserve">visors. </w:t>
      </w:r>
      <w:r>
        <w:rPr>
          <w:rFonts w:ascii="Arial" w:eastAsia="Arial" w:hAnsi="Arial" w:cs="Arial"/>
          <w:sz w:val="18"/>
          <w:szCs w:val="18"/>
        </w:rPr>
        <w:t>The Board and Board committees</w:t>
      </w:r>
      <w:r>
        <w:rPr>
          <w:rFonts w:ascii="Arial" w:eastAsia="Arial" w:hAnsi="Arial" w:cs="Arial"/>
          <w:b/>
          <w:bCs/>
          <w:sz w:val="18"/>
          <w:szCs w:val="18"/>
        </w:rPr>
        <w:t xml:space="preserve"> </w:t>
      </w:r>
      <w:r>
        <w:rPr>
          <w:rFonts w:ascii="Arial" w:eastAsia="Arial" w:hAnsi="Arial" w:cs="Arial"/>
          <w:sz w:val="18"/>
          <w:szCs w:val="18"/>
        </w:rPr>
        <w:t>have the right to consult and retain independent legal and other advisors at the expense of the Company. The Audit Committee has the sole authority to appoint and replace the independent auditors, subject to stockhold</w:t>
      </w:r>
      <w:r>
        <w:rPr>
          <w:rFonts w:ascii="Arial" w:eastAsia="Arial" w:hAnsi="Arial" w:cs="Arial"/>
          <w:sz w:val="18"/>
          <w:szCs w:val="18"/>
        </w:rPr>
        <w:t>er approval. The Compensation Committee has the sole authority to retain any advisor to assist it in the performance of its duties, after taking into consideration all factors relevant to the advisor’s independence from management. The Nominating and Gover</w:t>
      </w:r>
      <w:r>
        <w:rPr>
          <w:rFonts w:ascii="Arial" w:eastAsia="Arial" w:hAnsi="Arial" w:cs="Arial"/>
          <w:sz w:val="18"/>
          <w:szCs w:val="18"/>
        </w:rPr>
        <w:t>nance Committee has the sole authority to retain search firms to be used to identify director candidates. The Food Safety and Sustainability Committee has the authority to consult and retain any advisor to assist it in connection with the exercise of its r</w:t>
      </w:r>
      <w:r>
        <w:rPr>
          <w:rFonts w:ascii="Arial" w:eastAsia="Arial" w:hAnsi="Arial" w:cs="Arial"/>
          <w:sz w:val="18"/>
          <w:szCs w:val="18"/>
        </w:rPr>
        <w:t>esponsibilities and authority.</w:t>
      </w:r>
    </w:p>
    <w:p w:rsidR="00A621E3" w:rsidRDefault="00A621E3">
      <w:pPr>
        <w:spacing w:line="200" w:lineRule="exact"/>
        <w:rPr>
          <w:sz w:val="20"/>
          <w:szCs w:val="20"/>
        </w:rPr>
      </w:pPr>
    </w:p>
    <w:p w:rsidR="00A621E3" w:rsidRDefault="00A621E3">
      <w:pPr>
        <w:sectPr w:rsidR="00A621E3">
          <w:pgSz w:w="11900" w:h="16838"/>
          <w:pgMar w:top="486" w:right="439" w:bottom="1440" w:left="320" w:header="0" w:footer="0" w:gutter="0"/>
          <w:cols w:num="2" w:space="720" w:equalWidth="0">
            <w:col w:w="5400" w:space="388"/>
            <w:col w:w="5352"/>
          </w:cols>
        </w:sectPr>
      </w:pPr>
    </w:p>
    <w:p w:rsidR="00A621E3" w:rsidRDefault="00A621E3">
      <w:pPr>
        <w:spacing w:line="388" w:lineRule="exact"/>
        <w:rPr>
          <w:sz w:val="20"/>
          <w:szCs w:val="20"/>
        </w:rPr>
      </w:pPr>
    </w:p>
    <w:p w:rsidR="00A621E3" w:rsidRDefault="00EC630E">
      <w:pPr>
        <w:ind w:left="120"/>
        <w:rPr>
          <w:sz w:val="20"/>
          <w:szCs w:val="20"/>
        </w:rPr>
      </w:pPr>
      <w:r>
        <w:rPr>
          <w:rFonts w:ascii="Arial" w:eastAsia="Arial" w:hAnsi="Arial" w:cs="Arial"/>
          <w:b/>
          <w:bCs/>
          <w:color w:val="CF0A2C"/>
          <w:sz w:val="32"/>
          <w:szCs w:val="32"/>
        </w:rPr>
        <w:t>What is the Board’s role in risk oversight?</w:t>
      </w:r>
    </w:p>
    <w:p w:rsidR="00A621E3" w:rsidRDefault="00EC630E">
      <w:pPr>
        <w:spacing w:line="20" w:lineRule="exact"/>
        <w:rPr>
          <w:sz w:val="20"/>
          <w:szCs w:val="20"/>
        </w:rPr>
      </w:pPr>
      <w:r>
        <w:rPr>
          <w:noProof/>
          <w:sz w:val="20"/>
          <w:szCs w:val="20"/>
        </w:rPr>
        <w:drawing>
          <wp:anchor distT="0" distB="0" distL="114300" distR="114300" simplePos="0" relativeHeight="251531264"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91" w:lineRule="exact"/>
        <w:rPr>
          <w:sz w:val="20"/>
          <w:szCs w:val="20"/>
        </w:rPr>
      </w:pPr>
    </w:p>
    <w:p w:rsidR="00A621E3" w:rsidRDefault="00EC630E">
      <w:pPr>
        <w:spacing w:line="276" w:lineRule="auto"/>
        <w:ind w:left="120"/>
        <w:jc w:val="both"/>
        <w:rPr>
          <w:sz w:val="20"/>
          <w:szCs w:val="20"/>
        </w:rPr>
      </w:pPr>
      <w:r>
        <w:rPr>
          <w:rFonts w:ascii="Arial" w:eastAsia="Arial" w:hAnsi="Arial" w:cs="Arial"/>
          <w:sz w:val="18"/>
          <w:szCs w:val="18"/>
        </w:rPr>
        <w:t>The Board maintains overall responsibility for overseeing the Company’s risk management framework. The Board regularly review</w:t>
      </w:r>
      <w:r>
        <w:rPr>
          <w:rFonts w:ascii="Arial" w:eastAsia="Arial" w:hAnsi="Arial" w:cs="Arial"/>
          <w:sz w:val="18"/>
          <w:szCs w:val="18"/>
        </w:rPr>
        <w:t>s risks that may be material to the Company. In furtherance of its responsibility, the Board has delegated specific risk-related responsibilities to the Audit Committee, the Compensation Committee and the Food Safety and Sustainability Committee.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71" w:lineRule="exact"/>
        <w:rPr>
          <w:sz w:val="20"/>
          <w:szCs w:val="20"/>
        </w:rPr>
      </w:pPr>
    </w:p>
    <w:p w:rsidR="00A621E3" w:rsidRDefault="00EC630E">
      <w:pPr>
        <w:spacing w:line="246" w:lineRule="auto"/>
        <w:jc w:val="both"/>
        <w:rPr>
          <w:sz w:val="20"/>
          <w:szCs w:val="20"/>
        </w:rPr>
      </w:pPr>
      <w:r>
        <w:rPr>
          <w:rFonts w:ascii="Arial" w:eastAsia="Arial" w:hAnsi="Arial" w:cs="Arial"/>
          <w:sz w:val="20"/>
          <w:szCs w:val="20"/>
        </w:rPr>
        <w:t xml:space="preserve">The </w:t>
      </w:r>
      <w:r>
        <w:rPr>
          <w:rFonts w:ascii="Arial" w:eastAsia="Arial" w:hAnsi="Arial" w:cs="Arial"/>
          <w:sz w:val="20"/>
          <w:szCs w:val="20"/>
        </w:rPr>
        <w:t>Board and its committees consult with external advisors and internal experts regarding anticipated future threats, trends and risks that may be applicable to our Company, our industry and our operations.</w:t>
      </w:r>
    </w:p>
    <w:p w:rsidR="00A621E3" w:rsidRDefault="00A621E3">
      <w:pPr>
        <w:spacing w:line="204" w:lineRule="exact"/>
        <w:rPr>
          <w:sz w:val="20"/>
          <w:szCs w:val="20"/>
        </w:rPr>
      </w:pPr>
    </w:p>
    <w:p w:rsidR="00A621E3" w:rsidRDefault="00EC630E">
      <w:pPr>
        <w:rPr>
          <w:sz w:val="20"/>
          <w:szCs w:val="20"/>
        </w:rPr>
      </w:pPr>
      <w:r>
        <w:rPr>
          <w:rFonts w:ascii="Arial" w:eastAsia="Arial" w:hAnsi="Arial" w:cs="Arial"/>
          <w:b/>
          <w:bCs/>
          <w:color w:val="CF0A2C"/>
          <w:sz w:val="25"/>
          <w:szCs w:val="25"/>
        </w:rPr>
        <w:t>Audit Committee</w:t>
      </w:r>
    </w:p>
    <w:p w:rsidR="00A621E3" w:rsidRDefault="00A621E3">
      <w:pPr>
        <w:spacing w:line="280" w:lineRule="exact"/>
        <w:rPr>
          <w:sz w:val="20"/>
          <w:szCs w:val="20"/>
        </w:rPr>
      </w:pPr>
    </w:p>
    <w:p w:rsidR="00A621E3" w:rsidRDefault="00EC630E">
      <w:pPr>
        <w:spacing w:line="260" w:lineRule="auto"/>
        <w:ind w:right="20"/>
        <w:jc w:val="both"/>
        <w:rPr>
          <w:sz w:val="20"/>
          <w:szCs w:val="20"/>
        </w:rPr>
      </w:pPr>
      <w:r>
        <w:rPr>
          <w:rFonts w:ascii="Arial" w:eastAsia="Arial" w:hAnsi="Arial" w:cs="Arial"/>
          <w:sz w:val="20"/>
          <w:szCs w:val="20"/>
        </w:rPr>
        <w:t>The Audit Committee engages in sub</w:t>
      </w:r>
      <w:r>
        <w:rPr>
          <w:rFonts w:ascii="Arial" w:eastAsia="Arial" w:hAnsi="Arial" w:cs="Arial"/>
          <w:sz w:val="20"/>
          <w:szCs w:val="20"/>
        </w:rPr>
        <w:t>stantive discussions with management regarding the Company’s major risk</w:t>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65" w:lineRule="exact"/>
        <w:rPr>
          <w:sz w:val="20"/>
          <w:szCs w:val="20"/>
        </w:rPr>
      </w:pPr>
    </w:p>
    <w:p w:rsidR="00A621E3" w:rsidRDefault="00EC630E">
      <w:pPr>
        <w:numPr>
          <w:ilvl w:val="0"/>
          <w:numId w:val="30"/>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53228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22" w:name="page22"/>
      <w:bookmarkEnd w:id="22"/>
      <w:r>
        <w:rPr>
          <w:rFonts w:ascii="Arial" w:eastAsia="Arial" w:hAnsi="Arial" w:cs="Arial"/>
          <w:b/>
          <w:bCs/>
          <w:color w:val="0000EE"/>
          <w:sz w:val="18"/>
          <w:szCs w:val="18"/>
          <w:u w:val="single"/>
        </w:rPr>
        <w:lastRenderedPageBreak/>
        <w:t>Table of Contents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3" w:lineRule="exact"/>
        <w:rPr>
          <w:sz w:val="20"/>
          <w:szCs w:val="20"/>
        </w:rPr>
      </w:pPr>
    </w:p>
    <w:p w:rsidR="00A621E3" w:rsidRDefault="00EC630E">
      <w:pPr>
        <w:spacing w:line="269" w:lineRule="auto"/>
        <w:ind w:left="120"/>
        <w:jc w:val="both"/>
        <w:rPr>
          <w:sz w:val="20"/>
          <w:szCs w:val="20"/>
        </w:rPr>
      </w:pPr>
      <w:r>
        <w:rPr>
          <w:rFonts w:ascii="Arial" w:eastAsia="Arial" w:hAnsi="Arial" w:cs="Arial"/>
          <w:sz w:val="18"/>
          <w:szCs w:val="18"/>
        </w:rPr>
        <w:t xml:space="preserve">exposures and the steps management has taken to monitor and control such </w:t>
      </w:r>
      <w:r>
        <w:rPr>
          <w:rFonts w:ascii="Arial" w:eastAsia="Arial" w:hAnsi="Arial" w:cs="Arial"/>
          <w:sz w:val="18"/>
          <w:szCs w:val="18"/>
        </w:rPr>
        <w:t>exposures, including the Company’s risk assessment and risk management policies. Our Head of Corporate Audit reports directly to the Audit Committee, as well as our Chief Financial Officer. The Audit Committee also receives reports at committee meetings re</w:t>
      </w:r>
      <w:r>
        <w:rPr>
          <w:rFonts w:ascii="Arial" w:eastAsia="Arial" w:hAnsi="Arial" w:cs="Arial"/>
          <w:sz w:val="18"/>
          <w:szCs w:val="18"/>
        </w:rPr>
        <w:t xml:space="preserve">garding legal and regulatory risks from management and meets periodically in separate executive sessions with our independent auditors and our Head of Corporate Audit. The Audit Committee periodically provides a summary to the full Board of the risk areas </w:t>
      </w:r>
      <w:r>
        <w:rPr>
          <w:rFonts w:ascii="Arial" w:eastAsia="Arial" w:hAnsi="Arial" w:cs="Arial"/>
          <w:sz w:val="18"/>
          <w:szCs w:val="18"/>
        </w:rPr>
        <w:t>reviewed together with any other risk-related subjects discussed at the Audit Committee meeting. Alternatively, the Board may review and discuss directly with management the major risks arising from the Company’s business and operations.</w:t>
      </w:r>
    </w:p>
    <w:p w:rsidR="00A621E3" w:rsidRDefault="00A621E3">
      <w:pPr>
        <w:spacing w:line="222" w:lineRule="exact"/>
        <w:rPr>
          <w:sz w:val="20"/>
          <w:szCs w:val="20"/>
        </w:rPr>
      </w:pPr>
    </w:p>
    <w:p w:rsidR="00A621E3" w:rsidRDefault="00EC630E">
      <w:pPr>
        <w:spacing w:line="242" w:lineRule="auto"/>
        <w:ind w:left="120"/>
        <w:jc w:val="both"/>
        <w:rPr>
          <w:sz w:val="20"/>
          <w:szCs w:val="20"/>
        </w:rPr>
      </w:pPr>
      <w:r>
        <w:rPr>
          <w:rFonts w:ascii="Arial" w:eastAsia="Arial" w:hAnsi="Arial" w:cs="Arial"/>
          <w:sz w:val="20"/>
          <w:szCs w:val="20"/>
        </w:rPr>
        <w:t xml:space="preserve">The Company also </w:t>
      </w:r>
      <w:r>
        <w:rPr>
          <w:rFonts w:ascii="Arial" w:eastAsia="Arial" w:hAnsi="Arial" w:cs="Arial"/>
          <w:sz w:val="20"/>
          <w:szCs w:val="20"/>
        </w:rPr>
        <w:t>maintains the Compliance Oversight Committee, a management-level committee, which is co-chaired by the Chief Legal Officer and the Chief Financial Officer of the Company and comprised of leaders from multiple functions. The Compliance Oversight Committee m</w:t>
      </w:r>
      <w:r>
        <w:rPr>
          <w:rFonts w:ascii="Arial" w:eastAsia="Arial" w:hAnsi="Arial" w:cs="Arial"/>
          <w:sz w:val="20"/>
          <w:szCs w:val="20"/>
        </w:rPr>
        <w:t>eets regularly to monitor and review the implementation of the Company’s compliance programs. The Chief Legal Officer reports regularly to the Audit Committee on the Company’s key risk areas and compliance programs.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4" w:lineRule="exact"/>
        <w:rPr>
          <w:sz w:val="20"/>
          <w:szCs w:val="20"/>
        </w:rPr>
      </w:pPr>
    </w:p>
    <w:p w:rsidR="00A621E3" w:rsidRDefault="00EC630E">
      <w:pPr>
        <w:ind w:left="2560"/>
        <w:rPr>
          <w:sz w:val="20"/>
          <w:szCs w:val="20"/>
        </w:rPr>
      </w:pPr>
      <w:r>
        <w:rPr>
          <w:rFonts w:ascii="Arial" w:eastAsia="Arial" w:hAnsi="Arial" w:cs="Arial"/>
          <w:b/>
          <w:bCs/>
          <w:color w:val="FFFFFF"/>
          <w:sz w:val="16"/>
          <w:szCs w:val="16"/>
        </w:rPr>
        <w:t>GOVERNANCE OF THE COMPANY</w:t>
      </w:r>
    </w:p>
    <w:p w:rsidR="00A621E3" w:rsidRDefault="00EC630E">
      <w:pPr>
        <w:spacing w:line="20" w:lineRule="exact"/>
        <w:rPr>
          <w:sz w:val="20"/>
          <w:szCs w:val="20"/>
        </w:rPr>
      </w:pPr>
      <w:r>
        <w:rPr>
          <w:noProof/>
          <w:sz w:val="20"/>
          <w:szCs w:val="20"/>
        </w:rPr>
        <w:drawing>
          <wp:anchor distT="0" distB="0" distL="114300" distR="114300" simplePos="0" relativeHeight="251533312" behindDoc="1" locked="0" layoutInCell="0" allowOverlap="1">
            <wp:simplePos x="0" y="0"/>
            <wp:positionH relativeFrom="column">
              <wp:posOffset>-3651885</wp:posOffset>
            </wp:positionH>
            <wp:positionV relativeFrom="paragraph">
              <wp:posOffset>-713105</wp:posOffset>
            </wp:positionV>
            <wp:extent cx="7174865" cy="5588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noProof/>
          <w:sz w:val="20"/>
          <w:szCs w:val="20"/>
        </w:rPr>
        <w:drawing>
          <wp:anchor distT="0" distB="0" distL="114300" distR="114300" simplePos="0" relativeHeight="251534336" behindDoc="1" locked="0" layoutInCell="0" allowOverlap="1">
            <wp:simplePos x="0" y="0"/>
            <wp:positionH relativeFrom="column">
              <wp:posOffset>1477645</wp:posOffset>
            </wp:positionH>
            <wp:positionV relativeFrom="paragraph">
              <wp:posOffset>-156210</wp:posOffset>
            </wp:positionV>
            <wp:extent cx="1945640" cy="20574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5">
                      <a:extLst/>
                    </a:blip>
                    <a:srcRect/>
                    <a:stretch>
                      <a:fillRect/>
                    </a:stretch>
                  </pic:blipFill>
                  <pic:spPr bwMode="auto">
                    <a:xfrm>
                      <a:off x="0" y="0"/>
                      <a:ext cx="1945640" cy="205740"/>
                    </a:xfrm>
                    <a:prstGeom prst="rect">
                      <a:avLst/>
                    </a:prstGeom>
                    <a:noFill/>
                  </pic:spPr>
                </pic:pic>
              </a:graphicData>
            </a:graphic>
          </wp:anchor>
        </w:drawing>
      </w:r>
    </w:p>
    <w:p w:rsidR="00A621E3" w:rsidRDefault="00A621E3">
      <w:pPr>
        <w:spacing w:line="229" w:lineRule="exact"/>
        <w:rPr>
          <w:sz w:val="20"/>
          <w:szCs w:val="20"/>
        </w:rPr>
      </w:pPr>
    </w:p>
    <w:p w:rsidR="00A621E3" w:rsidRDefault="00EC630E">
      <w:pPr>
        <w:rPr>
          <w:sz w:val="20"/>
          <w:szCs w:val="20"/>
        </w:rPr>
      </w:pPr>
      <w:r>
        <w:rPr>
          <w:rFonts w:ascii="Arial" w:eastAsia="Arial" w:hAnsi="Arial" w:cs="Arial"/>
          <w:b/>
          <w:bCs/>
          <w:color w:val="CF0A2C"/>
          <w:sz w:val="25"/>
          <w:szCs w:val="25"/>
        </w:rPr>
        <w:t>Compen</w:t>
      </w:r>
      <w:r>
        <w:rPr>
          <w:rFonts w:ascii="Arial" w:eastAsia="Arial" w:hAnsi="Arial" w:cs="Arial"/>
          <w:b/>
          <w:bCs/>
          <w:color w:val="CF0A2C"/>
          <w:sz w:val="25"/>
          <w:szCs w:val="25"/>
        </w:rPr>
        <w:t>sation Committee</w:t>
      </w:r>
    </w:p>
    <w:p w:rsidR="00A621E3" w:rsidRDefault="00A621E3">
      <w:pPr>
        <w:spacing w:line="280" w:lineRule="exact"/>
        <w:rPr>
          <w:sz w:val="20"/>
          <w:szCs w:val="20"/>
        </w:rPr>
      </w:pPr>
    </w:p>
    <w:p w:rsidR="00A621E3" w:rsidRDefault="00EC630E">
      <w:pPr>
        <w:spacing w:line="257" w:lineRule="auto"/>
        <w:jc w:val="both"/>
        <w:rPr>
          <w:sz w:val="20"/>
          <w:szCs w:val="20"/>
        </w:rPr>
      </w:pPr>
      <w:r>
        <w:rPr>
          <w:rFonts w:ascii="Arial" w:eastAsia="Arial" w:hAnsi="Arial" w:cs="Arial"/>
          <w:sz w:val="19"/>
          <w:szCs w:val="19"/>
        </w:rPr>
        <w:t xml:space="preserve">The Compensation Committee considers the risks that may be implicated by our compensation programs through a risk assessment conducted by management and reports its conclusions to the full Board. This oversight helps ensure the Company’s </w:t>
      </w:r>
      <w:r>
        <w:rPr>
          <w:rFonts w:ascii="Arial" w:eastAsia="Arial" w:hAnsi="Arial" w:cs="Arial"/>
          <w:sz w:val="19"/>
          <w:szCs w:val="19"/>
        </w:rPr>
        <w:t>compensation programs align with the Company’s goals and compensation philosophies and, along with other factors, operate to mitigate against the risk that such programs would encourage excessive or inappropriate risk-taking.</w:t>
      </w:r>
    </w:p>
    <w:p w:rsidR="00A621E3" w:rsidRDefault="00A621E3">
      <w:pPr>
        <w:spacing w:line="207" w:lineRule="exact"/>
        <w:rPr>
          <w:sz w:val="20"/>
          <w:szCs w:val="20"/>
        </w:rPr>
      </w:pPr>
    </w:p>
    <w:p w:rsidR="00A621E3" w:rsidRDefault="00EC630E">
      <w:pPr>
        <w:rPr>
          <w:sz w:val="20"/>
          <w:szCs w:val="20"/>
        </w:rPr>
      </w:pPr>
      <w:r>
        <w:rPr>
          <w:rFonts w:ascii="Arial" w:eastAsia="Arial" w:hAnsi="Arial" w:cs="Arial"/>
          <w:b/>
          <w:bCs/>
          <w:color w:val="CF0A2C"/>
          <w:sz w:val="25"/>
          <w:szCs w:val="25"/>
        </w:rPr>
        <w:t>Food Safety and Sustainabilit</w:t>
      </w:r>
      <w:r>
        <w:rPr>
          <w:rFonts w:ascii="Arial" w:eastAsia="Arial" w:hAnsi="Arial" w:cs="Arial"/>
          <w:b/>
          <w:bCs/>
          <w:color w:val="CF0A2C"/>
          <w:sz w:val="25"/>
          <w:szCs w:val="25"/>
        </w:rPr>
        <w:t>y Committee</w:t>
      </w:r>
    </w:p>
    <w:p w:rsidR="00A621E3" w:rsidRDefault="00A621E3">
      <w:pPr>
        <w:spacing w:line="266" w:lineRule="exact"/>
        <w:rPr>
          <w:sz w:val="20"/>
          <w:szCs w:val="20"/>
        </w:rPr>
      </w:pPr>
    </w:p>
    <w:p w:rsidR="00A621E3" w:rsidRDefault="00EC630E">
      <w:pPr>
        <w:spacing w:line="276" w:lineRule="auto"/>
        <w:jc w:val="both"/>
        <w:rPr>
          <w:sz w:val="20"/>
          <w:szCs w:val="20"/>
        </w:rPr>
      </w:pPr>
      <w:r>
        <w:rPr>
          <w:rFonts w:ascii="Arial" w:eastAsia="Arial" w:hAnsi="Arial" w:cs="Arial"/>
          <w:sz w:val="18"/>
          <w:szCs w:val="18"/>
        </w:rPr>
        <w:t>The Food Safety and Sustainability Committee assists the Board in its oversight of the Company’s practices, policies, procedures, strategies and initiatives relating to the protection of food safety. The Committee monitors trends, issues and c</w:t>
      </w:r>
      <w:r>
        <w:rPr>
          <w:rFonts w:ascii="Arial" w:eastAsia="Arial" w:hAnsi="Arial" w:cs="Arial"/>
          <w:sz w:val="18"/>
          <w:szCs w:val="18"/>
        </w:rPr>
        <w:t>oncerns affecting the Company’s food safety practices, and the risks arising therefrom, in light of the Company’s overall efforts related to food safety.</w:t>
      </w:r>
    </w:p>
    <w:p w:rsidR="00A621E3" w:rsidRDefault="00A621E3">
      <w:pPr>
        <w:spacing w:line="205" w:lineRule="exact"/>
        <w:rPr>
          <w:sz w:val="20"/>
          <w:szCs w:val="20"/>
        </w:rPr>
      </w:pPr>
    </w:p>
    <w:p w:rsidR="00A621E3" w:rsidRDefault="00EC630E">
      <w:pPr>
        <w:spacing w:line="243" w:lineRule="auto"/>
        <w:jc w:val="both"/>
        <w:rPr>
          <w:sz w:val="20"/>
          <w:szCs w:val="20"/>
        </w:rPr>
      </w:pPr>
      <w:r>
        <w:rPr>
          <w:rFonts w:ascii="Arial" w:eastAsia="Arial" w:hAnsi="Arial" w:cs="Arial"/>
          <w:sz w:val="20"/>
          <w:szCs w:val="20"/>
        </w:rPr>
        <w:t>The Food Safety and Sustainability Committee also assists the Board in its oversight of the Company’s</w:t>
      </w:r>
      <w:r>
        <w:rPr>
          <w:rFonts w:ascii="Arial" w:eastAsia="Arial" w:hAnsi="Arial" w:cs="Arial"/>
          <w:sz w:val="20"/>
          <w:szCs w:val="20"/>
        </w:rPr>
        <w:t xml:space="preserve"> practices, policies, procedures, strategies and initiatives relating to sustainability, including environmental, supply chain and food nutrition and health. The Committee monitors trends, issues and concerns affecting the Company’s sustainability practice</w:t>
      </w:r>
      <w:r>
        <w:rPr>
          <w:rFonts w:ascii="Arial" w:eastAsia="Arial" w:hAnsi="Arial" w:cs="Arial"/>
          <w:sz w:val="20"/>
          <w:szCs w:val="20"/>
        </w:rPr>
        <w:t>s, policies, procedures, strategies and initiatives.</w:t>
      </w:r>
    </w:p>
    <w:p w:rsidR="00A621E3" w:rsidRDefault="00A621E3">
      <w:pPr>
        <w:spacing w:line="200" w:lineRule="exact"/>
        <w:rPr>
          <w:sz w:val="20"/>
          <w:szCs w:val="20"/>
        </w:rPr>
      </w:pP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A621E3">
      <w:pPr>
        <w:spacing w:line="200" w:lineRule="exact"/>
        <w:rPr>
          <w:sz w:val="20"/>
          <w:szCs w:val="20"/>
        </w:rPr>
      </w:pPr>
    </w:p>
    <w:p w:rsidR="00A621E3" w:rsidRDefault="00A621E3">
      <w:pPr>
        <w:spacing w:line="205" w:lineRule="exact"/>
        <w:rPr>
          <w:sz w:val="20"/>
          <w:szCs w:val="20"/>
        </w:rPr>
      </w:pPr>
    </w:p>
    <w:p w:rsidR="00A621E3" w:rsidRDefault="00EC630E">
      <w:pPr>
        <w:ind w:left="120"/>
        <w:rPr>
          <w:sz w:val="20"/>
          <w:szCs w:val="20"/>
        </w:rPr>
      </w:pPr>
      <w:r>
        <w:rPr>
          <w:rFonts w:ascii="Arial" w:eastAsia="Arial" w:hAnsi="Arial" w:cs="Arial"/>
          <w:b/>
          <w:bCs/>
          <w:color w:val="CF0A2C"/>
          <w:sz w:val="32"/>
          <w:szCs w:val="32"/>
        </w:rPr>
        <w:t>How does the Board oversee food safety risk?</w:t>
      </w:r>
    </w:p>
    <w:p w:rsidR="00A621E3" w:rsidRDefault="00EC630E">
      <w:pPr>
        <w:spacing w:line="20" w:lineRule="exact"/>
        <w:rPr>
          <w:sz w:val="20"/>
          <w:szCs w:val="20"/>
        </w:rPr>
      </w:pPr>
      <w:r>
        <w:rPr>
          <w:noProof/>
          <w:sz w:val="20"/>
          <w:szCs w:val="20"/>
        </w:rPr>
        <w:drawing>
          <wp:anchor distT="0" distB="0" distL="114300" distR="114300" simplePos="0" relativeHeight="251535360"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77" w:lineRule="exact"/>
        <w:rPr>
          <w:sz w:val="20"/>
          <w:szCs w:val="20"/>
        </w:rPr>
      </w:pPr>
    </w:p>
    <w:p w:rsidR="00A621E3" w:rsidRDefault="00EC630E">
      <w:pPr>
        <w:spacing w:line="274" w:lineRule="auto"/>
        <w:ind w:left="120"/>
        <w:jc w:val="both"/>
        <w:rPr>
          <w:sz w:val="20"/>
          <w:szCs w:val="20"/>
        </w:rPr>
      </w:pPr>
      <w:r>
        <w:rPr>
          <w:rFonts w:ascii="Arial" w:eastAsia="Arial" w:hAnsi="Arial" w:cs="Arial"/>
          <w:sz w:val="18"/>
          <w:szCs w:val="18"/>
        </w:rPr>
        <w:t>The Board and the Food Safety and Sustainability Committee are involved in oversight of the Company’s</w:t>
      </w:r>
      <w:r>
        <w:rPr>
          <w:rFonts w:ascii="Arial" w:eastAsia="Arial" w:hAnsi="Arial" w:cs="Arial"/>
          <w:sz w:val="18"/>
          <w:szCs w:val="18"/>
        </w:rPr>
        <w:t xml:space="preserve"> food safety risk. The Food Safety and Sustainability Committee assists the Board in the oversight of food safety risk and regularly receives reports from management in connection with the Company’s practices, procedures, strategies and initiatives relatin</w:t>
      </w:r>
      <w:r>
        <w:rPr>
          <w:rFonts w:ascii="Arial" w:eastAsia="Arial" w:hAnsi="Arial" w:cs="Arial"/>
          <w:sz w:val="18"/>
          <w:szCs w:val="18"/>
        </w:rPr>
        <w:t>g to food safety and the risks arising therefrom. The Board and the Food Safety and</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57" w:lineRule="exact"/>
        <w:rPr>
          <w:sz w:val="20"/>
          <w:szCs w:val="20"/>
        </w:rPr>
      </w:pPr>
    </w:p>
    <w:p w:rsidR="00A621E3" w:rsidRDefault="00EC630E">
      <w:pPr>
        <w:spacing w:line="243" w:lineRule="auto"/>
        <w:jc w:val="both"/>
        <w:rPr>
          <w:sz w:val="20"/>
          <w:szCs w:val="20"/>
        </w:rPr>
      </w:pPr>
      <w:r>
        <w:rPr>
          <w:rFonts w:ascii="Arial" w:eastAsia="Arial" w:hAnsi="Arial" w:cs="Arial"/>
          <w:sz w:val="20"/>
          <w:szCs w:val="20"/>
        </w:rPr>
        <w:t>Sustainability Committee also monitor and evaluate significant changes in regulatory requirements on food safety, material food safety incidents that could potentially</w:t>
      </w:r>
      <w:r>
        <w:rPr>
          <w:rFonts w:ascii="Arial" w:eastAsia="Arial" w:hAnsi="Arial" w:cs="Arial"/>
          <w:sz w:val="20"/>
          <w:szCs w:val="20"/>
        </w:rPr>
        <w:t xml:space="preserve"> affect the Company, as well as any severe public health situations, including the COVID-19 pandemic, that could adversely affect the Company’s business and operations.</w:t>
      </w:r>
    </w:p>
    <w:p w:rsidR="00A621E3" w:rsidRDefault="00A621E3">
      <w:pPr>
        <w:spacing w:line="457"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53"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17</w:t>
      </w:r>
    </w:p>
    <w:p w:rsidR="00A621E3" w:rsidRDefault="00EC630E">
      <w:pPr>
        <w:spacing w:line="20" w:lineRule="exact"/>
        <w:rPr>
          <w:sz w:val="20"/>
          <w:szCs w:val="20"/>
        </w:rPr>
      </w:pPr>
      <w:r>
        <w:rPr>
          <w:noProof/>
          <w:sz w:val="20"/>
          <w:szCs w:val="20"/>
        </w:rPr>
        <w:drawing>
          <wp:anchor distT="0" distB="0" distL="114300" distR="114300" simplePos="0" relativeHeight="251536384"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23" w:name="page23"/>
      <w:bookmarkEnd w:id="23"/>
      <w:r>
        <w:rPr>
          <w:rFonts w:ascii="Arial" w:eastAsia="Arial" w:hAnsi="Arial" w:cs="Arial"/>
          <w:b/>
          <w:bCs/>
          <w:noProof/>
          <w:color w:val="0000EE"/>
          <w:sz w:val="18"/>
          <w:szCs w:val="18"/>
          <w:u w:val="single"/>
        </w:rPr>
        <w:lastRenderedPageBreak/>
        <w:drawing>
          <wp:anchor distT="0" distB="0" distL="114300" distR="114300" simplePos="0" relativeHeight="25153740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A621E3">
      <w:pPr>
        <w:spacing w:line="387" w:lineRule="exact"/>
        <w:rPr>
          <w:sz w:val="20"/>
          <w:szCs w:val="20"/>
        </w:rPr>
      </w:pPr>
    </w:p>
    <w:p w:rsidR="00A621E3" w:rsidRDefault="00EC630E">
      <w:pPr>
        <w:ind w:left="200"/>
        <w:rPr>
          <w:sz w:val="20"/>
          <w:szCs w:val="20"/>
        </w:rPr>
      </w:pPr>
      <w:r>
        <w:rPr>
          <w:rFonts w:ascii="Arial" w:eastAsia="Arial" w:hAnsi="Arial" w:cs="Arial"/>
          <w:b/>
          <w:bCs/>
          <w:color w:val="FFFFFF"/>
          <w:sz w:val="16"/>
          <w:szCs w:val="16"/>
          <w:shd w:val="clear" w:color="auto" w:fill="CF0A2C"/>
        </w:rPr>
        <w:t>GOVERNANCE OF THE COMPANY</w:t>
      </w:r>
    </w:p>
    <w:p w:rsidR="00A621E3" w:rsidRDefault="00A621E3">
      <w:pPr>
        <w:spacing w:line="189" w:lineRule="exact"/>
        <w:rPr>
          <w:sz w:val="20"/>
          <w:szCs w:val="20"/>
        </w:rPr>
      </w:pPr>
    </w:p>
    <w:p w:rsidR="00A621E3" w:rsidRDefault="00EC630E">
      <w:pPr>
        <w:ind w:left="120"/>
        <w:rPr>
          <w:sz w:val="20"/>
          <w:szCs w:val="20"/>
        </w:rPr>
      </w:pPr>
      <w:r>
        <w:rPr>
          <w:rFonts w:ascii="Arial" w:eastAsia="Arial" w:hAnsi="Arial" w:cs="Arial"/>
          <w:b/>
          <w:bCs/>
          <w:color w:val="CF0A2C"/>
          <w:sz w:val="32"/>
          <w:szCs w:val="32"/>
        </w:rPr>
        <w:t>How does the Board oversee cybersecurity risk?</w:t>
      </w:r>
    </w:p>
    <w:p w:rsidR="00A621E3" w:rsidRDefault="00EC630E">
      <w:pPr>
        <w:spacing w:line="20" w:lineRule="exact"/>
        <w:rPr>
          <w:sz w:val="20"/>
          <w:szCs w:val="20"/>
        </w:rPr>
      </w:pPr>
      <w:r>
        <w:rPr>
          <w:noProof/>
          <w:sz w:val="20"/>
          <w:szCs w:val="20"/>
        </w:rPr>
        <w:drawing>
          <wp:anchor distT="0" distB="0" distL="114300" distR="114300" simplePos="0" relativeHeight="251538432"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91" w:lineRule="exact"/>
        <w:rPr>
          <w:sz w:val="20"/>
          <w:szCs w:val="20"/>
        </w:rPr>
      </w:pPr>
    </w:p>
    <w:p w:rsidR="00A621E3" w:rsidRDefault="00EC630E">
      <w:pPr>
        <w:spacing w:line="271" w:lineRule="auto"/>
        <w:ind w:left="120"/>
        <w:jc w:val="both"/>
        <w:rPr>
          <w:sz w:val="20"/>
          <w:szCs w:val="20"/>
        </w:rPr>
      </w:pPr>
      <w:r>
        <w:rPr>
          <w:rFonts w:ascii="Arial" w:eastAsia="Arial" w:hAnsi="Arial" w:cs="Arial"/>
          <w:sz w:val="18"/>
          <w:szCs w:val="18"/>
        </w:rPr>
        <w:t xml:space="preserve">The Board and the Audit Committee are involved in oversight of the Company’s cybersecurity risk. The Audit </w:t>
      </w:r>
      <w:r>
        <w:rPr>
          <w:rFonts w:ascii="Arial" w:eastAsia="Arial" w:hAnsi="Arial" w:cs="Arial"/>
          <w:sz w:val="18"/>
          <w:szCs w:val="18"/>
        </w:rPr>
        <w:t>Committee assists the Board in the oversight of cybersecurity and other technology risks, discusses with management cybersecurity risk mitigation and incident management, and reviews management reports regarding the Company’s cybersecurity governance proce</w:t>
      </w:r>
      <w:r>
        <w:rPr>
          <w:rFonts w:ascii="Arial" w:eastAsia="Arial" w:hAnsi="Arial" w:cs="Arial"/>
          <w:sz w:val="18"/>
          <w:szCs w:val="18"/>
        </w:rPr>
        <w:t>sses, incident response system and applicable cybersecurity laws, regulations and standards, status of projects to strengthen internal cybersecurity, the evolving threat environment, vulnerability assessments, specific cybersecurity incidents and managemen</w:t>
      </w:r>
      <w:r>
        <w:rPr>
          <w:rFonts w:ascii="Arial" w:eastAsia="Arial" w:hAnsi="Arial" w:cs="Arial"/>
          <w:sz w:val="18"/>
          <w:szCs w:val="18"/>
        </w:rPr>
        <w:t>t’s efforts to monitor, detect and prevent cybersecurity threats.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71" w:lineRule="exact"/>
        <w:rPr>
          <w:sz w:val="20"/>
          <w:szCs w:val="20"/>
        </w:rPr>
      </w:pPr>
    </w:p>
    <w:p w:rsidR="00A621E3" w:rsidRDefault="00EC630E">
      <w:pPr>
        <w:spacing w:line="255" w:lineRule="auto"/>
        <w:jc w:val="both"/>
        <w:rPr>
          <w:sz w:val="20"/>
          <w:szCs w:val="20"/>
        </w:rPr>
      </w:pPr>
      <w:r>
        <w:rPr>
          <w:rFonts w:ascii="Arial" w:eastAsia="Arial" w:hAnsi="Arial" w:cs="Arial"/>
          <w:sz w:val="19"/>
          <w:szCs w:val="19"/>
        </w:rPr>
        <w:t>The Company’s cybersecurity programs are regularly reviewed, internally or externally by independent third parties, against established regulatory and industry standards. The Company ha</w:t>
      </w:r>
      <w:r>
        <w:rPr>
          <w:rFonts w:ascii="Arial" w:eastAsia="Arial" w:hAnsi="Arial" w:cs="Arial"/>
          <w:sz w:val="19"/>
          <w:szCs w:val="19"/>
        </w:rPr>
        <w:t>s maintained ISO/IEC 27001:2013 certification since 2018 for certain online business. We incorporate regular information security training as part of our employee education and development program. To its knowledge, the Company has not experienced a signif</w:t>
      </w:r>
      <w:r>
        <w:rPr>
          <w:rFonts w:ascii="Arial" w:eastAsia="Arial" w:hAnsi="Arial" w:cs="Arial"/>
          <w:sz w:val="19"/>
          <w:szCs w:val="19"/>
        </w:rPr>
        <w:t>icant cybersecurity breach within the last three years. The Company maintains cybersecurity insurance as part of its overall insurance portfolio.</w:t>
      </w:r>
    </w:p>
    <w:p w:rsidR="00A621E3" w:rsidRDefault="00A621E3">
      <w:pPr>
        <w:spacing w:line="449"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5" w:lineRule="exact"/>
        <w:rPr>
          <w:sz w:val="20"/>
          <w:szCs w:val="20"/>
        </w:rPr>
      </w:pPr>
    </w:p>
    <w:p w:rsidR="00A621E3" w:rsidRDefault="00EC630E">
      <w:pPr>
        <w:ind w:left="120"/>
        <w:rPr>
          <w:sz w:val="20"/>
          <w:szCs w:val="20"/>
        </w:rPr>
      </w:pPr>
      <w:r>
        <w:rPr>
          <w:rFonts w:ascii="Arial" w:eastAsia="Arial" w:hAnsi="Arial" w:cs="Arial"/>
          <w:b/>
          <w:bCs/>
          <w:color w:val="CF0A2C"/>
          <w:sz w:val="32"/>
          <w:szCs w:val="32"/>
        </w:rPr>
        <w:t>How does the Board oversee sustainability risk?</w:t>
      </w:r>
    </w:p>
    <w:p w:rsidR="00A621E3" w:rsidRDefault="00EC630E">
      <w:pPr>
        <w:spacing w:line="20" w:lineRule="exact"/>
        <w:rPr>
          <w:sz w:val="20"/>
          <w:szCs w:val="20"/>
        </w:rPr>
      </w:pPr>
      <w:r>
        <w:rPr>
          <w:noProof/>
          <w:sz w:val="20"/>
          <w:szCs w:val="20"/>
        </w:rPr>
        <w:drawing>
          <wp:anchor distT="0" distB="0" distL="114300" distR="114300" simplePos="0" relativeHeight="251539456"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77" w:lineRule="exact"/>
        <w:rPr>
          <w:sz w:val="20"/>
          <w:szCs w:val="20"/>
        </w:rPr>
      </w:pPr>
    </w:p>
    <w:p w:rsidR="00A621E3" w:rsidRDefault="00EC630E">
      <w:pPr>
        <w:spacing w:line="270" w:lineRule="auto"/>
        <w:ind w:left="120"/>
        <w:jc w:val="both"/>
        <w:rPr>
          <w:sz w:val="20"/>
          <w:szCs w:val="20"/>
        </w:rPr>
      </w:pPr>
      <w:r>
        <w:rPr>
          <w:rFonts w:ascii="Arial" w:eastAsia="Arial" w:hAnsi="Arial" w:cs="Arial"/>
          <w:sz w:val="18"/>
          <w:szCs w:val="18"/>
        </w:rPr>
        <w:t>The Company strives to establish a responsible ecosystem by building sustainable restaurants, creating a sustainable supply chain with partners, and building sustainable communities with all stakeholders. The Company has established sustainability manageme</w:t>
      </w:r>
      <w:r>
        <w:rPr>
          <w:rFonts w:ascii="Arial" w:eastAsia="Arial" w:hAnsi="Arial" w:cs="Arial"/>
          <w:sz w:val="18"/>
          <w:szCs w:val="18"/>
        </w:rPr>
        <w:t>nt mechanisms all the way from the Board to the frontline restaurant teams. At the Board level, the Food Safety and Sustainability Committee assists the Board in its oversight of the Company’s practices, policies, procedures, strategies and initiatives rel</w:t>
      </w:r>
      <w:r>
        <w:rPr>
          <w:rFonts w:ascii="Arial" w:eastAsia="Arial" w:hAnsi="Arial" w:cs="Arial"/>
          <w:sz w:val="18"/>
          <w:szCs w:val="18"/>
        </w:rPr>
        <w:t>ating to sustainability, including environmental, supply chain and food nutrition and health. The Food Safety and Sustainability Committee monitors trends, issues and concerns affecting the Company’s sustainability prac-</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57" w:lineRule="exact"/>
        <w:rPr>
          <w:sz w:val="20"/>
          <w:szCs w:val="20"/>
        </w:rPr>
      </w:pPr>
    </w:p>
    <w:p w:rsidR="00A621E3" w:rsidRDefault="00EC630E">
      <w:pPr>
        <w:spacing w:line="271" w:lineRule="auto"/>
        <w:jc w:val="both"/>
        <w:rPr>
          <w:sz w:val="20"/>
          <w:szCs w:val="20"/>
        </w:rPr>
      </w:pPr>
      <w:r>
        <w:rPr>
          <w:rFonts w:ascii="Arial" w:eastAsia="Arial" w:hAnsi="Arial" w:cs="Arial"/>
          <w:sz w:val="18"/>
          <w:szCs w:val="18"/>
        </w:rPr>
        <w:t>tices, policies, procedures, s</w:t>
      </w:r>
      <w:r>
        <w:rPr>
          <w:rFonts w:ascii="Arial" w:eastAsia="Arial" w:hAnsi="Arial" w:cs="Arial"/>
          <w:sz w:val="18"/>
          <w:szCs w:val="18"/>
        </w:rPr>
        <w:t>trategies and initiatives. The Food Safety and Sustainability Committee obtains reports from management as the Committee deems necessary or desirable. The Company has also established a Sustainability Committee comprised of selected leadership team members</w:t>
      </w:r>
      <w:r>
        <w:rPr>
          <w:rFonts w:ascii="Arial" w:eastAsia="Arial" w:hAnsi="Arial" w:cs="Arial"/>
          <w:sz w:val="18"/>
          <w:szCs w:val="18"/>
        </w:rPr>
        <w:t>, the sustainability officer, and cross-functional teams. The Sustainability Committee members meet quarterly to track the implementation of material topics, evaluate sustainability risks, and develop risk management strategies and measures. The Board cons</w:t>
      </w:r>
      <w:r>
        <w:rPr>
          <w:rFonts w:ascii="Arial" w:eastAsia="Arial" w:hAnsi="Arial" w:cs="Arial"/>
          <w:sz w:val="18"/>
          <w:szCs w:val="18"/>
        </w:rPr>
        <w:t>iders these sustainability matters at least annually in connection with the strategic plan.</w:t>
      </w:r>
    </w:p>
    <w:p w:rsidR="00A621E3" w:rsidRDefault="00A621E3">
      <w:pPr>
        <w:spacing w:line="657"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388" w:lineRule="exact"/>
        <w:rPr>
          <w:sz w:val="20"/>
          <w:szCs w:val="20"/>
        </w:rPr>
      </w:pPr>
    </w:p>
    <w:p w:rsidR="00A621E3" w:rsidRDefault="00EC630E">
      <w:pPr>
        <w:ind w:left="120"/>
        <w:rPr>
          <w:sz w:val="20"/>
          <w:szCs w:val="20"/>
        </w:rPr>
      </w:pPr>
      <w:r>
        <w:rPr>
          <w:rFonts w:ascii="Arial" w:eastAsia="Arial" w:hAnsi="Arial" w:cs="Arial"/>
          <w:b/>
          <w:bCs/>
          <w:color w:val="CF0A2C"/>
          <w:sz w:val="32"/>
          <w:szCs w:val="32"/>
        </w:rPr>
        <w:t>How has the Board overseen the Company’s response to COVID-19?</w:t>
      </w:r>
    </w:p>
    <w:p w:rsidR="00A621E3" w:rsidRDefault="00EC630E">
      <w:pPr>
        <w:spacing w:line="20" w:lineRule="exact"/>
        <w:rPr>
          <w:sz w:val="20"/>
          <w:szCs w:val="20"/>
        </w:rPr>
      </w:pPr>
      <w:r>
        <w:rPr>
          <w:noProof/>
          <w:sz w:val="20"/>
          <w:szCs w:val="20"/>
        </w:rPr>
        <w:drawing>
          <wp:anchor distT="0" distB="0" distL="114300" distR="114300" simplePos="0" relativeHeight="251540480"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91" w:lineRule="exact"/>
        <w:rPr>
          <w:sz w:val="20"/>
          <w:szCs w:val="20"/>
        </w:rPr>
      </w:pPr>
    </w:p>
    <w:p w:rsidR="00A621E3" w:rsidRDefault="00EC630E">
      <w:pPr>
        <w:spacing w:line="316" w:lineRule="auto"/>
        <w:ind w:left="120"/>
        <w:jc w:val="both"/>
        <w:rPr>
          <w:sz w:val="20"/>
          <w:szCs w:val="20"/>
        </w:rPr>
      </w:pPr>
      <w:r>
        <w:rPr>
          <w:rFonts w:ascii="Arial" w:eastAsia="Arial" w:hAnsi="Arial" w:cs="Arial"/>
          <w:sz w:val="16"/>
          <w:szCs w:val="16"/>
        </w:rPr>
        <w:t xml:space="preserve">Starting in the first quarter of 2020 and </w:t>
      </w:r>
      <w:r>
        <w:rPr>
          <w:rFonts w:ascii="Arial" w:eastAsia="Arial" w:hAnsi="Arial" w:cs="Arial"/>
          <w:sz w:val="16"/>
          <w:szCs w:val="16"/>
        </w:rPr>
        <w:t>throughout 2021 and 2022, the COVID-19 pandemic significantly impacted the restaurant industry in China. 2022 was in many ways the most volatile year among the past three years, during which the restaurant sector in China operated in a fast-changing operat</w:t>
      </w:r>
      <w:r>
        <w:rPr>
          <w:rFonts w:ascii="Arial" w:eastAsia="Arial" w:hAnsi="Arial" w:cs="Arial"/>
          <w:sz w:val="16"/>
          <w:szCs w:val="16"/>
        </w:rPr>
        <w:t>ing environment, facing challenges from sporadic COVID-19 outbreaks, entire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71" w:lineRule="exact"/>
        <w:rPr>
          <w:sz w:val="20"/>
          <w:szCs w:val="20"/>
        </w:rPr>
      </w:pPr>
    </w:p>
    <w:p w:rsidR="00A621E3" w:rsidRDefault="00EC630E">
      <w:pPr>
        <w:rPr>
          <w:sz w:val="20"/>
          <w:szCs w:val="20"/>
        </w:rPr>
      </w:pPr>
      <w:r>
        <w:rPr>
          <w:rFonts w:ascii="Arial" w:eastAsia="Arial" w:hAnsi="Arial" w:cs="Arial"/>
          <w:sz w:val="19"/>
          <w:szCs w:val="19"/>
        </w:rPr>
        <w:t>city lockdowns and, in December 2022, nationwide infections.</w:t>
      </w:r>
    </w:p>
    <w:p w:rsidR="00A621E3" w:rsidRDefault="00A621E3">
      <w:pPr>
        <w:spacing w:line="254" w:lineRule="exact"/>
        <w:rPr>
          <w:sz w:val="20"/>
          <w:szCs w:val="20"/>
        </w:rPr>
      </w:pPr>
    </w:p>
    <w:p w:rsidR="00A621E3" w:rsidRDefault="00EC630E">
      <w:pPr>
        <w:spacing w:line="246" w:lineRule="auto"/>
        <w:ind w:right="20"/>
        <w:jc w:val="both"/>
        <w:rPr>
          <w:sz w:val="20"/>
          <w:szCs w:val="20"/>
        </w:rPr>
      </w:pPr>
      <w:r>
        <w:rPr>
          <w:rFonts w:ascii="Arial" w:eastAsia="Arial" w:hAnsi="Arial" w:cs="Arial"/>
          <w:sz w:val="20"/>
          <w:szCs w:val="20"/>
        </w:rPr>
        <w:t>The Board and its committees took additional actions to ensure effective oversight of the Company’s response plan</w:t>
      </w:r>
      <w:r>
        <w:rPr>
          <w:rFonts w:ascii="Arial" w:eastAsia="Arial" w:hAnsi="Arial" w:cs="Arial"/>
          <w:sz w:val="20"/>
          <w:szCs w:val="20"/>
        </w:rPr>
        <w:t>s to mitigate the risks related to the pandemic. In addition to a COVID-19 crisis management team com-</w:t>
      </w:r>
    </w:p>
    <w:p w:rsidR="00A621E3" w:rsidRDefault="00A621E3">
      <w:pPr>
        <w:spacing w:line="238"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42" w:lineRule="exact"/>
        <w:rPr>
          <w:sz w:val="20"/>
          <w:szCs w:val="20"/>
        </w:rPr>
      </w:pPr>
    </w:p>
    <w:p w:rsidR="00A621E3" w:rsidRDefault="00EC630E">
      <w:pPr>
        <w:numPr>
          <w:ilvl w:val="0"/>
          <w:numId w:val="31"/>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54150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24" w:name="page24"/>
      <w:bookmarkEnd w:id="24"/>
      <w:r>
        <w:rPr>
          <w:rFonts w:ascii="Arial" w:eastAsia="Arial" w:hAnsi="Arial" w:cs="Arial"/>
          <w:b/>
          <w:bCs/>
          <w:color w:val="0000EE"/>
          <w:sz w:val="18"/>
          <w:szCs w:val="18"/>
          <w:u w:val="single"/>
        </w:rPr>
        <w:lastRenderedPageBreak/>
        <w:t>Table of Contents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3" w:lineRule="exact"/>
        <w:rPr>
          <w:sz w:val="20"/>
          <w:szCs w:val="20"/>
        </w:rPr>
      </w:pPr>
    </w:p>
    <w:p w:rsidR="00A621E3" w:rsidRDefault="00EC630E">
      <w:pPr>
        <w:spacing w:line="256" w:lineRule="auto"/>
        <w:ind w:left="120"/>
        <w:jc w:val="both"/>
        <w:rPr>
          <w:sz w:val="20"/>
          <w:szCs w:val="20"/>
        </w:rPr>
      </w:pPr>
      <w:r>
        <w:rPr>
          <w:rFonts w:ascii="Arial" w:eastAsia="Arial" w:hAnsi="Arial" w:cs="Arial"/>
          <w:sz w:val="19"/>
          <w:szCs w:val="19"/>
        </w:rPr>
        <w:t xml:space="preserve">prised of cross-brand and cross-functional </w:t>
      </w:r>
      <w:r>
        <w:rPr>
          <w:rFonts w:ascii="Arial" w:eastAsia="Arial" w:hAnsi="Arial" w:cs="Arial"/>
          <w:sz w:val="19"/>
          <w:szCs w:val="19"/>
        </w:rPr>
        <w:t>executives at the management level, the Board reviewed the immediate actions taken by the Company to address the challenges and volatility caused by the COVID-19 pandemic. Through regular updates and additional communications with management, the Board has</w:t>
      </w:r>
      <w:r>
        <w:rPr>
          <w:rFonts w:ascii="Arial" w:eastAsia="Arial" w:hAnsi="Arial" w:cs="Arial"/>
          <w:sz w:val="19"/>
          <w:szCs w:val="19"/>
        </w:rPr>
        <w:t xml:space="preserve"> actively participated in overseeing the Company’s management of the COVID-19 crisis, including protecting the health and safety of our employees and customers, evaluating the impact of the pandemic on the Company’s operations and</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4" w:lineRule="exact"/>
        <w:rPr>
          <w:sz w:val="20"/>
          <w:szCs w:val="20"/>
        </w:rPr>
      </w:pPr>
    </w:p>
    <w:p w:rsidR="00A621E3" w:rsidRDefault="00EC630E">
      <w:pPr>
        <w:ind w:left="2560"/>
        <w:rPr>
          <w:sz w:val="20"/>
          <w:szCs w:val="20"/>
        </w:rPr>
      </w:pPr>
      <w:r>
        <w:rPr>
          <w:rFonts w:ascii="Arial" w:eastAsia="Arial" w:hAnsi="Arial" w:cs="Arial"/>
          <w:b/>
          <w:bCs/>
          <w:color w:val="FFFFFF"/>
          <w:sz w:val="16"/>
          <w:szCs w:val="16"/>
        </w:rPr>
        <w:t>GOVERNANCE OF THE COM</w:t>
      </w:r>
      <w:r>
        <w:rPr>
          <w:rFonts w:ascii="Arial" w:eastAsia="Arial" w:hAnsi="Arial" w:cs="Arial"/>
          <w:b/>
          <w:bCs/>
          <w:color w:val="FFFFFF"/>
          <w:sz w:val="16"/>
          <w:szCs w:val="16"/>
        </w:rPr>
        <w:t>PANY</w:t>
      </w:r>
    </w:p>
    <w:p w:rsidR="00A621E3" w:rsidRDefault="00EC630E">
      <w:pPr>
        <w:spacing w:line="20" w:lineRule="exact"/>
        <w:rPr>
          <w:sz w:val="20"/>
          <w:szCs w:val="20"/>
        </w:rPr>
      </w:pPr>
      <w:r>
        <w:rPr>
          <w:noProof/>
          <w:sz w:val="20"/>
          <w:szCs w:val="20"/>
        </w:rPr>
        <w:drawing>
          <wp:anchor distT="0" distB="0" distL="114300" distR="114300" simplePos="0" relativeHeight="251542528" behindDoc="1" locked="0" layoutInCell="0" allowOverlap="1">
            <wp:simplePos x="0" y="0"/>
            <wp:positionH relativeFrom="column">
              <wp:posOffset>-3651885</wp:posOffset>
            </wp:positionH>
            <wp:positionV relativeFrom="paragraph">
              <wp:posOffset>-713105</wp:posOffset>
            </wp:positionV>
            <wp:extent cx="7174865" cy="5524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noProof/>
          <w:sz w:val="20"/>
          <w:szCs w:val="20"/>
        </w:rPr>
        <w:drawing>
          <wp:anchor distT="0" distB="0" distL="114300" distR="114300" simplePos="0" relativeHeight="251543552" behindDoc="1" locked="0" layoutInCell="0" allowOverlap="1">
            <wp:simplePos x="0" y="0"/>
            <wp:positionH relativeFrom="column">
              <wp:posOffset>1477645</wp:posOffset>
            </wp:positionH>
            <wp:positionV relativeFrom="paragraph">
              <wp:posOffset>-156210</wp:posOffset>
            </wp:positionV>
            <wp:extent cx="1945640" cy="205740"/>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5">
                      <a:extLst/>
                    </a:blip>
                    <a:srcRect/>
                    <a:stretch>
                      <a:fillRect/>
                    </a:stretch>
                  </pic:blipFill>
                  <pic:spPr bwMode="auto">
                    <a:xfrm>
                      <a:off x="0" y="0"/>
                      <a:ext cx="1945640" cy="205740"/>
                    </a:xfrm>
                    <a:prstGeom prst="rect">
                      <a:avLst/>
                    </a:prstGeom>
                    <a:noFill/>
                  </pic:spPr>
                </pic:pic>
              </a:graphicData>
            </a:graphic>
          </wp:anchor>
        </w:drawing>
      </w:r>
    </w:p>
    <w:p w:rsidR="00A621E3" w:rsidRDefault="00A621E3">
      <w:pPr>
        <w:spacing w:line="243" w:lineRule="exact"/>
        <w:rPr>
          <w:sz w:val="20"/>
          <w:szCs w:val="20"/>
        </w:rPr>
      </w:pPr>
    </w:p>
    <w:p w:rsidR="00A621E3" w:rsidRDefault="00EC630E">
      <w:pPr>
        <w:spacing w:line="246" w:lineRule="auto"/>
        <w:ind w:right="20"/>
        <w:jc w:val="both"/>
        <w:rPr>
          <w:sz w:val="20"/>
          <w:szCs w:val="20"/>
        </w:rPr>
      </w:pPr>
      <w:r>
        <w:rPr>
          <w:rFonts w:ascii="Arial" w:eastAsia="Arial" w:hAnsi="Arial" w:cs="Arial"/>
          <w:sz w:val="20"/>
          <w:szCs w:val="20"/>
        </w:rPr>
        <w:t>strategies, monitoring continued compliance with applicable regulatory requirements, managing human capital and assessing the impact of the pandemic on the Company’s liquidity and financial position.</w:t>
      </w:r>
    </w:p>
    <w:p w:rsidR="00A621E3" w:rsidRDefault="00A621E3">
      <w:pPr>
        <w:spacing w:line="232" w:lineRule="exact"/>
        <w:rPr>
          <w:sz w:val="20"/>
          <w:szCs w:val="20"/>
        </w:rPr>
      </w:pPr>
    </w:p>
    <w:p w:rsidR="00A621E3" w:rsidRDefault="00EC630E">
      <w:pPr>
        <w:spacing w:line="282" w:lineRule="auto"/>
        <w:jc w:val="both"/>
        <w:rPr>
          <w:sz w:val="20"/>
          <w:szCs w:val="20"/>
        </w:rPr>
      </w:pPr>
      <w:r>
        <w:rPr>
          <w:rFonts w:ascii="Arial" w:eastAsia="Arial" w:hAnsi="Arial" w:cs="Arial"/>
          <w:sz w:val="18"/>
          <w:szCs w:val="18"/>
        </w:rPr>
        <w:t>With support from the Board, management led th</w:t>
      </w:r>
      <w:r>
        <w:rPr>
          <w:rFonts w:ascii="Arial" w:eastAsia="Arial" w:hAnsi="Arial" w:cs="Arial"/>
          <w:sz w:val="18"/>
          <w:szCs w:val="18"/>
        </w:rPr>
        <w:t>e successful implementation of immediate emergency actions to protect employees, sustain operations, drive sales, protect profitability, drive stockholder value-creation and give back to the community.</w:t>
      </w:r>
    </w:p>
    <w:p w:rsidR="00A621E3" w:rsidRDefault="00A621E3">
      <w:pPr>
        <w:spacing w:line="200" w:lineRule="exact"/>
        <w:rPr>
          <w:sz w:val="20"/>
          <w:szCs w:val="20"/>
        </w:rPr>
      </w:pP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A621E3">
      <w:pPr>
        <w:spacing w:line="374" w:lineRule="exact"/>
        <w:rPr>
          <w:sz w:val="20"/>
          <w:szCs w:val="20"/>
        </w:rPr>
      </w:pPr>
    </w:p>
    <w:p w:rsidR="00A621E3" w:rsidRDefault="00EC630E">
      <w:pPr>
        <w:spacing w:line="286" w:lineRule="auto"/>
        <w:ind w:left="120" w:right="260"/>
        <w:rPr>
          <w:sz w:val="20"/>
          <w:szCs w:val="20"/>
        </w:rPr>
      </w:pPr>
      <w:r>
        <w:rPr>
          <w:rFonts w:ascii="Arial" w:eastAsia="Arial" w:hAnsi="Arial" w:cs="Arial"/>
          <w:b/>
          <w:bCs/>
          <w:color w:val="CF0A2C"/>
          <w:sz w:val="32"/>
          <w:szCs w:val="32"/>
        </w:rPr>
        <w:t xml:space="preserve">What is the Board’s role </w:t>
      </w:r>
      <w:r>
        <w:rPr>
          <w:rFonts w:ascii="Arial" w:eastAsia="Arial" w:hAnsi="Arial" w:cs="Arial"/>
          <w:b/>
          <w:bCs/>
          <w:color w:val="CF0A2C"/>
          <w:sz w:val="32"/>
          <w:szCs w:val="32"/>
        </w:rPr>
        <w:t>in management development and succession planning?</w:t>
      </w:r>
    </w:p>
    <w:p w:rsidR="00A621E3" w:rsidRDefault="00EC630E">
      <w:pPr>
        <w:spacing w:line="20" w:lineRule="exact"/>
        <w:rPr>
          <w:sz w:val="20"/>
          <w:szCs w:val="20"/>
        </w:rPr>
      </w:pPr>
      <w:r>
        <w:rPr>
          <w:noProof/>
          <w:sz w:val="20"/>
          <w:szCs w:val="20"/>
        </w:rPr>
        <w:drawing>
          <wp:anchor distT="0" distB="0" distL="114300" distR="114300" simplePos="0" relativeHeight="251544576" behindDoc="1" locked="0" layoutInCell="0" allowOverlap="1">
            <wp:simplePos x="0" y="0"/>
            <wp:positionH relativeFrom="column">
              <wp:posOffset>73660</wp:posOffset>
            </wp:positionH>
            <wp:positionV relativeFrom="paragraph">
              <wp:posOffset>57785</wp:posOffset>
            </wp:positionV>
            <wp:extent cx="6995160" cy="825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65" w:lineRule="exact"/>
        <w:rPr>
          <w:sz w:val="20"/>
          <w:szCs w:val="20"/>
        </w:rPr>
      </w:pPr>
    </w:p>
    <w:p w:rsidR="00A621E3" w:rsidRDefault="00EC630E">
      <w:pPr>
        <w:spacing w:line="242" w:lineRule="auto"/>
        <w:ind w:left="120"/>
        <w:jc w:val="both"/>
        <w:rPr>
          <w:sz w:val="20"/>
          <w:szCs w:val="20"/>
        </w:rPr>
      </w:pPr>
      <w:r>
        <w:rPr>
          <w:rFonts w:ascii="Arial" w:eastAsia="Arial" w:hAnsi="Arial" w:cs="Arial"/>
          <w:sz w:val="20"/>
          <w:szCs w:val="20"/>
        </w:rPr>
        <w:t xml:space="preserve">The Board considers management development and succession planning to be a critical part of our Company’s long-term strategy. In accordance with our Corporate Governance </w:t>
      </w:r>
      <w:r>
        <w:rPr>
          <w:rFonts w:ascii="Arial" w:eastAsia="Arial" w:hAnsi="Arial" w:cs="Arial"/>
          <w:sz w:val="20"/>
          <w:szCs w:val="20"/>
        </w:rPr>
        <w:t xml:space="preserve">Principles, the Board reviews the Company’s succession planning, including succession planning in the case of retirement of the Chief Executive Officer of the Company. The Chief Executive Officer periodically reports to the Board with regard to his or her </w:t>
      </w:r>
      <w:r>
        <w:rPr>
          <w:rFonts w:ascii="Arial" w:eastAsia="Arial" w:hAnsi="Arial" w:cs="Arial"/>
          <w:sz w:val="20"/>
          <w:szCs w:val="20"/>
        </w:rPr>
        <w:t>recommen-</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45" w:lineRule="exact"/>
        <w:rPr>
          <w:sz w:val="20"/>
          <w:szCs w:val="20"/>
        </w:rPr>
      </w:pPr>
    </w:p>
    <w:p w:rsidR="00A621E3" w:rsidRDefault="00EC630E">
      <w:pPr>
        <w:spacing w:line="243" w:lineRule="auto"/>
        <w:ind w:right="20"/>
        <w:jc w:val="both"/>
        <w:rPr>
          <w:sz w:val="20"/>
          <w:szCs w:val="20"/>
        </w:rPr>
      </w:pPr>
      <w:r>
        <w:rPr>
          <w:rFonts w:ascii="Arial" w:eastAsia="Arial" w:hAnsi="Arial" w:cs="Arial"/>
          <w:sz w:val="20"/>
          <w:szCs w:val="20"/>
        </w:rPr>
        <w:t>dations for potential successors to senior executive positions and development plans for such individuals. In addition, the Board reviews recommendations from an independent committee with regard to the performance evaluation of the Chief Exe</w:t>
      </w:r>
      <w:r>
        <w:rPr>
          <w:rFonts w:ascii="Arial" w:eastAsia="Arial" w:hAnsi="Arial" w:cs="Arial"/>
          <w:sz w:val="20"/>
          <w:szCs w:val="20"/>
        </w:rPr>
        <w:t>cutive Officer, which the committee conducts annually, in accordance with its charter.</w:t>
      </w:r>
    </w:p>
    <w:p w:rsidR="00A621E3" w:rsidRDefault="00A621E3">
      <w:pPr>
        <w:spacing w:line="658"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00" w:lineRule="exact"/>
        <w:rPr>
          <w:sz w:val="20"/>
          <w:szCs w:val="20"/>
        </w:rPr>
      </w:pPr>
    </w:p>
    <w:p w:rsidR="00A621E3" w:rsidRDefault="00A621E3">
      <w:pPr>
        <w:spacing w:line="209" w:lineRule="exact"/>
        <w:rPr>
          <w:sz w:val="20"/>
          <w:szCs w:val="20"/>
        </w:rPr>
      </w:pPr>
    </w:p>
    <w:p w:rsidR="00A621E3" w:rsidRDefault="00EC630E">
      <w:pPr>
        <w:spacing w:line="286" w:lineRule="auto"/>
        <w:ind w:left="120" w:right="1380"/>
        <w:rPr>
          <w:sz w:val="20"/>
          <w:szCs w:val="20"/>
        </w:rPr>
      </w:pPr>
      <w:r>
        <w:rPr>
          <w:rFonts w:ascii="Arial" w:eastAsia="Arial" w:hAnsi="Arial" w:cs="Arial"/>
          <w:b/>
          <w:bCs/>
          <w:color w:val="CF0A2C"/>
          <w:sz w:val="32"/>
          <w:szCs w:val="32"/>
        </w:rPr>
        <w:t>How does the Board determine which directors are considered independent?</w:t>
      </w:r>
    </w:p>
    <w:p w:rsidR="00A621E3" w:rsidRDefault="00EC630E">
      <w:pPr>
        <w:spacing w:line="20" w:lineRule="exact"/>
        <w:rPr>
          <w:sz w:val="20"/>
          <w:szCs w:val="20"/>
        </w:rPr>
      </w:pPr>
      <w:r>
        <w:rPr>
          <w:noProof/>
          <w:sz w:val="20"/>
          <w:szCs w:val="20"/>
        </w:rPr>
        <w:drawing>
          <wp:anchor distT="0" distB="0" distL="114300" distR="114300" simplePos="0" relativeHeight="251545600" behindDoc="1" locked="0" layoutInCell="0" allowOverlap="1">
            <wp:simplePos x="0" y="0"/>
            <wp:positionH relativeFrom="column">
              <wp:posOffset>73660</wp:posOffset>
            </wp:positionH>
            <wp:positionV relativeFrom="paragraph">
              <wp:posOffset>57785</wp:posOffset>
            </wp:positionV>
            <wp:extent cx="6995160" cy="8255"/>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79" w:lineRule="exact"/>
        <w:rPr>
          <w:sz w:val="20"/>
          <w:szCs w:val="20"/>
        </w:rPr>
      </w:pPr>
    </w:p>
    <w:p w:rsidR="00A621E3" w:rsidRDefault="00EC630E">
      <w:pPr>
        <w:spacing w:line="273" w:lineRule="auto"/>
        <w:ind w:left="120"/>
        <w:jc w:val="both"/>
        <w:rPr>
          <w:sz w:val="20"/>
          <w:szCs w:val="20"/>
        </w:rPr>
      </w:pPr>
      <w:r>
        <w:rPr>
          <w:rFonts w:ascii="Arial" w:eastAsia="Arial" w:hAnsi="Arial" w:cs="Arial"/>
          <w:sz w:val="18"/>
          <w:szCs w:val="18"/>
        </w:rPr>
        <w:t>The Company’s Corporate Governance Pri</w:t>
      </w:r>
      <w:r>
        <w:rPr>
          <w:rFonts w:ascii="Arial" w:eastAsia="Arial" w:hAnsi="Arial" w:cs="Arial"/>
          <w:sz w:val="18"/>
          <w:szCs w:val="18"/>
        </w:rPr>
        <w:t xml:space="preserve">nciples, adopted by the Board, require that a majority of the directors qualify as independent in accordance with the applicable rules of the NYSE. The Board also considers independence requirements of the Rules Governing the Listing of Securities on Hong </w:t>
      </w:r>
      <w:r>
        <w:rPr>
          <w:rFonts w:ascii="Arial" w:eastAsia="Arial" w:hAnsi="Arial" w:cs="Arial"/>
          <w:sz w:val="18"/>
          <w:szCs w:val="18"/>
        </w:rPr>
        <w:t>Kong Listing Rules. The Board determines on an annual basis whether each director qualifies as independent pursuant to the applicable rules of the NYSE and the Hong Kong Listing Rules.</w:t>
      </w:r>
    </w:p>
    <w:p w:rsidR="00A621E3" w:rsidRDefault="00A621E3">
      <w:pPr>
        <w:spacing w:line="195" w:lineRule="exact"/>
        <w:rPr>
          <w:sz w:val="20"/>
          <w:szCs w:val="20"/>
        </w:rPr>
      </w:pPr>
    </w:p>
    <w:p w:rsidR="00A621E3" w:rsidRDefault="00EC630E">
      <w:pPr>
        <w:spacing w:line="257" w:lineRule="auto"/>
        <w:ind w:left="120"/>
        <w:jc w:val="both"/>
        <w:rPr>
          <w:sz w:val="20"/>
          <w:szCs w:val="20"/>
        </w:rPr>
      </w:pPr>
      <w:r>
        <w:rPr>
          <w:rFonts w:ascii="Arial" w:eastAsia="Arial" w:hAnsi="Arial" w:cs="Arial"/>
          <w:sz w:val="19"/>
          <w:szCs w:val="19"/>
        </w:rPr>
        <w:t>Pursuant to the Corporate Governance Principles, the Board undertook i</w:t>
      </w:r>
      <w:r>
        <w:rPr>
          <w:rFonts w:ascii="Arial" w:eastAsia="Arial" w:hAnsi="Arial" w:cs="Arial"/>
          <w:sz w:val="19"/>
          <w:szCs w:val="19"/>
        </w:rPr>
        <w:t>ts annual review of director independence. During this review, the Board considered transactions and relationships between each director or any member of his or her immediate family and the Company and its subsidiaries and affiliates. As provided in the Co</w:t>
      </w:r>
      <w:r>
        <w:rPr>
          <w:rFonts w:ascii="Arial" w:eastAsia="Arial" w:hAnsi="Arial" w:cs="Arial"/>
          <w:sz w:val="19"/>
          <w:szCs w:val="19"/>
        </w:rPr>
        <w:t>rporate Governance Principles, the purpose of this review</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59" w:lineRule="exact"/>
        <w:rPr>
          <w:sz w:val="20"/>
          <w:szCs w:val="20"/>
        </w:rPr>
      </w:pPr>
    </w:p>
    <w:p w:rsidR="00A621E3" w:rsidRDefault="00EC630E">
      <w:pPr>
        <w:spacing w:line="250" w:lineRule="auto"/>
        <w:ind w:right="20"/>
        <w:jc w:val="both"/>
        <w:rPr>
          <w:sz w:val="20"/>
          <w:szCs w:val="20"/>
        </w:rPr>
      </w:pPr>
      <w:r>
        <w:rPr>
          <w:rFonts w:ascii="Arial" w:eastAsia="Arial" w:hAnsi="Arial" w:cs="Arial"/>
          <w:sz w:val="20"/>
          <w:szCs w:val="20"/>
        </w:rPr>
        <w:t>was to determine whether any such relationships or transactions were inconsistent with a determination that the director is independent.</w:t>
      </w:r>
    </w:p>
    <w:p w:rsidR="00A621E3" w:rsidRDefault="00A621E3">
      <w:pPr>
        <w:spacing w:line="186" w:lineRule="exact"/>
        <w:rPr>
          <w:sz w:val="20"/>
          <w:szCs w:val="20"/>
        </w:rPr>
      </w:pPr>
    </w:p>
    <w:p w:rsidR="00A621E3" w:rsidRDefault="00EC630E">
      <w:pPr>
        <w:spacing w:line="259" w:lineRule="auto"/>
        <w:ind w:right="20"/>
        <w:jc w:val="both"/>
        <w:rPr>
          <w:sz w:val="20"/>
          <w:szCs w:val="20"/>
        </w:rPr>
      </w:pPr>
      <w:r>
        <w:rPr>
          <w:rFonts w:ascii="Arial" w:eastAsia="Arial" w:hAnsi="Arial" w:cs="Arial"/>
          <w:sz w:val="19"/>
          <w:szCs w:val="19"/>
        </w:rPr>
        <w:t xml:space="preserve">As a result of the review, the Board affirmatively </w:t>
      </w:r>
      <w:r>
        <w:rPr>
          <w:rFonts w:ascii="Arial" w:eastAsia="Arial" w:hAnsi="Arial" w:cs="Arial"/>
          <w:sz w:val="19"/>
          <w:szCs w:val="19"/>
        </w:rPr>
        <w:t xml:space="preserve">determined that all of the directors and director nominees are independent of the Company and its management under NYSE rules and the Hong Kong Listing Rules, with the exception of Joey Wat. Ms. Wat is not considered an independent director because she is </w:t>
      </w:r>
      <w:r>
        <w:rPr>
          <w:rFonts w:ascii="Arial" w:eastAsia="Arial" w:hAnsi="Arial" w:cs="Arial"/>
          <w:sz w:val="19"/>
          <w:szCs w:val="19"/>
        </w:rPr>
        <w:t>the current Chief Executive Officer of the Company.</w:t>
      </w:r>
    </w:p>
    <w:p w:rsidR="00A621E3" w:rsidRDefault="00A621E3">
      <w:pPr>
        <w:spacing w:line="178" w:lineRule="exact"/>
        <w:rPr>
          <w:sz w:val="20"/>
          <w:szCs w:val="20"/>
        </w:rPr>
      </w:pPr>
    </w:p>
    <w:p w:rsidR="00A621E3" w:rsidRDefault="00EC630E">
      <w:pPr>
        <w:spacing w:line="246" w:lineRule="auto"/>
        <w:ind w:right="20"/>
        <w:jc w:val="both"/>
        <w:rPr>
          <w:sz w:val="20"/>
          <w:szCs w:val="20"/>
        </w:rPr>
      </w:pPr>
      <w:r>
        <w:rPr>
          <w:rFonts w:ascii="Arial" w:eastAsia="Arial" w:hAnsi="Arial" w:cs="Arial"/>
          <w:sz w:val="20"/>
          <w:szCs w:val="20"/>
        </w:rPr>
        <w:t>In reaching this conclusion, the Board determined that Dr. Hu, Messrs. Bassi, Ettedgui, Han, Hsieh, Shao and Wang and Mess. Lu, Zhang and Zhu had no material relationship with the Company other than thei</w:t>
      </w:r>
      <w:r>
        <w:rPr>
          <w:rFonts w:ascii="Arial" w:eastAsia="Arial" w:hAnsi="Arial" w:cs="Arial"/>
          <w:sz w:val="20"/>
          <w:szCs w:val="20"/>
        </w:rPr>
        <w:t>r relationship as a director.</w:t>
      </w:r>
    </w:p>
    <w:p w:rsidR="00A621E3" w:rsidRDefault="00A621E3">
      <w:pPr>
        <w:spacing w:line="476"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00" w:lineRule="exact"/>
        <w:rPr>
          <w:sz w:val="20"/>
          <w:szCs w:val="20"/>
        </w:rPr>
      </w:pPr>
    </w:p>
    <w:p w:rsidR="00A621E3" w:rsidRDefault="00A621E3">
      <w:pPr>
        <w:spacing w:line="369"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19</w:t>
      </w:r>
    </w:p>
    <w:p w:rsidR="00A621E3" w:rsidRDefault="00EC630E">
      <w:pPr>
        <w:spacing w:line="20" w:lineRule="exact"/>
        <w:rPr>
          <w:sz w:val="20"/>
          <w:szCs w:val="20"/>
        </w:rPr>
      </w:pPr>
      <w:r>
        <w:rPr>
          <w:noProof/>
          <w:sz w:val="20"/>
          <w:szCs w:val="20"/>
        </w:rPr>
        <w:drawing>
          <wp:anchor distT="0" distB="0" distL="114300" distR="114300" simplePos="0" relativeHeight="251546624"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25" w:name="page25"/>
      <w:bookmarkEnd w:id="25"/>
      <w:r>
        <w:rPr>
          <w:rFonts w:ascii="Arial" w:eastAsia="Arial" w:hAnsi="Arial" w:cs="Arial"/>
          <w:b/>
          <w:bCs/>
          <w:noProof/>
          <w:color w:val="0000EE"/>
          <w:sz w:val="18"/>
          <w:szCs w:val="18"/>
          <w:u w:val="single"/>
        </w:rPr>
        <w:lastRenderedPageBreak/>
        <w:drawing>
          <wp:anchor distT="0" distB="0" distL="114300" distR="114300" simplePos="0" relativeHeight="251547648"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A621E3">
      <w:pPr>
        <w:spacing w:line="387" w:lineRule="exact"/>
        <w:rPr>
          <w:sz w:val="20"/>
          <w:szCs w:val="20"/>
        </w:rPr>
      </w:pPr>
    </w:p>
    <w:p w:rsidR="00A621E3" w:rsidRDefault="00EC630E">
      <w:pPr>
        <w:ind w:left="200"/>
        <w:rPr>
          <w:sz w:val="20"/>
          <w:szCs w:val="20"/>
        </w:rPr>
      </w:pPr>
      <w:r>
        <w:rPr>
          <w:rFonts w:ascii="Arial" w:eastAsia="Arial" w:hAnsi="Arial" w:cs="Arial"/>
          <w:b/>
          <w:bCs/>
          <w:color w:val="FFFFFF"/>
          <w:sz w:val="16"/>
          <w:szCs w:val="16"/>
          <w:shd w:val="clear" w:color="auto" w:fill="CF0A2C"/>
        </w:rPr>
        <w:t>GOVERNANCE OF THE COMPANY</w:t>
      </w:r>
    </w:p>
    <w:p w:rsidR="00A621E3" w:rsidRDefault="00A621E3">
      <w:pPr>
        <w:spacing w:line="189" w:lineRule="exact"/>
        <w:rPr>
          <w:sz w:val="20"/>
          <w:szCs w:val="20"/>
        </w:rPr>
      </w:pPr>
    </w:p>
    <w:p w:rsidR="00A621E3" w:rsidRDefault="00EC630E">
      <w:pPr>
        <w:ind w:left="120"/>
        <w:rPr>
          <w:sz w:val="20"/>
          <w:szCs w:val="20"/>
        </w:rPr>
      </w:pPr>
      <w:r>
        <w:rPr>
          <w:rFonts w:ascii="Arial" w:eastAsia="Arial" w:hAnsi="Arial" w:cs="Arial"/>
          <w:b/>
          <w:bCs/>
          <w:color w:val="CF0A2C"/>
          <w:sz w:val="32"/>
          <w:szCs w:val="32"/>
        </w:rPr>
        <w:t>How do stockholders communicate with the Board?</w:t>
      </w:r>
    </w:p>
    <w:p w:rsidR="00A621E3" w:rsidRDefault="00EC630E">
      <w:pPr>
        <w:spacing w:line="20" w:lineRule="exact"/>
        <w:rPr>
          <w:sz w:val="20"/>
          <w:szCs w:val="20"/>
        </w:rPr>
      </w:pPr>
      <w:r>
        <w:rPr>
          <w:noProof/>
          <w:sz w:val="20"/>
          <w:szCs w:val="20"/>
        </w:rPr>
        <w:drawing>
          <wp:anchor distT="0" distB="0" distL="114300" distR="114300" simplePos="0" relativeHeight="251548672"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0" w:lineRule="exact"/>
        <w:rPr>
          <w:sz w:val="20"/>
          <w:szCs w:val="20"/>
        </w:rPr>
      </w:pPr>
    </w:p>
    <w:p w:rsidR="00A621E3" w:rsidRDefault="00EC630E">
      <w:pPr>
        <w:spacing w:line="268" w:lineRule="auto"/>
        <w:ind w:left="120"/>
        <w:jc w:val="both"/>
        <w:rPr>
          <w:sz w:val="20"/>
          <w:szCs w:val="20"/>
        </w:rPr>
      </w:pPr>
      <w:r>
        <w:rPr>
          <w:rFonts w:ascii="Arial" w:eastAsia="Arial" w:hAnsi="Arial" w:cs="Arial"/>
          <w:sz w:val="18"/>
          <w:szCs w:val="18"/>
        </w:rPr>
        <w:t xml:space="preserve">Stockholders </w:t>
      </w:r>
      <w:r>
        <w:rPr>
          <w:rFonts w:ascii="Arial" w:eastAsia="Arial" w:hAnsi="Arial" w:cs="Arial"/>
          <w:sz w:val="18"/>
          <w:szCs w:val="18"/>
        </w:rPr>
        <w:t>or other parties who wish to communicate directly with the non-management directors, individually or as a group, or the entire Board may do so by writing to the Nominating and Governance Committee, c/o the Corporate Secretary, Yum China Holdings, Inc., 101</w:t>
      </w:r>
      <w:r>
        <w:rPr>
          <w:rFonts w:ascii="Arial" w:eastAsia="Arial" w:hAnsi="Arial" w:cs="Arial"/>
          <w:sz w:val="18"/>
          <w:szCs w:val="18"/>
        </w:rPr>
        <w:t xml:space="preserve"> East Park Boulevard, Suite 805, Plano, Texas, 75074. The Nominating and Governance Committee of the Board has approved a process for handling correspondence received by the Company and addressed to non-management members of the Board or the entire Board. </w:t>
      </w:r>
      <w:r>
        <w:rPr>
          <w:rFonts w:ascii="Arial" w:eastAsia="Arial" w:hAnsi="Arial" w:cs="Arial"/>
          <w:sz w:val="18"/>
          <w:szCs w:val="18"/>
        </w:rPr>
        <w:t>Under that pro</w:t>
      </w:r>
    </w:p>
    <w:p w:rsidR="00A621E3" w:rsidRDefault="00A621E3">
      <w:pPr>
        <w:spacing w:line="1" w:lineRule="exact"/>
        <w:rPr>
          <w:sz w:val="20"/>
          <w:szCs w:val="20"/>
        </w:rPr>
      </w:pPr>
    </w:p>
    <w:p w:rsidR="00A621E3" w:rsidRDefault="00EC630E">
      <w:pPr>
        <w:ind w:left="120"/>
        <w:jc w:val="both"/>
        <w:rPr>
          <w:sz w:val="20"/>
          <w:szCs w:val="20"/>
        </w:rPr>
      </w:pPr>
      <w:r>
        <w:rPr>
          <w:rFonts w:ascii="Arial" w:eastAsia="Arial" w:hAnsi="Arial" w:cs="Arial"/>
          <w:sz w:val="20"/>
          <w:szCs w:val="20"/>
        </w:rPr>
        <w:t xml:space="preserve">cess, the Corporate Secretary of the Company reviews all such correspondence and regularly forwards to a designated member of the Nominating and Governance Committee copies of all such correspondence (except commercial correspondence and </w:t>
      </w:r>
      <w:r>
        <w:rPr>
          <w:rFonts w:ascii="Arial" w:eastAsia="Arial" w:hAnsi="Arial" w:cs="Arial"/>
          <w:sz w:val="20"/>
          <w:szCs w:val="20"/>
        </w:rPr>
        <w:t>correspondence that is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spacing w:line="270" w:lineRule="auto"/>
        <w:jc w:val="both"/>
        <w:rPr>
          <w:sz w:val="20"/>
          <w:szCs w:val="20"/>
        </w:rPr>
      </w:pPr>
      <w:r>
        <w:rPr>
          <w:rFonts w:ascii="Arial" w:eastAsia="Arial" w:hAnsi="Arial" w:cs="Arial"/>
          <w:sz w:val="18"/>
          <w:szCs w:val="18"/>
        </w:rPr>
        <w:t>duplicative in nature) and a summary of all such correspondence. Directors may at any time review a log of all correspondence received by the Company that is addressed to members of the Board and request copies of any such corres</w:t>
      </w:r>
      <w:r>
        <w:rPr>
          <w:rFonts w:ascii="Arial" w:eastAsia="Arial" w:hAnsi="Arial" w:cs="Arial"/>
          <w:sz w:val="18"/>
          <w:szCs w:val="18"/>
        </w:rPr>
        <w:t xml:space="preserve">pondence. Written correspondence from stockholders relating to accounting, internal controls or auditing matters are brought to the attention of the Chairperson of the Audit Committee and to the internal audit department and are handled in accordance with </w:t>
      </w:r>
      <w:r>
        <w:rPr>
          <w:rFonts w:ascii="Arial" w:eastAsia="Arial" w:hAnsi="Arial" w:cs="Arial"/>
          <w:sz w:val="18"/>
          <w:szCs w:val="18"/>
        </w:rPr>
        <w:t>procedures established by the Audit Committee with respect to such matters (described below). Correspondence from stockholders relating to Compensation Committee matters are referred to the Chairperson of the Compensation Committee.</w:t>
      </w:r>
    </w:p>
    <w:p w:rsidR="00A621E3" w:rsidRDefault="00A621E3">
      <w:pPr>
        <w:spacing w:line="637"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00" w:lineRule="exact"/>
        <w:rPr>
          <w:sz w:val="20"/>
          <w:szCs w:val="20"/>
        </w:rPr>
      </w:pPr>
    </w:p>
    <w:p w:rsidR="00A621E3" w:rsidRDefault="00A621E3">
      <w:pPr>
        <w:spacing w:line="210" w:lineRule="exact"/>
        <w:rPr>
          <w:sz w:val="20"/>
          <w:szCs w:val="20"/>
        </w:rPr>
      </w:pPr>
    </w:p>
    <w:p w:rsidR="00A621E3" w:rsidRDefault="00EC630E">
      <w:pPr>
        <w:ind w:left="120"/>
        <w:rPr>
          <w:sz w:val="20"/>
          <w:szCs w:val="20"/>
        </w:rPr>
      </w:pPr>
      <w:r>
        <w:rPr>
          <w:rFonts w:ascii="Arial" w:eastAsia="Arial" w:hAnsi="Arial" w:cs="Arial"/>
          <w:b/>
          <w:bCs/>
          <w:color w:val="CF0A2C"/>
          <w:sz w:val="32"/>
          <w:szCs w:val="32"/>
        </w:rPr>
        <w:t>How do the Board and management engage with stockholders?</w:t>
      </w:r>
    </w:p>
    <w:p w:rsidR="00A621E3" w:rsidRDefault="00EC630E">
      <w:pPr>
        <w:spacing w:line="20" w:lineRule="exact"/>
        <w:rPr>
          <w:sz w:val="20"/>
          <w:szCs w:val="20"/>
        </w:rPr>
      </w:pPr>
      <w:r>
        <w:rPr>
          <w:noProof/>
          <w:sz w:val="20"/>
          <w:szCs w:val="20"/>
        </w:rPr>
        <w:drawing>
          <wp:anchor distT="0" distB="0" distL="114300" distR="114300" simplePos="0" relativeHeight="251549696"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96" w:lineRule="exact"/>
        <w:rPr>
          <w:sz w:val="20"/>
          <w:szCs w:val="20"/>
        </w:rPr>
      </w:pPr>
    </w:p>
    <w:p w:rsidR="00A621E3" w:rsidRDefault="00EC630E">
      <w:pPr>
        <w:spacing w:line="268" w:lineRule="auto"/>
        <w:ind w:left="120"/>
        <w:jc w:val="both"/>
        <w:rPr>
          <w:sz w:val="20"/>
          <w:szCs w:val="20"/>
        </w:rPr>
      </w:pPr>
      <w:r>
        <w:rPr>
          <w:rFonts w:ascii="Arial" w:eastAsia="Arial" w:hAnsi="Arial" w:cs="Arial"/>
          <w:sz w:val="18"/>
          <w:szCs w:val="18"/>
        </w:rPr>
        <w:t xml:space="preserve">Our Board and management are committed to regular engagement with our stockholders. We reached out to our top 75 stockholders, representing </w:t>
      </w:r>
      <w:r>
        <w:rPr>
          <w:rFonts w:ascii="Arial" w:eastAsia="Arial" w:hAnsi="Arial" w:cs="Arial"/>
          <w:sz w:val="18"/>
          <w:szCs w:val="18"/>
        </w:rPr>
        <w:t xml:space="preserve">over 66% of the outstanding shares of Company common stock, in summer 2022 in connection with the voluntary conversion of our secondary listing status to a primary listing status on the HKEX. In winter 2022, we again approached our top 10 stockholders, as </w:t>
      </w:r>
      <w:r>
        <w:rPr>
          <w:rFonts w:ascii="Arial" w:eastAsia="Arial" w:hAnsi="Arial" w:cs="Arial"/>
          <w:sz w:val="18"/>
          <w:szCs w:val="18"/>
        </w:rPr>
        <w:t>well as top 25 stockholders that had not engaged with us in 2021 or the summer of 2022, which comprised holders of nearly 50% of the outstanding shares of Company common stock, in order to solicit their input on important governance, executive compensation</w:t>
      </w:r>
      <w:r>
        <w:rPr>
          <w:rFonts w:ascii="Arial" w:eastAsia="Arial" w:hAnsi="Arial" w:cs="Arial"/>
          <w:sz w:val="18"/>
          <w:szCs w:val="18"/>
        </w:rPr>
        <w:t xml:space="preserve">, sustainability and other matters. Additionally, our directors directly engage with stockholders from time to time upon stockholders’ request. Our senior management team, including our Chief Executive Officer and Chief Financial Officer, regularly engage </w:t>
      </w:r>
      <w:r>
        <w:rPr>
          <w:rFonts w:ascii="Arial" w:eastAsia="Arial" w:hAnsi="Arial" w:cs="Arial"/>
          <w:sz w:val="18"/>
          <w:szCs w:val="18"/>
        </w:rPr>
        <w:t>in meaningful dialogue with our stockholders, including through our quarterly earnings calls and investor conferences and meetings. Our senior management team regularly reports to our Board and, as applicable, committees of our Board, regarding stockholder</w:t>
      </w:r>
      <w:r>
        <w:rPr>
          <w:rFonts w:ascii="Arial" w:eastAsia="Arial" w:hAnsi="Arial" w:cs="Arial"/>
          <w:sz w:val="18"/>
          <w:szCs w:val="18"/>
        </w:rPr>
        <w:t xml:space="preserve"> views.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6" w:lineRule="exact"/>
        <w:rPr>
          <w:sz w:val="20"/>
          <w:szCs w:val="20"/>
        </w:rPr>
      </w:pPr>
    </w:p>
    <w:p w:rsidR="00A621E3" w:rsidRDefault="00EC630E">
      <w:pPr>
        <w:spacing w:line="271" w:lineRule="auto"/>
        <w:jc w:val="both"/>
        <w:rPr>
          <w:sz w:val="20"/>
          <w:szCs w:val="20"/>
        </w:rPr>
      </w:pPr>
      <w:r>
        <w:rPr>
          <w:rFonts w:ascii="Arial" w:eastAsia="Arial" w:hAnsi="Arial" w:cs="Arial"/>
          <w:sz w:val="18"/>
          <w:szCs w:val="18"/>
        </w:rPr>
        <w:t>We regularly evaluate and respond to the views voiced by our stockholders. In response to the continuous stockholder focus on environmental, social and governance (“</w:t>
      </w:r>
      <w:r>
        <w:rPr>
          <w:rFonts w:ascii="Arial" w:eastAsia="Arial" w:hAnsi="Arial" w:cs="Arial"/>
          <w:b/>
          <w:bCs/>
          <w:i/>
          <w:iCs/>
          <w:sz w:val="18"/>
          <w:szCs w:val="18"/>
        </w:rPr>
        <w:t>ESG</w:t>
      </w:r>
      <w:r>
        <w:rPr>
          <w:rFonts w:ascii="Arial" w:eastAsia="Arial" w:hAnsi="Arial" w:cs="Arial"/>
          <w:sz w:val="18"/>
          <w:szCs w:val="18"/>
        </w:rPr>
        <w:t>”) matters, we discussed with our stockholders our commitment to environment</w:t>
      </w:r>
      <w:r>
        <w:rPr>
          <w:rFonts w:ascii="Arial" w:eastAsia="Arial" w:hAnsi="Arial" w:cs="Arial"/>
          <w:sz w:val="18"/>
          <w:szCs w:val="18"/>
        </w:rPr>
        <w:t>al sustainability and our enhanced sustainability performance. In 2022, we set near-term science-based targets (SBTs) for 2035. We identified and assessed climate-related risks and opportunities in our operations and value chain in line with the recommenda</w:t>
      </w:r>
      <w:r>
        <w:rPr>
          <w:rFonts w:ascii="Arial" w:eastAsia="Arial" w:hAnsi="Arial" w:cs="Arial"/>
          <w:sz w:val="18"/>
          <w:szCs w:val="18"/>
        </w:rPr>
        <w:t>tions of the Task Force on Climate-Related Financial Disclosure (“</w:t>
      </w:r>
      <w:r>
        <w:rPr>
          <w:rFonts w:ascii="Arial" w:eastAsia="Arial" w:hAnsi="Arial" w:cs="Arial"/>
          <w:b/>
          <w:bCs/>
          <w:i/>
          <w:iCs/>
          <w:sz w:val="18"/>
          <w:szCs w:val="18"/>
        </w:rPr>
        <w:t>TCFD</w:t>
      </w:r>
      <w:r>
        <w:rPr>
          <w:rFonts w:ascii="Arial" w:eastAsia="Arial" w:hAnsi="Arial" w:cs="Arial"/>
          <w:sz w:val="18"/>
          <w:szCs w:val="18"/>
        </w:rPr>
        <w:t>”), and released our first TCFD report in 2022. In 2022, we also participated in the CDP Questionnaire for the second year.</w:t>
      </w:r>
    </w:p>
    <w:p w:rsidR="00A621E3" w:rsidRDefault="00A621E3">
      <w:pPr>
        <w:spacing w:line="170" w:lineRule="exact"/>
        <w:rPr>
          <w:sz w:val="20"/>
          <w:szCs w:val="20"/>
        </w:rPr>
      </w:pPr>
    </w:p>
    <w:p w:rsidR="00A621E3" w:rsidRDefault="00EC630E">
      <w:pPr>
        <w:spacing w:line="274" w:lineRule="auto"/>
        <w:jc w:val="both"/>
        <w:rPr>
          <w:sz w:val="20"/>
          <w:szCs w:val="20"/>
        </w:rPr>
      </w:pPr>
      <w:r>
        <w:rPr>
          <w:rFonts w:ascii="Arial" w:eastAsia="Arial" w:hAnsi="Arial" w:cs="Arial"/>
          <w:sz w:val="18"/>
          <w:szCs w:val="18"/>
        </w:rPr>
        <w:t>In addition, beginning with the 2021 annual incentive program</w:t>
      </w:r>
      <w:r>
        <w:rPr>
          <w:rFonts w:ascii="Arial" w:eastAsia="Arial" w:hAnsi="Arial" w:cs="Arial"/>
          <w:sz w:val="18"/>
          <w:szCs w:val="18"/>
        </w:rPr>
        <w:t>, ESG measures have been incorporated into the key performance indicators that are used to determine the individual performance factor for each leadership team member and we have expanded our disclosures on the ESG measures. See “Recent Compensation Highli</w:t>
      </w:r>
      <w:r>
        <w:rPr>
          <w:rFonts w:ascii="Arial" w:eastAsia="Arial" w:hAnsi="Arial" w:cs="Arial"/>
          <w:sz w:val="18"/>
          <w:szCs w:val="18"/>
        </w:rPr>
        <w:t>ghts” and “2022 NEO Compensation and Performance Summary” under “Executive Compensation” for more information.</w:t>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00" w:lineRule="exact"/>
        <w:rPr>
          <w:sz w:val="20"/>
          <w:szCs w:val="20"/>
        </w:rPr>
      </w:pPr>
    </w:p>
    <w:p w:rsidR="00A621E3" w:rsidRDefault="00A621E3">
      <w:pPr>
        <w:spacing w:line="370" w:lineRule="exact"/>
        <w:rPr>
          <w:sz w:val="20"/>
          <w:szCs w:val="20"/>
        </w:rPr>
      </w:pPr>
    </w:p>
    <w:p w:rsidR="00A621E3" w:rsidRDefault="00EC630E">
      <w:pPr>
        <w:numPr>
          <w:ilvl w:val="0"/>
          <w:numId w:val="32"/>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55072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26" w:name="page26"/>
      <w:bookmarkEnd w:id="26"/>
      <w:r>
        <w:rPr>
          <w:rFonts w:ascii="Arial" w:eastAsia="Arial" w:hAnsi="Arial" w:cs="Arial"/>
          <w:b/>
          <w:bCs/>
          <w:noProof/>
          <w:color w:val="0000EE"/>
          <w:sz w:val="18"/>
          <w:szCs w:val="18"/>
          <w:u w:val="single"/>
        </w:rPr>
        <w:lastRenderedPageBreak/>
        <w:drawing>
          <wp:anchor distT="0" distB="0" distL="114300" distR="114300" simplePos="0" relativeHeight="25155174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552768" behindDoc="1" locked="0" layoutInCell="0" allowOverlap="1">
            <wp:simplePos x="0" y="0"/>
            <wp:positionH relativeFrom="column">
              <wp:posOffset>5122545</wp:posOffset>
            </wp:positionH>
            <wp:positionV relativeFrom="paragraph">
              <wp:posOffset>205740</wp:posOffset>
            </wp:positionV>
            <wp:extent cx="1945640" cy="20574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5">
                      <a:extLst/>
                    </a:blip>
                    <a:srcRect/>
                    <a:stretch>
                      <a:fillRect/>
                    </a:stretch>
                  </pic:blipFill>
                  <pic:spPr bwMode="auto">
                    <a:xfrm>
                      <a:off x="0" y="0"/>
                      <a:ext cx="194564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300"/>
        <w:rPr>
          <w:sz w:val="20"/>
          <w:szCs w:val="20"/>
        </w:rPr>
      </w:pPr>
      <w:r>
        <w:rPr>
          <w:rFonts w:ascii="Arial" w:eastAsia="Arial" w:hAnsi="Arial" w:cs="Arial"/>
          <w:b/>
          <w:bCs/>
          <w:color w:val="FFFFFF"/>
          <w:sz w:val="16"/>
          <w:szCs w:val="16"/>
        </w:rPr>
        <w:t>GOVERNANCE OF THE COMPANY</w:t>
      </w:r>
    </w:p>
    <w:p w:rsidR="00A621E3" w:rsidRDefault="00A621E3">
      <w:pPr>
        <w:spacing w:line="189" w:lineRule="exact"/>
        <w:rPr>
          <w:sz w:val="20"/>
          <w:szCs w:val="20"/>
        </w:rPr>
      </w:pPr>
    </w:p>
    <w:p w:rsidR="00A621E3" w:rsidRDefault="00EC630E">
      <w:pPr>
        <w:spacing w:line="286" w:lineRule="auto"/>
        <w:ind w:left="120" w:right="420"/>
        <w:rPr>
          <w:sz w:val="20"/>
          <w:szCs w:val="20"/>
        </w:rPr>
      </w:pPr>
      <w:r>
        <w:rPr>
          <w:rFonts w:ascii="Arial" w:eastAsia="Arial" w:hAnsi="Arial" w:cs="Arial"/>
          <w:b/>
          <w:bCs/>
          <w:color w:val="CF0A2C"/>
          <w:sz w:val="32"/>
          <w:szCs w:val="32"/>
        </w:rPr>
        <w:t xml:space="preserve">What </w:t>
      </w:r>
      <w:r>
        <w:rPr>
          <w:rFonts w:ascii="Arial" w:eastAsia="Arial" w:hAnsi="Arial" w:cs="Arial"/>
          <w:b/>
          <w:bCs/>
          <w:color w:val="CF0A2C"/>
          <w:sz w:val="32"/>
          <w:szCs w:val="32"/>
        </w:rPr>
        <w:t>are the Company’s policies on reporting of concerns regarding accounting and auditing matters?</w:t>
      </w:r>
    </w:p>
    <w:p w:rsidR="00A621E3" w:rsidRDefault="00EC630E">
      <w:pPr>
        <w:spacing w:line="20" w:lineRule="exact"/>
        <w:rPr>
          <w:sz w:val="20"/>
          <w:szCs w:val="20"/>
        </w:rPr>
      </w:pPr>
      <w:r>
        <w:rPr>
          <w:noProof/>
          <w:sz w:val="20"/>
          <w:szCs w:val="20"/>
        </w:rPr>
        <w:drawing>
          <wp:anchor distT="0" distB="0" distL="114300" distR="114300" simplePos="0" relativeHeight="251553792" behindDoc="1" locked="0" layoutInCell="0" allowOverlap="1">
            <wp:simplePos x="0" y="0"/>
            <wp:positionH relativeFrom="column">
              <wp:posOffset>73660</wp:posOffset>
            </wp:positionH>
            <wp:positionV relativeFrom="paragraph">
              <wp:posOffset>57785</wp:posOffset>
            </wp:positionV>
            <wp:extent cx="6995160" cy="825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59" w:bottom="1440" w:left="320" w:header="0" w:footer="0" w:gutter="0"/>
          <w:cols w:space="720" w:equalWidth="0">
            <w:col w:w="11120"/>
          </w:cols>
        </w:sectPr>
      </w:pPr>
    </w:p>
    <w:p w:rsidR="00A621E3" w:rsidRDefault="00A621E3">
      <w:pPr>
        <w:spacing w:line="200" w:lineRule="exact"/>
        <w:rPr>
          <w:sz w:val="20"/>
          <w:szCs w:val="20"/>
        </w:rPr>
      </w:pPr>
    </w:p>
    <w:p w:rsidR="00A621E3" w:rsidRDefault="00A621E3">
      <w:pPr>
        <w:spacing w:line="225" w:lineRule="exact"/>
        <w:rPr>
          <w:sz w:val="20"/>
          <w:szCs w:val="20"/>
        </w:rPr>
      </w:pPr>
    </w:p>
    <w:p w:rsidR="00A621E3" w:rsidRDefault="00EC630E">
      <w:pPr>
        <w:spacing w:line="274" w:lineRule="auto"/>
        <w:ind w:left="120"/>
        <w:jc w:val="both"/>
        <w:rPr>
          <w:sz w:val="20"/>
          <w:szCs w:val="20"/>
        </w:rPr>
      </w:pPr>
      <w:r>
        <w:rPr>
          <w:rFonts w:ascii="Arial" w:eastAsia="Arial" w:hAnsi="Arial" w:cs="Arial"/>
          <w:sz w:val="18"/>
          <w:szCs w:val="18"/>
        </w:rPr>
        <w:t>The Audit Committee has established policies on reporting concerns regarding accounting and auditing matters in addition to our policy on</w:t>
      </w:r>
      <w:r>
        <w:rPr>
          <w:rFonts w:ascii="Arial" w:eastAsia="Arial" w:hAnsi="Arial" w:cs="Arial"/>
          <w:sz w:val="18"/>
          <w:szCs w:val="18"/>
        </w:rPr>
        <w:t xml:space="preserve"> communicating with our non-management directors. Any employee may, on a confidential or anonymous basis, submit complaints or concerns regarding accounting or auditing matters to the Chief Legal Officer of the Company through the Company’s Employee Hotlin</w:t>
      </w:r>
      <w:r>
        <w:rPr>
          <w:rFonts w:ascii="Arial" w:eastAsia="Arial" w:hAnsi="Arial" w:cs="Arial"/>
          <w:sz w:val="18"/>
          <w:szCs w:val="18"/>
        </w:rPr>
        <w:t>e or by e-mail or regular mail. If an</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5" w:lineRule="exact"/>
        <w:rPr>
          <w:sz w:val="20"/>
          <w:szCs w:val="20"/>
        </w:rPr>
      </w:pPr>
    </w:p>
    <w:p w:rsidR="00A621E3" w:rsidRDefault="00EC630E">
      <w:pPr>
        <w:spacing w:line="243" w:lineRule="auto"/>
        <w:jc w:val="both"/>
        <w:rPr>
          <w:sz w:val="20"/>
          <w:szCs w:val="20"/>
        </w:rPr>
      </w:pPr>
      <w:r>
        <w:rPr>
          <w:rFonts w:ascii="Arial" w:eastAsia="Arial" w:hAnsi="Arial" w:cs="Arial"/>
          <w:sz w:val="20"/>
          <w:szCs w:val="20"/>
        </w:rPr>
        <w:t>employee is uncomfortable for any reason contacting the Chief Legal Officer, the employee may contact the Chairperson of the Audit Committee. The Chief Legal Officer maintains a log of all complaints or concerns, t</w:t>
      </w:r>
      <w:r>
        <w:rPr>
          <w:rFonts w:ascii="Arial" w:eastAsia="Arial" w:hAnsi="Arial" w:cs="Arial"/>
          <w:sz w:val="20"/>
          <w:szCs w:val="20"/>
        </w:rPr>
        <w:t>racking their receipt, investigation and resolution and prepares a periodic summary report thereof for the Audit Committee.</w:t>
      </w:r>
    </w:p>
    <w:p w:rsidR="00A621E3" w:rsidRDefault="00A621E3">
      <w:pPr>
        <w:spacing w:line="457" w:lineRule="exact"/>
        <w:rPr>
          <w:sz w:val="20"/>
          <w:szCs w:val="20"/>
        </w:rPr>
      </w:pPr>
    </w:p>
    <w:p w:rsidR="00A621E3" w:rsidRDefault="00A621E3">
      <w:pPr>
        <w:sectPr w:rsidR="00A621E3">
          <w:type w:val="continuous"/>
          <w:pgSz w:w="11900" w:h="16838"/>
          <w:pgMar w:top="486" w:right="459" w:bottom="1440" w:left="320" w:header="0" w:footer="0" w:gutter="0"/>
          <w:cols w:num="2" w:space="720" w:equalWidth="0">
            <w:col w:w="5400" w:space="340"/>
            <w:col w:w="5380"/>
          </w:cols>
        </w:sectPr>
      </w:pPr>
    </w:p>
    <w:p w:rsidR="00A621E3" w:rsidRDefault="00A621E3">
      <w:pPr>
        <w:spacing w:line="124" w:lineRule="exact"/>
        <w:rPr>
          <w:sz w:val="20"/>
          <w:szCs w:val="20"/>
        </w:rPr>
      </w:pPr>
    </w:p>
    <w:p w:rsidR="00A621E3" w:rsidRDefault="00EC630E">
      <w:pPr>
        <w:ind w:left="120"/>
        <w:rPr>
          <w:sz w:val="20"/>
          <w:szCs w:val="20"/>
        </w:rPr>
      </w:pPr>
      <w:r>
        <w:rPr>
          <w:rFonts w:ascii="Arial" w:eastAsia="Arial" w:hAnsi="Arial" w:cs="Arial"/>
          <w:b/>
          <w:bCs/>
          <w:color w:val="CF0A2C"/>
          <w:sz w:val="32"/>
          <w:szCs w:val="32"/>
        </w:rPr>
        <w:t>What are the Committees of the Board?</w:t>
      </w:r>
    </w:p>
    <w:p w:rsidR="00A621E3" w:rsidRDefault="00EC630E">
      <w:pPr>
        <w:spacing w:line="20" w:lineRule="exact"/>
        <w:rPr>
          <w:sz w:val="20"/>
          <w:szCs w:val="20"/>
        </w:rPr>
      </w:pPr>
      <w:r>
        <w:rPr>
          <w:noProof/>
          <w:sz w:val="20"/>
          <w:szCs w:val="20"/>
        </w:rPr>
        <w:drawing>
          <wp:anchor distT="0" distB="0" distL="114300" distR="114300" simplePos="0" relativeHeight="251554816"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41" w:lineRule="exact"/>
        <w:rPr>
          <w:sz w:val="20"/>
          <w:szCs w:val="20"/>
        </w:rPr>
      </w:pPr>
    </w:p>
    <w:p w:rsidR="00A621E3" w:rsidRDefault="00EC630E">
      <w:pPr>
        <w:spacing w:line="250" w:lineRule="auto"/>
        <w:ind w:left="120"/>
        <w:jc w:val="both"/>
        <w:rPr>
          <w:sz w:val="20"/>
          <w:szCs w:val="20"/>
        </w:rPr>
      </w:pPr>
      <w:r>
        <w:rPr>
          <w:rFonts w:ascii="Arial" w:eastAsia="Arial" w:hAnsi="Arial" w:cs="Arial"/>
          <w:sz w:val="20"/>
          <w:szCs w:val="20"/>
        </w:rPr>
        <w:t xml:space="preserve">The Board of Directors has standing Audit, Compensation, </w:t>
      </w:r>
      <w:r>
        <w:rPr>
          <w:rFonts w:ascii="Arial" w:eastAsia="Arial" w:hAnsi="Arial" w:cs="Arial"/>
          <w:sz w:val="20"/>
          <w:szCs w:val="20"/>
        </w:rPr>
        <w:t>Nominating and Governance and Food Safety and Sustainability Committees. Set forth below is a summary of the functions of each committee, the members of each committee as of April 12, 2023 and the number of meetings each committee held in 2022.</w:t>
      </w:r>
    </w:p>
    <w:p w:rsidR="00A621E3" w:rsidRDefault="00A621E3">
      <w:pPr>
        <w:sectPr w:rsidR="00A621E3">
          <w:type w:val="continuous"/>
          <w:pgSz w:w="11900" w:h="16838"/>
          <w:pgMar w:top="486" w:right="459" w:bottom="1440" w:left="320" w:header="0" w:footer="0" w:gutter="0"/>
          <w:cols w:space="720" w:equalWidth="0">
            <w:col w:w="11120"/>
          </w:cols>
        </w:sectPr>
      </w:pPr>
    </w:p>
    <w:p w:rsidR="00A621E3" w:rsidRDefault="00A621E3">
      <w:pPr>
        <w:spacing w:line="220" w:lineRule="exact"/>
        <w:rPr>
          <w:sz w:val="20"/>
          <w:szCs w:val="20"/>
        </w:rPr>
      </w:pPr>
    </w:p>
    <w:p w:rsidR="00A621E3" w:rsidRDefault="00EC630E">
      <w:pPr>
        <w:ind w:left="120"/>
        <w:rPr>
          <w:sz w:val="20"/>
          <w:szCs w:val="20"/>
        </w:rPr>
      </w:pPr>
      <w:r>
        <w:rPr>
          <w:rFonts w:ascii="Arial" w:eastAsia="Arial" w:hAnsi="Arial" w:cs="Arial"/>
          <w:b/>
          <w:bCs/>
          <w:color w:val="CF0A2C"/>
          <w:sz w:val="20"/>
          <w:szCs w:val="20"/>
        </w:rPr>
        <w:t>Audit Committee</w:t>
      </w:r>
    </w:p>
    <w:p w:rsidR="00A621E3" w:rsidRDefault="00A621E3">
      <w:pPr>
        <w:spacing w:line="127" w:lineRule="exact"/>
        <w:rPr>
          <w:sz w:val="20"/>
          <w:szCs w:val="20"/>
        </w:rPr>
      </w:pPr>
    </w:p>
    <w:p w:rsidR="00A621E3" w:rsidRDefault="00EC630E">
      <w:pPr>
        <w:spacing w:line="245" w:lineRule="auto"/>
        <w:ind w:left="120" w:right="1080"/>
        <w:rPr>
          <w:sz w:val="20"/>
          <w:szCs w:val="20"/>
        </w:rPr>
      </w:pPr>
      <w:r>
        <w:rPr>
          <w:rFonts w:ascii="Arial" w:eastAsia="Arial" w:hAnsi="Arial" w:cs="Arial"/>
          <w:sz w:val="20"/>
          <w:szCs w:val="20"/>
        </w:rPr>
        <w:t xml:space="preserve">Peter A. Bassi, </w:t>
      </w:r>
      <w:r>
        <w:rPr>
          <w:rFonts w:ascii="Arial" w:eastAsia="Arial" w:hAnsi="Arial" w:cs="Arial"/>
          <w:i/>
          <w:iCs/>
          <w:sz w:val="20"/>
          <w:szCs w:val="20"/>
        </w:rPr>
        <w:t>Chair</w:t>
      </w:r>
      <w:r>
        <w:rPr>
          <w:rFonts w:ascii="Arial" w:eastAsia="Arial" w:hAnsi="Arial" w:cs="Arial"/>
          <w:sz w:val="20"/>
          <w:szCs w:val="20"/>
        </w:rPr>
        <w:t xml:space="preserve"> Cyril Han* Louis T. Hsieh*</w:t>
      </w:r>
    </w:p>
    <w:p w:rsidR="00A621E3" w:rsidRDefault="00EC630E">
      <w:pPr>
        <w:ind w:left="120"/>
        <w:rPr>
          <w:sz w:val="20"/>
          <w:szCs w:val="20"/>
        </w:rPr>
      </w:pPr>
      <w:r>
        <w:rPr>
          <w:rFonts w:ascii="Arial" w:eastAsia="Arial" w:hAnsi="Arial" w:cs="Arial"/>
          <w:sz w:val="20"/>
          <w:szCs w:val="20"/>
        </w:rPr>
        <w:t>Zili Shao</w:t>
      </w:r>
    </w:p>
    <w:p w:rsidR="00A621E3" w:rsidRDefault="00EC630E">
      <w:pPr>
        <w:ind w:left="120"/>
        <w:rPr>
          <w:sz w:val="20"/>
          <w:szCs w:val="20"/>
        </w:rPr>
      </w:pPr>
      <w:r>
        <w:rPr>
          <w:rFonts w:ascii="Arial" w:eastAsia="Arial" w:hAnsi="Arial" w:cs="Arial"/>
          <w:sz w:val="20"/>
          <w:szCs w:val="20"/>
        </w:rPr>
        <w:t>Min (Jenny) Zhang</w:t>
      </w:r>
    </w:p>
    <w:p w:rsidR="00A621E3" w:rsidRDefault="00A621E3">
      <w:pPr>
        <w:spacing w:line="105" w:lineRule="exact"/>
        <w:rPr>
          <w:sz w:val="20"/>
          <w:szCs w:val="20"/>
        </w:rPr>
      </w:pPr>
    </w:p>
    <w:p w:rsidR="00A621E3" w:rsidRDefault="00EC630E">
      <w:pPr>
        <w:ind w:left="120"/>
        <w:rPr>
          <w:sz w:val="20"/>
          <w:szCs w:val="20"/>
        </w:rPr>
      </w:pPr>
      <w:r>
        <w:rPr>
          <w:rFonts w:ascii="Arial" w:eastAsia="Arial" w:hAnsi="Arial" w:cs="Arial"/>
          <w:sz w:val="18"/>
          <w:szCs w:val="18"/>
        </w:rPr>
        <w:t>Number of meetings held in 2022:</w:t>
      </w:r>
    </w:p>
    <w:p w:rsidR="00A621E3" w:rsidRDefault="00A621E3">
      <w:pPr>
        <w:spacing w:line="39" w:lineRule="exact"/>
        <w:rPr>
          <w:sz w:val="20"/>
          <w:szCs w:val="20"/>
        </w:rPr>
      </w:pPr>
    </w:p>
    <w:p w:rsidR="00A621E3" w:rsidRDefault="00EC630E">
      <w:pPr>
        <w:ind w:left="120"/>
        <w:rPr>
          <w:sz w:val="20"/>
          <w:szCs w:val="20"/>
        </w:rPr>
      </w:pPr>
      <w:r>
        <w:rPr>
          <w:rFonts w:ascii="Arial" w:eastAsia="Arial" w:hAnsi="Arial" w:cs="Arial"/>
          <w:sz w:val="20"/>
          <w:szCs w:val="20"/>
        </w:rPr>
        <w:t>11</w:t>
      </w:r>
    </w:p>
    <w:p w:rsidR="00A621E3" w:rsidRDefault="00EC630E">
      <w:pPr>
        <w:spacing w:line="20" w:lineRule="exact"/>
        <w:rPr>
          <w:sz w:val="20"/>
          <w:szCs w:val="20"/>
        </w:rPr>
      </w:pPr>
      <w:r>
        <w:rPr>
          <w:sz w:val="20"/>
          <w:szCs w:val="20"/>
        </w:rPr>
        <w:br w:type="column"/>
      </w:r>
    </w:p>
    <w:p w:rsidR="00A621E3" w:rsidRDefault="00A621E3">
      <w:pPr>
        <w:spacing w:line="206" w:lineRule="exact"/>
        <w:rPr>
          <w:sz w:val="20"/>
          <w:szCs w:val="20"/>
        </w:rPr>
      </w:pPr>
    </w:p>
    <w:p w:rsidR="00A621E3" w:rsidRDefault="00EC630E">
      <w:pPr>
        <w:spacing w:line="247" w:lineRule="auto"/>
        <w:ind w:left="140" w:hanging="140"/>
        <w:jc w:val="both"/>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 xml:space="preserve">Possesses sole authority regarding the selection and retention of the independent auditors, </w:t>
      </w:r>
      <w:r>
        <w:rPr>
          <w:rFonts w:ascii="Arial" w:eastAsia="Arial" w:hAnsi="Arial" w:cs="Arial"/>
          <w:color w:val="000000"/>
          <w:sz w:val="20"/>
          <w:szCs w:val="20"/>
        </w:rPr>
        <w:t>subject to</w:t>
      </w:r>
      <w:r>
        <w:rPr>
          <w:rFonts w:ascii="Arial" w:eastAsia="Arial" w:hAnsi="Arial" w:cs="Arial"/>
          <w:color w:val="CF0A2C"/>
          <w:sz w:val="20"/>
          <w:szCs w:val="20"/>
        </w:rPr>
        <w:t xml:space="preserve"> </w:t>
      </w:r>
      <w:r>
        <w:rPr>
          <w:rFonts w:ascii="Arial" w:eastAsia="Arial" w:hAnsi="Arial" w:cs="Arial"/>
          <w:color w:val="000000"/>
          <w:sz w:val="20"/>
          <w:szCs w:val="20"/>
        </w:rPr>
        <w:t>stockholder approval</w:t>
      </w:r>
    </w:p>
    <w:p w:rsidR="00A621E3" w:rsidRDefault="00EC630E">
      <w:pPr>
        <w:spacing w:line="20" w:lineRule="exact"/>
        <w:rPr>
          <w:sz w:val="20"/>
          <w:szCs w:val="20"/>
        </w:rPr>
      </w:pPr>
      <w:r>
        <w:rPr>
          <w:noProof/>
          <w:sz w:val="20"/>
          <w:szCs w:val="20"/>
        </w:rPr>
        <w:drawing>
          <wp:anchor distT="0" distB="0" distL="114300" distR="114300" simplePos="0" relativeHeight="251555840" behindDoc="1" locked="0" layoutInCell="0" allowOverlap="1">
            <wp:simplePos x="0" y="0"/>
            <wp:positionH relativeFrom="column">
              <wp:posOffset>-1830705</wp:posOffset>
            </wp:positionH>
            <wp:positionV relativeFrom="paragraph">
              <wp:posOffset>-297815</wp:posOffset>
            </wp:positionV>
            <wp:extent cx="6995160" cy="8255"/>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
                      <a:extLst/>
                    </a:blip>
                    <a:srcRect/>
                    <a:stretch>
                      <a:fillRect/>
                    </a:stretch>
                  </pic:blipFill>
                  <pic:spPr bwMode="auto">
                    <a:xfrm>
                      <a:off x="0" y="0"/>
                      <a:ext cx="6995160" cy="8255"/>
                    </a:xfrm>
                    <a:prstGeom prst="rect">
                      <a:avLst/>
                    </a:prstGeom>
                    <a:noFill/>
                  </pic:spPr>
                </pic:pic>
              </a:graphicData>
            </a:graphic>
          </wp:anchor>
        </w:drawing>
      </w:r>
    </w:p>
    <w:p w:rsidR="00A621E3" w:rsidRDefault="00EC630E">
      <w:pPr>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Reviews and has oversight over the Company’s internal audit function</w:t>
      </w:r>
    </w:p>
    <w:p w:rsidR="00A621E3" w:rsidRDefault="00EC630E">
      <w:pPr>
        <w:spacing w:line="239" w:lineRule="auto"/>
        <w:ind w:left="140" w:hanging="140"/>
        <w:jc w:val="both"/>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Reviews and approves all auditing services, internal control-related services and permitted non-audit</w:t>
      </w:r>
      <w:r>
        <w:rPr>
          <w:rFonts w:ascii="Arial" w:eastAsia="Arial" w:hAnsi="Arial" w:cs="Arial"/>
          <w:color w:val="CF0A2C"/>
          <w:sz w:val="20"/>
          <w:szCs w:val="20"/>
        </w:rPr>
        <w:t xml:space="preserve"> </w:t>
      </w:r>
      <w:r>
        <w:rPr>
          <w:rFonts w:ascii="Arial" w:eastAsia="Arial" w:hAnsi="Arial" w:cs="Arial"/>
          <w:color w:val="000000"/>
          <w:sz w:val="20"/>
          <w:szCs w:val="20"/>
        </w:rPr>
        <w:t>services to be performed for the Company by t</w:t>
      </w:r>
      <w:r>
        <w:rPr>
          <w:rFonts w:ascii="Arial" w:eastAsia="Arial" w:hAnsi="Arial" w:cs="Arial"/>
          <w:color w:val="000000"/>
          <w:sz w:val="20"/>
          <w:szCs w:val="20"/>
        </w:rPr>
        <w:t>he independent auditors</w:t>
      </w:r>
    </w:p>
    <w:p w:rsidR="00A621E3" w:rsidRDefault="00EC630E">
      <w:pPr>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Reviews the independence, qualification and performance of the independent auditors</w:t>
      </w:r>
    </w:p>
    <w:p w:rsidR="00A621E3" w:rsidRDefault="00EC630E">
      <w:pPr>
        <w:spacing w:line="239" w:lineRule="auto"/>
        <w:ind w:left="140" w:hanging="140"/>
        <w:jc w:val="both"/>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Reviews and discusses with management and the independent auditors any major issues as to the</w:t>
      </w:r>
      <w:r>
        <w:rPr>
          <w:rFonts w:ascii="Arial" w:eastAsia="Arial" w:hAnsi="Arial" w:cs="Arial"/>
          <w:color w:val="CF0A2C"/>
          <w:sz w:val="20"/>
          <w:szCs w:val="20"/>
        </w:rPr>
        <w:t xml:space="preserve"> </w:t>
      </w:r>
      <w:r>
        <w:rPr>
          <w:rFonts w:ascii="Arial" w:eastAsia="Arial" w:hAnsi="Arial" w:cs="Arial"/>
          <w:color w:val="000000"/>
          <w:sz w:val="20"/>
          <w:szCs w:val="20"/>
        </w:rPr>
        <w:t>adequacy of the Company’s internal controls, any</w:t>
      </w:r>
      <w:r>
        <w:rPr>
          <w:rFonts w:ascii="Arial" w:eastAsia="Arial" w:hAnsi="Arial" w:cs="Arial"/>
          <w:color w:val="000000"/>
          <w:sz w:val="20"/>
          <w:szCs w:val="20"/>
        </w:rPr>
        <w:t xml:space="preserve"> special steps adopted in light of material control deficiencies and the adequacy of disclosures about changes in internal control over financial reporting</w:t>
      </w:r>
    </w:p>
    <w:p w:rsidR="00A621E3" w:rsidRDefault="00A621E3">
      <w:pPr>
        <w:spacing w:line="2" w:lineRule="exact"/>
        <w:rPr>
          <w:sz w:val="20"/>
          <w:szCs w:val="20"/>
        </w:rPr>
      </w:pPr>
    </w:p>
    <w:p w:rsidR="00A621E3" w:rsidRDefault="00EC630E">
      <w:pPr>
        <w:spacing w:line="239" w:lineRule="auto"/>
        <w:ind w:left="140" w:hanging="140"/>
        <w:jc w:val="both"/>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Reviews and discusses with management and the independent auditors the annual audited financial</w:t>
      </w:r>
      <w:r>
        <w:rPr>
          <w:rFonts w:ascii="Arial" w:eastAsia="Arial" w:hAnsi="Arial" w:cs="Arial"/>
          <w:color w:val="CF0A2C"/>
          <w:sz w:val="20"/>
          <w:szCs w:val="20"/>
        </w:rPr>
        <w:t xml:space="preserve"> </w:t>
      </w:r>
      <w:r>
        <w:rPr>
          <w:rFonts w:ascii="Arial" w:eastAsia="Arial" w:hAnsi="Arial" w:cs="Arial"/>
          <w:color w:val="000000"/>
          <w:sz w:val="20"/>
          <w:szCs w:val="20"/>
        </w:rPr>
        <w:t>statements, results of the review of the Company’s quarterly financial statements and significant financial reporting issues and judgments made in connection with the preparation of the Company’s financial statements</w:t>
      </w:r>
    </w:p>
    <w:p w:rsidR="00A621E3" w:rsidRDefault="00A621E3">
      <w:pPr>
        <w:spacing w:line="2" w:lineRule="exact"/>
        <w:rPr>
          <w:sz w:val="20"/>
          <w:szCs w:val="20"/>
        </w:rPr>
      </w:pPr>
    </w:p>
    <w:p w:rsidR="00A621E3" w:rsidRDefault="00EC630E">
      <w:pPr>
        <w:spacing w:line="239" w:lineRule="auto"/>
        <w:ind w:left="140" w:hanging="140"/>
        <w:jc w:val="both"/>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Reviews and discusses with the inde</w:t>
      </w:r>
      <w:r>
        <w:rPr>
          <w:rFonts w:ascii="Arial" w:eastAsia="Arial" w:hAnsi="Arial" w:cs="Arial"/>
          <w:color w:val="000000"/>
          <w:sz w:val="20"/>
          <w:szCs w:val="20"/>
        </w:rPr>
        <w:t>pendent auditors any critical audit matter (“</w:t>
      </w:r>
      <w:r>
        <w:rPr>
          <w:rFonts w:ascii="Arial" w:eastAsia="Arial" w:hAnsi="Arial" w:cs="Arial"/>
          <w:b/>
          <w:bCs/>
          <w:i/>
          <w:iCs/>
          <w:color w:val="000000"/>
          <w:sz w:val="20"/>
          <w:szCs w:val="20"/>
        </w:rPr>
        <w:t>CAM</w:t>
      </w:r>
      <w:r>
        <w:rPr>
          <w:rFonts w:ascii="Arial" w:eastAsia="Arial" w:hAnsi="Arial" w:cs="Arial"/>
          <w:color w:val="000000"/>
          <w:sz w:val="20"/>
          <w:szCs w:val="20"/>
        </w:rPr>
        <w:t>”) addressed in</w:t>
      </w:r>
      <w:r>
        <w:rPr>
          <w:rFonts w:ascii="Arial" w:eastAsia="Arial" w:hAnsi="Arial" w:cs="Arial"/>
          <w:color w:val="CF0A2C"/>
          <w:sz w:val="20"/>
          <w:szCs w:val="20"/>
        </w:rPr>
        <w:t xml:space="preserve"> </w:t>
      </w:r>
      <w:r>
        <w:rPr>
          <w:rFonts w:ascii="Arial" w:eastAsia="Arial" w:hAnsi="Arial" w:cs="Arial"/>
          <w:color w:val="000000"/>
          <w:sz w:val="20"/>
          <w:szCs w:val="20"/>
        </w:rPr>
        <w:t>the audit of the Company’s financial statements and the relevant financial statement accounts and disclosures that relate to each CAM</w:t>
      </w:r>
    </w:p>
    <w:p w:rsidR="00A621E3" w:rsidRDefault="00A621E3">
      <w:pPr>
        <w:spacing w:line="1" w:lineRule="exact"/>
        <w:rPr>
          <w:sz w:val="20"/>
          <w:szCs w:val="20"/>
        </w:rPr>
      </w:pPr>
    </w:p>
    <w:p w:rsidR="00A621E3" w:rsidRDefault="00EC630E">
      <w:pPr>
        <w:spacing w:line="239" w:lineRule="auto"/>
        <w:ind w:left="140" w:hanging="140"/>
        <w:jc w:val="both"/>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 xml:space="preserve">Reviews the Company’s accounting and financial </w:t>
      </w:r>
      <w:r>
        <w:rPr>
          <w:rFonts w:ascii="Arial" w:eastAsia="Arial" w:hAnsi="Arial" w:cs="Arial"/>
          <w:color w:val="000000"/>
          <w:sz w:val="20"/>
          <w:szCs w:val="20"/>
        </w:rPr>
        <w:t>reporting principles and practices, including any</w:t>
      </w:r>
      <w:r>
        <w:rPr>
          <w:rFonts w:ascii="Arial" w:eastAsia="Arial" w:hAnsi="Arial" w:cs="Arial"/>
          <w:color w:val="CF0A2C"/>
          <w:sz w:val="20"/>
          <w:szCs w:val="20"/>
        </w:rPr>
        <w:t xml:space="preserve"> </w:t>
      </w:r>
      <w:r>
        <w:rPr>
          <w:rFonts w:ascii="Arial" w:eastAsia="Arial" w:hAnsi="Arial" w:cs="Arial"/>
          <w:color w:val="000000"/>
          <w:sz w:val="20"/>
          <w:szCs w:val="20"/>
        </w:rPr>
        <w:t>significant changes thereto</w:t>
      </w:r>
    </w:p>
    <w:p w:rsidR="00A621E3" w:rsidRDefault="00A621E3">
      <w:pPr>
        <w:spacing w:line="1" w:lineRule="exact"/>
        <w:rPr>
          <w:sz w:val="20"/>
          <w:szCs w:val="20"/>
        </w:rPr>
      </w:pPr>
    </w:p>
    <w:p w:rsidR="00A621E3" w:rsidRDefault="00EC630E">
      <w:pPr>
        <w:spacing w:line="252" w:lineRule="auto"/>
        <w:ind w:left="140" w:hanging="140"/>
        <w:jc w:val="both"/>
        <w:rPr>
          <w:sz w:val="20"/>
          <w:szCs w:val="20"/>
        </w:rPr>
      </w:pPr>
      <w:r>
        <w:rPr>
          <w:rFonts w:ascii="Arial" w:eastAsia="Arial" w:hAnsi="Arial" w:cs="Arial"/>
          <w:color w:val="CF0A2C"/>
          <w:sz w:val="19"/>
          <w:szCs w:val="19"/>
        </w:rPr>
        <w:t>•</w:t>
      </w:r>
      <w:r>
        <w:rPr>
          <w:rFonts w:ascii="Arial" w:eastAsia="Arial" w:hAnsi="Arial" w:cs="Arial"/>
          <w:color w:val="000000"/>
          <w:sz w:val="19"/>
          <w:szCs w:val="19"/>
        </w:rPr>
        <w:t>  </w:t>
      </w:r>
      <w:r>
        <w:rPr>
          <w:rFonts w:ascii="Arial" w:eastAsia="Arial" w:hAnsi="Arial" w:cs="Arial"/>
          <w:color w:val="000000"/>
          <w:sz w:val="19"/>
          <w:szCs w:val="19"/>
        </w:rPr>
        <w:t>Advises the Board with respect to Company policies and procedures regarding compliance with</w:t>
      </w:r>
      <w:r>
        <w:rPr>
          <w:rFonts w:ascii="Arial" w:eastAsia="Arial" w:hAnsi="Arial" w:cs="Arial"/>
          <w:color w:val="CF0A2C"/>
          <w:sz w:val="19"/>
          <w:szCs w:val="19"/>
        </w:rPr>
        <w:t xml:space="preserve"> </w:t>
      </w:r>
      <w:r>
        <w:rPr>
          <w:rFonts w:ascii="Arial" w:eastAsia="Arial" w:hAnsi="Arial" w:cs="Arial"/>
          <w:color w:val="000000"/>
          <w:sz w:val="19"/>
          <w:szCs w:val="19"/>
        </w:rPr>
        <w:t>applicable laws and regulations and with the Company’s Code of Conduct</w:t>
      </w:r>
    </w:p>
    <w:p w:rsidR="00A621E3" w:rsidRDefault="00EC630E">
      <w:pPr>
        <w:spacing w:line="256" w:lineRule="auto"/>
        <w:ind w:left="140" w:hanging="140"/>
        <w:jc w:val="both"/>
        <w:rPr>
          <w:sz w:val="20"/>
          <w:szCs w:val="20"/>
        </w:rPr>
      </w:pPr>
      <w:r>
        <w:rPr>
          <w:rFonts w:ascii="Arial" w:eastAsia="Arial" w:hAnsi="Arial" w:cs="Arial"/>
          <w:color w:val="CF0A2C"/>
          <w:sz w:val="19"/>
          <w:szCs w:val="19"/>
        </w:rPr>
        <w:t>•</w:t>
      </w:r>
      <w:r>
        <w:rPr>
          <w:rFonts w:ascii="Arial" w:eastAsia="Arial" w:hAnsi="Arial" w:cs="Arial"/>
          <w:color w:val="000000"/>
          <w:sz w:val="19"/>
          <w:szCs w:val="19"/>
        </w:rPr>
        <w:t>  </w:t>
      </w:r>
      <w:r>
        <w:rPr>
          <w:rFonts w:ascii="Arial" w:eastAsia="Arial" w:hAnsi="Arial" w:cs="Arial"/>
          <w:color w:val="000000"/>
          <w:sz w:val="19"/>
          <w:szCs w:val="19"/>
        </w:rPr>
        <w:t>Discusse</w:t>
      </w:r>
      <w:r>
        <w:rPr>
          <w:rFonts w:ascii="Arial" w:eastAsia="Arial" w:hAnsi="Arial" w:cs="Arial"/>
          <w:color w:val="000000"/>
          <w:sz w:val="19"/>
          <w:szCs w:val="19"/>
        </w:rPr>
        <w:t>s with management the Company’s major risk exposures and the steps management has</w:t>
      </w:r>
      <w:r>
        <w:rPr>
          <w:rFonts w:ascii="Arial" w:eastAsia="Arial" w:hAnsi="Arial" w:cs="Arial"/>
          <w:color w:val="CF0A2C"/>
          <w:sz w:val="19"/>
          <w:szCs w:val="19"/>
        </w:rPr>
        <w:t xml:space="preserve"> </w:t>
      </w:r>
      <w:r>
        <w:rPr>
          <w:rFonts w:ascii="Arial" w:eastAsia="Arial" w:hAnsi="Arial" w:cs="Arial"/>
          <w:color w:val="000000"/>
          <w:sz w:val="19"/>
          <w:szCs w:val="19"/>
        </w:rPr>
        <w:t>taken to monitor and control such exposures; and assists the Board in the oversight of cybersecurity and other technology risks. Further detail about the role of the Audit Co</w:t>
      </w:r>
      <w:r>
        <w:rPr>
          <w:rFonts w:ascii="Arial" w:eastAsia="Arial" w:hAnsi="Arial" w:cs="Arial"/>
          <w:color w:val="000000"/>
          <w:sz w:val="19"/>
          <w:szCs w:val="19"/>
        </w:rPr>
        <w:t>mmittee in risk assessment and risk management is included in the section entitled “What is the Board’s role in risk oversight?” and “How does the Board oversee cybersecurity risk?”</w:t>
      </w:r>
    </w:p>
    <w:p w:rsidR="00A621E3" w:rsidRDefault="00EC630E">
      <w:pPr>
        <w:spacing w:line="20" w:lineRule="exact"/>
        <w:rPr>
          <w:sz w:val="20"/>
          <w:szCs w:val="20"/>
        </w:rPr>
      </w:pPr>
      <w:r>
        <w:rPr>
          <w:noProof/>
          <w:sz w:val="20"/>
          <w:szCs w:val="20"/>
        </w:rPr>
        <w:drawing>
          <wp:anchor distT="0" distB="0" distL="114300" distR="114300" simplePos="0" relativeHeight="251556864" behindDoc="1" locked="0" layoutInCell="0" allowOverlap="1">
            <wp:simplePos x="0" y="0"/>
            <wp:positionH relativeFrom="column">
              <wp:posOffset>-1830705</wp:posOffset>
            </wp:positionH>
            <wp:positionV relativeFrom="paragraph">
              <wp:posOffset>-1270</wp:posOffset>
            </wp:positionV>
            <wp:extent cx="6995160" cy="889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6">
                      <a:extLst/>
                    </a:blip>
                    <a:srcRect/>
                    <a:stretch>
                      <a:fillRect/>
                    </a:stretch>
                  </pic:blipFill>
                  <pic:spPr bwMode="auto">
                    <a:xfrm>
                      <a:off x="0" y="0"/>
                      <a:ext cx="6995160" cy="8890"/>
                    </a:xfrm>
                    <a:prstGeom prst="rect">
                      <a:avLst/>
                    </a:prstGeom>
                    <a:noFill/>
                  </pic:spPr>
                </pic:pic>
              </a:graphicData>
            </a:graphic>
          </wp:anchor>
        </w:drawing>
      </w:r>
    </w:p>
    <w:p w:rsidR="00A621E3" w:rsidRDefault="00A621E3">
      <w:pPr>
        <w:spacing w:line="145" w:lineRule="exact"/>
        <w:rPr>
          <w:sz w:val="20"/>
          <w:szCs w:val="20"/>
        </w:rPr>
      </w:pPr>
    </w:p>
    <w:p w:rsidR="00A621E3" w:rsidRDefault="00A621E3">
      <w:pPr>
        <w:sectPr w:rsidR="00A621E3">
          <w:type w:val="continuous"/>
          <w:pgSz w:w="11900" w:h="16838"/>
          <w:pgMar w:top="486" w:right="459" w:bottom="1440" w:left="320" w:header="0" w:footer="0" w:gutter="0"/>
          <w:cols w:num="2" w:space="720" w:equalWidth="0">
            <w:col w:w="2880" w:space="120"/>
            <w:col w:w="8120"/>
          </w:cols>
        </w:sectPr>
      </w:pPr>
    </w:p>
    <w:p w:rsidR="00A621E3" w:rsidRDefault="00EC630E">
      <w:pPr>
        <w:tabs>
          <w:tab w:val="left" w:pos="10860"/>
        </w:tabs>
        <w:ind w:left="8220"/>
        <w:rPr>
          <w:sz w:val="20"/>
          <w:szCs w:val="20"/>
        </w:rPr>
      </w:pPr>
      <w:r>
        <w:rPr>
          <w:rFonts w:ascii="Arial" w:eastAsia="Arial" w:hAnsi="Arial" w:cs="Arial"/>
          <w:b/>
          <w:bCs/>
          <w:color w:val="4C4C4C"/>
          <w:sz w:val="14"/>
          <w:szCs w:val="14"/>
        </w:rPr>
        <w:lastRenderedPageBreak/>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21</w:t>
      </w:r>
    </w:p>
    <w:p w:rsidR="00A621E3" w:rsidRDefault="00EC630E">
      <w:pPr>
        <w:spacing w:line="20" w:lineRule="exact"/>
        <w:rPr>
          <w:sz w:val="20"/>
          <w:szCs w:val="20"/>
        </w:rPr>
      </w:pPr>
      <w:r>
        <w:rPr>
          <w:noProof/>
          <w:sz w:val="20"/>
          <w:szCs w:val="20"/>
        </w:rPr>
        <w:drawing>
          <wp:anchor distT="0" distB="0" distL="114300" distR="114300" simplePos="0" relativeHeight="251557888"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59" w:bottom="1440" w:left="320" w:header="0" w:footer="0" w:gutter="0"/>
          <w:cols w:space="720" w:equalWidth="0">
            <w:col w:w="11120"/>
          </w:cols>
        </w:sectPr>
      </w:pPr>
    </w:p>
    <w:p w:rsidR="00A621E3" w:rsidRDefault="00EC630E">
      <w:pPr>
        <w:rPr>
          <w:sz w:val="20"/>
          <w:szCs w:val="20"/>
        </w:rPr>
      </w:pPr>
      <w:bookmarkStart w:id="27" w:name="page27"/>
      <w:bookmarkEnd w:id="27"/>
      <w:r>
        <w:rPr>
          <w:rFonts w:ascii="Arial" w:eastAsia="Arial" w:hAnsi="Arial" w:cs="Arial"/>
          <w:b/>
          <w:bCs/>
          <w:noProof/>
          <w:color w:val="0000EE"/>
          <w:sz w:val="18"/>
          <w:szCs w:val="18"/>
          <w:u w:val="single"/>
        </w:rPr>
        <w:lastRenderedPageBreak/>
        <w:drawing>
          <wp:anchor distT="0" distB="0" distL="114300" distR="114300" simplePos="0" relativeHeight="251558912"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A621E3">
      <w:pPr>
        <w:spacing w:line="387" w:lineRule="exact"/>
        <w:rPr>
          <w:sz w:val="20"/>
          <w:szCs w:val="20"/>
        </w:rPr>
      </w:pPr>
    </w:p>
    <w:p w:rsidR="00A621E3" w:rsidRDefault="00EC630E">
      <w:pPr>
        <w:ind w:left="200"/>
        <w:rPr>
          <w:sz w:val="20"/>
          <w:szCs w:val="20"/>
        </w:rPr>
      </w:pPr>
      <w:r>
        <w:rPr>
          <w:rFonts w:ascii="Arial" w:eastAsia="Arial" w:hAnsi="Arial" w:cs="Arial"/>
          <w:b/>
          <w:bCs/>
          <w:color w:val="FFFFFF"/>
          <w:sz w:val="16"/>
          <w:szCs w:val="16"/>
          <w:shd w:val="clear" w:color="auto" w:fill="CF0A2C"/>
        </w:rPr>
        <w:t>GOVERNANCE OF THE COMPANY</w:t>
      </w:r>
    </w:p>
    <w:p w:rsidR="00A621E3" w:rsidRDefault="00A621E3">
      <w:pPr>
        <w:spacing w:line="209" w:lineRule="exact"/>
        <w:rPr>
          <w:sz w:val="20"/>
          <w:szCs w:val="20"/>
        </w:rPr>
      </w:pPr>
    </w:p>
    <w:p w:rsidR="00A621E3" w:rsidRDefault="00EC630E">
      <w:pPr>
        <w:spacing w:line="263" w:lineRule="auto"/>
        <w:ind w:left="120" w:right="20"/>
        <w:jc w:val="both"/>
        <w:rPr>
          <w:sz w:val="20"/>
          <w:szCs w:val="20"/>
        </w:rPr>
      </w:pPr>
      <w:r>
        <w:rPr>
          <w:rFonts w:ascii="Arial" w:eastAsia="Arial" w:hAnsi="Arial" w:cs="Arial"/>
          <w:sz w:val="19"/>
          <w:szCs w:val="19"/>
        </w:rPr>
        <w:t xml:space="preserve">The Board of Directors has determined that all of the members of the Audit Committee are independent within the meaning of applicable SEC regulations and listing standards of the NYSE. </w:t>
      </w:r>
      <w:r>
        <w:rPr>
          <w:rFonts w:ascii="Arial" w:eastAsia="Arial" w:hAnsi="Arial" w:cs="Arial"/>
          <w:sz w:val="19"/>
          <w:szCs w:val="19"/>
        </w:rPr>
        <w:t>The Board has also determined that each member of the Audit Committee is financially literate within the meaning of the listing standards of the NYSE and that each of Messrs. Bassi, Han and Hsieh and Ms. Zhang is qualified as an audit committee financial e</w:t>
      </w:r>
      <w:r>
        <w:rPr>
          <w:rFonts w:ascii="Arial" w:eastAsia="Arial" w:hAnsi="Arial" w:cs="Arial"/>
          <w:sz w:val="19"/>
          <w:szCs w:val="19"/>
        </w:rPr>
        <w:t>xpert within the meaning of SEC regulations.</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11" w:lineRule="exact"/>
        <w:rPr>
          <w:sz w:val="20"/>
          <w:szCs w:val="20"/>
        </w:rPr>
      </w:pPr>
    </w:p>
    <w:p w:rsidR="00A621E3" w:rsidRDefault="00EC630E">
      <w:pPr>
        <w:ind w:left="120"/>
        <w:rPr>
          <w:sz w:val="20"/>
          <w:szCs w:val="20"/>
        </w:rPr>
      </w:pPr>
      <w:r>
        <w:rPr>
          <w:rFonts w:ascii="Arial" w:eastAsia="Arial" w:hAnsi="Arial" w:cs="Arial"/>
          <w:b/>
          <w:bCs/>
          <w:color w:val="CF0A2C"/>
          <w:sz w:val="20"/>
          <w:szCs w:val="20"/>
        </w:rPr>
        <w:t>Compensation</w:t>
      </w:r>
    </w:p>
    <w:p w:rsidR="00A621E3" w:rsidRDefault="00A621E3">
      <w:pPr>
        <w:spacing w:line="22" w:lineRule="exact"/>
        <w:rPr>
          <w:sz w:val="20"/>
          <w:szCs w:val="20"/>
        </w:rPr>
      </w:pPr>
    </w:p>
    <w:p w:rsidR="00A621E3" w:rsidRDefault="00EC630E">
      <w:pPr>
        <w:ind w:left="120"/>
        <w:rPr>
          <w:sz w:val="20"/>
          <w:szCs w:val="20"/>
        </w:rPr>
      </w:pPr>
      <w:r>
        <w:rPr>
          <w:rFonts w:ascii="Arial" w:eastAsia="Arial" w:hAnsi="Arial" w:cs="Arial"/>
          <w:b/>
          <w:bCs/>
          <w:color w:val="CF0A2C"/>
          <w:sz w:val="20"/>
          <w:szCs w:val="20"/>
        </w:rPr>
        <w:t>Committee</w:t>
      </w:r>
    </w:p>
    <w:p w:rsidR="00A621E3" w:rsidRDefault="00A621E3">
      <w:pPr>
        <w:spacing w:line="105" w:lineRule="exact"/>
        <w:rPr>
          <w:sz w:val="20"/>
          <w:szCs w:val="20"/>
        </w:rPr>
      </w:pPr>
    </w:p>
    <w:p w:rsidR="00A621E3" w:rsidRDefault="00EC630E">
      <w:pPr>
        <w:spacing w:line="282" w:lineRule="auto"/>
        <w:ind w:left="120" w:right="460"/>
        <w:rPr>
          <w:sz w:val="20"/>
          <w:szCs w:val="20"/>
        </w:rPr>
      </w:pPr>
      <w:r>
        <w:rPr>
          <w:rFonts w:ascii="Arial" w:eastAsia="Arial" w:hAnsi="Arial" w:cs="Arial"/>
          <w:sz w:val="18"/>
          <w:szCs w:val="18"/>
        </w:rPr>
        <w:t xml:space="preserve">Ruby Lu, </w:t>
      </w:r>
      <w:r>
        <w:rPr>
          <w:rFonts w:ascii="Arial" w:eastAsia="Arial" w:hAnsi="Arial" w:cs="Arial"/>
          <w:i/>
          <w:iCs/>
          <w:sz w:val="18"/>
          <w:szCs w:val="18"/>
        </w:rPr>
        <w:t>Chair</w:t>
      </w:r>
      <w:r>
        <w:rPr>
          <w:rFonts w:ascii="Arial" w:eastAsia="Arial" w:hAnsi="Arial" w:cs="Arial"/>
          <w:sz w:val="18"/>
          <w:szCs w:val="18"/>
        </w:rPr>
        <w:t xml:space="preserve"> Edouard Ettedgui William Wang Min (Jenny) Zhang</w:t>
      </w:r>
    </w:p>
    <w:p w:rsidR="00A621E3" w:rsidRDefault="00A621E3">
      <w:pPr>
        <w:spacing w:line="67" w:lineRule="exact"/>
        <w:rPr>
          <w:sz w:val="20"/>
          <w:szCs w:val="20"/>
        </w:rPr>
      </w:pPr>
    </w:p>
    <w:p w:rsidR="00A621E3" w:rsidRDefault="00EC630E">
      <w:pPr>
        <w:ind w:left="120"/>
        <w:rPr>
          <w:sz w:val="20"/>
          <w:szCs w:val="20"/>
        </w:rPr>
      </w:pPr>
      <w:r>
        <w:rPr>
          <w:rFonts w:ascii="Arial" w:eastAsia="Arial" w:hAnsi="Arial" w:cs="Arial"/>
          <w:sz w:val="16"/>
          <w:szCs w:val="16"/>
        </w:rPr>
        <w:t>Number of meetings</w:t>
      </w:r>
    </w:p>
    <w:p w:rsidR="00A621E3" w:rsidRDefault="00A621E3">
      <w:pPr>
        <w:spacing w:line="64" w:lineRule="exact"/>
        <w:rPr>
          <w:sz w:val="20"/>
          <w:szCs w:val="20"/>
        </w:rPr>
      </w:pPr>
    </w:p>
    <w:p w:rsidR="00A621E3" w:rsidRDefault="00EC630E">
      <w:pPr>
        <w:ind w:left="120"/>
        <w:rPr>
          <w:sz w:val="20"/>
          <w:szCs w:val="20"/>
        </w:rPr>
      </w:pPr>
      <w:r>
        <w:rPr>
          <w:rFonts w:ascii="Arial" w:eastAsia="Arial" w:hAnsi="Arial" w:cs="Arial"/>
          <w:sz w:val="18"/>
          <w:szCs w:val="18"/>
        </w:rPr>
        <w:t>held in 2022: 8</w:t>
      </w:r>
    </w:p>
    <w:p w:rsidR="00A621E3" w:rsidRDefault="00EC630E">
      <w:pPr>
        <w:spacing w:line="20" w:lineRule="exact"/>
        <w:rPr>
          <w:sz w:val="20"/>
          <w:szCs w:val="20"/>
        </w:rPr>
      </w:pPr>
      <w:r>
        <w:rPr>
          <w:sz w:val="20"/>
          <w:szCs w:val="20"/>
        </w:rPr>
        <w:br w:type="column"/>
      </w:r>
    </w:p>
    <w:p w:rsidR="00A621E3" w:rsidRDefault="00A621E3">
      <w:pPr>
        <w:spacing w:line="197" w:lineRule="exact"/>
        <w:rPr>
          <w:sz w:val="20"/>
          <w:szCs w:val="20"/>
        </w:rPr>
      </w:pPr>
    </w:p>
    <w:p w:rsidR="00A621E3" w:rsidRDefault="00EC630E">
      <w:pPr>
        <w:spacing w:line="247" w:lineRule="auto"/>
        <w:ind w:right="20" w:hanging="139"/>
        <w:jc w:val="both"/>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 xml:space="preserve">Oversees the Company’s executive compensation plans and </w:t>
      </w:r>
      <w:r>
        <w:rPr>
          <w:rFonts w:ascii="Arial" w:eastAsia="Arial" w:hAnsi="Arial" w:cs="Arial"/>
          <w:color w:val="000000"/>
          <w:sz w:val="20"/>
          <w:szCs w:val="20"/>
        </w:rPr>
        <w:t>programs and reviews and recommends</w:t>
      </w:r>
      <w:r>
        <w:rPr>
          <w:rFonts w:ascii="Arial" w:eastAsia="Arial" w:hAnsi="Arial" w:cs="Arial"/>
          <w:color w:val="CF0A2C"/>
          <w:sz w:val="20"/>
          <w:szCs w:val="20"/>
        </w:rPr>
        <w:t xml:space="preserve"> </w:t>
      </w:r>
      <w:r>
        <w:rPr>
          <w:rFonts w:ascii="Arial" w:eastAsia="Arial" w:hAnsi="Arial" w:cs="Arial"/>
          <w:color w:val="000000"/>
          <w:sz w:val="20"/>
          <w:szCs w:val="20"/>
        </w:rPr>
        <w:t>changes to these plans and programs</w:t>
      </w:r>
    </w:p>
    <w:p w:rsidR="00A621E3" w:rsidRDefault="00EC630E">
      <w:pPr>
        <w:spacing w:line="20" w:lineRule="exact"/>
        <w:rPr>
          <w:sz w:val="20"/>
          <w:szCs w:val="20"/>
        </w:rPr>
      </w:pPr>
      <w:r>
        <w:rPr>
          <w:noProof/>
          <w:sz w:val="20"/>
          <w:szCs w:val="20"/>
        </w:rPr>
        <w:drawing>
          <wp:anchor distT="0" distB="0" distL="114300" distR="114300" simplePos="0" relativeHeight="251559936" behindDoc="1" locked="0" layoutInCell="0" allowOverlap="1">
            <wp:simplePos x="0" y="0"/>
            <wp:positionH relativeFrom="column">
              <wp:posOffset>-1716405</wp:posOffset>
            </wp:positionH>
            <wp:positionV relativeFrom="paragraph">
              <wp:posOffset>-297815</wp:posOffset>
            </wp:positionV>
            <wp:extent cx="6995160" cy="825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6">
                      <a:extLst/>
                    </a:blip>
                    <a:srcRect/>
                    <a:stretch>
                      <a:fillRect/>
                    </a:stretch>
                  </pic:blipFill>
                  <pic:spPr bwMode="auto">
                    <a:xfrm>
                      <a:off x="0" y="0"/>
                      <a:ext cx="6995160" cy="8255"/>
                    </a:xfrm>
                    <a:prstGeom prst="rect">
                      <a:avLst/>
                    </a:prstGeom>
                    <a:noFill/>
                  </pic:spPr>
                </pic:pic>
              </a:graphicData>
            </a:graphic>
          </wp:anchor>
        </w:drawing>
      </w:r>
    </w:p>
    <w:p w:rsidR="00A621E3" w:rsidRDefault="00EC630E">
      <w:pPr>
        <w:spacing w:line="239" w:lineRule="auto"/>
        <w:ind w:right="20" w:hanging="139"/>
        <w:jc w:val="both"/>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Monitors the performance of the Chief Executive Officer and other senior executives in light of</w:t>
      </w:r>
      <w:r>
        <w:rPr>
          <w:rFonts w:ascii="Arial" w:eastAsia="Arial" w:hAnsi="Arial" w:cs="Arial"/>
          <w:color w:val="CF0A2C"/>
          <w:sz w:val="20"/>
          <w:szCs w:val="20"/>
        </w:rPr>
        <w:t xml:space="preserve"> </w:t>
      </w:r>
      <w:r>
        <w:rPr>
          <w:rFonts w:ascii="Arial" w:eastAsia="Arial" w:hAnsi="Arial" w:cs="Arial"/>
          <w:color w:val="000000"/>
          <w:sz w:val="20"/>
          <w:szCs w:val="20"/>
        </w:rPr>
        <w:t>corporate goals set by the Committee</w:t>
      </w:r>
    </w:p>
    <w:p w:rsidR="00A621E3" w:rsidRDefault="00A621E3">
      <w:pPr>
        <w:spacing w:line="1" w:lineRule="exact"/>
        <w:rPr>
          <w:sz w:val="20"/>
          <w:szCs w:val="20"/>
        </w:rPr>
      </w:pPr>
    </w:p>
    <w:p w:rsidR="00A621E3" w:rsidRDefault="00EC630E">
      <w:pPr>
        <w:spacing w:line="239" w:lineRule="auto"/>
        <w:ind w:right="20" w:hanging="139"/>
        <w:jc w:val="both"/>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 xml:space="preserve">Reviews and approves the corporate goals </w:t>
      </w:r>
      <w:r>
        <w:rPr>
          <w:rFonts w:ascii="Arial" w:eastAsia="Arial" w:hAnsi="Arial" w:cs="Arial"/>
          <w:color w:val="000000"/>
          <w:sz w:val="20"/>
          <w:szCs w:val="20"/>
        </w:rPr>
        <w:t>and objectives relevant to the Chief Executive Officer’s and</w:t>
      </w:r>
      <w:r>
        <w:rPr>
          <w:rFonts w:ascii="Arial" w:eastAsia="Arial" w:hAnsi="Arial" w:cs="Arial"/>
          <w:color w:val="CF0A2C"/>
          <w:sz w:val="20"/>
          <w:szCs w:val="20"/>
        </w:rPr>
        <w:t xml:space="preserve"> </w:t>
      </w:r>
      <w:r>
        <w:rPr>
          <w:rFonts w:ascii="Arial" w:eastAsia="Arial" w:hAnsi="Arial" w:cs="Arial"/>
          <w:color w:val="000000"/>
          <w:sz w:val="20"/>
          <w:szCs w:val="20"/>
        </w:rPr>
        <w:t>other senior executives’ compensation and evaluates their performance in light of those goals and objectives</w:t>
      </w:r>
    </w:p>
    <w:p w:rsidR="00A621E3" w:rsidRDefault="00A621E3">
      <w:pPr>
        <w:spacing w:line="1" w:lineRule="exact"/>
        <w:rPr>
          <w:sz w:val="20"/>
          <w:szCs w:val="20"/>
        </w:rPr>
      </w:pPr>
    </w:p>
    <w:p w:rsidR="00A621E3" w:rsidRDefault="00EC630E">
      <w:pPr>
        <w:spacing w:line="239" w:lineRule="auto"/>
        <w:ind w:hanging="139"/>
        <w:jc w:val="both"/>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Determines and approves, either as a committee or together with the other independ</w:t>
      </w:r>
      <w:r>
        <w:rPr>
          <w:rFonts w:ascii="Arial" w:eastAsia="Arial" w:hAnsi="Arial" w:cs="Arial"/>
          <w:color w:val="000000"/>
          <w:sz w:val="20"/>
          <w:szCs w:val="20"/>
        </w:rPr>
        <w:t>ent Board members,</w:t>
      </w:r>
      <w:r>
        <w:rPr>
          <w:rFonts w:ascii="Arial" w:eastAsia="Arial" w:hAnsi="Arial" w:cs="Arial"/>
          <w:color w:val="CF0A2C"/>
          <w:sz w:val="20"/>
          <w:szCs w:val="20"/>
        </w:rPr>
        <w:t xml:space="preserve"> </w:t>
      </w:r>
      <w:r>
        <w:rPr>
          <w:rFonts w:ascii="Arial" w:eastAsia="Arial" w:hAnsi="Arial" w:cs="Arial"/>
          <w:color w:val="000000"/>
          <w:sz w:val="20"/>
          <w:szCs w:val="20"/>
        </w:rPr>
        <w:t>the compensation level of the Chief Executive Officer and other senior executive officers based on this evaluation</w:t>
      </w:r>
    </w:p>
    <w:p w:rsidR="00A621E3" w:rsidRDefault="00A621E3">
      <w:pPr>
        <w:spacing w:line="1" w:lineRule="exact"/>
        <w:rPr>
          <w:sz w:val="20"/>
          <w:szCs w:val="20"/>
        </w:rPr>
      </w:pPr>
    </w:p>
    <w:p w:rsidR="00A621E3" w:rsidRDefault="00EC630E">
      <w:pPr>
        <w:spacing w:line="244" w:lineRule="auto"/>
        <w:ind w:right="20" w:hanging="139"/>
        <w:jc w:val="both"/>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Reviews the Company’s compensation plans, policies and programs to assess the extent to which they</w:t>
      </w:r>
      <w:r>
        <w:rPr>
          <w:rFonts w:ascii="Arial" w:eastAsia="Arial" w:hAnsi="Arial" w:cs="Arial"/>
          <w:color w:val="CF0A2C"/>
          <w:sz w:val="20"/>
          <w:szCs w:val="20"/>
        </w:rPr>
        <w:t xml:space="preserve"> </w:t>
      </w:r>
      <w:r>
        <w:rPr>
          <w:rFonts w:ascii="Arial" w:eastAsia="Arial" w:hAnsi="Arial" w:cs="Arial"/>
          <w:color w:val="000000"/>
          <w:sz w:val="20"/>
          <w:szCs w:val="20"/>
        </w:rPr>
        <w:t>encourage excessive</w:t>
      </w:r>
      <w:r>
        <w:rPr>
          <w:rFonts w:ascii="Arial" w:eastAsia="Arial" w:hAnsi="Arial" w:cs="Arial"/>
          <w:color w:val="000000"/>
          <w:sz w:val="20"/>
          <w:szCs w:val="20"/>
        </w:rPr>
        <w:t xml:space="preserve"> or inappropriate risk-taking or earnings manipulation</w:t>
      </w:r>
    </w:p>
    <w:p w:rsidR="00A621E3" w:rsidRDefault="00EC630E">
      <w:pPr>
        <w:spacing w:line="20" w:lineRule="exact"/>
        <w:rPr>
          <w:sz w:val="20"/>
          <w:szCs w:val="20"/>
        </w:rPr>
      </w:pPr>
      <w:r>
        <w:rPr>
          <w:noProof/>
          <w:sz w:val="20"/>
          <w:szCs w:val="20"/>
        </w:rPr>
        <w:drawing>
          <wp:anchor distT="0" distB="0" distL="114300" distR="114300" simplePos="0" relativeHeight="251560960" behindDoc="1" locked="0" layoutInCell="0" allowOverlap="1">
            <wp:simplePos x="0" y="0"/>
            <wp:positionH relativeFrom="column">
              <wp:posOffset>-1716405</wp:posOffset>
            </wp:positionH>
            <wp:positionV relativeFrom="paragraph">
              <wp:posOffset>3810</wp:posOffset>
            </wp:positionV>
            <wp:extent cx="6995160" cy="825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6">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2100" w:space="720"/>
            <w:col w:w="8320"/>
          </w:cols>
        </w:sectPr>
      </w:pPr>
    </w:p>
    <w:p w:rsidR="00A621E3" w:rsidRDefault="00A621E3">
      <w:pPr>
        <w:spacing w:line="18" w:lineRule="exact"/>
        <w:rPr>
          <w:sz w:val="20"/>
          <w:szCs w:val="20"/>
        </w:rPr>
      </w:pPr>
    </w:p>
    <w:p w:rsidR="00A621E3" w:rsidRDefault="00EC630E">
      <w:pPr>
        <w:spacing w:line="260" w:lineRule="auto"/>
        <w:ind w:left="120" w:right="20"/>
        <w:rPr>
          <w:sz w:val="20"/>
          <w:szCs w:val="20"/>
        </w:rPr>
      </w:pPr>
      <w:r>
        <w:rPr>
          <w:rFonts w:ascii="Arial" w:eastAsia="Arial" w:hAnsi="Arial" w:cs="Arial"/>
          <w:sz w:val="20"/>
          <w:szCs w:val="20"/>
        </w:rPr>
        <w:t>The Board has determined that all of the members of the Compensation Committee are independent within the meaning of the listing standards of the NYSE.</w:t>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11" w:lineRule="exact"/>
        <w:rPr>
          <w:sz w:val="20"/>
          <w:szCs w:val="20"/>
        </w:rPr>
      </w:pPr>
    </w:p>
    <w:p w:rsidR="00A621E3" w:rsidRDefault="00EC630E">
      <w:pPr>
        <w:spacing w:line="346" w:lineRule="auto"/>
        <w:ind w:left="120" w:right="480"/>
        <w:rPr>
          <w:sz w:val="20"/>
          <w:szCs w:val="20"/>
        </w:rPr>
      </w:pPr>
      <w:r>
        <w:rPr>
          <w:rFonts w:ascii="Arial" w:eastAsia="Arial" w:hAnsi="Arial" w:cs="Arial"/>
          <w:b/>
          <w:bCs/>
          <w:color w:val="CF0A2C"/>
          <w:sz w:val="16"/>
          <w:szCs w:val="16"/>
        </w:rPr>
        <w:t>Nominating and Governance Committee</w:t>
      </w:r>
    </w:p>
    <w:p w:rsidR="00A621E3" w:rsidRDefault="00A621E3">
      <w:pPr>
        <w:spacing w:line="20" w:lineRule="exact"/>
        <w:rPr>
          <w:sz w:val="20"/>
          <w:szCs w:val="20"/>
        </w:rPr>
      </w:pPr>
    </w:p>
    <w:p w:rsidR="00A621E3" w:rsidRDefault="00EC630E">
      <w:pPr>
        <w:spacing w:line="306" w:lineRule="auto"/>
        <w:ind w:left="120" w:right="460"/>
        <w:rPr>
          <w:sz w:val="20"/>
          <w:szCs w:val="20"/>
        </w:rPr>
      </w:pPr>
      <w:r>
        <w:rPr>
          <w:rFonts w:ascii="Arial" w:eastAsia="Arial" w:hAnsi="Arial" w:cs="Arial"/>
          <w:sz w:val="16"/>
          <w:szCs w:val="16"/>
        </w:rPr>
        <w:t xml:space="preserve">Fred Hu, </w:t>
      </w:r>
      <w:r>
        <w:rPr>
          <w:rFonts w:ascii="Arial" w:eastAsia="Arial" w:hAnsi="Arial" w:cs="Arial"/>
          <w:i/>
          <w:iCs/>
          <w:sz w:val="16"/>
          <w:szCs w:val="16"/>
        </w:rPr>
        <w:t>Chair</w:t>
      </w:r>
      <w:r>
        <w:rPr>
          <w:rFonts w:ascii="Arial" w:eastAsia="Arial" w:hAnsi="Arial" w:cs="Arial"/>
          <w:sz w:val="16"/>
          <w:szCs w:val="16"/>
        </w:rPr>
        <w:t xml:space="preserve"> Edouard Ettedgui Ruby Lu</w:t>
      </w:r>
    </w:p>
    <w:p w:rsidR="00A621E3" w:rsidRDefault="00A621E3">
      <w:pPr>
        <w:spacing w:line="1" w:lineRule="exact"/>
        <w:rPr>
          <w:sz w:val="20"/>
          <w:szCs w:val="20"/>
        </w:rPr>
      </w:pPr>
    </w:p>
    <w:p w:rsidR="00A621E3" w:rsidRDefault="00EC630E">
      <w:pPr>
        <w:spacing w:line="380" w:lineRule="auto"/>
        <w:ind w:left="120" w:right="220"/>
        <w:rPr>
          <w:sz w:val="20"/>
          <w:szCs w:val="20"/>
        </w:rPr>
      </w:pPr>
      <w:r>
        <w:rPr>
          <w:rFonts w:ascii="Arial" w:eastAsia="Arial" w:hAnsi="Arial" w:cs="Arial"/>
          <w:sz w:val="16"/>
          <w:szCs w:val="16"/>
        </w:rPr>
        <w:t>Min (Jenny) Zhang Number of meetings</w:t>
      </w:r>
    </w:p>
    <w:p w:rsidR="00A621E3" w:rsidRDefault="00EC630E">
      <w:pPr>
        <w:ind w:left="120"/>
        <w:rPr>
          <w:sz w:val="20"/>
          <w:szCs w:val="20"/>
        </w:rPr>
      </w:pPr>
      <w:r>
        <w:rPr>
          <w:rFonts w:ascii="Arial" w:eastAsia="Arial" w:hAnsi="Arial" w:cs="Arial"/>
          <w:sz w:val="18"/>
          <w:szCs w:val="18"/>
        </w:rPr>
        <w:t>held in 2022: 3</w:t>
      </w:r>
    </w:p>
    <w:p w:rsidR="00A621E3" w:rsidRDefault="00EC630E">
      <w:pPr>
        <w:spacing w:line="20" w:lineRule="exact"/>
        <w:rPr>
          <w:sz w:val="20"/>
          <w:szCs w:val="20"/>
        </w:rPr>
      </w:pPr>
      <w:r>
        <w:rPr>
          <w:sz w:val="20"/>
          <w:szCs w:val="20"/>
        </w:rPr>
        <w:br w:type="column"/>
      </w:r>
    </w:p>
    <w:p w:rsidR="00A621E3" w:rsidRDefault="00A621E3">
      <w:pPr>
        <w:spacing w:line="197" w:lineRule="exact"/>
        <w:rPr>
          <w:sz w:val="20"/>
          <w:szCs w:val="20"/>
        </w:rPr>
      </w:pPr>
    </w:p>
    <w:p w:rsidR="00A621E3" w:rsidRDefault="00EC630E">
      <w:pPr>
        <w:spacing w:line="247" w:lineRule="auto"/>
        <w:ind w:left="140" w:right="20" w:hanging="139"/>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 xml:space="preserve">Identifies and proposes to the Board individuals qualified to become Board members and </w:t>
      </w:r>
      <w:r>
        <w:rPr>
          <w:rFonts w:ascii="Arial" w:eastAsia="Arial" w:hAnsi="Arial" w:cs="Arial"/>
          <w:color w:val="000000"/>
          <w:sz w:val="20"/>
          <w:szCs w:val="20"/>
        </w:rPr>
        <w:t>recommends to</w:t>
      </w:r>
      <w:r>
        <w:rPr>
          <w:rFonts w:ascii="Arial" w:eastAsia="Arial" w:hAnsi="Arial" w:cs="Arial"/>
          <w:color w:val="CF0A2C"/>
          <w:sz w:val="20"/>
          <w:szCs w:val="20"/>
        </w:rPr>
        <w:t xml:space="preserve"> </w:t>
      </w:r>
      <w:r>
        <w:rPr>
          <w:rFonts w:ascii="Arial" w:eastAsia="Arial" w:hAnsi="Arial" w:cs="Arial"/>
          <w:color w:val="000000"/>
          <w:sz w:val="20"/>
          <w:szCs w:val="20"/>
        </w:rPr>
        <w:t>the Board director nominees for each committee</w:t>
      </w:r>
    </w:p>
    <w:p w:rsidR="00A621E3" w:rsidRDefault="00EC630E">
      <w:pPr>
        <w:spacing w:line="20" w:lineRule="exact"/>
        <w:rPr>
          <w:sz w:val="20"/>
          <w:szCs w:val="20"/>
        </w:rPr>
      </w:pPr>
      <w:r>
        <w:rPr>
          <w:noProof/>
          <w:sz w:val="20"/>
          <w:szCs w:val="20"/>
        </w:rPr>
        <w:drawing>
          <wp:anchor distT="0" distB="0" distL="114300" distR="114300" simplePos="0" relativeHeight="251561984" behindDoc="1" locked="0" layoutInCell="0" allowOverlap="1">
            <wp:simplePos x="0" y="0"/>
            <wp:positionH relativeFrom="column">
              <wp:posOffset>-1627505</wp:posOffset>
            </wp:positionH>
            <wp:positionV relativeFrom="paragraph">
              <wp:posOffset>-297815</wp:posOffset>
            </wp:positionV>
            <wp:extent cx="6995160" cy="825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6">
                      <a:extLst/>
                    </a:blip>
                    <a:srcRect/>
                    <a:stretch>
                      <a:fillRect/>
                    </a:stretch>
                  </pic:blipFill>
                  <pic:spPr bwMode="auto">
                    <a:xfrm>
                      <a:off x="0" y="0"/>
                      <a:ext cx="6995160" cy="8255"/>
                    </a:xfrm>
                    <a:prstGeom prst="rect">
                      <a:avLst/>
                    </a:prstGeom>
                    <a:noFill/>
                  </pic:spPr>
                </pic:pic>
              </a:graphicData>
            </a:graphic>
          </wp:anchor>
        </w:drawing>
      </w:r>
    </w:p>
    <w:p w:rsidR="00A621E3" w:rsidRDefault="00EC630E">
      <w:pPr>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Advises the Board on matters of corporate governance</w:t>
      </w:r>
    </w:p>
    <w:p w:rsidR="00A621E3" w:rsidRDefault="00EC630E">
      <w:pPr>
        <w:spacing w:line="239" w:lineRule="auto"/>
        <w:ind w:left="140" w:right="20" w:hanging="139"/>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Reviews and reassesses from time to time the adequacy of the Company’s Corporate Governance</w:t>
      </w:r>
      <w:r>
        <w:rPr>
          <w:rFonts w:ascii="Arial" w:eastAsia="Arial" w:hAnsi="Arial" w:cs="Arial"/>
          <w:color w:val="CF0A2C"/>
          <w:sz w:val="20"/>
          <w:szCs w:val="20"/>
        </w:rPr>
        <w:t xml:space="preserve"> </w:t>
      </w:r>
      <w:r>
        <w:rPr>
          <w:rFonts w:ascii="Arial" w:eastAsia="Arial" w:hAnsi="Arial" w:cs="Arial"/>
          <w:color w:val="000000"/>
          <w:sz w:val="20"/>
          <w:szCs w:val="20"/>
        </w:rPr>
        <w:t>Principles and recommends any proposed cha</w:t>
      </w:r>
      <w:r>
        <w:rPr>
          <w:rFonts w:ascii="Arial" w:eastAsia="Arial" w:hAnsi="Arial" w:cs="Arial"/>
          <w:color w:val="000000"/>
          <w:sz w:val="20"/>
          <w:szCs w:val="20"/>
        </w:rPr>
        <w:t>nges to the Board for approval</w:t>
      </w:r>
    </w:p>
    <w:p w:rsidR="00A621E3" w:rsidRDefault="00A621E3">
      <w:pPr>
        <w:spacing w:line="1" w:lineRule="exact"/>
        <w:rPr>
          <w:sz w:val="20"/>
          <w:szCs w:val="20"/>
        </w:rPr>
      </w:pPr>
    </w:p>
    <w:p w:rsidR="00A621E3" w:rsidRDefault="00EC630E">
      <w:pPr>
        <w:spacing w:line="239" w:lineRule="auto"/>
        <w:ind w:left="140" w:right="20" w:hanging="139"/>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Receives comments from all directors and reports annually to the Board with assessment of the Board’s</w:t>
      </w:r>
      <w:r>
        <w:rPr>
          <w:rFonts w:ascii="Arial" w:eastAsia="Arial" w:hAnsi="Arial" w:cs="Arial"/>
          <w:color w:val="CF0A2C"/>
          <w:sz w:val="20"/>
          <w:szCs w:val="20"/>
        </w:rPr>
        <w:t xml:space="preserve"> </w:t>
      </w:r>
      <w:r>
        <w:rPr>
          <w:rFonts w:ascii="Arial" w:eastAsia="Arial" w:hAnsi="Arial" w:cs="Arial"/>
          <w:color w:val="000000"/>
          <w:sz w:val="20"/>
          <w:szCs w:val="20"/>
        </w:rPr>
        <w:t>performance</w:t>
      </w:r>
    </w:p>
    <w:p w:rsidR="00A621E3" w:rsidRDefault="00A621E3">
      <w:pPr>
        <w:spacing w:line="1" w:lineRule="exact"/>
        <w:rPr>
          <w:sz w:val="20"/>
          <w:szCs w:val="20"/>
        </w:rPr>
      </w:pPr>
    </w:p>
    <w:p w:rsidR="00A621E3" w:rsidRDefault="00EC630E">
      <w:pPr>
        <w:spacing w:line="239" w:lineRule="auto"/>
        <w:ind w:left="140" w:right="20" w:hanging="139"/>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Reviews annually and makes recommendations to the Board with respect to the compensation and</w:t>
      </w:r>
      <w:r>
        <w:rPr>
          <w:rFonts w:ascii="Arial" w:eastAsia="Arial" w:hAnsi="Arial" w:cs="Arial"/>
          <w:color w:val="CF0A2C"/>
          <w:sz w:val="20"/>
          <w:szCs w:val="20"/>
        </w:rPr>
        <w:t xml:space="preserve"> </w:t>
      </w:r>
      <w:r>
        <w:rPr>
          <w:rFonts w:ascii="Arial" w:eastAsia="Arial" w:hAnsi="Arial" w:cs="Arial"/>
          <w:color w:val="000000"/>
          <w:sz w:val="20"/>
          <w:szCs w:val="20"/>
        </w:rPr>
        <w:t>benefits o</w:t>
      </w:r>
      <w:r>
        <w:rPr>
          <w:rFonts w:ascii="Arial" w:eastAsia="Arial" w:hAnsi="Arial" w:cs="Arial"/>
          <w:color w:val="000000"/>
          <w:sz w:val="20"/>
          <w:szCs w:val="20"/>
        </w:rPr>
        <w:t>f directors</w:t>
      </w:r>
    </w:p>
    <w:p w:rsidR="00A621E3" w:rsidRDefault="00A621E3">
      <w:pPr>
        <w:spacing w:line="1" w:lineRule="exact"/>
        <w:rPr>
          <w:sz w:val="20"/>
          <w:szCs w:val="20"/>
        </w:rPr>
      </w:pPr>
    </w:p>
    <w:p w:rsidR="00A621E3" w:rsidRDefault="00EC630E">
      <w:pPr>
        <w:spacing w:line="269" w:lineRule="auto"/>
        <w:ind w:right="1600"/>
        <w:rPr>
          <w:sz w:val="20"/>
          <w:szCs w:val="20"/>
        </w:rPr>
      </w:pPr>
      <w:r>
        <w:rPr>
          <w:rFonts w:ascii="Arial" w:eastAsia="Arial" w:hAnsi="Arial" w:cs="Arial"/>
          <w:color w:val="CF0A2C"/>
          <w:sz w:val="19"/>
          <w:szCs w:val="19"/>
        </w:rPr>
        <w:t>•</w:t>
      </w:r>
      <w:r>
        <w:rPr>
          <w:rFonts w:ascii="Arial" w:eastAsia="Arial" w:hAnsi="Arial" w:cs="Arial"/>
          <w:color w:val="000000"/>
          <w:sz w:val="19"/>
          <w:szCs w:val="19"/>
        </w:rPr>
        <w:t>  </w:t>
      </w:r>
      <w:r>
        <w:rPr>
          <w:rFonts w:ascii="Arial" w:eastAsia="Arial" w:hAnsi="Arial" w:cs="Arial"/>
          <w:color w:val="000000"/>
          <w:sz w:val="19"/>
          <w:szCs w:val="19"/>
        </w:rPr>
        <w:t>Reviews management succession planning and makes recommendations to the Board</w:t>
      </w:r>
      <w:r>
        <w:rPr>
          <w:rFonts w:ascii="Arial" w:eastAsia="Arial" w:hAnsi="Arial" w:cs="Arial"/>
          <w:color w:val="CF0A2C"/>
          <w:sz w:val="19"/>
          <w:szCs w:val="19"/>
        </w:rPr>
        <w:t xml:space="preserve"> •</w:t>
      </w:r>
      <w:r>
        <w:rPr>
          <w:rFonts w:ascii="Arial" w:eastAsia="Arial" w:hAnsi="Arial" w:cs="Arial"/>
          <w:color w:val="000000"/>
          <w:sz w:val="19"/>
          <w:szCs w:val="19"/>
        </w:rPr>
        <w:t>  </w:t>
      </w:r>
      <w:r>
        <w:rPr>
          <w:rFonts w:ascii="Arial" w:eastAsia="Arial" w:hAnsi="Arial" w:cs="Arial"/>
          <w:color w:val="000000"/>
          <w:sz w:val="19"/>
          <w:szCs w:val="19"/>
        </w:rPr>
        <w:t>Review emerging corporate governance issues and best practices</w:t>
      </w:r>
    </w:p>
    <w:p w:rsidR="00A621E3" w:rsidRDefault="00EC630E">
      <w:pPr>
        <w:spacing w:line="20" w:lineRule="exact"/>
        <w:rPr>
          <w:sz w:val="20"/>
          <w:szCs w:val="20"/>
        </w:rPr>
      </w:pPr>
      <w:r>
        <w:rPr>
          <w:noProof/>
          <w:sz w:val="20"/>
          <w:szCs w:val="20"/>
        </w:rPr>
        <w:drawing>
          <wp:anchor distT="0" distB="0" distL="114300" distR="114300" simplePos="0" relativeHeight="251563008" behindDoc="1" locked="0" layoutInCell="0" allowOverlap="1">
            <wp:simplePos x="0" y="0"/>
            <wp:positionH relativeFrom="column">
              <wp:posOffset>-1627505</wp:posOffset>
            </wp:positionH>
            <wp:positionV relativeFrom="paragraph">
              <wp:posOffset>-9525</wp:posOffset>
            </wp:positionV>
            <wp:extent cx="6995160" cy="889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6">
                      <a:extLst/>
                    </a:blip>
                    <a:srcRect/>
                    <a:stretch>
                      <a:fillRect/>
                    </a:stretch>
                  </pic:blipFill>
                  <pic:spPr bwMode="auto">
                    <a:xfrm>
                      <a:off x="0" y="0"/>
                      <a:ext cx="6995160" cy="8890"/>
                    </a:xfrm>
                    <a:prstGeom prst="rect">
                      <a:avLst/>
                    </a:prstGeom>
                    <a:noFill/>
                  </pic:spPr>
                </pic:pic>
              </a:graphicData>
            </a:graphic>
          </wp:anchor>
        </w:drawing>
      </w:r>
    </w:p>
    <w:p w:rsidR="00A621E3" w:rsidRDefault="00A621E3">
      <w:pPr>
        <w:spacing w:line="136"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1960" w:space="720"/>
            <w:col w:w="8460"/>
          </w:cols>
        </w:sectPr>
      </w:pPr>
    </w:p>
    <w:p w:rsidR="00A621E3" w:rsidRDefault="00EC630E">
      <w:pPr>
        <w:numPr>
          <w:ilvl w:val="0"/>
          <w:numId w:val="33"/>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lastRenderedPageBreak/>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564032"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28" w:name="page28"/>
      <w:bookmarkEnd w:id="28"/>
      <w:r>
        <w:rPr>
          <w:rFonts w:ascii="Arial" w:eastAsia="Arial" w:hAnsi="Arial" w:cs="Arial"/>
          <w:b/>
          <w:bCs/>
          <w:noProof/>
          <w:color w:val="0000EE"/>
          <w:sz w:val="18"/>
          <w:szCs w:val="18"/>
          <w:u w:val="single"/>
        </w:rPr>
        <w:lastRenderedPageBreak/>
        <w:drawing>
          <wp:anchor distT="0" distB="0" distL="114300" distR="114300" simplePos="0" relativeHeight="251565056"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 xml:space="preserve">Table </w:t>
      </w:r>
      <w:r>
        <w:rPr>
          <w:rFonts w:ascii="Arial" w:eastAsia="Arial" w:hAnsi="Arial" w:cs="Arial"/>
          <w:b/>
          <w:bCs/>
          <w:color w:val="0000EE"/>
          <w:sz w:val="18"/>
          <w:szCs w:val="18"/>
          <w:u w:val="single"/>
        </w:rPr>
        <w:t>of Contents</w:t>
      </w:r>
    </w:p>
    <w:p w:rsidR="00A621E3" w:rsidRDefault="00EC630E">
      <w:pPr>
        <w:spacing w:line="20" w:lineRule="exact"/>
        <w:rPr>
          <w:sz w:val="20"/>
          <w:szCs w:val="20"/>
        </w:rPr>
      </w:pPr>
      <w:r>
        <w:rPr>
          <w:noProof/>
          <w:sz w:val="20"/>
          <w:szCs w:val="20"/>
        </w:rPr>
        <w:drawing>
          <wp:anchor distT="0" distB="0" distL="114300" distR="114300" simplePos="0" relativeHeight="251566080" behindDoc="1" locked="0" layoutInCell="0" allowOverlap="1">
            <wp:simplePos x="0" y="0"/>
            <wp:positionH relativeFrom="column">
              <wp:posOffset>5122545</wp:posOffset>
            </wp:positionH>
            <wp:positionV relativeFrom="paragraph">
              <wp:posOffset>205740</wp:posOffset>
            </wp:positionV>
            <wp:extent cx="1945640" cy="20574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5">
                      <a:extLst/>
                    </a:blip>
                    <a:srcRect/>
                    <a:stretch>
                      <a:fillRect/>
                    </a:stretch>
                  </pic:blipFill>
                  <pic:spPr bwMode="auto">
                    <a:xfrm>
                      <a:off x="0" y="0"/>
                      <a:ext cx="194564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300"/>
        <w:rPr>
          <w:sz w:val="20"/>
          <w:szCs w:val="20"/>
        </w:rPr>
      </w:pPr>
      <w:r>
        <w:rPr>
          <w:rFonts w:ascii="Arial" w:eastAsia="Arial" w:hAnsi="Arial" w:cs="Arial"/>
          <w:b/>
          <w:bCs/>
          <w:color w:val="FFFFFF"/>
          <w:sz w:val="16"/>
          <w:szCs w:val="16"/>
        </w:rPr>
        <w:t>GOVERNANCE OF THE COMPANY</w:t>
      </w:r>
    </w:p>
    <w:p w:rsidR="00A621E3" w:rsidRDefault="00A621E3">
      <w:pPr>
        <w:spacing w:line="209" w:lineRule="exact"/>
        <w:rPr>
          <w:sz w:val="20"/>
          <w:szCs w:val="20"/>
        </w:rPr>
      </w:pPr>
    </w:p>
    <w:p w:rsidR="00A621E3" w:rsidRDefault="00EC630E">
      <w:pPr>
        <w:spacing w:line="260" w:lineRule="auto"/>
        <w:ind w:left="120" w:right="20"/>
        <w:rPr>
          <w:sz w:val="20"/>
          <w:szCs w:val="20"/>
        </w:rPr>
      </w:pPr>
      <w:r>
        <w:rPr>
          <w:rFonts w:ascii="Arial" w:eastAsia="Arial" w:hAnsi="Arial" w:cs="Arial"/>
          <w:sz w:val="20"/>
          <w:szCs w:val="20"/>
        </w:rPr>
        <w:t>The Board has determined that all of the members of the Nominating and Governance Committee are independent within the meaning of the listing standards of the NYSE.</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11" w:lineRule="exact"/>
        <w:rPr>
          <w:sz w:val="20"/>
          <w:szCs w:val="20"/>
        </w:rPr>
      </w:pPr>
    </w:p>
    <w:p w:rsidR="00A621E3" w:rsidRDefault="00EC630E">
      <w:pPr>
        <w:spacing w:line="346" w:lineRule="auto"/>
        <w:ind w:left="120" w:right="460"/>
        <w:rPr>
          <w:sz w:val="20"/>
          <w:szCs w:val="20"/>
        </w:rPr>
      </w:pPr>
      <w:r>
        <w:rPr>
          <w:rFonts w:ascii="Arial" w:eastAsia="Arial" w:hAnsi="Arial" w:cs="Arial"/>
          <w:b/>
          <w:bCs/>
          <w:color w:val="CF0A2C"/>
          <w:sz w:val="16"/>
          <w:szCs w:val="16"/>
        </w:rPr>
        <w:t>Food Safety and Sustainabili</w:t>
      </w:r>
      <w:r>
        <w:rPr>
          <w:rFonts w:ascii="Arial" w:eastAsia="Arial" w:hAnsi="Arial" w:cs="Arial"/>
          <w:b/>
          <w:bCs/>
          <w:color w:val="CF0A2C"/>
          <w:sz w:val="16"/>
          <w:szCs w:val="16"/>
        </w:rPr>
        <w:t>ty Committee</w:t>
      </w:r>
    </w:p>
    <w:p w:rsidR="00A621E3" w:rsidRDefault="00A621E3">
      <w:pPr>
        <w:spacing w:line="20" w:lineRule="exact"/>
        <w:rPr>
          <w:sz w:val="20"/>
          <w:szCs w:val="20"/>
        </w:rPr>
      </w:pPr>
    </w:p>
    <w:p w:rsidR="00A621E3" w:rsidRDefault="00EC630E">
      <w:pPr>
        <w:spacing w:line="328" w:lineRule="auto"/>
        <w:ind w:left="120" w:right="460"/>
        <w:rPr>
          <w:sz w:val="20"/>
          <w:szCs w:val="20"/>
        </w:rPr>
      </w:pPr>
      <w:r>
        <w:rPr>
          <w:rFonts w:ascii="Arial" w:eastAsia="Arial" w:hAnsi="Arial" w:cs="Arial"/>
          <w:sz w:val="16"/>
          <w:szCs w:val="16"/>
        </w:rPr>
        <w:t xml:space="preserve">Zili Shao, </w:t>
      </w:r>
      <w:r>
        <w:rPr>
          <w:rFonts w:ascii="Arial" w:eastAsia="Arial" w:hAnsi="Arial" w:cs="Arial"/>
          <w:i/>
          <w:iCs/>
          <w:sz w:val="16"/>
          <w:szCs w:val="16"/>
        </w:rPr>
        <w:t>Chair</w:t>
      </w:r>
      <w:r>
        <w:rPr>
          <w:rFonts w:ascii="Arial" w:eastAsia="Arial" w:hAnsi="Arial" w:cs="Arial"/>
          <w:sz w:val="16"/>
          <w:szCs w:val="16"/>
        </w:rPr>
        <w:t xml:space="preserve"> Peter A. Bassi Edouard Ettedgui Louis T. Hsieh*</w:t>
      </w:r>
    </w:p>
    <w:p w:rsidR="00A621E3" w:rsidRDefault="00A621E3">
      <w:pPr>
        <w:spacing w:line="34" w:lineRule="exact"/>
        <w:rPr>
          <w:sz w:val="20"/>
          <w:szCs w:val="20"/>
        </w:rPr>
      </w:pPr>
    </w:p>
    <w:p w:rsidR="00A621E3" w:rsidRDefault="00EC630E">
      <w:pPr>
        <w:ind w:left="120"/>
        <w:rPr>
          <w:sz w:val="20"/>
          <w:szCs w:val="20"/>
        </w:rPr>
      </w:pPr>
      <w:r>
        <w:rPr>
          <w:rFonts w:ascii="Arial" w:eastAsia="Arial" w:hAnsi="Arial" w:cs="Arial"/>
          <w:sz w:val="16"/>
          <w:szCs w:val="16"/>
        </w:rPr>
        <w:t>Number of meetings</w:t>
      </w:r>
    </w:p>
    <w:p w:rsidR="00A621E3" w:rsidRDefault="00A621E3">
      <w:pPr>
        <w:spacing w:line="64" w:lineRule="exact"/>
        <w:rPr>
          <w:sz w:val="20"/>
          <w:szCs w:val="20"/>
        </w:rPr>
      </w:pPr>
    </w:p>
    <w:p w:rsidR="00A621E3" w:rsidRDefault="00EC630E">
      <w:pPr>
        <w:ind w:left="120"/>
        <w:rPr>
          <w:sz w:val="20"/>
          <w:szCs w:val="20"/>
        </w:rPr>
      </w:pPr>
      <w:r>
        <w:rPr>
          <w:rFonts w:ascii="Arial" w:eastAsia="Arial" w:hAnsi="Arial" w:cs="Arial"/>
          <w:sz w:val="18"/>
          <w:szCs w:val="18"/>
        </w:rPr>
        <w:t>held in 2022: 3</w:t>
      </w:r>
    </w:p>
    <w:p w:rsidR="00A621E3" w:rsidRDefault="00EC630E">
      <w:pPr>
        <w:spacing w:line="20" w:lineRule="exact"/>
        <w:rPr>
          <w:sz w:val="20"/>
          <w:szCs w:val="20"/>
        </w:rPr>
      </w:pPr>
      <w:r>
        <w:rPr>
          <w:sz w:val="20"/>
          <w:szCs w:val="20"/>
        </w:rPr>
        <w:br w:type="column"/>
      </w:r>
    </w:p>
    <w:p w:rsidR="00A621E3" w:rsidRDefault="00A621E3">
      <w:pPr>
        <w:spacing w:line="197" w:lineRule="exact"/>
        <w:rPr>
          <w:sz w:val="20"/>
          <w:szCs w:val="20"/>
        </w:rPr>
      </w:pPr>
    </w:p>
    <w:p w:rsidR="00A621E3" w:rsidRDefault="00EC630E">
      <w:pPr>
        <w:spacing w:line="247" w:lineRule="auto"/>
        <w:ind w:left="140" w:right="20" w:hanging="139"/>
        <w:jc w:val="both"/>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Reviews, evaluates and advises the Board regarding the practices, procedures, strategies and initiatives</w:t>
      </w:r>
      <w:r>
        <w:rPr>
          <w:rFonts w:ascii="Arial" w:eastAsia="Arial" w:hAnsi="Arial" w:cs="Arial"/>
          <w:color w:val="CF0A2C"/>
          <w:sz w:val="20"/>
          <w:szCs w:val="20"/>
        </w:rPr>
        <w:t xml:space="preserve"> </w:t>
      </w:r>
      <w:r>
        <w:rPr>
          <w:rFonts w:ascii="Arial" w:eastAsia="Arial" w:hAnsi="Arial" w:cs="Arial"/>
          <w:color w:val="000000"/>
          <w:sz w:val="20"/>
          <w:szCs w:val="20"/>
        </w:rPr>
        <w:t>to protect food safety</w:t>
      </w:r>
    </w:p>
    <w:p w:rsidR="00A621E3" w:rsidRDefault="00EC630E">
      <w:pPr>
        <w:spacing w:line="20" w:lineRule="exact"/>
        <w:rPr>
          <w:sz w:val="20"/>
          <w:szCs w:val="20"/>
        </w:rPr>
      </w:pPr>
      <w:r>
        <w:rPr>
          <w:noProof/>
          <w:sz w:val="20"/>
          <w:szCs w:val="20"/>
        </w:rPr>
        <w:drawing>
          <wp:anchor distT="0" distB="0" distL="114300" distR="114300" simplePos="0" relativeHeight="251567104" behindDoc="1" locked="0" layoutInCell="0" allowOverlap="1">
            <wp:simplePos x="0" y="0"/>
            <wp:positionH relativeFrom="column">
              <wp:posOffset>-1627505</wp:posOffset>
            </wp:positionH>
            <wp:positionV relativeFrom="paragraph">
              <wp:posOffset>-297815</wp:posOffset>
            </wp:positionV>
            <wp:extent cx="6995160" cy="8255"/>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6">
                      <a:extLst/>
                    </a:blip>
                    <a:srcRect/>
                    <a:stretch>
                      <a:fillRect/>
                    </a:stretch>
                  </pic:blipFill>
                  <pic:spPr bwMode="auto">
                    <a:xfrm>
                      <a:off x="0" y="0"/>
                      <a:ext cx="6995160" cy="8255"/>
                    </a:xfrm>
                    <a:prstGeom prst="rect">
                      <a:avLst/>
                    </a:prstGeom>
                    <a:noFill/>
                  </pic:spPr>
                </pic:pic>
              </a:graphicData>
            </a:graphic>
          </wp:anchor>
        </w:drawing>
      </w:r>
    </w:p>
    <w:p w:rsidR="00A621E3" w:rsidRDefault="00EC630E">
      <w:pPr>
        <w:spacing w:line="239" w:lineRule="auto"/>
        <w:ind w:left="140" w:hanging="139"/>
        <w:jc w:val="both"/>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Reviews, evaluates and advises the Board regarding trends, issues and concerns which affect or could</w:t>
      </w:r>
      <w:r>
        <w:rPr>
          <w:rFonts w:ascii="Arial" w:eastAsia="Arial" w:hAnsi="Arial" w:cs="Arial"/>
          <w:color w:val="CF0A2C"/>
          <w:sz w:val="20"/>
          <w:szCs w:val="20"/>
        </w:rPr>
        <w:t xml:space="preserve"> </w:t>
      </w:r>
      <w:r>
        <w:rPr>
          <w:rFonts w:ascii="Arial" w:eastAsia="Arial" w:hAnsi="Arial" w:cs="Arial"/>
          <w:color w:val="000000"/>
          <w:sz w:val="20"/>
          <w:szCs w:val="20"/>
        </w:rPr>
        <w:t>affect the Company’s food safety practices, and the risks arising therefrom, in light of the Company’s overall efforts related to food safety</w:t>
      </w:r>
    </w:p>
    <w:p w:rsidR="00A621E3" w:rsidRDefault="00A621E3">
      <w:pPr>
        <w:spacing w:line="1" w:lineRule="exact"/>
        <w:rPr>
          <w:sz w:val="20"/>
          <w:szCs w:val="20"/>
        </w:rPr>
      </w:pPr>
    </w:p>
    <w:p w:rsidR="00A621E3" w:rsidRDefault="00EC630E">
      <w:pPr>
        <w:spacing w:line="266" w:lineRule="auto"/>
        <w:ind w:left="140" w:right="20" w:hanging="139"/>
        <w:jc w:val="both"/>
        <w:rPr>
          <w:sz w:val="20"/>
          <w:szCs w:val="20"/>
        </w:rPr>
      </w:pPr>
      <w:r>
        <w:rPr>
          <w:rFonts w:ascii="Arial" w:eastAsia="Arial" w:hAnsi="Arial" w:cs="Arial"/>
          <w:color w:val="CF0A2C"/>
          <w:sz w:val="18"/>
          <w:szCs w:val="18"/>
        </w:rPr>
        <w:t>•</w:t>
      </w:r>
      <w:r>
        <w:rPr>
          <w:rFonts w:ascii="Arial" w:eastAsia="Arial" w:hAnsi="Arial" w:cs="Arial"/>
          <w:color w:val="000000"/>
          <w:sz w:val="18"/>
          <w:szCs w:val="18"/>
        </w:rPr>
        <w:t>  </w:t>
      </w:r>
      <w:r>
        <w:rPr>
          <w:rFonts w:ascii="Arial" w:eastAsia="Arial" w:hAnsi="Arial" w:cs="Arial"/>
          <w:color w:val="000000"/>
          <w:sz w:val="18"/>
          <w:szCs w:val="18"/>
        </w:rPr>
        <w:t>Reviews</w:t>
      </w:r>
      <w:r>
        <w:rPr>
          <w:rFonts w:ascii="Arial" w:eastAsia="Arial" w:hAnsi="Arial" w:cs="Arial"/>
          <w:color w:val="000000"/>
          <w:sz w:val="18"/>
          <w:szCs w:val="18"/>
        </w:rPr>
        <w:t xml:space="preserve"> and evaluates any corrective action taken by management to address any food safety related</w:t>
      </w:r>
      <w:r>
        <w:rPr>
          <w:rFonts w:ascii="Arial" w:eastAsia="Arial" w:hAnsi="Arial" w:cs="Arial"/>
          <w:color w:val="CF0A2C"/>
          <w:sz w:val="18"/>
          <w:szCs w:val="18"/>
        </w:rPr>
        <w:t xml:space="preserve"> </w:t>
      </w:r>
      <w:r>
        <w:rPr>
          <w:rFonts w:ascii="Arial" w:eastAsia="Arial" w:hAnsi="Arial" w:cs="Arial"/>
          <w:color w:val="000000"/>
          <w:sz w:val="18"/>
          <w:szCs w:val="18"/>
        </w:rPr>
        <w:t>risks or incident, if any, and advises the Board regarding any proposed action in relation thereto</w:t>
      </w:r>
    </w:p>
    <w:p w:rsidR="00A621E3" w:rsidRDefault="00EC630E">
      <w:pPr>
        <w:spacing w:line="239" w:lineRule="auto"/>
        <w:ind w:left="140" w:hanging="139"/>
        <w:jc w:val="both"/>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Reviews, evaluates and advises the Board regarding the Company</w:t>
      </w:r>
      <w:r>
        <w:rPr>
          <w:rFonts w:ascii="Arial" w:eastAsia="Arial" w:hAnsi="Arial" w:cs="Arial"/>
          <w:color w:val="000000"/>
          <w:sz w:val="20"/>
          <w:szCs w:val="20"/>
        </w:rPr>
        <w:t>’s practices, policies, procedures,</w:t>
      </w:r>
      <w:r>
        <w:rPr>
          <w:rFonts w:ascii="Arial" w:eastAsia="Arial" w:hAnsi="Arial" w:cs="Arial"/>
          <w:color w:val="CF0A2C"/>
          <w:sz w:val="20"/>
          <w:szCs w:val="20"/>
        </w:rPr>
        <w:t xml:space="preserve"> </w:t>
      </w:r>
      <w:r>
        <w:rPr>
          <w:rFonts w:ascii="Arial" w:eastAsia="Arial" w:hAnsi="Arial" w:cs="Arial"/>
          <w:color w:val="000000"/>
          <w:sz w:val="20"/>
          <w:szCs w:val="20"/>
        </w:rPr>
        <w:t>strategies and initiatives relating to sustainability, including environmental, supply chain and food nutrition and health</w:t>
      </w:r>
    </w:p>
    <w:p w:rsidR="00A621E3" w:rsidRDefault="00A621E3">
      <w:pPr>
        <w:spacing w:line="1" w:lineRule="exact"/>
        <w:rPr>
          <w:sz w:val="20"/>
          <w:szCs w:val="20"/>
        </w:rPr>
      </w:pPr>
    </w:p>
    <w:p w:rsidR="00A621E3" w:rsidRDefault="00EC630E">
      <w:pPr>
        <w:spacing w:line="239" w:lineRule="auto"/>
        <w:ind w:left="140" w:right="20" w:hanging="139"/>
        <w:jc w:val="both"/>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Reviews and evaluates the trends, issues and concerns which affect or could affect the Compan</w:t>
      </w:r>
      <w:r>
        <w:rPr>
          <w:rFonts w:ascii="Arial" w:eastAsia="Arial" w:hAnsi="Arial" w:cs="Arial"/>
          <w:color w:val="000000"/>
          <w:sz w:val="20"/>
          <w:szCs w:val="20"/>
        </w:rPr>
        <w:t>y’s</w:t>
      </w:r>
      <w:r>
        <w:rPr>
          <w:rFonts w:ascii="Arial" w:eastAsia="Arial" w:hAnsi="Arial" w:cs="Arial"/>
          <w:color w:val="CF0A2C"/>
          <w:sz w:val="20"/>
          <w:szCs w:val="20"/>
        </w:rPr>
        <w:t xml:space="preserve"> </w:t>
      </w:r>
      <w:r>
        <w:rPr>
          <w:rFonts w:ascii="Arial" w:eastAsia="Arial" w:hAnsi="Arial" w:cs="Arial"/>
          <w:color w:val="000000"/>
          <w:sz w:val="20"/>
          <w:szCs w:val="20"/>
        </w:rPr>
        <w:t>sustainability practices, policies, procedures, strategies and initiatives</w:t>
      </w:r>
    </w:p>
    <w:p w:rsidR="00A621E3" w:rsidRDefault="00A621E3">
      <w:pPr>
        <w:spacing w:line="1" w:lineRule="exact"/>
        <w:rPr>
          <w:sz w:val="20"/>
          <w:szCs w:val="20"/>
        </w:rPr>
      </w:pPr>
    </w:p>
    <w:p w:rsidR="00A621E3" w:rsidRDefault="00EC630E">
      <w:pPr>
        <w:spacing w:line="239" w:lineRule="auto"/>
        <w:ind w:left="140" w:right="20" w:hanging="139"/>
        <w:jc w:val="both"/>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Reviews and oversees the development and implementation of the goals the Company may establish</w:t>
      </w:r>
      <w:r>
        <w:rPr>
          <w:rFonts w:ascii="Arial" w:eastAsia="Arial" w:hAnsi="Arial" w:cs="Arial"/>
          <w:color w:val="CF0A2C"/>
          <w:sz w:val="20"/>
          <w:szCs w:val="20"/>
        </w:rPr>
        <w:t xml:space="preserve"> </w:t>
      </w:r>
      <w:r>
        <w:rPr>
          <w:rFonts w:ascii="Arial" w:eastAsia="Arial" w:hAnsi="Arial" w:cs="Arial"/>
          <w:color w:val="000000"/>
          <w:sz w:val="20"/>
          <w:szCs w:val="20"/>
        </w:rPr>
        <w:t>from time to time with respect to its sustainability initiatives</w:t>
      </w:r>
    </w:p>
    <w:p w:rsidR="00A621E3" w:rsidRDefault="00A621E3">
      <w:pPr>
        <w:spacing w:line="1" w:lineRule="exact"/>
        <w:rPr>
          <w:sz w:val="20"/>
          <w:szCs w:val="20"/>
        </w:rPr>
      </w:pPr>
    </w:p>
    <w:p w:rsidR="00A621E3" w:rsidRDefault="00EC630E">
      <w:pPr>
        <w:rPr>
          <w:sz w:val="20"/>
          <w:szCs w:val="20"/>
        </w:rPr>
      </w:pPr>
      <w:r>
        <w:rPr>
          <w:rFonts w:ascii="Arial" w:eastAsia="Arial" w:hAnsi="Arial" w:cs="Arial"/>
          <w:color w:val="CF0A2C"/>
          <w:sz w:val="20"/>
          <w:szCs w:val="20"/>
        </w:rPr>
        <w:t>•</w:t>
      </w:r>
      <w:r>
        <w:rPr>
          <w:rFonts w:ascii="Arial" w:eastAsia="Arial" w:hAnsi="Arial" w:cs="Arial"/>
          <w:color w:val="000000"/>
          <w:sz w:val="20"/>
          <w:szCs w:val="20"/>
        </w:rPr>
        <w:t>  </w:t>
      </w:r>
      <w:r>
        <w:rPr>
          <w:rFonts w:ascii="Arial" w:eastAsia="Arial" w:hAnsi="Arial" w:cs="Arial"/>
          <w:color w:val="000000"/>
          <w:sz w:val="20"/>
          <w:szCs w:val="20"/>
        </w:rPr>
        <w:t xml:space="preserve">Oversees </w:t>
      </w:r>
      <w:r>
        <w:rPr>
          <w:rFonts w:ascii="Arial" w:eastAsia="Arial" w:hAnsi="Arial" w:cs="Arial"/>
          <w:color w:val="000000"/>
          <w:sz w:val="20"/>
          <w:szCs w:val="20"/>
        </w:rPr>
        <w:t>the reporting and communication with stakeholders with respect to sustainability</w:t>
      </w:r>
    </w:p>
    <w:p w:rsidR="00A621E3" w:rsidRDefault="00EC630E">
      <w:pPr>
        <w:spacing w:line="20" w:lineRule="exact"/>
        <w:rPr>
          <w:sz w:val="20"/>
          <w:szCs w:val="20"/>
        </w:rPr>
      </w:pPr>
      <w:r>
        <w:rPr>
          <w:noProof/>
          <w:sz w:val="20"/>
          <w:szCs w:val="20"/>
        </w:rPr>
        <w:drawing>
          <wp:anchor distT="0" distB="0" distL="114300" distR="114300" simplePos="0" relativeHeight="251568128" behindDoc="1" locked="0" layoutInCell="0" allowOverlap="1">
            <wp:simplePos x="0" y="0"/>
            <wp:positionH relativeFrom="column">
              <wp:posOffset>-1627505</wp:posOffset>
            </wp:positionH>
            <wp:positionV relativeFrom="paragraph">
              <wp:posOffset>8890</wp:posOffset>
            </wp:positionV>
            <wp:extent cx="6995160" cy="825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6">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119"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1960" w:space="720"/>
            <w:col w:w="8460"/>
          </w:cols>
        </w:sectPr>
      </w:pPr>
    </w:p>
    <w:p w:rsidR="00A621E3" w:rsidRDefault="00EC630E">
      <w:pPr>
        <w:numPr>
          <w:ilvl w:val="0"/>
          <w:numId w:val="34"/>
        </w:numPr>
        <w:tabs>
          <w:tab w:val="left" w:pos="308"/>
        </w:tabs>
        <w:spacing w:line="260" w:lineRule="auto"/>
        <w:ind w:left="120" w:right="20" w:hanging="4"/>
        <w:rPr>
          <w:rFonts w:ascii="Arial" w:eastAsia="Arial" w:hAnsi="Arial" w:cs="Arial"/>
          <w:sz w:val="20"/>
          <w:szCs w:val="20"/>
        </w:rPr>
      </w:pPr>
      <w:r>
        <w:rPr>
          <w:rFonts w:ascii="Arial" w:eastAsia="Arial" w:hAnsi="Arial" w:cs="Arial"/>
          <w:sz w:val="20"/>
          <w:szCs w:val="20"/>
        </w:rPr>
        <w:lastRenderedPageBreak/>
        <w:t>At the Annual Meeting, Messrs. Han and Hsieh are stepping down from the Board and its committees and are not standing for re-election.</w:t>
      </w:r>
    </w:p>
    <w:p w:rsidR="00A621E3" w:rsidRDefault="00A621E3">
      <w:pPr>
        <w:spacing w:line="373" w:lineRule="exact"/>
        <w:rPr>
          <w:sz w:val="20"/>
          <w:szCs w:val="20"/>
        </w:rPr>
      </w:pPr>
    </w:p>
    <w:p w:rsidR="00A621E3" w:rsidRDefault="00EC630E">
      <w:pPr>
        <w:spacing w:line="286" w:lineRule="auto"/>
        <w:ind w:left="120" w:right="1060"/>
        <w:rPr>
          <w:sz w:val="20"/>
          <w:szCs w:val="20"/>
        </w:rPr>
      </w:pPr>
      <w:r>
        <w:rPr>
          <w:rFonts w:ascii="Arial" w:eastAsia="Arial" w:hAnsi="Arial" w:cs="Arial"/>
          <w:b/>
          <w:bCs/>
          <w:color w:val="CF0A2C"/>
          <w:sz w:val="32"/>
          <w:szCs w:val="32"/>
        </w:rPr>
        <w:t xml:space="preserve">What </w:t>
      </w:r>
      <w:r>
        <w:rPr>
          <w:rFonts w:ascii="Arial" w:eastAsia="Arial" w:hAnsi="Arial" w:cs="Arial"/>
          <w:b/>
          <w:bCs/>
          <w:color w:val="CF0A2C"/>
          <w:sz w:val="32"/>
          <w:szCs w:val="32"/>
        </w:rPr>
        <w:t>are the Company’s policies and procedures with respect to related person transactions?</w:t>
      </w:r>
    </w:p>
    <w:p w:rsidR="00A621E3" w:rsidRDefault="00EC630E">
      <w:pPr>
        <w:spacing w:line="20" w:lineRule="exact"/>
        <w:rPr>
          <w:sz w:val="20"/>
          <w:szCs w:val="20"/>
        </w:rPr>
      </w:pPr>
      <w:r>
        <w:rPr>
          <w:noProof/>
          <w:sz w:val="20"/>
          <w:szCs w:val="20"/>
        </w:rPr>
        <w:drawing>
          <wp:anchor distT="0" distB="0" distL="114300" distR="114300" simplePos="0" relativeHeight="251569152" behindDoc="1" locked="0" layoutInCell="0" allowOverlap="1">
            <wp:simplePos x="0" y="0"/>
            <wp:positionH relativeFrom="column">
              <wp:posOffset>73660</wp:posOffset>
            </wp:positionH>
            <wp:positionV relativeFrom="paragraph">
              <wp:posOffset>57785</wp:posOffset>
            </wp:positionV>
            <wp:extent cx="6995160" cy="825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79" w:lineRule="exact"/>
        <w:rPr>
          <w:sz w:val="20"/>
          <w:szCs w:val="20"/>
        </w:rPr>
      </w:pPr>
    </w:p>
    <w:p w:rsidR="00A621E3" w:rsidRDefault="00EC630E">
      <w:pPr>
        <w:spacing w:line="269" w:lineRule="auto"/>
        <w:ind w:left="120"/>
        <w:jc w:val="both"/>
        <w:rPr>
          <w:sz w:val="20"/>
          <w:szCs w:val="20"/>
        </w:rPr>
      </w:pPr>
      <w:r>
        <w:rPr>
          <w:rFonts w:ascii="Arial" w:eastAsia="Arial" w:hAnsi="Arial" w:cs="Arial"/>
          <w:sz w:val="18"/>
          <w:szCs w:val="18"/>
        </w:rPr>
        <w:t>Under the Company’s Related Person Transaction Policies and Procedures, the Audit Committee reviews the material facts of all related person tr</w:t>
      </w:r>
      <w:r>
        <w:rPr>
          <w:rFonts w:ascii="Arial" w:eastAsia="Arial" w:hAnsi="Arial" w:cs="Arial"/>
          <w:sz w:val="18"/>
          <w:szCs w:val="18"/>
        </w:rPr>
        <w:t>ansactions that require the Audit Committee’s approval and either approves or disapproves of the entry into the related person transaction. In determining whether to approve or ratify a related person transaction, the Audit Committee will determine whether</w:t>
      </w:r>
      <w:r>
        <w:rPr>
          <w:rFonts w:ascii="Arial" w:eastAsia="Arial" w:hAnsi="Arial" w:cs="Arial"/>
          <w:sz w:val="18"/>
          <w:szCs w:val="18"/>
        </w:rPr>
        <w:t xml:space="preserve"> such transaction is in, or not opposed to, the best interest of the Company and will take into account, among other factors it deems appropriate, whether such transaction is on terms no less favorable to the Company than terms generally available to an un</w:t>
      </w:r>
      <w:r>
        <w:rPr>
          <w:rFonts w:ascii="Arial" w:eastAsia="Arial" w:hAnsi="Arial" w:cs="Arial"/>
          <w:sz w:val="18"/>
          <w:szCs w:val="18"/>
        </w:rPr>
        <w:t>affiliated third party under the same or similar circumstances and the extent of the related person’s interest in the transaction. Transactions, arrangements or relationships or any series of similar transactions, arrangements or relationships in which (i)</w:t>
      </w:r>
      <w:r>
        <w:rPr>
          <w:rFonts w:ascii="Arial" w:eastAsia="Arial" w:hAnsi="Arial" w:cs="Arial"/>
          <w:sz w:val="18"/>
          <w:szCs w:val="18"/>
        </w:rPr>
        <w:t xml:space="preserve"> a related person has or will have a direct or indirect material interest, (ii) the Company is a participant and (iii) that exceed $120,000 in any calendar year are subject</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59" w:lineRule="exact"/>
        <w:rPr>
          <w:sz w:val="20"/>
          <w:szCs w:val="20"/>
        </w:rPr>
      </w:pPr>
    </w:p>
    <w:p w:rsidR="00A621E3" w:rsidRDefault="00EC630E">
      <w:pPr>
        <w:spacing w:line="260" w:lineRule="auto"/>
        <w:ind w:right="20"/>
        <w:jc w:val="both"/>
        <w:rPr>
          <w:sz w:val="20"/>
          <w:szCs w:val="20"/>
        </w:rPr>
      </w:pPr>
      <w:r>
        <w:rPr>
          <w:rFonts w:ascii="Arial" w:eastAsia="Arial" w:hAnsi="Arial" w:cs="Arial"/>
          <w:sz w:val="19"/>
          <w:szCs w:val="19"/>
        </w:rPr>
        <w:t>to the Audit Committee’s review. Any director who is a related person with resp</w:t>
      </w:r>
      <w:r>
        <w:rPr>
          <w:rFonts w:ascii="Arial" w:eastAsia="Arial" w:hAnsi="Arial" w:cs="Arial"/>
          <w:sz w:val="19"/>
          <w:szCs w:val="19"/>
        </w:rPr>
        <w:t>ect to a transaction under review may not participate in any discussion or approval of the transaction, except that the director will provide all material information concerning the transaction to the Audit Committee.</w:t>
      </w:r>
    </w:p>
    <w:p w:rsidR="00A621E3" w:rsidRDefault="00A621E3">
      <w:pPr>
        <w:spacing w:line="180" w:lineRule="exact"/>
        <w:rPr>
          <w:sz w:val="20"/>
          <w:szCs w:val="20"/>
        </w:rPr>
      </w:pPr>
    </w:p>
    <w:p w:rsidR="00A621E3" w:rsidRDefault="00EC630E">
      <w:pPr>
        <w:spacing w:line="257" w:lineRule="auto"/>
        <w:jc w:val="both"/>
        <w:rPr>
          <w:sz w:val="20"/>
          <w:szCs w:val="20"/>
        </w:rPr>
      </w:pPr>
      <w:r>
        <w:rPr>
          <w:rFonts w:ascii="Arial" w:eastAsia="Arial" w:hAnsi="Arial" w:cs="Arial"/>
          <w:sz w:val="19"/>
          <w:szCs w:val="19"/>
        </w:rPr>
        <w:t>Related persons are directors, direct</w:t>
      </w:r>
      <w:r>
        <w:rPr>
          <w:rFonts w:ascii="Arial" w:eastAsia="Arial" w:hAnsi="Arial" w:cs="Arial"/>
          <w:sz w:val="19"/>
          <w:szCs w:val="19"/>
        </w:rPr>
        <w:t>or nominees, executive officers, beneficial owners of 5% or more of the outstanding shares of Company common stock and their immediate family members. An immediate family member includes a person’s children, stepchildren, parents, stepparents, spouse, sibl</w:t>
      </w:r>
      <w:r>
        <w:rPr>
          <w:rFonts w:ascii="Arial" w:eastAsia="Arial" w:hAnsi="Arial" w:cs="Arial"/>
          <w:sz w:val="19"/>
          <w:szCs w:val="19"/>
        </w:rPr>
        <w:t>ings, mothers- and fathers-in-law, sons- and daughters-in-law, and brothers- and sisters-in-law and anyone sharing such person’s household (other than a tenant or employee).</w:t>
      </w:r>
    </w:p>
    <w:p w:rsidR="00A621E3" w:rsidRDefault="00A621E3">
      <w:pPr>
        <w:spacing w:line="180" w:lineRule="exact"/>
        <w:rPr>
          <w:sz w:val="20"/>
          <w:szCs w:val="20"/>
        </w:rPr>
      </w:pPr>
    </w:p>
    <w:p w:rsidR="00A621E3" w:rsidRDefault="00EC630E">
      <w:pPr>
        <w:spacing w:line="260" w:lineRule="auto"/>
        <w:jc w:val="both"/>
        <w:rPr>
          <w:sz w:val="20"/>
          <w:szCs w:val="20"/>
        </w:rPr>
      </w:pPr>
      <w:r>
        <w:rPr>
          <w:rFonts w:ascii="Arial" w:eastAsia="Arial" w:hAnsi="Arial" w:cs="Arial"/>
          <w:sz w:val="20"/>
          <w:szCs w:val="20"/>
        </w:rPr>
        <w:t xml:space="preserve">After its review, the Audit Committee may approve or ratify the transaction. The </w:t>
      </w:r>
      <w:r>
        <w:rPr>
          <w:rFonts w:ascii="Arial" w:eastAsia="Arial" w:hAnsi="Arial" w:cs="Arial"/>
          <w:sz w:val="20"/>
          <w:szCs w:val="20"/>
        </w:rPr>
        <w:t>policies and procedures provide</w:t>
      </w:r>
    </w:p>
    <w:p w:rsidR="00A621E3" w:rsidRDefault="00A621E3">
      <w:pPr>
        <w:spacing w:line="23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58"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23</w:t>
      </w:r>
    </w:p>
    <w:p w:rsidR="00A621E3" w:rsidRDefault="00EC630E">
      <w:pPr>
        <w:spacing w:line="20" w:lineRule="exact"/>
        <w:rPr>
          <w:sz w:val="20"/>
          <w:szCs w:val="20"/>
        </w:rPr>
      </w:pPr>
      <w:r>
        <w:rPr>
          <w:noProof/>
          <w:sz w:val="20"/>
          <w:szCs w:val="20"/>
        </w:rPr>
        <w:drawing>
          <wp:anchor distT="0" distB="0" distL="114300" distR="114300" simplePos="0" relativeHeight="251570176"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29" w:name="page29"/>
      <w:bookmarkEnd w:id="29"/>
      <w:r>
        <w:rPr>
          <w:rFonts w:ascii="Arial" w:eastAsia="Arial" w:hAnsi="Arial" w:cs="Arial"/>
          <w:b/>
          <w:bCs/>
          <w:color w:val="0000EE"/>
          <w:sz w:val="18"/>
          <w:szCs w:val="18"/>
          <w:u w:val="single"/>
        </w:rPr>
        <w:lastRenderedPageBreak/>
        <w:t>Table of Contents</w:t>
      </w:r>
    </w:p>
    <w:p w:rsidR="00A621E3" w:rsidRDefault="00A621E3">
      <w:pPr>
        <w:spacing w:line="387" w:lineRule="exact"/>
        <w:rPr>
          <w:sz w:val="20"/>
          <w:szCs w:val="20"/>
        </w:rPr>
      </w:pPr>
    </w:p>
    <w:p w:rsidR="00A621E3" w:rsidRDefault="00EC630E">
      <w:pPr>
        <w:ind w:left="200"/>
        <w:rPr>
          <w:sz w:val="20"/>
          <w:szCs w:val="20"/>
        </w:rPr>
      </w:pPr>
      <w:r>
        <w:rPr>
          <w:rFonts w:ascii="Arial" w:eastAsia="Arial" w:hAnsi="Arial" w:cs="Arial"/>
          <w:b/>
          <w:bCs/>
          <w:color w:val="FFFFFF"/>
          <w:sz w:val="16"/>
          <w:szCs w:val="16"/>
          <w:shd w:val="clear" w:color="auto" w:fill="CF0A2C"/>
        </w:rPr>
        <w:t>GOVERNANCE OF THE COMPANY</w:t>
      </w:r>
    </w:p>
    <w:p w:rsidR="00A621E3" w:rsidRDefault="00A621E3">
      <w:pPr>
        <w:spacing w:line="263"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 xml:space="preserve">that certain transactions are deemed to be pre-approved even if they will exceed </w:t>
      </w:r>
      <w:r>
        <w:rPr>
          <w:rFonts w:ascii="Arial" w:eastAsia="Arial" w:hAnsi="Arial" w:cs="Arial"/>
          <w:sz w:val="20"/>
          <w:szCs w:val="20"/>
        </w:rPr>
        <w:t>$120,000. These transactions include employment of executive officers, director compensation and transactions with other companies if the aggregate amount of the transaction does not exceed the greater of $1 million or 2% of that company’s total con-</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0" w:lineRule="exact"/>
        <w:rPr>
          <w:sz w:val="20"/>
          <w:szCs w:val="20"/>
        </w:rPr>
      </w:pPr>
    </w:p>
    <w:p w:rsidR="00A621E3" w:rsidRDefault="00EC630E">
      <w:pPr>
        <w:spacing w:line="260" w:lineRule="auto"/>
        <w:ind w:right="20"/>
        <w:jc w:val="both"/>
        <w:rPr>
          <w:sz w:val="20"/>
          <w:szCs w:val="20"/>
        </w:rPr>
      </w:pPr>
      <w:r>
        <w:rPr>
          <w:rFonts w:ascii="Arial" w:eastAsia="Arial" w:hAnsi="Arial" w:cs="Arial"/>
          <w:sz w:val="20"/>
          <w:szCs w:val="20"/>
        </w:rPr>
        <w:t>solidated gross revenues and the related person is not an executive officer of the other company.</w:t>
      </w:r>
    </w:p>
    <w:p w:rsidR="00A621E3" w:rsidRDefault="00EC630E">
      <w:pPr>
        <w:spacing w:line="20" w:lineRule="exact"/>
        <w:rPr>
          <w:sz w:val="20"/>
          <w:szCs w:val="20"/>
        </w:rPr>
      </w:pPr>
      <w:r>
        <w:rPr>
          <w:noProof/>
          <w:sz w:val="20"/>
          <w:szCs w:val="20"/>
        </w:rPr>
        <w:drawing>
          <wp:anchor distT="0" distB="0" distL="114300" distR="114300" simplePos="0" relativeHeight="251571200" behindDoc="1" locked="0" layoutInCell="0" allowOverlap="1">
            <wp:simplePos x="0" y="0"/>
            <wp:positionH relativeFrom="column">
              <wp:posOffset>-3651885</wp:posOffset>
            </wp:positionH>
            <wp:positionV relativeFrom="paragraph">
              <wp:posOffset>-1196340</wp:posOffset>
            </wp:positionV>
            <wp:extent cx="7174865" cy="5524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p>
    <w:p w:rsidR="00A621E3" w:rsidRDefault="00A621E3">
      <w:pPr>
        <w:spacing w:line="157" w:lineRule="exact"/>
        <w:rPr>
          <w:sz w:val="20"/>
          <w:szCs w:val="20"/>
        </w:rPr>
      </w:pPr>
    </w:p>
    <w:p w:rsidR="00A621E3" w:rsidRDefault="00EC630E">
      <w:pPr>
        <w:spacing w:line="250" w:lineRule="auto"/>
        <w:jc w:val="both"/>
        <w:rPr>
          <w:sz w:val="20"/>
          <w:szCs w:val="20"/>
        </w:rPr>
      </w:pPr>
      <w:r>
        <w:rPr>
          <w:rFonts w:ascii="Arial" w:eastAsia="Arial" w:hAnsi="Arial" w:cs="Arial"/>
          <w:sz w:val="20"/>
          <w:szCs w:val="20"/>
        </w:rPr>
        <w:t>There were no transactions considered to be a related person transaction from January 1, 2022 through the date of this proxy statement.</w:t>
      </w:r>
    </w:p>
    <w:p w:rsidR="00A621E3" w:rsidRDefault="00A621E3">
      <w:pPr>
        <w:spacing w:line="203" w:lineRule="exact"/>
        <w:rPr>
          <w:sz w:val="20"/>
          <w:szCs w:val="20"/>
        </w:rPr>
      </w:pP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A621E3">
      <w:pPr>
        <w:spacing w:line="200" w:lineRule="exact"/>
        <w:rPr>
          <w:sz w:val="20"/>
          <w:szCs w:val="20"/>
        </w:rPr>
      </w:pPr>
    </w:p>
    <w:p w:rsidR="00A621E3" w:rsidRDefault="00A621E3">
      <w:pPr>
        <w:spacing w:line="209" w:lineRule="exact"/>
        <w:rPr>
          <w:sz w:val="20"/>
          <w:szCs w:val="20"/>
        </w:rPr>
      </w:pPr>
    </w:p>
    <w:p w:rsidR="00A621E3" w:rsidRDefault="00EC630E">
      <w:pPr>
        <w:ind w:left="120"/>
        <w:rPr>
          <w:sz w:val="20"/>
          <w:szCs w:val="20"/>
        </w:rPr>
      </w:pPr>
      <w:r>
        <w:rPr>
          <w:rFonts w:ascii="Arial" w:eastAsia="Arial" w:hAnsi="Arial" w:cs="Arial"/>
          <w:b/>
          <w:bCs/>
          <w:color w:val="CF0A2C"/>
          <w:sz w:val="32"/>
          <w:szCs w:val="32"/>
        </w:rPr>
        <w:t>Does the Company require stock ownership by directors?</w:t>
      </w:r>
    </w:p>
    <w:p w:rsidR="00A621E3" w:rsidRDefault="00EC630E">
      <w:pPr>
        <w:spacing w:line="20" w:lineRule="exact"/>
        <w:rPr>
          <w:sz w:val="20"/>
          <w:szCs w:val="20"/>
        </w:rPr>
      </w:pPr>
      <w:r>
        <w:rPr>
          <w:noProof/>
          <w:sz w:val="20"/>
          <w:szCs w:val="20"/>
        </w:rPr>
        <w:drawing>
          <wp:anchor distT="0" distB="0" distL="114300" distR="114300" simplePos="0" relativeHeight="251572224"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91" w:lineRule="exact"/>
        <w:rPr>
          <w:sz w:val="20"/>
          <w:szCs w:val="20"/>
        </w:rPr>
      </w:pPr>
    </w:p>
    <w:p w:rsidR="00A621E3" w:rsidRDefault="00EC630E">
      <w:pPr>
        <w:spacing w:line="274" w:lineRule="auto"/>
        <w:ind w:left="120"/>
        <w:jc w:val="both"/>
        <w:rPr>
          <w:sz w:val="20"/>
          <w:szCs w:val="20"/>
        </w:rPr>
      </w:pPr>
      <w:r>
        <w:rPr>
          <w:rFonts w:ascii="Arial" w:eastAsia="Arial" w:hAnsi="Arial" w:cs="Arial"/>
          <w:sz w:val="18"/>
          <w:szCs w:val="18"/>
        </w:rPr>
        <w:t xml:space="preserve">The Board believes that the number of shares of Company common stock owned by each director is a personal decision. However, the Board strongly </w:t>
      </w:r>
      <w:r>
        <w:rPr>
          <w:rFonts w:ascii="Arial" w:eastAsia="Arial" w:hAnsi="Arial" w:cs="Arial"/>
          <w:sz w:val="18"/>
          <w:szCs w:val="18"/>
        </w:rPr>
        <w:t>supports the position that directors should own a meaningful number of shares of Company common stock and expects that a director will not sell any shares received as director compensation until at least 12 months following the director’s retirement or dep</w:t>
      </w:r>
      <w:r>
        <w:rPr>
          <w:rFonts w:ascii="Arial" w:eastAsia="Arial" w:hAnsi="Arial" w:cs="Arial"/>
          <w:sz w:val="18"/>
          <w:szCs w:val="18"/>
        </w:rPr>
        <w:t>arture from the Board.</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71" w:lineRule="exact"/>
        <w:rPr>
          <w:sz w:val="20"/>
          <w:szCs w:val="20"/>
        </w:rPr>
      </w:pPr>
    </w:p>
    <w:p w:rsidR="00A621E3" w:rsidRDefault="00EC630E">
      <w:pPr>
        <w:spacing w:line="260" w:lineRule="auto"/>
        <w:ind w:right="20"/>
        <w:jc w:val="both"/>
        <w:rPr>
          <w:sz w:val="20"/>
          <w:szCs w:val="20"/>
        </w:rPr>
      </w:pPr>
      <w:r>
        <w:rPr>
          <w:rFonts w:ascii="Arial" w:eastAsia="Arial" w:hAnsi="Arial" w:cs="Arial"/>
          <w:sz w:val="19"/>
          <w:szCs w:val="19"/>
        </w:rPr>
        <w:t>The Company’s non-employee directors receive a significant portion of their annual compensation in shares of Company common stock. The Company believes that the emphasis on the equity component of director compensation serves to</w:t>
      </w:r>
      <w:r>
        <w:rPr>
          <w:rFonts w:ascii="Arial" w:eastAsia="Arial" w:hAnsi="Arial" w:cs="Arial"/>
          <w:sz w:val="19"/>
          <w:szCs w:val="19"/>
        </w:rPr>
        <w:t xml:space="preserve"> further align the interests of directors with those of our stockholders.</w:t>
      </w:r>
    </w:p>
    <w:p w:rsidR="00A621E3" w:rsidRDefault="00A621E3">
      <w:pPr>
        <w:spacing w:line="67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367" w:lineRule="exact"/>
        <w:rPr>
          <w:sz w:val="20"/>
          <w:szCs w:val="20"/>
        </w:rPr>
      </w:pPr>
    </w:p>
    <w:p w:rsidR="00A621E3" w:rsidRDefault="00EC630E">
      <w:pPr>
        <w:ind w:left="120"/>
        <w:rPr>
          <w:sz w:val="20"/>
          <w:szCs w:val="20"/>
        </w:rPr>
      </w:pPr>
      <w:r>
        <w:rPr>
          <w:rFonts w:ascii="Arial" w:eastAsia="Arial" w:hAnsi="Arial" w:cs="Arial"/>
          <w:b/>
          <w:bCs/>
          <w:color w:val="CF0A2C"/>
          <w:sz w:val="32"/>
          <w:szCs w:val="32"/>
        </w:rPr>
        <w:t>Does the Company require stock ownership by executive officers?</w:t>
      </w:r>
    </w:p>
    <w:p w:rsidR="00A621E3" w:rsidRDefault="00EC630E">
      <w:pPr>
        <w:spacing w:line="20" w:lineRule="exact"/>
        <w:rPr>
          <w:sz w:val="20"/>
          <w:szCs w:val="20"/>
        </w:rPr>
      </w:pPr>
      <w:r>
        <w:rPr>
          <w:noProof/>
          <w:sz w:val="20"/>
          <w:szCs w:val="20"/>
        </w:rPr>
        <w:drawing>
          <wp:anchor distT="0" distB="0" distL="114300" distR="114300" simplePos="0" relativeHeight="251573248"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91" w:lineRule="exact"/>
        <w:rPr>
          <w:sz w:val="20"/>
          <w:szCs w:val="20"/>
        </w:rPr>
      </w:pPr>
    </w:p>
    <w:p w:rsidR="00A621E3" w:rsidRDefault="00EC630E">
      <w:pPr>
        <w:spacing w:line="246" w:lineRule="auto"/>
        <w:ind w:left="120"/>
        <w:jc w:val="both"/>
        <w:rPr>
          <w:sz w:val="20"/>
          <w:szCs w:val="20"/>
        </w:rPr>
      </w:pPr>
      <w:r>
        <w:rPr>
          <w:rFonts w:ascii="Arial" w:eastAsia="Arial" w:hAnsi="Arial" w:cs="Arial"/>
          <w:sz w:val="20"/>
          <w:szCs w:val="20"/>
        </w:rPr>
        <w:t xml:space="preserve">The Board has adopted Stock Ownership Guidelines, which </w:t>
      </w:r>
      <w:r>
        <w:rPr>
          <w:rFonts w:ascii="Arial" w:eastAsia="Arial" w:hAnsi="Arial" w:cs="Arial"/>
          <w:sz w:val="20"/>
          <w:szCs w:val="20"/>
        </w:rPr>
        <w:t>require executive officers to own a substantial amount of Company common stock in order to promote an ownership mentality among management and align</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71" w:lineRule="exact"/>
        <w:rPr>
          <w:sz w:val="20"/>
          <w:szCs w:val="20"/>
        </w:rPr>
      </w:pPr>
    </w:p>
    <w:p w:rsidR="00A621E3" w:rsidRDefault="00EC630E">
      <w:pPr>
        <w:spacing w:line="250" w:lineRule="auto"/>
        <w:ind w:right="20"/>
        <w:jc w:val="both"/>
        <w:rPr>
          <w:sz w:val="20"/>
          <w:szCs w:val="20"/>
        </w:rPr>
      </w:pPr>
      <w:r>
        <w:rPr>
          <w:rFonts w:ascii="Arial" w:eastAsia="Arial" w:hAnsi="Arial" w:cs="Arial"/>
          <w:sz w:val="20"/>
          <w:szCs w:val="20"/>
        </w:rPr>
        <w:t>their interests with those of stockholders. See “Executive Compensation—Compensation Policies—Stock Ow</w:t>
      </w:r>
      <w:r>
        <w:rPr>
          <w:rFonts w:ascii="Arial" w:eastAsia="Arial" w:hAnsi="Arial" w:cs="Arial"/>
          <w:sz w:val="20"/>
          <w:szCs w:val="20"/>
        </w:rPr>
        <w:t>nership Guidelines and Retention Policy” for more information.</w:t>
      </w:r>
    </w:p>
    <w:p w:rsidR="00A621E3" w:rsidRDefault="00A621E3">
      <w:pPr>
        <w:spacing w:line="424"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00" w:lineRule="exact"/>
        <w:rPr>
          <w:sz w:val="20"/>
          <w:szCs w:val="20"/>
        </w:rPr>
      </w:pPr>
    </w:p>
    <w:p w:rsidR="00A621E3" w:rsidRDefault="00A621E3">
      <w:pPr>
        <w:spacing w:line="204" w:lineRule="exact"/>
        <w:rPr>
          <w:sz w:val="20"/>
          <w:szCs w:val="20"/>
        </w:rPr>
      </w:pPr>
    </w:p>
    <w:p w:rsidR="00A621E3" w:rsidRDefault="00EC630E">
      <w:pPr>
        <w:spacing w:line="286" w:lineRule="auto"/>
        <w:ind w:left="120" w:right="720"/>
        <w:rPr>
          <w:sz w:val="20"/>
          <w:szCs w:val="20"/>
        </w:rPr>
      </w:pPr>
      <w:r>
        <w:rPr>
          <w:rFonts w:ascii="Arial" w:eastAsia="Arial" w:hAnsi="Arial" w:cs="Arial"/>
          <w:b/>
          <w:bCs/>
          <w:color w:val="CF0A2C"/>
          <w:sz w:val="32"/>
          <w:szCs w:val="32"/>
        </w:rPr>
        <w:t>How many shares of Company common stock do the directors and executive officers own?</w:t>
      </w:r>
    </w:p>
    <w:p w:rsidR="00A621E3" w:rsidRDefault="00EC630E">
      <w:pPr>
        <w:spacing w:line="20" w:lineRule="exact"/>
        <w:rPr>
          <w:sz w:val="20"/>
          <w:szCs w:val="20"/>
        </w:rPr>
      </w:pPr>
      <w:r>
        <w:rPr>
          <w:noProof/>
          <w:sz w:val="20"/>
          <w:szCs w:val="20"/>
        </w:rPr>
        <w:drawing>
          <wp:anchor distT="0" distB="0" distL="114300" distR="114300" simplePos="0" relativeHeight="251574272" behindDoc="1" locked="0" layoutInCell="0" allowOverlap="1">
            <wp:simplePos x="0" y="0"/>
            <wp:positionH relativeFrom="column">
              <wp:posOffset>73660</wp:posOffset>
            </wp:positionH>
            <wp:positionV relativeFrom="paragraph">
              <wp:posOffset>109220</wp:posOffset>
            </wp:positionV>
            <wp:extent cx="6995160" cy="825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391" w:lineRule="exact"/>
        <w:rPr>
          <w:sz w:val="20"/>
          <w:szCs w:val="20"/>
        </w:rPr>
      </w:pPr>
    </w:p>
    <w:p w:rsidR="00A621E3" w:rsidRDefault="00EC630E">
      <w:pPr>
        <w:ind w:left="120"/>
        <w:rPr>
          <w:sz w:val="20"/>
          <w:szCs w:val="20"/>
        </w:rPr>
      </w:pPr>
      <w:r>
        <w:rPr>
          <w:rFonts w:ascii="Arial" w:eastAsia="Arial" w:hAnsi="Arial" w:cs="Arial"/>
          <w:sz w:val="20"/>
          <w:szCs w:val="20"/>
        </w:rPr>
        <w:t xml:space="preserve">Stock ownership information for our directors and executive officers is </w:t>
      </w:r>
      <w:r>
        <w:rPr>
          <w:rFonts w:ascii="Arial" w:eastAsia="Arial" w:hAnsi="Arial" w:cs="Arial"/>
          <w:sz w:val="20"/>
          <w:szCs w:val="20"/>
        </w:rPr>
        <w:t>shown under “Stock Ownership Information.”</w:t>
      </w:r>
    </w:p>
    <w:p w:rsidR="00A621E3" w:rsidRDefault="00A621E3">
      <w:pPr>
        <w:spacing w:line="200" w:lineRule="exact"/>
        <w:rPr>
          <w:sz w:val="20"/>
          <w:szCs w:val="20"/>
        </w:rPr>
      </w:pPr>
    </w:p>
    <w:p w:rsidR="00A621E3" w:rsidRDefault="00A621E3">
      <w:pPr>
        <w:spacing w:line="212" w:lineRule="exact"/>
        <w:rPr>
          <w:sz w:val="20"/>
          <w:szCs w:val="20"/>
        </w:rPr>
      </w:pPr>
    </w:p>
    <w:p w:rsidR="00A621E3" w:rsidRDefault="00EC630E">
      <w:pPr>
        <w:spacing w:line="286" w:lineRule="auto"/>
        <w:ind w:left="120" w:right="960"/>
        <w:rPr>
          <w:sz w:val="20"/>
          <w:szCs w:val="20"/>
        </w:rPr>
      </w:pPr>
      <w:r>
        <w:rPr>
          <w:rFonts w:ascii="Arial" w:eastAsia="Arial" w:hAnsi="Arial" w:cs="Arial"/>
          <w:b/>
          <w:bCs/>
          <w:color w:val="CF0A2C"/>
          <w:sz w:val="32"/>
          <w:szCs w:val="32"/>
        </w:rPr>
        <w:t>Does the Company have a policy on hedging or other speculative trading in Company common stock?</w:t>
      </w:r>
    </w:p>
    <w:p w:rsidR="00A621E3" w:rsidRDefault="00EC630E">
      <w:pPr>
        <w:spacing w:line="20" w:lineRule="exact"/>
        <w:rPr>
          <w:sz w:val="20"/>
          <w:szCs w:val="20"/>
        </w:rPr>
      </w:pPr>
      <w:r>
        <w:rPr>
          <w:noProof/>
          <w:sz w:val="20"/>
          <w:szCs w:val="20"/>
        </w:rPr>
        <w:drawing>
          <wp:anchor distT="0" distB="0" distL="114300" distR="114300" simplePos="0" relativeHeight="251575296" behindDoc="1" locked="0" layoutInCell="0" allowOverlap="1">
            <wp:simplePos x="0" y="0"/>
            <wp:positionH relativeFrom="column">
              <wp:posOffset>73660</wp:posOffset>
            </wp:positionH>
            <wp:positionV relativeFrom="paragraph">
              <wp:posOffset>109220</wp:posOffset>
            </wp:positionV>
            <wp:extent cx="6995160" cy="825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05" w:lineRule="exact"/>
        <w:rPr>
          <w:sz w:val="20"/>
          <w:szCs w:val="20"/>
        </w:rPr>
      </w:pPr>
    </w:p>
    <w:p w:rsidR="00A621E3" w:rsidRDefault="00EC630E">
      <w:pPr>
        <w:spacing w:line="260" w:lineRule="auto"/>
        <w:ind w:left="120" w:right="20"/>
        <w:rPr>
          <w:sz w:val="20"/>
          <w:szCs w:val="20"/>
        </w:rPr>
      </w:pPr>
      <w:r>
        <w:rPr>
          <w:rFonts w:ascii="Arial" w:eastAsia="Arial" w:hAnsi="Arial" w:cs="Arial"/>
          <w:sz w:val="20"/>
          <w:szCs w:val="20"/>
        </w:rPr>
        <w:t>Directors, executive officers and certain other designated employees are prohibited from speculative trading in</w:t>
      </w:r>
      <w:r>
        <w:rPr>
          <w:rFonts w:ascii="Arial" w:eastAsia="Arial" w:hAnsi="Arial" w:cs="Arial"/>
          <w:sz w:val="20"/>
          <w:szCs w:val="20"/>
        </w:rPr>
        <w:t xml:space="preserve"> Company common stock, including trading in puts, calls or other hedging or monetization transactions.</w:t>
      </w:r>
    </w:p>
    <w:p w:rsidR="00A621E3" w:rsidRDefault="00A621E3">
      <w:pPr>
        <w:spacing w:line="198" w:lineRule="exact"/>
        <w:rPr>
          <w:sz w:val="20"/>
          <w:szCs w:val="20"/>
        </w:rPr>
      </w:pPr>
    </w:p>
    <w:p w:rsidR="00A621E3" w:rsidRDefault="00EC630E">
      <w:pPr>
        <w:ind w:left="120"/>
        <w:rPr>
          <w:sz w:val="20"/>
          <w:szCs w:val="20"/>
        </w:rPr>
      </w:pPr>
      <w:r>
        <w:rPr>
          <w:rFonts w:ascii="Arial" w:eastAsia="Arial" w:hAnsi="Arial" w:cs="Arial"/>
          <w:b/>
          <w:bCs/>
          <w:color w:val="CF0A2C"/>
          <w:sz w:val="32"/>
          <w:szCs w:val="32"/>
        </w:rPr>
        <w:t>How are directors compensated?</w:t>
      </w:r>
    </w:p>
    <w:p w:rsidR="00A621E3" w:rsidRDefault="00EC630E">
      <w:pPr>
        <w:spacing w:line="20" w:lineRule="exact"/>
        <w:rPr>
          <w:sz w:val="20"/>
          <w:szCs w:val="20"/>
        </w:rPr>
      </w:pPr>
      <w:r>
        <w:rPr>
          <w:noProof/>
          <w:sz w:val="20"/>
          <w:szCs w:val="20"/>
        </w:rPr>
        <w:drawing>
          <wp:anchor distT="0" distB="0" distL="114300" distR="114300" simplePos="0" relativeHeight="251576320"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95" w:lineRule="exact"/>
        <w:rPr>
          <w:sz w:val="20"/>
          <w:szCs w:val="20"/>
        </w:rPr>
      </w:pPr>
    </w:p>
    <w:p w:rsidR="00A621E3" w:rsidRDefault="00EC630E">
      <w:pPr>
        <w:spacing w:line="260" w:lineRule="auto"/>
        <w:ind w:left="120" w:right="20"/>
        <w:rPr>
          <w:sz w:val="20"/>
          <w:szCs w:val="20"/>
        </w:rPr>
      </w:pPr>
      <w:r>
        <w:rPr>
          <w:rFonts w:ascii="Arial" w:eastAsia="Arial" w:hAnsi="Arial" w:cs="Arial"/>
          <w:sz w:val="20"/>
          <w:szCs w:val="20"/>
        </w:rPr>
        <w:t>Employee directors do not receive additional compensation for serving on the Board of Directors. The annual compensat</w:t>
      </w:r>
      <w:r>
        <w:rPr>
          <w:rFonts w:ascii="Arial" w:eastAsia="Arial" w:hAnsi="Arial" w:cs="Arial"/>
          <w:sz w:val="20"/>
          <w:szCs w:val="20"/>
        </w:rPr>
        <w:t>ion for each director who is not an employee of the Company is discussed under “2022 Director Compensation.”</w:t>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117" w:lineRule="exact"/>
        <w:rPr>
          <w:sz w:val="20"/>
          <w:szCs w:val="20"/>
        </w:rPr>
      </w:pPr>
    </w:p>
    <w:p w:rsidR="00A621E3" w:rsidRDefault="00EC630E">
      <w:pPr>
        <w:numPr>
          <w:ilvl w:val="0"/>
          <w:numId w:val="35"/>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57734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30" w:name="page30"/>
      <w:bookmarkEnd w:id="30"/>
      <w:r>
        <w:rPr>
          <w:rFonts w:ascii="Arial" w:eastAsia="Arial" w:hAnsi="Arial" w:cs="Arial"/>
          <w:b/>
          <w:bCs/>
          <w:noProof/>
          <w:color w:val="0000EE"/>
          <w:sz w:val="18"/>
          <w:szCs w:val="18"/>
          <w:u w:val="single"/>
        </w:rPr>
        <w:lastRenderedPageBreak/>
        <w:drawing>
          <wp:anchor distT="0" distB="0" distL="114300" distR="114300" simplePos="0" relativeHeight="251578368"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579392" behindDoc="1" locked="0" layoutInCell="0" allowOverlap="1">
            <wp:simplePos x="0" y="0"/>
            <wp:positionH relativeFrom="column">
              <wp:posOffset>73660</wp:posOffset>
            </wp:positionH>
            <wp:positionV relativeFrom="paragraph">
              <wp:posOffset>205740</wp:posOffset>
            </wp:positionV>
            <wp:extent cx="6995160" cy="506095"/>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
                      <a:extLst/>
                    </a:blip>
                    <a:srcRect/>
                    <a:stretch>
                      <a:fillRect/>
                    </a:stretch>
                  </pic:blipFill>
                  <pic:spPr bwMode="auto">
                    <a:xfrm>
                      <a:off x="0" y="0"/>
                      <a:ext cx="6995160" cy="50609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11" w:lineRule="exact"/>
        <w:rPr>
          <w:sz w:val="20"/>
          <w:szCs w:val="20"/>
        </w:rPr>
      </w:pPr>
    </w:p>
    <w:p w:rsidR="00A621E3" w:rsidRDefault="00EC630E">
      <w:pPr>
        <w:ind w:left="200"/>
        <w:rPr>
          <w:sz w:val="20"/>
          <w:szCs w:val="20"/>
        </w:rPr>
      </w:pPr>
      <w:r>
        <w:rPr>
          <w:rFonts w:ascii="Arial" w:eastAsia="Arial" w:hAnsi="Arial" w:cs="Arial"/>
          <w:b/>
          <w:bCs/>
          <w:color w:val="FFFFFF"/>
          <w:sz w:val="32"/>
          <w:szCs w:val="32"/>
        </w:rPr>
        <w:t>MATTERS REQUIRING STOCKHOLDER ACTION</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26" w:lineRule="exact"/>
        <w:rPr>
          <w:sz w:val="20"/>
          <w:szCs w:val="20"/>
        </w:rPr>
      </w:pPr>
    </w:p>
    <w:p w:rsidR="00A621E3" w:rsidRDefault="00EC630E">
      <w:pPr>
        <w:tabs>
          <w:tab w:val="left" w:pos="1600"/>
        </w:tabs>
        <w:ind w:left="120"/>
        <w:rPr>
          <w:sz w:val="20"/>
          <w:szCs w:val="20"/>
        </w:rPr>
      </w:pPr>
      <w:r>
        <w:rPr>
          <w:rFonts w:ascii="Arial" w:eastAsia="Arial" w:hAnsi="Arial" w:cs="Arial"/>
          <w:b/>
          <w:bCs/>
          <w:color w:val="CF0A2C"/>
          <w:sz w:val="32"/>
          <w:szCs w:val="32"/>
        </w:rPr>
        <w:t>ITEM 1.</w:t>
      </w:r>
      <w:r>
        <w:rPr>
          <w:rFonts w:ascii="Arial" w:eastAsia="Arial" w:hAnsi="Arial" w:cs="Arial"/>
          <w:b/>
          <w:bCs/>
          <w:color w:val="CF0A2C"/>
          <w:sz w:val="32"/>
          <w:szCs w:val="32"/>
        </w:rPr>
        <w:tab/>
        <w:t>Election of Directors</w:t>
      </w:r>
    </w:p>
    <w:p w:rsidR="00A621E3" w:rsidRDefault="00EC630E">
      <w:pPr>
        <w:spacing w:line="20" w:lineRule="exact"/>
        <w:rPr>
          <w:sz w:val="20"/>
          <w:szCs w:val="20"/>
        </w:rPr>
      </w:pPr>
      <w:r>
        <w:rPr>
          <w:noProof/>
          <w:sz w:val="20"/>
          <w:szCs w:val="20"/>
        </w:rPr>
        <w:drawing>
          <wp:anchor distT="0" distB="0" distL="114300" distR="114300" simplePos="0" relativeHeight="251580416" behindDoc="1" locked="0" layoutInCell="0" allowOverlap="1">
            <wp:simplePos x="0" y="0"/>
            <wp:positionH relativeFrom="column">
              <wp:posOffset>73660</wp:posOffset>
            </wp:positionH>
            <wp:positionV relativeFrom="paragraph">
              <wp:posOffset>140970</wp:posOffset>
            </wp:positionV>
            <wp:extent cx="3463290" cy="825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3">
                      <a:extLst/>
                    </a:blip>
                    <a:srcRect/>
                    <a:stretch>
                      <a:fillRect/>
                    </a:stretch>
                  </pic:blipFill>
                  <pic:spPr bwMode="auto">
                    <a:xfrm>
                      <a:off x="0" y="0"/>
                      <a:ext cx="346329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84" w:lineRule="exact"/>
        <w:rPr>
          <w:sz w:val="20"/>
          <w:szCs w:val="20"/>
        </w:rPr>
      </w:pPr>
    </w:p>
    <w:p w:rsidR="00A621E3" w:rsidRDefault="00EC630E">
      <w:pPr>
        <w:ind w:left="120"/>
        <w:rPr>
          <w:sz w:val="20"/>
          <w:szCs w:val="20"/>
        </w:rPr>
      </w:pPr>
      <w:r>
        <w:rPr>
          <w:rFonts w:ascii="Arial" w:eastAsia="Arial" w:hAnsi="Arial" w:cs="Arial"/>
          <w:b/>
          <w:bCs/>
          <w:color w:val="CF0A2C"/>
          <w:sz w:val="20"/>
          <w:szCs w:val="20"/>
        </w:rPr>
        <w:t>Who are the director nominees?</w:t>
      </w:r>
    </w:p>
    <w:p w:rsidR="00A621E3" w:rsidRDefault="00A621E3">
      <w:pPr>
        <w:spacing w:line="262" w:lineRule="exact"/>
        <w:rPr>
          <w:sz w:val="20"/>
          <w:szCs w:val="20"/>
        </w:rPr>
      </w:pPr>
    </w:p>
    <w:p w:rsidR="00A621E3" w:rsidRDefault="00EC630E">
      <w:pPr>
        <w:spacing w:line="257" w:lineRule="auto"/>
        <w:ind w:left="120"/>
        <w:jc w:val="both"/>
        <w:rPr>
          <w:sz w:val="20"/>
          <w:szCs w:val="20"/>
        </w:rPr>
      </w:pPr>
      <w:r>
        <w:rPr>
          <w:rFonts w:ascii="Arial" w:eastAsia="Arial" w:hAnsi="Arial" w:cs="Arial"/>
          <w:sz w:val="19"/>
          <w:szCs w:val="19"/>
        </w:rPr>
        <w:t>Each of the director nominees, other than Christina Xiaojing Zhu, currently serves as a director of the Company. Christina Xiaojing Zhu is being nominated as a direct</w:t>
      </w:r>
      <w:r>
        <w:rPr>
          <w:rFonts w:ascii="Arial" w:eastAsia="Arial" w:hAnsi="Arial" w:cs="Arial"/>
          <w:sz w:val="19"/>
          <w:szCs w:val="19"/>
        </w:rPr>
        <w:t>or for election at the Annual Meeting following a search process undertaken by the Nominating and Governance Committee, as described above under “Governance of the Company—How are director nominees selected?”</w:t>
      </w:r>
    </w:p>
    <w:p w:rsidR="00A621E3" w:rsidRDefault="00A621E3">
      <w:pPr>
        <w:spacing w:line="212"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Each nominee has been nominated by the Board f</w:t>
      </w:r>
      <w:r>
        <w:rPr>
          <w:rFonts w:ascii="Arial" w:eastAsia="Arial" w:hAnsi="Arial" w:cs="Arial"/>
          <w:sz w:val="20"/>
          <w:szCs w:val="20"/>
        </w:rPr>
        <w:t xml:space="preserve">or election at the Annual Meeting to hold office for a one-year term. If elected, the nominees will hold office until the 2024 annual meeting of the Company’s stockholders and until their respective successors have been duly elected and qualified or until </w:t>
      </w:r>
      <w:r>
        <w:rPr>
          <w:rFonts w:ascii="Arial" w:eastAsia="Arial" w:hAnsi="Arial" w:cs="Arial"/>
          <w:sz w:val="20"/>
          <w:szCs w:val="20"/>
        </w:rPr>
        <w:t>their earlier death, resignation or removal.</w:t>
      </w:r>
    </w:p>
    <w:p w:rsidR="00A621E3" w:rsidRDefault="00A621E3">
      <w:pPr>
        <w:spacing w:line="236" w:lineRule="exact"/>
        <w:rPr>
          <w:sz w:val="20"/>
          <w:szCs w:val="20"/>
        </w:rPr>
      </w:pPr>
    </w:p>
    <w:p w:rsidR="00A621E3" w:rsidRDefault="00EC630E">
      <w:pPr>
        <w:spacing w:line="241" w:lineRule="auto"/>
        <w:ind w:left="120"/>
        <w:jc w:val="both"/>
        <w:rPr>
          <w:sz w:val="20"/>
          <w:szCs w:val="20"/>
        </w:rPr>
      </w:pPr>
      <w:r>
        <w:rPr>
          <w:rFonts w:ascii="Arial" w:eastAsia="Arial" w:hAnsi="Arial" w:cs="Arial"/>
          <w:sz w:val="20"/>
          <w:szCs w:val="20"/>
        </w:rPr>
        <w:t xml:space="preserve">The biographies of each of the nominees below contain information regarding the person’s service as a director, business experience, director positions held currently or at any time during the last five years, </w:t>
      </w:r>
      <w:r>
        <w:rPr>
          <w:rFonts w:ascii="Arial" w:eastAsia="Arial" w:hAnsi="Arial" w:cs="Arial"/>
          <w:sz w:val="20"/>
          <w:szCs w:val="20"/>
        </w:rPr>
        <w:t>information regarding involvement in certain legal or administrative proceedings, if applicable, and the experiences, qualifications, attributes or skills that caused the Nominating and Governance Committee and the Board to determine that the person should</w:t>
      </w:r>
      <w:r>
        <w:rPr>
          <w:rFonts w:ascii="Arial" w:eastAsia="Arial" w:hAnsi="Arial" w:cs="Arial"/>
          <w:sz w:val="20"/>
          <w:szCs w:val="20"/>
        </w:rPr>
        <w:t xml:space="preserve"> serve as a director for the Company. In addition to the information presented below regarding</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83" w:lineRule="exact"/>
        <w:rPr>
          <w:sz w:val="20"/>
          <w:szCs w:val="20"/>
        </w:rPr>
      </w:pPr>
    </w:p>
    <w:p w:rsidR="00A621E3" w:rsidRDefault="00EC630E">
      <w:pPr>
        <w:spacing w:line="274" w:lineRule="auto"/>
        <w:ind w:right="20"/>
        <w:jc w:val="both"/>
        <w:rPr>
          <w:sz w:val="20"/>
          <w:szCs w:val="20"/>
        </w:rPr>
      </w:pPr>
      <w:r>
        <w:rPr>
          <w:rFonts w:ascii="Arial" w:eastAsia="Arial" w:hAnsi="Arial" w:cs="Arial"/>
          <w:sz w:val="18"/>
          <w:szCs w:val="18"/>
        </w:rPr>
        <w:t>each nominee’s specific experience, qualifications, attributes and skills that led our Board to the conclusion that he or she should serve as a directo</w:t>
      </w:r>
      <w:r>
        <w:rPr>
          <w:rFonts w:ascii="Arial" w:eastAsia="Arial" w:hAnsi="Arial" w:cs="Arial"/>
          <w:sz w:val="18"/>
          <w:szCs w:val="18"/>
        </w:rPr>
        <w:t>r, we also believe that all of our director nominees have a reputation for integrity, honesty and adherence to high ethical standards. They each have demonstrated business acumen and an ability to exercise sound judgment, as well as a commitment of service</w:t>
      </w:r>
      <w:r>
        <w:rPr>
          <w:rFonts w:ascii="Arial" w:eastAsia="Arial" w:hAnsi="Arial" w:cs="Arial"/>
          <w:sz w:val="18"/>
          <w:szCs w:val="18"/>
        </w:rPr>
        <w:t xml:space="preserve"> to the Company and our Board.</w:t>
      </w:r>
    </w:p>
    <w:p w:rsidR="00A621E3" w:rsidRDefault="00EC630E">
      <w:pPr>
        <w:spacing w:line="20" w:lineRule="exact"/>
        <w:rPr>
          <w:sz w:val="20"/>
          <w:szCs w:val="20"/>
        </w:rPr>
      </w:pPr>
      <w:r>
        <w:rPr>
          <w:noProof/>
          <w:sz w:val="20"/>
          <w:szCs w:val="20"/>
        </w:rPr>
        <w:drawing>
          <wp:anchor distT="0" distB="0" distL="114300" distR="114300" simplePos="0" relativeHeight="251581440" behindDoc="1" locked="0" layoutInCell="0" allowOverlap="1">
            <wp:simplePos x="0" y="0"/>
            <wp:positionH relativeFrom="column">
              <wp:posOffset>-99060</wp:posOffset>
            </wp:positionH>
            <wp:positionV relativeFrom="paragraph">
              <wp:posOffset>-1296035</wp:posOffset>
            </wp:positionV>
            <wp:extent cx="8890" cy="825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82464" behindDoc="1" locked="0" layoutInCell="0" allowOverlap="1">
            <wp:simplePos x="0" y="0"/>
            <wp:positionH relativeFrom="column">
              <wp:posOffset>-81915</wp:posOffset>
            </wp:positionH>
            <wp:positionV relativeFrom="paragraph">
              <wp:posOffset>-1296035</wp:posOffset>
            </wp:positionV>
            <wp:extent cx="8890" cy="825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83488" behindDoc="1" locked="0" layoutInCell="0" allowOverlap="1">
            <wp:simplePos x="0" y="0"/>
            <wp:positionH relativeFrom="column">
              <wp:posOffset>-64770</wp:posOffset>
            </wp:positionH>
            <wp:positionV relativeFrom="paragraph">
              <wp:posOffset>-1296035</wp:posOffset>
            </wp:positionV>
            <wp:extent cx="8255" cy="8255"/>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84512" behindDoc="1" locked="0" layoutInCell="0" allowOverlap="1">
            <wp:simplePos x="0" y="0"/>
            <wp:positionH relativeFrom="column">
              <wp:posOffset>-47625</wp:posOffset>
            </wp:positionH>
            <wp:positionV relativeFrom="paragraph">
              <wp:posOffset>-1296035</wp:posOffset>
            </wp:positionV>
            <wp:extent cx="8255" cy="8255"/>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85536" behindDoc="1" locked="0" layoutInCell="0" allowOverlap="1">
            <wp:simplePos x="0" y="0"/>
            <wp:positionH relativeFrom="column">
              <wp:posOffset>-30480</wp:posOffset>
            </wp:positionH>
            <wp:positionV relativeFrom="paragraph">
              <wp:posOffset>-1296035</wp:posOffset>
            </wp:positionV>
            <wp:extent cx="8255" cy="825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86560" behindDoc="1" locked="0" layoutInCell="0" allowOverlap="1">
            <wp:simplePos x="0" y="0"/>
            <wp:positionH relativeFrom="column">
              <wp:posOffset>-13335</wp:posOffset>
            </wp:positionH>
            <wp:positionV relativeFrom="paragraph">
              <wp:posOffset>-1296035</wp:posOffset>
            </wp:positionV>
            <wp:extent cx="8890" cy="825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87584" behindDoc="1" locked="0" layoutInCell="0" allowOverlap="1">
            <wp:simplePos x="0" y="0"/>
            <wp:positionH relativeFrom="column">
              <wp:posOffset>3175</wp:posOffset>
            </wp:positionH>
            <wp:positionV relativeFrom="paragraph">
              <wp:posOffset>-1296035</wp:posOffset>
            </wp:positionV>
            <wp:extent cx="8255" cy="825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88608" behindDoc="1" locked="0" layoutInCell="0" allowOverlap="1">
            <wp:simplePos x="0" y="0"/>
            <wp:positionH relativeFrom="column">
              <wp:posOffset>20320</wp:posOffset>
            </wp:positionH>
            <wp:positionV relativeFrom="paragraph">
              <wp:posOffset>-1296035</wp:posOffset>
            </wp:positionV>
            <wp:extent cx="8255" cy="8255"/>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89632" behindDoc="1" locked="0" layoutInCell="0" allowOverlap="1">
            <wp:simplePos x="0" y="0"/>
            <wp:positionH relativeFrom="column">
              <wp:posOffset>37465</wp:posOffset>
            </wp:positionH>
            <wp:positionV relativeFrom="paragraph">
              <wp:posOffset>-1296035</wp:posOffset>
            </wp:positionV>
            <wp:extent cx="8255" cy="825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90656" behindDoc="1" locked="0" layoutInCell="0" allowOverlap="1">
            <wp:simplePos x="0" y="0"/>
            <wp:positionH relativeFrom="column">
              <wp:posOffset>54610</wp:posOffset>
            </wp:positionH>
            <wp:positionV relativeFrom="paragraph">
              <wp:posOffset>-1296035</wp:posOffset>
            </wp:positionV>
            <wp:extent cx="8890" cy="8255"/>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91680" behindDoc="1" locked="0" layoutInCell="0" allowOverlap="1">
            <wp:simplePos x="0" y="0"/>
            <wp:positionH relativeFrom="column">
              <wp:posOffset>71755</wp:posOffset>
            </wp:positionH>
            <wp:positionV relativeFrom="paragraph">
              <wp:posOffset>-1296035</wp:posOffset>
            </wp:positionV>
            <wp:extent cx="8890" cy="825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92704" behindDoc="1" locked="0" layoutInCell="0" allowOverlap="1">
            <wp:simplePos x="0" y="0"/>
            <wp:positionH relativeFrom="column">
              <wp:posOffset>88900</wp:posOffset>
            </wp:positionH>
            <wp:positionV relativeFrom="paragraph">
              <wp:posOffset>-1296035</wp:posOffset>
            </wp:positionV>
            <wp:extent cx="8255" cy="825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93728" behindDoc="1" locked="0" layoutInCell="0" allowOverlap="1">
            <wp:simplePos x="0" y="0"/>
            <wp:positionH relativeFrom="column">
              <wp:posOffset>106045</wp:posOffset>
            </wp:positionH>
            <wp:positionV relativeFrom="paragraph">
              <wp:posOffset>-1296035</wp:posOffset>
            </wp:positionV>
            <wp:extent cx="8255" cy="8255"/>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94752" behindDoc="1" locked="0" layoutInCell="0" allowOverlap="1">
            <wp:simplePos x="0" y="0"/>
            <wp:positionH relativeFrom="column">
              <wp:posOffset>123190</wp:posOffset>
            </wp:positionH>
            <wp:positionV relativeFrom="paragraph">
              <wp:posOffset>-1296035</wp:posOffset>
            </wp:positionV>
            <wp:extent cx="8255" cy="825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95776" behindDoc="1" locked="0" layoutInCell="0" allowOverlap="1">
            <wp:simplePos x="0" y="0"/>
            <wp:positionH relativeFrom="column">
              <wp:posOffset>140335</wp:posOffset>
            </wp:positionH>
            <wp:positionV relativeFrom="paragraph">
              <wp:posOffset>-1296035</wp:posOffset>
            </wp:positionV>
            <wp:extent cx="8890" cy="825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96800" behindDoc="1" locked="0" layoutInCell="0" allowOverlap="1">
            <wp:simplePos x="0" y="0"/>
            <wp:positionH relativeFrom="column">
              <wp:posOffset>157480</wp:posOffset>
            </wp:positionH>
            <wp:positionV relativeFrom="paragraph">
              <wp:posOffset>-1296035</wp:posOffset>
            </wp:positionV>
            <wp:extent cx="8890" cy="825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597824" behindDoc="1" locked="0" layoutInCell="0" allowOverlap="1">
            <wp:simplePos x="0" y="0"/>
            <wp:positionH relativeFrom="column">
              <wp:posOffset>174625</wp:posOffset>
            </wp:positionH>
            <wp:positionV relativeFrom="paragraph">
              <wp:posOffset>-1296035</wp:posOffset>
            </wp:positionV>
            <wp:extent cx="8255" cy="8255"/>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98848" behindDoc="1" locked="0" layoutInCell="0" allowOverlap="1">
            <wp:simplePos x="0" y="0"/>
            <wp:positionH relativeFrom="column">
              <wp:posOffset>191770</wp:posOffset>
            </wp:positionH>
            <wp:positionV relativeFrom="paragraph">
              <wp:posOffset>-1296035</wp:posOffset>
            </wp:positionV>
            <wp:extent cx="8255" cy="825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599872" behindDoc="1" locked="0" layoutInCell="0" allowOverlap="1">
            <wp:simplePos x="0" y="0"/>
            <wp:positionH relativeFrom="column">
              <wp:posOffset>208915</wp:posOffset>
            </wp:positionH>
            <wp:positionV relativeFrom="paragraph">
              <wp:posOffset>-1296035</wp:posOffset>
            </wp:positionV>
            <wp:extent cx="8255" cy="8255"/>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00896" behindDoc="1" locked="0" layoutInCell="0" allowOverlap="1">
            <wp:simplePos x="0" y="0"/>
            <wp:positionH relativeFrom="column">
              <wp:posOffset>226060</wp:posOffset>
            </wp:positionH>
            <wp:positionV relativeFrom="paragraph">
              <wp:posOffset>-1296035</wp:posOffset>
            </wp:positionV>
            <wp:extent cx="8890" cy="8255"/>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01920" behindDoc="1" locked="0" layoutInCell="0" allowOverlap="1">
            <wp:simplePos x="0" y="0"/>
            <wp:positionH relativeFrom="column">
              <wp:posOffset>243205</wp:posOffset>
            </wp:positionH>
            <wp:positionV relativeFrom="paragraph">
              <wp:posOffset>-1296035</wp:posOffset>
            </wp:positionV>
            <wp:extent cx="8890" cy="825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02944" behindDoc="1" locked="0" layoutInCell="0" allowOverlap="1">
            <wp:simplePos x="0" y="0"/>
            <wp:positionH relativeFrom="column">
              <wp:posOffset>260350</wp:posOffset>
            </wp:positionH>
            <wp:positionV relativeFrom="paragraph">
              <wp:posOffset>-1296035</wp:posOffset>
            </wp:positionV>
            <wp:extent cx="8255" cy="825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03968" behindDoc="1" locked="0" layoutInCell="0" allowOverlap="1">
            <wp:simplePos x="0" y="0"/>
            <wp:positionH relativeFrom="column">
              <wp:posOffset>277495</wp:posOffset>
            </wp:positionH>
            <wp:positionV relativeFrom="paragraph">
              <wp:posOffset>-1296035</wp:posOffset>
            </wp:positionV>
            <wp:extent cx="8255" cy="8255"/>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04992" behindDoc="1" locked="0" layoutInCell="0" allowOverlap="1">
            <wp:simplePos x="0" y="0"/>
            <wp:positionH relativeFrom="column">
              <wp:posOffset>294640</wp:posOffset>
            </wp:positionH>
            <wp:positionV relativeFrom="paragraph">
              <wp:posOffset>-1296035</wp:posOffset>
            </wp:positionV>
            <wp:extent cx="8255" cy="825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06016" behindDoc="1" locked="0" layoutInCell="0" allowOverlap="1">
            <wp:simplePos x="0" y="0"/>
            <wp:positionH relativeFrom="column">
              <wp:posOffset>311785</wp:posOffset>
            </wp:positionH>
            <wp:positionV relativeFrom="paragraph">
              <wp:posOffset>-1296035</wp:posOffset>
            </wp:positionV>
            <wp:extent cx="8890" cy="825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07040" behindDoc="1" locked="0" layoutInCell="0" allowOverlap="1">
            <wp:simplePos x="0" y="0"/>
            <wp:positionH relativeFrom="column">
              <wp:posOffset>328930</wp:posOffset>
            </wp:positionH>
            <wp:positionV relativeFrom="paragraph">
              <wp:posOffset>-1296035</wp:posOffset>
            </wp:positionV>
            <wp:extent cx="8890" cy="8255"/>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08064" behindDoc="1" locked="0" layoutInCell="0" allowOverlap="1">
            <wp:simplePos x="0" y="0"/>
            <wp:positionH relativeFrom="column">
              <wp:posOffset>346075</wp:posOffset>
            </wp:positionH>
            <wp:positionV relativeFrom="paragraph">
              <wp:posOffset>-1296035</wp:posOffset>
            </wp:positionV>
            <wp:extent cx="8255" cy="8255"/>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09088" behindDoc="1" locked="0" layoutInCell="0" allowOverlap="1">
            <wp:simplePos x="0" y="0"/>
            <wp:positionH relativeFrom="column">
              <wp:posOffset>363220</wp:posOffset>
            </wp:positionH>
            <wp:positionV relativeFrom="paragraph">
              <wp:posOffset>-1296035</wp:posOffset>
            </wp:positionV>
            <wp:extent cx="8255" cy="8255"/>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10112" behindDoc="1" locked="0" layoutInCell="0" allowOverlap="1">
            <wp:simplePos x="0" y="0"/>
            <wp:positionH relativeFrom="column">
              <wp:posOffset>380365</wp:posOffset>
            </wp:positionH>
            <wp:positionV relativeFrom="paragraph">
              <wp:posOffset>-1296035</wp:posOffset>
            </wp:positionV>
            <wp:extent cx="8255" cy="8255"/>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11136" behindDoc="1" locked="0" layoutInCell="0" allowOverlap="1">
            <wp:simplePos x="0" y="0"/>
            <wp:positionH relativeFrom="column">
              <wp:posOffset>397510</wp:posOffset>
            </wp:positionH>
            <wp:positionV relativeFrom="paragraph">
              <wp:posOffset>-1296035</wp:posOffset>
            </wp:positionV>
            <wp:extent cx="8890" cy="8255"/>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12160" behindDoc="1" locked="0" layoutInCell="0" allowOverlap="1">
            <wp:simplePos x="0" y="0"/>
            <wp:positionH relativeFrom="column">
              <wp:posOffset>414655</wp:posOffset>
            </wp:positionH>
            <wp:positionV relativeFrom="paragraph">
              <wp:posOffset>-1296035</wp:posOffset>
            </wp:positionV>
            <wp:extent cx="8890" cy="8255"/>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13184" behindDoc="1" locked="0" layoutInCell="0" allowOverlap="1">
            <wp:simplePos x="0" y="0"/>
            <wp:positionH relativeFrom="column">
              <wp:posOffset>431800</wp:posOffset>
            </wp:positionH>
            <wp:positionV relativeFrom="paragraph">
              <wp:posOffset>-1296035</wp:posOffset>
            </wp:positionV>
            <wp:extent cx="8255" cy="8255"/>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14208" behindDoc="1" locked="0" layoutInCell="0" allowOverlap="1">
            <wp:simplePos x="0" y="0"/>
            <wp:positionH relativeFrom="column">
              <wp:posOffset>448945</wp:posOffset>
            </wp:positionH>
            <wp:positionV relativeFrom="paragraph">
              <wp:posOffset>-1296035</wp:posOffset>
            </wp:positionV>
            <wp:extent cx="8255" cy="8255"/>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15232" behindDoc="1" locked="0" layoutInCell="0" allowOverlap="1">
            <wp:simplePos x="0" y="0"/>
            <wp:positionH relativeFrom="column">
              <wp:posOffset>466090</wp:posOffset>
            </wp:positionH>
            <wp:positionV relativeFrom="paragraph">
              <wp:posOffset>-1296035</wp:posOffset>
            </wp:positionV>
            <wp:extent cx="8255" cy="825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16256" behindDoc="1" locked="0" layoutInCell="0" allowOverlap="1">
            <wp:simplePos x="0" y="0"/>
            <wp:positionH relativeFrom="column">
              <wp:posOffset>483235</wp:posOffset>
            </wp:positionH>
            <wp:positionV relativeFrom="paragraph">
              <wp:posOffset>-1296035</wp:posOffset>
            </wp:positionV>
            <wp:extent cx="8890" cy="8255"/>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17280" behindDoc="1" locked="0" layoutInCell="0" allowOverlap="1">
            <wp:simplePos x="0" y="0"/>
            <wp:positionH relativeFrom="column">
              <wp:posOffset>500380</wp:posOffset>
            </wp:positionH>
            <wp:positionV relativeFrom="paragraph">
              <wp:posOffset>-1296035</wp:posOffset>
            </wp:positionV>
            <wp:extent cx="8890" cy="8255"/>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18304" behindDoc="1" locked="0" layoutInCell="0" allowOverlap="1">
            <wp:simplePos x="0" y="0"/>
            <wp:positionH relativeFrom="column">
              <wp:posOffset>517525</wp:posOffset>
            </wp:positionH>
            <wp:positionV relativeFrom="paragraph">
              <wp:posOffset>-1296035</wp:posOffset>
            </wp:positionV>
            <wp:extent cx="8255" cy="8255"/>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19328" behindDoc="1" locked="0" layoutInCell="0" allowOverlap="1">
            <wp:simplePos x="0" y="0"/>
            <wp:positionH relativeFrom="column">
              <wp:posOffset>534670</wp:posOffset>
            </wp:positionH>
            <wp:positionV relativeFrom="paragraph">
              <wp:posOffset>-1296035</wp:posOffset>
            </wp:positionV>
            <wp:extent cx="8255" cy="8255"/>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20352" behindDoc="1" locked="0" layoutInCell="0" allowOverlap="1">
            <wp:simplePos x="0" y="0"/>
            <wp:positionH relativeFrom="column">
              <wp:posOffset>551815</wp:posOffset>
            </wp:positionH>
            <wp:positionV relativeFrom="paragraph">
              <wp:posOffset>-1296035</wp:posOffset>
            </wp:positionV>
            <wp:extent cx="8255" cy="8255"/>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21376" behindDoc="1" locked="0" layoutInCell="0" allowOverlap="1">
            <wp:simplePos x="0" y="0"/>
            <wp:positionH relativeFrom="column">
              <wp:posOffset>568960</wp:posOffset>
            </wp:positionH>
            <wp:positionV relativeFrom="paragraph">
              <wp:posOffset>-1296035</wp:posOffset>
            </wp:positionV>
            <wp:extent cx="8890" cy="8255"/>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22400" behindDoc="1" locked="0" layoutInCell="0" allowOverlap="1">
            <wp:simplePos x="0" y="0"/>
            <wp:positionH relativeFrom="column">
              <wp:posOffset>586105</wp:posOffset>
            </wp:positionH>
            <wp:positionV relativeFrom="paragraph">
              <wp:posOffset>-1296035</wp:posOffset>
            </wp:positionV>
            <wp:extent cx="8890" cy="8255"/>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23424" behindDoc="1" locked="0" layoutInCell="0" allowOverlap="1">
            <wp:simplePos x="0" y="0"/>
            <wp:positionH relativeFrom="column">
              <wp:posOffset>603250</wp:posOffset>
            </wp:positionH>
            <wp:positionV relativeFrom="paragraph">
              <wp:posOffset>-1296035</wp:posOffset>
            </wp:positionV>
            <wp:extent cx="8255" cy="8255"/>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24448" behindDoc="1" locked="0" layoutInCell="0" allowOverlap="1">
            <wp:simplePos x="0" y="0"/>
            <wp:positionH relativeFrom="column">
              <wp:posOffset>620395</wp:posOffset>
            </wp:positionH>
            <wp:positionV relativeFrom="paragraph">
              <wp:posOffset>-1296035</wp:posOffset>
            </wp:positionV>
            <wp:extent cx="8255" cy="825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25472" behindDoc="1" locked="0" layoutInCell="0" allowOverlap="1">
            <wp:simplePos x="0" y="0"/>
            <wp:positionH relativeFrom="column">
              <wp:posOffset>637540</wp:posOffset>
            </wp:positionH>
            <wp:positionV relativeFrom="paragraph">
              <wp:posOffset>-1296035</wp:posOffset>
            </wp:positionV>
            <wp:extent cx="8255" cy="8255"/>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26496" behindDoc="1" locked="0" layoutInCell="0" allowOverlap="1">
            <wp:simplePos x="0" y="0"/>
            <wp:positionH relativeFrom="column">
              <wp:posOffset>654685</wp:posOffset>
            </wp:positionH>
            <wp:positionV relativeFrom="paragraph">
              <wp:posOffset>-1296035</wp:posOffset>
            </wp:positionV>
            <wp:extent cx="8890" cy="825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27520" behindDoc="1" locked="0" layoutInCell="0" allowOverlap="1">
            <wp:simplePos x="0" y="0"/>
            <wp:positionH relativeFrom="column">
              <wp:posOffset>671830</wp:posOffset>
            </wp:positionH>
            <wp:positionV relativeFrom="paragraph">
              <wp:posOffset>-1296035</wp:posOffset>
            </wp:positionV>
            <wp:extent cx="8255" cy="8255"/>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28544" behindDoc="1" locked="0" layoutInCell="0" allowOverlap="1">
            <wp:simplePos x="0" y="0"/>
            <wp:positionH relativeFrom="column">
              <wp:posOffset>688975</wp:posOffset>
            </wp:positionH>
            <wp:positionV relativeFrom="paragraph">
              <wp:posOffset>-1296035</wp:posOffset>
            </wp:positionV>
            <wp:extent cx="8255" cy="8255"/>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29568" behindDoc="1" locked="0" layoutInCell="0" allowOverlap="1">
            <wp:simplePos x="0" y="0"/>
            <wp:positionH relativeFrom="column">
              <wp:posOffset>706120</wp:posOffset>
            </wp:positionH>
            <wp:positionV relativeFrom="paragraph">
              <wp:posOffset>-1296035</wp:posOffset>
            </wp:positionV>
            <wp:extent cx="8255" cy="8255"/>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30592" behindDoc="1" locked="0" layoutInCell="0" allowOverlap="1">
            <wp:simplePos x="0" y="0"/>
            <wp:positionH relativeFrom="column">
              <wp:posOffset>723265</wp:posOffset>
            </wp:positionH>
            <wp:positionV relativeFrom="paragraph">
              <wp:posOffset>-1296035</wp:posOffset>
            </wp:positionV>
            <wp:extent cx="8890" cy="8255"/>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31616" behindDoc="1" locked="0" layoutInCell="0" allowOverlap="1">
            <wp:simplePos x="0" y="0"/>
            <wp:positionH relativeFrom="column">
              <wp:posOffset>740410</wp:posOffset>
            </wp:positionH>
            <wp:positionV relativeFrom="paragraph">
              <wp:posOffset>-1296035</wp:posOffset>
            </wp:positionV>
            <wp:extent cx="8890" cy="8255"/>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32640" behindDoc="1" locked="0" layoutInCell="0" allowOverlap="1">
            <wp:simplePos x="0" y="0"/>
            <wp:positionH relativeFrom="column">
              <wp:posOffset>757555</wp:posOffset>
            </wp:positionH>
            <wp:positionV relativeFrom="paragraph">
              <wp:posOffset>-1296035</wp:posOffset>
            </wp:positionV>
            <wp:extent cx="8255" cy="8255"/>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33664" behindDoc="1" locked="0" layoutInCell="0" allowOverlap="1">
            <wp:simplePos x="0" y="0"/>
            <wp:positionH relativeFrom="column">
              <wp:posOffset>774700</wp:posOffset>
            </wp:positionH>
            <wp:positionV relativeFrom="paragraph">
              <wp:posOffset>-1296035</wp:posOffset>
            </wp:positionV>
            <wp:extent cx="8255" cy="8255"/>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34688" behindDoc="1" locked="0" layoutInCell="0" allowOverlap="1">
            <wp:simplePos x="0" y="0"/>
            <wp:positionH relativeFrom="column">
              <wp:posOffset>791845</wp:posOffset>
            </wp:positionH>
            <wp:positionV relativeFrom="paragraph">
              <wp:posOffset>-1296035</wp:posOffset>
            </wp:positionV>
            <wp:extent cx="8255" cy="8255"/>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35712" behindDoc="1" locked="0" layoutInCell="0" allowOverlap="1">
            <wp:simplePos x="0" y="0"/>
            <wp:positionH relativeFrom="column">
              <wp:posOffset>808990</wp:posOffset>
            </wp:positionH>
            <wp:positionV relativeFrom="paragraph">
              <wp:posOffset>-1296035</wp:posOffset>
            </wp:positionV>
            <wp:extent cx="8890" cy="8255"/>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36736" behindDoc="1" locked="0" layoutInCell="0" allowOverlap="1">
            <wp:simplePos x="0" y="0"/>
            <wp:positionH relativeFrom="column">
              <wp:posOffset>826135</wp:posOffset>
            </wp:positionH>
            <wp:positionV relativeFrom="paragraph">
              <wp:posOffset>-1296035</wp:posOffset>
            </wp:positionV>
            <wp:extent cx="8890" cy="8255"/>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37760" behindDoc="1" locked="0" layoutInCell="0" allowOverlap="1">
            <wp:simplePos x="0" y="0"/>
            <wp:positionH relativeFrom="column">
              <wp:posOffset>843280</wp:posOffset>
            </wp:positionH>
            <wp:positionV relativeFrom="paragraph">
              <wp:posOffset>-1296035</wp:posOffset>
            </wp:positionV>
            <wp:extent cx="8255" cy="8255"/>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38784" behindDoc="1" locked="0" layoutInCell="0" allowOverlap="1">
            <wp:simplePos x="0" y="0"/>
            <wp:positionH relativeFrom="column">
              <wp:posOffset>860425</wp:posOffset>
            </wp:positionH>
            <wp:positionV relativeFrom="paragraph">
              <wp:posOffset>-1296035</wp:posOffset>
            </wp:positionV>
            <wp:extent cx="8255" cy="8255"/>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39808" behindDoc="1" locked="0" layoutInCell="0" allowOverlap="1">
            <wp:simplePos x="0" y="0"/>
            <wp:positionH relativeFrom="column">
              <wp:posOffset>877570</wp:posOffset>
            </wp:positionH>
            <wp:positionV relativeFrom="paragraph">
              <wp:posOffset>-1296035</wp:posOffset>
            </wp:positionV>
            <wp:extent cx="8255" cy="8255"/>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40832" behindDoc="1" locked="0" layoutInCell="0" allowOverlap="1">
            <wp:simplePos x="0" y="0"/>
            <wp:positionH relativeFrom="column">
              <wp:posOffset>894715</wp:posOffset>
            </wp:positionH>
            <wp:positionV relativeFrom="paragraph">
              <wp:posOffset>-1296035</wp:posOffset>
            </wp:positionV>
            <wp:extent cx="8890" cy="8255"/>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41856" behindDoc="1" locked="0" layoutInCell="0" allowOverlap="1">
            <wp:simplePos x="0" y="0"/>
            <wp:positionH relativeFrom="column">
              <wp:posOffset>911860</wp:posOffset>
            </wp:positionH>
            <wp:positionV relativeFrom="paragraph">
              <wp:posOffset>-1296035</wp:posOffset>
            </wp:positionV>
            <wp:extent cx="8890" cy="8255"/>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42880" behindDoc="1" locked="0" layoutInCell="0" allowOverlap="1">
            <wp:simplePos x="0" y="0"/>
            <wp:positionH relativeFrom="column">
              <wp:posOffset>929005</wp:posOffset>
            </wp:positionH>
            <wp:positionV relativeFrom="paragraph">
              <wp:posOffset>-1296035</wp:posOffset>
            </wp:positionV>
            <wp:extent cx="8255" cy="8255"/>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43904" behindDoc="1" locked="0" layoutInCell="0" allowOverlap="1">
            <wp:simplePos x="0" y="0"/>
            <wp:positionH relativeFrom="column">
              <wp:posOffset>946150</wp:posOffset>
            </wp:positionH>
            <wp:positionV relativeFrom="paragraph">
              <wp:posOffset>-1296035</wp:posOffset>
            </wp:positionV>
            <wp:extent cx="8255" cy="8255"/>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44928" behindDoc="1" locked="0" layoutInCell="0" allowOverlap="1">
            <wp:simplePos x="0" y="0"/>
            <wp:positionH relativeFrom="column">
              <wp:posOffset>963295</wp:posOffset>
            </wp:positionH>
            <wp:positionV relativeFrom="paragraph">
              <wp:posOffset>-1296035</wp:posOffset>
            </wp:positionV>
            <wp:extent cx="8255" cy="8255"/>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45952" behindDoc="1" locked="0" layoutInCell="0" allowOverlap="1">
            <wp:simplePos x="0" y="0"/>
            <wp:positionH relativeFrom="column">
              <wp:posOffset>980440</wp:posOffset>
            </wp:positionH>
            <wp:positionV relativeFrom="paragraph">
              <wp:posOffset>-1296035</wp:posOffset>
            </wp:positionV>
            <wp:extent cx="8890" cy="8255"/>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46976" behindDoc="1" locked="0" layoutInCell="0" allowOverlap="1">
            <wp:simplePos x="0" y="0"/>
            <wp:positionH relativeFrom="column">
              <wp:posOffset>997585</wp:posOffset>
            </wp:positionH>
            <wp:positionV relativeFrom="paragraph">
              <wp:posOffset>-1296035</wp:posOffset>
            </wp:positionV>
            <wp:extent cx="8890" cy="8255"/>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48000" behindDoc="1" locked="0" layoutInCell="0" allowOverlap="1">
            <wp:simplePos x="0" y="0"/>
            <wp:positionH relativeFrom="column">
              <wp:posOffset>1014730</wp:posOffset>
            </wp:positionH>
            <wp:positionV relativeFrom="paragraph">
              <wp:posOffset>-1296035</wp:posOffset>
            </wp:positionV>
            <wp:extent cx="8255" cy="8255"/>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49024" behindDoc="1" locked="0" layoutInCell="0" allowOverlap="1">
            <wp:simplePos x="0" y="0"/>
            <wp:positionH relativeFrom="column">
              <wp:posOffset>1031875</wp:posOffset>
            </wp:positionH>
            <wp:positionV relativeFrom="paragraph">
              <wp:posOffset>-1296035</wp:posOffset>
            </wp:positionV>
            <wp:extent cx="8255" cy="8255"/>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50048" behindDoc="1" locked="0" layoutInCell="0" allowOverlap="1">
            <wp:simplePos x="0" y="0"/>
            <wp:positionH relativeFrom="column">
              <wp:posOffset>1049020</wp:posOffset>
            </wp:positionH>
            <wp:positionV relativeFrom="paragraph">
              <wp:posOffset>-1296035</wp:posOffset>
            </wp:positionV>
            <wp:extent cx="8255" cy="8255"/>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51072" behindDoc="1" locked="0" layoutInCell="0" allowOverlap="1">
            <wp:simplePos x="0" y="0"/>
            <wp:positionH relativeFrom="column">
              <wp:posOffset>1066165</wp:posOffset>
            </wp:positionH>
            <wp:positionV relativeFrom="paragraph">
              <wp:posOffset>-1296035</wp:posOffset>
            </wp:positionV>
            <wp:extent cx="8890" cy="825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52096" behindDoc="1" locked="0" layoutInCell="0" allowOverlap="1">
            <wp:simplePos x="0" y="0"/>
            <wp:positionH relativeFrom="column">
              <wp:posOffset>1083310</wp:posOffset>
            </wp:positionH>
            <wp:positionV relativeFrom="paragraph">
              <wp:posOffset>-1296035</wp:posOffset>
            </wp:positionV>
            <wp:extent cx="8890" cy="8255"/>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53120" behindDoc="1" locked="0" layoutInCell="0" allowOverlap="1">
            <wp:simplePos x="0" y="0"/>
            <wp:positionH relativeFrom="column">
              <wp:posOffset>1100455</wp:posOffset>
            </wp:positionH>
            <wp:positionV relativeFrom="paragraph">
              <wp:posOffset>-1296035</wp:posOffset>
            </wp:positionV>
            <wp:extent cx="8255" cy="8255"/>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54144" behindDoc="1" locked="0" layoutInCell="0" allowOverlap="1">
            <wp:simplePos x="0" y="0"/>
            <wp:positionH relativeFrom="column">
              <wp:posOffset>1117600</wp:posOffset>
            </wp:positionH>
            <wp:positionV relativeFrom="paragraph">
              <wp:posOffset>-1296035</wp:posOffset>
            </wp:positionV>
            <wp:extent cx="8255" cy="8255"/>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55168" behindDoc="1" locked="0" layoutInCell="0" allowOverlap="1">
            <wp:simplePos x="0" y="0"/>
            <wp:positionH relativeFrom="column">
              <wp:posOffset>1134745</wp:posOffset>
            </wp:positionH>
            <wp:positionV relativeFrom="paragraph">
              <wp:posOffset>-1296035</wp:posOffset>
            </wp:positionV>
            <wp:extent cx="8255" cy="825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56192" behindDoc="1" locked="0" layoutInCell="0" allowOverlap="1">
            <wp:simplePos x="0" y="0"/>
            <wp:positionH relativeFrom="column">
              <wp:posOffset>1151890</wp:posOffset>
            </wp:positionH>
            <wp:positionV relativeFrom="paragraph">
              <wp:posOffset>-1296035</wp:posOffset>
            </wp:positionV>
            <wp:extent cx="8890" cy="825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57216" behindDoc="1" locked="0" layoutInCell="0" allowOverlap="1">
            <wp:simplePos x="0" y="0"/>
            <wp:positionH relativeFrom="column">
              <wp:posOffset>1169035</wp:posOffset>
            </wp:positionH>
            <wp:positionV relativeFrom="paragraph">
              <wp:posOffset>-1296035</wp:posOffset>
            </wp:positionV>
            <wp:extent cx="8890" cy="825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simplePos x="0" y="0"/>
            <wp:positionH relativeFrom="column">
              <wp:posOffset>1186180</wp:posOffset>
            </wp:positionH>
            <wp:positionV relativeFrom="paragraph">
              <wp:posOffset>-1296035</wp:posOffset>
            </wp:positionV>
            <wp:extent cx="8255" cy="8255"/>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59264" behindDoc="1" locked="0" layoutInCell="0" allowOverlap="1">
            <wp:simplePos x="0" y="0"/>
            <wp:positionH relativeFrom="column">
              <wp:posOffset>1203325</wp:posOffset>
            </wp:positionH>
            <wp:positionV relativeFrom="paragraph">
              <wp:posOffset>-1296035</wp:posOffset>
            </wp:positionV>
            <wp:extent cx="8255" cy="8255"/>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60288" behindDoc="1" locked="0" layoutInCell="0" allowOverlap="1">
            <wp:simplePos x="0" y="0"/>
            <wp:positionH relativeFrom="column">
              <wp:posOffset>1220470</wp:posOffset>
            </wp:positionH>
            <wp:positionV relativeFrom="paragraph">
              <wp:posOffset>-1296035</wp:posOffset>
            </wp:positionV>
            <wp:extent cx="8255" cy="825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61312" behindDoc="1" locked="0" layoutInCell="0" allowOverlap="1">
            <wp:simplePos x="0" y="0"/>
            <wp:positionH relativeFrom="column">
              <wp:posOffset>1237615</wp:posOffset>
            </wp:positionH>
            <wp:positionV relativeFrom="paragraph">
              <wp:posOffset>-1296035</wp:posOffset>
            </wp:positionV>
            <wp:extent cx="8890" cy="825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simplePos x="0" y="0"/>
            <wp:positionH relativeFrom="column">
              <wp:posOffset>1254760</wp:posOffset>
            </wp:positionH>
            <wp:positionV relativeFrom="paragraph">
              <wp:posOffset>-1296035</wp:posOffset>
            </wp:positionV>
            <wp:extent cx="8890" cy="8255"/>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63360" behindDoc="1" locked="0" layoutInCell="0" allowOverlap="1">
            <wp:simplePos x="0" y="0"/>
            <wp:positionH relativeFrom="column">
              <wp:posOffset>1271905</wp:posOffset>
            </wp:positionH>
            <wp:positionV relativeFrom="paragraph">
              <wp:posOffset>-1296035</wp:posOffset>
            </wp:positionV>
            <wp:extent cx="8255" cy="8255"/>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simplePos x="0" y="0"/>
            <wp:positionH relativeFrom="column">
              <wp:posOffset>1289050</wp:posOffset>
            </wp:positionH>
            <wp:positionV relativeFrom="paragraph">
              <wp:posOffset>-1296035</wp:posOffset>
            </wp:positionV>
            <wp:extent cx="8255" cy="8255"/>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65408" behindDoc="1" locked="0" layoutInCell="0" allowOverlap="1">
            <wp:simplePos x="0" y="0"/>
            <wp:positionH relativeFrom="column">
              <wp:posOffset>1306195</wp:posOffset>
            </wp:positionH>
            <wp:positionV relativeFrom="paragraph">
              <wp:posOffset>-1296035</wp:posOffset>
            </wp:positionV>
            <wp:extent cx="8255" cy="8255"/>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66432" behindDoc="1" locked="0" layoutInCell="0" allowOverlap="1">
            <wp:simplePos x="0" y="0"/>
            <wp:positionH relativeFrom="column">
              <wp:posOffset>1323340</wp:posOffset>
            </wp:positionH>
            <wp:positionV relativeFrom="paragraph">
              <wp:posOffset>-1296035</wp:posOffset>
            </wp:positionV>
            <wp:extent cx="8890" cy="8255"/>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67456" behindDoc="1" locked="0" layoutInCell="0" allowOverlap="1">
            <wp:simplePos x="0" y="0"/>
            <wp:positionH relativeFrom="column">
              <wp:posOffset>1340485</wp:posOffset>
            </wp:positionH>
            <wp:positionV relativeFrom="paragraph">
              <wp:posOffset>-1296035</wp:posOffset>
            </wp:positionV>
            <wp:extent cx="8890" cy="8255"/>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68480" behindDoc="1" locked="0" layoutInCell="0" allowOverlap="1">
            <wp:simplePos x="0" y="0"/>
            <wp:positionH relativeFrom="column">
              <wp:posOffset>1357630</wp:posOffset>
            </wp:positionH>
            <wp:positionV relativeFrom="paragraph">
              <wp:posOffset>-1296035</wp:posOffset>
            </wp:positionV>
            <wp:extent cx="8255" cy="8255"/>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69504" behindDoc="1" locked="0" layoutInCell="0" allowOverlap="1">
            <wp:simplePos x="0" y="0"/>
            <wp:positionH relativeFrom="column">
              <wp:posOffset>1374775</wp:posOffset>
            </wp:positionH>
            <wp:positionV relativeFrom="paragraph">
              <wp:posOffset>-1296035</wp:posOffset>
            </wp:positionV>
            <wp:extent cx="8255" cy="8255"/>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70528" behindDoc="1" locked="0" layoutInCell="0" allowOverlap="1">
            <wp:simplePos x="0" y="0"/>
            <wp:positionH relativeFrom="column">
              <wp:posOffset>1391920</wp:posOffset>
            </wp:positionH>
            <wp:positionV relativeFrom="paragraph">
              <wp:posOffset>-1296035</wp:posOffset>
            </wp:positionV>
            <wp:extent cx="8890" cy="825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71552" behindDoc="1" locked="0" layoutInCell="0" allowOverlap="1">
            <wp:simplePos x="0" y="0"/>
            <wp:positionH relativeFrom="column">
              <wp:posOffset>1409065</wp:posOffset>
            </wp:positionH>
            <wp:positionV relativeFrom="paragraph">
              <wp:posOffset>-1296035</wp:posOffset>
            </wp:positionV>
            <wp:extent cx="8890" cy="825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72576" behindDoc="1" locked="0" layoutInCell="0" allowOverlap="1">
            <wp:simplePos x="0" y="0"/>
            <wp:positionH relativeFrom="column">
              <wp:posOffset>1426210</wp:posOffset>
            </wp:positionH>
            <wp:positionV relativeFrom="paragraph">
              <wp:posOffset>-1296035</wp:posOffset>
            </wp:positionV>
            <wp:extent cx="8255" cy="8255"/>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73600" behindDoc="1" locked="0" layoutInCell="0" allowOverlap="1">
            <wp:simplePos x="0" y="0"/>
            <wp:positionH relativeFrom="column">
              <wp:posOffset>1443355</wp:posOffset>
            </wp:positionH>
            <wp:positionV relativeFrom="paragraph">
              <wp:posOffset>-1296035</wp:posOffset>
            </wp:positionV>
            <wp:extent cx="8255" cy="8255"/>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74624" behindDoc="1" locked="0" layoutInCell="0" allowOverlap="1">
            <wp:simplePos x="0" y="0"/>
            <wp:positionH relativeFrom="column">
              <wp:posOffset>1460500</wp:posOffset>
            </wp:positionH>
            <wp:positionV relativeFrom="paragraph">
              <wp:posOffset>-1296035</wp:posOffset>
            </wp:positionV>
            <wp:extent cx="8255" cy="8255"/>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75648" behindDoc="1" locked="0" layoutInCell="0" allowOverlap="1">
            <wp:simplePos x="0" y="0"/>
            <wp:positionH relativeFrom="column">
              <wp:posOffset>1477645</wp:posOffset>
            </wp:positionH>
            <wp:positionV relativeFrom="paragraph">
              <wp:posOffset>-1296035</wp:posOffset>
            </wp:positionV>
            <wp:extent cx="8890" cy="825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76672" behindDoc="1" locked="0" layoutInCell="0" allowOverlap="1">
            <wp:simplePos x="0" y="0"/>
            <wp:positionH relativeFrom="column">
              <wp:posOffset>1494790</wp:posOffset>
            </wp:positionH>
            <wp:positionV relativeFrom="paragraph">
              <wp:posOffset>-1296035</wp:posOffset>
            </wp:positionV>
            <wp:extent cx="8890" cy="8255"/>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77696" behindDoc="1" locked="0" layoutInCell="0" allowOverlap="1">
            <wp:simplePos x="0" y="0"/>
            <wp:positionH relativeFrom="column">
              <wp:posOffset>1511935</wp:posOffset>
            </wp:positionH>
            <wp:positionV relativeFrom="paragraph">
              <wp:posOffset>-1296035</wp:posOffset>
            </wp:positionV>
            <wp:extent cx="8255" cy="8255"/>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78720" behindDoc="1" locked="0" layoutInCell="0" allowOverlap="1">
            <wp:simplePos x="0" y="0"/>
            <wp:positionH relativeFrom="column">
              <wp:posOffset>1529080</wp:posOffset>
            </wp:positionH>
            <wp:positionV relativeFrom="paragraph">
              <wp:posOffset>-1296035</wp:posOffset>
            </wp:positionV>
            <wp:extent cx="8255" cy="8255"/>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79744" behindDoc="1" locked="0" layoutInCell="0" allowOverlap="1">
            <wp:simplePos x="0" y="0"/>
            <wp:positionH relativeFrom="column">
              <wp:posOffset>1546225</wp:posOffset>
            </wp:positionH>
            <wp:positionV relativeFrom="paragraph">
              <wp:posOffset>-1296035</wp:posOffset>
            </wp:positionV>
            <wp:extent cx="8255" cy="8255"/>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simplePos x="0" y="0"/>
            <wp:positionH relativeFrom="column">
              <wp:posOffset>1563370</wp:posOffset>
            </wp:positionH>
            <wp:positionV relativeFrom="paragraph">
              <wp:posOffset>-1296035</wp:posOffset>
            </wp:positionV>
            <wp:extent cx="8890" cy="8255"/>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81792" behindDoc="1" locked="0" layoutInCell="0" allowOverlap="1">
            <wp:simplePos x="0" y="0"/>
            <wp:positionH relativeFrom="column">
              <wp:posOffset>1580515</wp:posOffset>
            </wp:positionH>
            <wp:positionV relativeFrom="paragraph">
              <wp:posOffset>-1296035</wp:posOffset>
            </wp:positionV>
            <wp:extent cx="8890" cy="8255"/>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82816" behindDoc="1" locked="0" layoutInCell="0" allowOverlap="1">
            <wp:simplePos x="0" y="0"/>
            <wp:positionH relativeFrom="column">
              <wp:posOffset>1597660</wp:posOffset>
            </wp:positionH>
            <wp:positionV relativeFrom="paragraph">
              <wp:posOffset>-1296035</wp:posOffset>
            </wp:positionV>
            <wp:extent cx="8255" cy="8255"/>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83840" behindDoc="1" locked="0" layoutInCell="0" allowOverlap="1">
            <wp:simplePos x="0" y="0"/>
            <wp:positionH relativeFrom="column">
              <wp:posOffset>1614805</wp:posOffset>
            </wp:positionH>
            <wp:positionV relativeFrom="paragraph">
              <wp:posOffset>-1296035</wp:posOffset>
            </wp:positionV>
            <wp:extent cx="8255" cy="8255"/>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84864" behindDoc="1" locked="0" layoutInCell="0" allowOverlap="1">
            <wp:simplePos x="0" y="0"/>
            <wp:positionH relativeFrom="column">
              <wp:posOffset>1631950</wp:posOffset>
            </wp:positionH>
            <wp:positionV relativeFrom="paragraph">
              <wp:posOffset>-1296035</wp:posOffset>
            </wp:positionV>
            <wp:extent cx="8255" cy="8255"/>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85888" behindDoc="1" locked="0" layoutInCell="0" allowOverlap="1">
            <wp:simplePos x="0" y="0"/>
            <wp:positionH relativeFrom="column">
              <wp:posOffset>1649095</wp:posOffset>
            </wp:positionH>
            <wp:positionV relativeFrom="paragraph">
              <wp:posOffset>-1296035</wp:posOffset>
            </wp:positionV>
            <wp:extent cx="8890" cy="8255"/>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86912" behindDoc="1" locked="0" layoutInCell="0" allowOverlap="1">
            <wp:simplePos x="0" y="0"/>
            <wp:positionH relativeFrom="column">
              <wp:posOffset>1666240</wp:posOffset>
            </wp:positionH>
            <wp:positionV relativeFrom="paragraph">
              <wp:posOffset>-1296035</wp:posOffset>
            </wp:positionV>
            <wp:extent cx="8890" cy="825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87936" behindDoc="1" locked="0" layoutInCell="0" allowOverlap="1">
            <wp:simplePos x="0" y="0"/>
            <wp:positionH relativeFrom="column">
              <wp:posOffset>1683385</wp:posOffset>
            </wp:positionH>
            <wp:positionV relativeFrom="paragraph">
              <wp:posOffset>-1296035</wp:posOffset>
            </wp:positionV>
            <wp:extent cx="8255" cy="825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88960" behindDoc="1" locked="0" layoutInCell="0" allowOverlap="1">
            <wp:simplePos x="0" y="0"/>
            <wp:positionH relativeFrom="column">
              <wp:posOffset>1700530</wp:posOffset>
            </wp:positionH>
            <wp:positionV relativeFrom="paragraph">
              <wp:posOffset>-1296035</wp:posOffset>
            </wp:positionV>
            <wp:extent cx="8255" cy="825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89984" behindDoc="1" locked="0" layoutInCell="0" allowOverlap="1">
            <wp:simplePos x="0" y="0"/>
            <wp:positionH relativeFrom="column">
              <wp:posOffset>1717675</wp:posOffset>
            </wp:positionH>
            <wp:positionV relativeFrom="paragraph">
              <wp:posOffset>-1296035</wp:posOffset>
            </wp:positionV>
            <wp:extent cx="8255" cy="8255"/>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91008" behindDoc="1" locked="0" layoutInCell="0" allowOverlap="1">
            <wp:simplePos x="0" y="0"/>
            <wp:positionH relativeFrom="column">
              <wp:posOffset>1734820</wp:posOffset>
            </wp:positionH>
            <wp:positionV relativeFrom="paragraph">
              <wp:posOffset>-1296035</wp:posOffset>
            </wp:positionV>
            <wp:extent cx="8890" cy="8255"/>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92032" behindDoc="1" locked="0" layoutInCell="0" allowOverlap="1">
            <wp:simplePos x="0" y="0"/>
            <wp:positionH relativeFrom="column">
              <wp:posOffset>1751965</wp:posOffset>
            </wp:positionH>
            <wp:positionV relativeFrom="paragraph">
              <wp:posOffset>-1296035</wp:posOffset>
            </wp:positionV>
            <wp:extent cx="8890" cy="8255"/>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93056" behindDoc="1" locked="0" layoutInCell="0" allowOverlap="1">
            <wp:simplePos x="0" y="0"/>
            <wp:positionH relativeFrom="column">
              <wp:posOffset>1769110</wp:posOffset>
            </wp:positionH>
            <wp:positionV relativeFrom="paragraph">
              <wp:posOffset>-1296035</wp:posOffset>
            </wp:positionV>
            <wp:extent cx="8255" cy="8255"/>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94080" behindDoc="1" locked="0" layoutInCell="0" allowOverlap="1">
            <wp:simplePos x="0" y="0"/>
            <wp:positionH relativeFrom="column">
              <wp:posOffset>1786255</wp:posOffset>
            </wp:positionH>
            <wp:positionV relativeFrom="paragraph">
              <wp:posOffset>-1296035</wp:posOffset>
            </wp:positionV>
            <wp:extent cx="8255" cy="8255"/>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95104" behindDoc="1" locked="0" layoutInCell="0" allowOverlap="1">
            <wp:simplePos x="0" y="0"/>
            <wp:positionH relativeFrom="column">
              <wp:posOffset>1803400</wp:posOffset>
            </wp:positionH>
            <wp:positionV relativeFrom="paragraph">
              <wp:posOffset>-1296035</wp:posOffset>
            </wp:positionV>
            <wp:extent cx="8255" cy="8255"/>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96128" behindDoc="1" locked="0" layoutInCell="0" allowOverlap="1">
            <wp:simplePos x="0" y="0"/>
            <wp:positionH relativeFrom="column">
              <wp:posOffset>1820545</wp:posOffset>
            </wp:positionH>
            <wp:positionV relativeFrom="paragraph">
              <wp:posOffset>-1296035</wp:posOffset>
            </wp:positionV>
            <wp:extent cx="8890" cy="8255"/>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97152" behindDoc="1" locked="0" layoutInCell="0" allowOverlap="1">
            <wp:simplePos x="0" y="0"/>
            <wp:positionH relativeFrom="column">
              <wp:posOffset>1837690</wp:posOffset>
            </wp:positionH>
            <wp:positionV relativeFrom="paragraph">
              <wp:posOffset>-1296035</wp:posOffset>
            </wp:positionV>
            <wp:extent cx="8890" cy="8255"/>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698176" behindDoc="1" locked="0" layoutInCell="0" allowOverlap="1">
            <wp:simplePos x="0" y="0"/>
            <wp:positionH relativeFrom="column">
              <wp:posOffset>1854835</wp:posOffset>
            </wp:positionH>
            <wp:positionV relativeFrom="paragraph">
              <wp:posOffset>-1296035</wp:posOffset>
            </wp:positionV>
            <wp:extent cx="8255" cy="8255"/>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699200" behindDoc="1" locked="0" layoutInCell="0" allowOverlap="1">
            <wp:simplePos x="0" y="0"/>
            <wp:positionH relativeFrom="column">
              <wp:posOffset>1871980</wp:posOffset>
            </wp:positionH>
            <wp:positionV relativeFrom="paragraph">
              <wp:posOffset>-1296035</wp:posOffset>
            </wp:positionV>
            <wp:extent cx="8255" cy="8255"/>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00224" behindDoc="1" locked="0" layoutInCell="0" allowOverlap="1">
            <wp:simplePos x="0" y="0"/>
            <wp:positionH relativeFrom="column">
              <wp:posOffset>1889125</wp:posOffset>
            </wp:positionH>
            <wp:positionV relativeFrom="paragraph">
              <wp:posOffset>-1296035</wp:posOffset>
            </wp:positionV>
            <wp:extent cx="8255" cy="8255"/>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01248" behindDoc="1" locked="0" layoutInCell="0" allowOverlap="1">
            <wp:simplePos x="0" y="0"/>
            <wp:positionH relativeFrom="column">
              <wp:posOffset>1906270</wp:posOffset>
            </wp:positionH>
            <wp:positionV relativeFrom="paragraph">
              <wp:posOffset>-1296035</wp:posOffset>
            </wp:positionV>
            <wp:extent cx="8890" cy="8255"/>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02272" behindDoc="1" locked="0" layoutInCell="0" allowOverlap="1">
            <wp:simplePos x="0" y="0"/>
            <wp:positionH relativeFrom="column">
              <wp:posOffset>1923415</wp:posOffset>
            </wp:positionH>
            <wp:positionV relativeFrom="paragraph">
              <wp:posOffset>-1296035</wp:posOffset>
            </wp:positionV>
            <wp:extent cx="8890" cy="8255"/>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03296" behindDoc="1" locked="0" layoutInCell="0" allowOverlap="1">
            <wp:simplePos x="0" y="0"/>
            <wp:positionH relativeFrom="column">
              <wp:posOffset>1940560</wp:posOffset>
            </wp:positionH>
            <wp:positionV relativeFrom="paragraph">
              <wp:posOffset>-1296035</wp:posOffset>
            </wp:positionV>
            <wp:extent cx="8255" cy="8255"/>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04320" behindDoc="1" locked="0" layoutInCell="0" allowOverlap="1">
            <wp:simplePos x="0" y="0"/>
            <wp:positionH relativeFrom="column">
              <wp:posOffset>1957705</wp:posOffset>
            </wp:positionH>
            <wp:positionV relativeFrom="paragraph">
              <wp:posOffset>-1296035</wp:posOffset>
            </wp:positionV>
            <wp:extent cx="8255" cy="8255"/>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05344" behindDoc="1" locked="0" layoutInCell="0" allowOverlap="1">
            <wp:simplePos x="0" y="0"/>
            <wp:positionH relativeFrom="column">
              <wp:posOffset>1974850</wp:posOffset>
            </wp:positionH>
            <wp:positionV relativeFrom="paragraph">
              <wp:posOffset>-1296035</wp:posOffset>
            </wp:positionV>
            <wp:extent cx="8255" cy="8255"/>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06368" behindDoc="1" locked="0" layoutInCell="0" allowOverlap="1">
            <wp:simplePos x="0" y="0"/>
            <wp:positionH relativeFrom="column">
              <wp:posOffset>1991995</wp:posOffset>
            </wp:positionH>
            <wp:positionV relativeFrom="paragraph">
              <wp:posOffset>-1296035</wp:posOffset>
            </wp:positionV>
            <wp:extent cx="8890" cy="8255"/>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07392" behindDoc="1" locked="0" layoutInCell="0" allowOverlap="1">
            <wp:simplePos x="0" y="0"/>
            <wp:positionH relativeFrom="column">
              <wp:posOffset>2009140</wp:posOffset>
            </wp:positionH>
            <wp:positionV relativeFrom="paragraph">
              <wp:posOffset>-1296035</wp:posOffset>
            </wp:positionV>
            <wp:extent cx="8890" cy="8255"/>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08416" behindDoc="1" locked="0" layoutInCell="0" allowOverlap="1">
            <wp:simplePos x="0" y="0"/>
            <wp:positionH relativeFrom="column">
              <wp:posOffset>2026285</wp:posOffset>
            </wp:positionH>
            <wp:positionV relativeFrom="paragraph">
              <wp:posOffset>-1296035</wp:posOffset>
            </wp:positionV>
            <wp:extent cx="8255" cy="8255"/>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09440" behindDoc="1" locked="0" layoutInCell="0" allowOverlap="1">
            <wp:simplePos x="0" y="0"/>
            <wp:positionH relativeFrom="column">
              <wp:posOffset>2043430</wp:posOffset>
            </wp:positionH>
            <wp:positionV relativeFrom="paragraph">
              <wp:posOffset>-1296035</wp:posOffset>
            </wp:positionV>
            <wp:extent cx="8255" cy="8255"/>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10464" behindDoc="1" locked="0" layoutInCell="0" allowOverlap="1">
            <wp:simplePos x="0" y="0"/>
            <wp:positionH relativeFrom="column">
              <wp:posOffset>2060575</wp:posOffset>
            </wp:positionH>
            <wp:positionV relativeFrom="paragraph">
              <wp:posOffset>-1296035</wp:posOffset>
            </wp:positionV>
            <wp:extent cx="8890" cy="8255"/>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11488" behindDoc="1" locked="0" layoutInCell="0" allowOverlap="1">
            <wp:simplePos x="0" y="0"/>
            <wp:positionH relativeFrom="column">
              <wp:posOffset>2077720</wp:posOffset>
            </wp:positionH>
            <wp:positionV relativeFrom="paragraph">
              <wp:posOffset>-1296035</wp:posOffset>
            </wp:positionV>
            <wp:extent cx="8890" cy="8255"/>
            <wp:effectExtent l="0" t="0" r="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12512" behindDoc="1" locked="0" layoutInCell="0" allowOverlap="1">
            <wp:simplePos x="0" y="0"/>
            <wp:positionH relativeFrom="column">
              <wp:posOffset>2094865</wp:posOffset>
            </wp:positionH>
            <wp:positionV relativeFrom="paragraph">
              <wp:posOffset>-1296035</wp:posOffset>
            </wp:positionV>
            <wp:extent cx="8255" cy="8255"/>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13536" behindDoc="1" locked="0" layoutInCell="0" allowOverlap="1">
            <wp:simplePos x="0" y="0"/>
            <wp:positionH relativeFrom="column">
              <wp:posOffset>2112010</wp:posOffset>
            </wp:positionH>
            <wp:positionV relativeFrom="paragraph">
              <wp:posOffset>-1296035</wp:posOffset>
            </wp:positionV>
            <wp:extent cx="8255" cy="8255"/>
            <wp:effectExtent l="0" t="0" r="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14560" behindDoc="1" locked="0" layoutInCell="0" allowOverlap="1">
            <wp:simplePos x="0" y="0"/>
            <wp:positionH relativeFrom="column">
              <wp:posOffset>2129155</wp:posOffset>
            </wp:positionH>
            <wp:positionV relativeFrom="paragraph">
              <wp:posOffset>-1296035</wp:posOffset>
            </wp:positionV>
            <wp:extent cx="8255" cy="8255"/>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15584" behindDoc="1" locked="0" layoutInCell="0" allowOverlap="1">
            <wp:simplePos x="0" y="0"/>
            <wp:positionH relativeFrom="column">
              <wp:posOffset>2146300</wp:posOffset>
            </wp:positionH>
            <wp:positionV relativeFrom="paragraph">
              <wp:posOffset>-1296035</wp:posOffset>
            </wp:positionV>
            <wp:extent cx="8890" cy="8255"/>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16608" behindDoc="1" locked="0" layoutInCell="0" allowOverlap="1">
            <wp:simplePos x="0" y="0"/>
            <wp:positionH relativeFrom="column">
              <wp:posOffset>2163445</wp:posOffset>
            </wp:positionH>
            <wp:positionV relativeFrom="paragraph">
              <wp:posOffset>-1296035</wp:posOffset>
            </wp:positionV>
            <wp:extent cx="8890" cy="825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17632" behindDoc="1" locked="0" layoutInCell="0" allowOverlap="1">
            <wp:simplePos x="0" y="0"/>
            <wp:positionH relativeFrom="column">
              <wp:posOffset>2180590</wp:posOffset>
            </wp:positionH>
            <wp:positionV relativeFrom="paragraph">
              <wp:posOffset>-1296035</wp:posOffset>
            </wp:positionV>
            <wp:extent cx="8255" cy="8255"/>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18656" behindDoc="1" locked="0" layoutInCell="0" allowOverlap="1">
            <wp:simplePos x="0" y="0"/>
            <wp:positionH relativeFrom="column">
              <wp:posOffset>2197735</wp:posOffset>
            </wp:positionH>
            <wp:positionV relativeFrom="paragraph">
              <wp:posOffset>-1296035</wp:posOffset>
            </wp:positionV>
            <wp:extent cx="8255" cy="8255"/>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19680" behindDoc="1" locked="0" layoutInCell="0" allowOverlap="1">
            <wp:simplePos x="0" y="0"/>
            <wp:positionH relativeFrom="column">
              <wp:posOffset>2214880</wp:posOffset>
            </wp:positionH>
            <wp:positionV relativeFrom="paragraph">
              <wp:posOffset>-1296035</wp:posOffset>
            </wp:positionV>
            <wp:extent cx="8255" cy="8255"/>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20704" behindDoc="1" locked="0" layoutInCell="0" allowOverlap="1">
            <wp:simplePos x="0" y="0"/>
            <wp:positionH relativeFrom="column">
              <wp:posOffset>2232025</wp:posOffset>
            </wp:positionH>
            <wp:positionV relativeFrom="paragraph">
              <wp:posOffset>-1296035</wp:posOffset>
            </wp:positionV>
            <wp:extent cx="8890" cy="8255"/>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21728" behindDoc="1" locked="0" layoutInCell="0" allowOverlap="1">
            <wp:simplePos x="0" y="0"/>
            <wp:positionH relativeFrom="column">
              <wp:posOffset>2249170</wp:posOffset>
            </wp:positionH>
            <wp:positionV relativeFrom="paragraph">
              <wp:posOffset>-1296035</wp:posOffset>
            </wp:positionV>
            <wp:extent cx="8890" cy="8255"/>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22752" behindDoc="1" locked="0" layoutInCell="0" allowOverlap="1">
            <wp:simplePos x="0" y="0"/>
            <wp:positionH relativeFrom="column">
              <wp:posOffset>2266315</wp:posOffset>
            </wp:positionH>
            <wp:positionV relativeFrom="paragraph">
              <wp:posOffset>-1296035</wp:posOffset>
            </wp:positionV>
            <wp:extent cx="8255" cy="8255"/>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23776" behindDoc="1" locked="0" layoutInCell="0" allowOverlap="1">
            <wp:simplePos x="0" y="0"/>
            <wp:positionH relativeFrom="column">
              <wp:posOffset>2283460</wp:posOffset>
            </wp:positionH>
            <wp:positionV relativeFrom="paragraph">
              <wp:posOffset>-1296035</wp:posOffset>
            </wp:positionV>
            <wp:extent cx="8255" cy="8255"/>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24800" behindDoc="1" locked="0" layoutInCell="0" allowOverlap="1">
            <wp:simplePos x="0" y="0"/>
            <wp:positionH relativeFrom="column">
              <wp:posOffset>2300605</wp:posOffset>
            </wp:positionH>
            <wp:positionV relativeFrom="paragraph">
              <wp:posOffset>-1296035</wp:posOffset>
            </wp:positionV>
            <wp:extent cx="8255" cy="8255"/>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25824" behindDoc="1" locked="0" layoutInCell="0" allowOverlap="1">
            <wp:simplePos x="0" y="0"/>
            <wp:positionH relativeFrom="column">
              <wp:posOffset>2317750</wp:posOffset>
            </wp:positionH>
            <wp:positionV relativeFrom="paragraph">
              <wp:posOffset>-1296035</wp:posOffset>
            </wp:positionV>
            <wp:extent cx="8890" cy="8255"/>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26848" behindDoc="1" locked="0" layoutInCell="0" allowOverlap="1">
            <wp:simplePos x="0" y="0"/>
            <wp:positionH relativeFrom="column">
              <wp:posOffset>2334895</wp:posOffset>
            </wp:positionH>
            <wp:positionV relativeFrom="paragraph">
              <wp:posOffset>-1296035</wp:posOffset>
            </wp:positionV>
            <wp:extent cx="8890" cy="8255"/>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27872" behindDoc="1" locked="0" layoutInCell="0" allowOverlap="1">
            <wp:simplePos x="0" y="0"/>
            <wp:positionH relativeFrom="column">
              <wp:posOffset>2352040</wp:posOffset>
            </wp:positionH>
            <wp:positionV relativeFrom="paragraph">
              <wp:posOffset>-1296035</wp:posOffset>
            </wp:positionV>
            <wp:extent cx="8255" cy="825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28896" behindDoc="1" locked="0" layoutInCell="0" allowOverlap="1">
            <wp:simplePos x="0" y="0"/>
            <wp:positionH relativeFrom="column">
              <wp:posOffset>2369185</wp:posOffset>
            </wp:positionH>
            <wp:positionV relativeFrom="paragraph">
              <wp:posOffset>-1296035</wp:posOffset>
            </wp:positionV>
            <wp:extent cx="8255" cy="8255"/>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29920" behindDoc="1" locked="0" layoutInCell="0" allowOverlap="1">
            <wp:simplePos x="0" y="0"/>
            <wp:positionH relativeFrom="column">
              <wp:posOffset>2386330</wp:posOffset>
            </wp:positionH>
            <wp:positionV relativeFrom="paragraph">
              <wp:posOffset>-1296035</wp:posOffset>
            </wp:positionV>
            <wp:extent cx="8255" cy="8255"/>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30944" behindDoc="1" locked="0" layoutInCell="0" allowOverlap="1">
            <wp:simplePos x="0" y="0"/>
            <wp:positionH relativeFrom="column">
              <wp:posOffset>2403475</wp:posOffset>
            </wp:positionH>
            <wp:positionV relativeFrom="paragraph">
              <wp:posOffset>-1296035</wp:posOffset>
            </wp:positionV>
            <wp:extent cx="8890" cy="8255"/>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31968" behindDoc="1" locked="0" layoutInCell="0" allowOverlap="1">
            <wp:simplePos x="0" y="0"/>
            <wp:positionH relativeFrom="column">
              <wp:posOffset>2420620</wp:posOffset>
            </wp:positionH>
            <wp:positionV relativeFrom="paragraph">
              <wp:posOffset>-1296035</wp:posOffset>
            </wp:positionV>
            <wp:extent cx="8890" cy="8255"/>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32992" behindDoc="1" locked="0" layoutInCell="0" allowOverlap="1">
            <wp:simplePos x="0" y="0"/>
            <wp:positionH relativeFrom="column">
              <wp:posOffset>2437765</wp:posOffset>
            </wp:positionH>
            <wp:positionV relativeFrom="paragraph">
              <wp:posOffset>-1296035</wp:posOffset>
            </wp:positionV>
            <wp:extent cx="8255" cy="8255"/>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34016" behindDoc="1" locked="0" layoutInCell="0" allowOverlap="1">
            <wp:simplePos x="0" y="0"/>
            <wp:positionH relativeFrom="column">
              <wp:posOffset>2454910</wp:posOffset>
            </wp:positionH>
            <wp:positionV relativeFrom="paragraph">
              <wp:posOffset>-1296035</wp:posOffset>
            </wp:positionV>
            <wp:extent cx="8255" cy="8255"/>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35040" behindDoc="1" locked="0" layoutInCell="0" allowOverlap="1">
            <wp:simplePos x="0" y="0"/>
            <wp:positionH relativeFrom="column">
              <wp:posOffset>2472055</wp:posOffset>
            </wp:positionH>
            <wp:positionV relativeFrom="paragraph">
              <wp:posOffset>-1296035</wp:posOffset>
            </wp:positionV>
            <wp:extent cx="8255" cy="8255"/>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36064" behindDoc="1" locked="0" layoutInCell="0" allowOverlap="1">
            <wp:simplePos x="0" y="0"/>
            <wp:positionH relativeFrom="column">
              <wp:posOffset>2489200</wp:posOffset>
            </wp:positionH>
            <wp:positionV relativeFrom="paragraph">
              <wp:posOffset>-1296035</wp:posOffset>
            </wp:positionV>
            <wp:extent cx="8890" cy="8255"/>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37088" behindDoc="1" locked="0" layoutInCell="0" allowOverlap="1">
            <wp:simplePos x="0" y="0"/>
            <wp:positionH relativeFrom="column">
              <wp:posOffset>2506345</wp:posOffset>
            </wp:positionH>
            <wp:positionV relativeFrom="paragraph">
              <wp:posOffset>-1296035</wp:posOffset>
            </wp:positionV>
            <wp:extent cx="8890" cy="8255"/>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38112" behindDoc="1" locked="0" layoutInCell="0" allowOverlap="1">
            <wp:simplePos x="0" y="0"/>
            <wp:positionH relativeFrom="column">
              <wp:posOffset>2523490</wp:posOffset>
            </wp:positionH>
            <wp:positionV relativeFrom="paragraph">
              <wp:posOffset>-1296035</wp:posOffset>
            </wp:positionV>
            <wp:extent cx="8255" cy="8255"/>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39136" behindDoc="1" locked="0" layoutInCell="0" allowOverlap="1">
            <wp:simplePos x="0" y="0"/>
            <wp:positionH relativeFrom="column">
              <wp:posOffset>2540635</wp:posOffset>
            </wp:positionH>
            <wp:positionV relativeFrom="paragraph">
              <wp:posOffset>-1296035</wp:posOffset>
            </wp:positionV>
            <wp:extent cx="8255" cy="8255"/>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40160" behindDoc="1" locked="0" layoutInCell="0" allowOverlap="1">
            <wp:simplePos x="0" y="0"/>
            <wp:positionH relativeFrom="column">
              <wp:posOffset>2557780</wp:posOffset>
            </wp:positionH>
            <wp:positionV relativeFrom="paragraph">
              <wp:posOffset>-1296035</wp:posOffset>
            </wp:positionV>
            <wp:extent cx="8255" cy="8255"/>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41184" behindDoc="1" locked="0" layoutInCell="0" allowOverlap="1">
            <wp:simplePos x="0" y="0"/>
            <wp:positionH relativeFrom="column">
              <wp:posOffset>2574925</wp:posOffset>
            </wp:positionH>
            <wp:positionV relativeFrom="paragraph">
              <wp:posOffset>-1296035</wp:posOffset>
            </wp:positionV>
            <wp:extent cx="8890" cy="8255"/>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42208" behindDoc="1" locked="0" layoutInCell="0" allowOverlap="1">
            <wp:simplePos x="0" y="0"/>
            <wp:positionH relativeFrom="column">
              <wp:posOffset>2592070</wp:posOffset>
            </wp:positionH>
            <wp:positionV relativeFrom="paragraph">
              <wp:posOffset>-1296035</wp:posOffset>
            </wp:positionV>
            <wp:extent cx="8890" cy="8255"/>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43232" behindDoc="1" locked="0" layoutInCell="0" allowOverlap="1">
            <wp:simplePos x="0" y="0"/>
            <wp:positionH relativeFrom="column">
              <wp:posOffset>2609215</wp:posOffset>
            </wp:positionH>
            <wp:positionV relativeFrom="paragraph">
              <wp:posOffset>-1296035</wp:posOffset>
            </wp:positionV>
            <wp:extent cx="8255" cy="8255"/>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44256" behindDoc="1" locked="0" layoutInCell="0" allowOverlap="1">
            <wp:simplePos x="0" y="0"/>
            <wp:positionH relativeFrom="column">
              <wp:posOffset>2626360</wp:posOffset>
            </wp:positionH>
            <wp:positionV relativeFrom="paragraph">
              <wp:posOffset>-1296035</wp:posOffset>
            </wp:positionV>
            <wp:extent cx="8255" cy="8255"/>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45280" behindDoc="1" locked="0" layoutInCell="0" allowOverlap="1">
            <wp:simplePos x="0" y="0"/>
            <wp:positionH relativeFrom="column">
              <wp:posOffset>2643505</wp:posOffset>
            </wp:positionH>
            <wp:positionV relativeFrom="paragraph">
              <wp:posOffset>-1296035</wp:posOffset>
            </wp:positionV>
            <wp:extent cx="8255" cy="8255"/>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46304" behindDoc="1" locked="0" layoutInCell="0" allowOverlap="1">
            <wp:simplePos x="0" y="0"/>
            <wp:positionH relativeFrom="column">
              <wp:posOffset>2660650</wp:posOffset>
            </wp:positionH>
            <wp:positionV relativeFrom="paragraph">
              <wp:posOffset>-1296035</wp:posOffset>
            </wp:positionV>
            <wp:extent cx="8255" cy="8255"/>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47328" behindDoc="1" locked="0" layoutInCell="0" allowOverlap="1">
            <wp:simplePos x="0" y="0"/>
            <wp:positionH relativeFrom="column">
              <wp:posOffset>2677795</wp:posOffset>
            </wp:positionH>
            <wp:positionV relativeFrom="paragraph">
              <wp:posOffset>-1296035</wp:posOffset>
            </wp:positionV>
            <wp:extent cx="8255" cy="8255"/>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48352" behindDoc="1" locked="0" layoutInCell="0" allowOverlap="1">
            <wp:simplePos x="0" y="0"/>
            <wp:positionH relativeFrom="column">
              <wp:posOffset>2694940</wp:posOffset>
            </wp:positionH>
            <wp:positionV relativeFrom="paragraph">
              <wp:posOffset>-1296035</wp:posOffset>
            </wp:positionV>
            <wp:extent cx="8890" cy="8255"/>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49376" behindDoc="1" locked="0" layoutInCell="0" allowOverlap="1">
            <wp:simplePos x="0" y="0"/>
            <wp:positionH relativeFrom="column">
              <wp:posOffset>2712085</wp:posOffset>
            </wp:positionH>
            <wp:positionV relativeFrom="paragraph">
              <wp:posOffset>-1296035</wp:posOffset>
            </wp:positionV>
            <wp:extent cx="8255" cy="8255"/>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50400" behindDoc="1" locked="0" layoutInCell="0" allowOverlap="1">
            <wp:simplePos x="0" y="0"/>
            <wp:positionH relativeFrom="column">
              <wp:posOffset>2729230</wp:posOffset>
            </wp:positionH>
            <wp:positionV relativeFrom="paragraph">
              <wp:posOffset>-1296035</wp:posOffset>
            </wp:positionV>
            <wp:extent cx="8255" cy="8255"/>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51424" behindDoc="1" locked="0" layoutInCell="0" allowOverlap="1">
            <wp:simplePos x="0" y="0"/>
            <wp:positionH relativeFrom="column">
              <wp:posOffset>2746375</wp:posOffset>
            </wp:positionH>
            <wp:positionV relativeFrom="paragraph">
              <wp:posOffset>-1296035</wp:posOffset>
            </wp:positionV>
            <wp:extent cx="8255" cy="8255"/>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52448" behindDoc="1" locked="0" layoutInCell="0" allowOverlap="1">
            <wp:simplePos x="0" y="0"/>
            <wp:positionH relativeFrom="column">
              <wp:posOffset>2763520</wp:posOffset>
            </wp:positionH>
            <wp:positionV relativeFrom="paragraph">
              <wp:posOffset>-1296035</wp:posOffset>
            </wp:positionV>
            <wp:extent cx="8255" cy="8255"/>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53472" behindDoc="1" locked="0" layoutInCell="0" allowOverlap="1">
            <wp:simplePos x="0" y="0"/>
            <wp:positionH relativeFrom="column">
              <wp:posOffset>2780665</wp:posOffset>
            </wp:positionH>
            <wp:positionV relativeFrom="paragraph">
              <wp:posOffset>-1296035</wp:posOffset>
            </wp:positionV>
            <wp:extent cx="8890" cy="8255"/>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54496" behindDoc="1" locked="0" layoutInCell="0" allowOverlap="1">
            <wp:simplePos x="0" y="0"/>
            <wp:positionH relativeFrom="column">
              <wp:posOffset>2797810</wp:posOffset>
            </wp:positionH>
            <wp:positionV relativeFrom="paragraph">
              <wp:posOffset>-1296035</wp:posOffset>
            </wp:positionV>
            <wp:extent cx="8255" cy="8255"/>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55520" behindDoc="1" locked="0" layoutInCell="0" allowOverlap="1">
            <wp:simplePos x="0" y="0"/>
            <wp:positionH relativeFrom="column">
              <wp:posOffset>2814955</wp:posOffset>
            </wp:positionH>
            <wp:positionV relativeFrom="paragraph">
              <wp:posOffset>-1296035</wp:posOffset>
            </wp:positionV>
            <wp:extent cx="8255" cy="8255"/>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56544" behindDoc="1" locked="0" layoutInCell="0" allowOverlap="1">
            <wp:simplePos x="0" y="0"/>
            <wp:positionH relativeFrom="column">
              <wp:posOffset>2832100</wp:posOffset>
            </wp:positionH>
            <wp:positionV relativeFrom="paragraph">
              <wp:posOffset>-1296035</wp:posOffset>
            </wp:positionV>
            <wp:extent cx="8255" cy="8255"/>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57568" behindDoc="1" locked="0" layoutInCell="0" allowOverlap="1">
            <wp:simplePos x="0" y="0"/>
            <wp:positionH relativeFrom="column">
              <wp:posOffset>2849245</wp:posOffset>
            </wp:positionH>
            <wp:positionV relativeFrom="paragraph">
              <wp:posOffset>-1296035</wp:posOffset>
            </wp:positionV>
            <wp:extent cx="8255" cy="8255"/>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58592" behindDoc="1" locked="0" layoutInCell="0" allowOverlap="1">
            <wp:simplePos x="0" y="0"/>
            <wp:positionH relativeFrom="column">
              <wp:posOffset>2866390</wp:posOffset>
            </wp:positionH>
            <wp:positionV relativeFrom="paragraph">
              <wp:posOffset>-1296035</wp:posOffset>
            </wp:positionV>
            <wp:extent cx="8890" cy="8255"/>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59616" behindDoc="1" locked="0" layoutInCell="0" allowOverlap="1">
            <wp:simplePos x="0" y="0"/>
            <wp:positionH relativeFrom="column">
              <wp:posOffset>2883535</wp:posOffset>
            </wp:positionH>
            <wp:positionV relativeFrom="paragraph">
              <wp:posOffset>-1296035</wp:posOffset>
            </wp:positionV>
            <wp:extent cx="8255" cy="8255"/>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60640" behindDoc="1" locked="0" layoutInCell="0" allowOverlap="1">
            <wp:simplePos x="0" y="0"/>
            <wp:positionH relativeFrom="column">
              <wp:posOffset>2900680</wp:posOffset>
            </wp:positionH>
            <wp:positionV relativeFrom="paragraph">
              <wp:posOffset>-1296035</wp:posOffset>
            </wp:positionV>
            <wp:extent cx="8255" cy="8255"/>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61664" behindDoc="1" locked="0" layoutInCell="0" allowOverlap="1">
            <wp:simplePos x="0" y="0"/>
            <wp:positionH relativeFrom="column">
              <wp:posOffset>2917825</wp:posOffset>
            </wp:positionH>
            <wp:positionV relativeFrom="paragraph">
              <wp:posOffset>-1296035</wp:posOffset>
            </wp:positionV>
            <wp:extent cx="8255" cy="8255"/>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62688" behindDoc="1" locked="0" layoutInCell="0" allowOverlap="1">
            <wp:simplePos x="0" y="0"/>
            <wp:positionH relativeFrom="column">
              <wp:posOffset>2934970</wp:posOffset>
            </wp:positionH>
            <wp:positionV relativeFrom="paragraph">
              <wp:posOffset>-1296035</wp:posOffset>
            </wp:positionV>
            <wp:extent cx="8255" cy="8255"/>
            <wp:effectExtent l="0" t="0" r="0"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63712" behindDoc="1" locked="0" layoutInCell="0" allowOverlap="1">
            <wp:simplePos x="0" y="0"/>
            <wp:positionH relativeFrom="column">
              <wp:posOffset>2952115</wp:posOffset>
            </wp:positionH>
            <wp:positionV relativeFrom="paragraph">
              <wp:posOffset>-1296035</wp:posOffset>
            </wp:positionV>
            <wp:extent cx="8890" cy="8255"/>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64736" behindDoc="1" locked="0" layoutInCell="0" allowOverlap="1">
            <wp:simplePos x="0" y="0"/>
            <wp:positionH relativeFrom="column">
              <wp:posOffset>2969260</wp:posOffset>
            </wp:positionH>
            <wp:positionV relativeFrom="paragraph">
              <wp:posOffset>-1296035</wp:posOffset>
            </wp:positionV>
            <wp:extent cx="8255" cy="8255"/>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65760" behindDoc="1" locked="0" layoutInCell="0" allowOverlap="1">
            <wp:simplePos x="0" y="0"/>
            <wp:positionH relativeFrom="column">
              <wp:posOffset>2986405</wp:posOffset>
            </wp:positionH>
            <wp:positionV relativeFrom="paragraph">
              <wp:posOffset>-1296035</wp:posOffset>
            </wp:positionV>
            <wp:extent cx="8255" cy="8255"/>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66784" behindDoc="1" locked="0" layoutInCell="0" allowOverlap="1">
            <wp:simplePos x="0" y="0"/>
            <wp:positionH relativeFrom="column">
              <wp:posOffset>3003550</wp:posOffset>
            </wp:positionH>
            <wp:positionV relativeFrom="paragraph">
              <wp:posOffset>-1296035</wp:posOffset>
            </wp:positionV>
            <wp:extent cx="8255" cy="8255"/>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67808" behindDoc="1" locked="0" layoutInCell="0" allowOverlap="1">
            <wp:simplePos x="0" y="0"/>
            <wp:positionH relativeFrom="column">
              <wp:posOffset>3020695</wp:posOffset>
            </wp:positionH>
            <wp:positionV relativeFrom="paragraph">
              <wp:posOffset>-1296035</wp:posOffset>
            </wp:positionV>
            <wp:extent cx="8255" cy="8255"/>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68832" behindDoc="1" locked="0" layoutInCell="0" allowOverlap="1">
            <wp:simplePos x="0" y="0"/>
            <wp:positionH relativeFrom="column">
              <wp:posOffset>3037840</wp:posOffset>
            </wp:positionH>
            <wp:positionV relativeFrom="paragraph">
              <wp:posOffset>-1296035</wp:posOffset>
            </wp:positionV>
            <wp:extent cx="8890" cy="8255"/>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69856" behindDoc="1" locked="0" layoutInCell="0" allowOverlap="1">
            <wp:simplePos x="0" y="0"/>
            <wp:positionH relativeFrom="column">
              <wp:posOffset>3054985</wp:posOffset>
            </wp:positionH>
            <wp:positionV relativeFrom="paragraph">
              <wp:posOffset>-1296035</wp:posOffset>
            </wp:positionV>
            <wp:extent cx="8255" cy="8255"/>
            <wp:effectExtent l="0" t="0" r="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70880" behindDoc="1" locked="0" layoutInCell="0" allowOverlap="1">
            <wp:simplePos x="0" y="0"/>
            <wp:positionH relativeFrom="column">
              <wp:posOffset>3072130</wp:posOffset>
            </wp:positionH>
            <wp:positionV relativeFrom="paragraph">
              <wp:posOffset>-1296035</wp:posOffset>
            </wp:positionV>
            <wp:extent cx="8255" cy="8255"/>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71904" behindDoc="1" locked="0" layoutInCell="0" allowOverlap="1">
            <wp:simplePos x="0" y="0"/>
            <wp:positionH relativeFrom="column">
              <wp:posOffset>3089275</wp:posOffset>
            </wp:positionH>
            <wp:positionV relativeFrom="paragraph">
              <wp:posOffset>-1296035</wp:posOffset>
            </wp:positionV>
            <wp:extent cx="8255" cy="8255"/>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72928" behindDoc="1" locked="0" layoutInCell="0" allowOverlap="1">
            <wp:simplePos x="0" y="0"/>
            <wp:positionH relativeFrom="column">
              <wp:posOffset>3106420</wp:posOffset>
            </wp:positionH>
            <wp:positionV relativeFrom="paragraph">
              <wp:posOffset>-1296035</wp:posOffset>
            </wp:positionV>
            <wp:extent cx="8255" cy="8255"/>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73952" behindDoc="1" locked="0" layoutInCell="0" allowOverlap="1">
            <wp:simplePos x="0" y="0"/>
            <wp:positionH relativeFrom="column">
              <wp:posOffset>3123565</wp:posOffset>
            </wp:positionH>
            <wp:positionV relativeFrom="paragraph">
              <wp:posOffset>-1296035</wp:posOffset>
            </wp:positionV>
            <wp:extent cx="8890" cy="8255"/>
            <wp:effectExtent l="0" t="0" r="0" b="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74976" behindDoc="1" locked="0" layoutInCell="0" allowOverlap="1">
            <wp:simplePos x="0" y="0"/>
            <wp:positionH relativeFrom="column">
              <wp:posOffset>3140710</wp:posOffset>
            </wp:positionH>
            <wp:positionV relativeFrom="paragraph">
              <wp:posOffset>-1296035</wp:posOffset>
            </wp:positionV>
            <wp:extent cx="8255" cy="8255"/>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76000" behindDoc="1" locked="0" layoutInCell="0" allowOverlap="1">
            <wp:simplePos x="0" y="0"/>
            <wp:positionH relativeFrom="column">
              <wp:posOffset>3157855</wp:posOffset>
            </wp:positionH>
            <wp:positionV relativeFrom="paragraph">
              <wp:posOffset>-1296035</wp:posOffset>
            </wp:positionV>
            <wp:extent cx="8255" cy="8255"/>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77024" behindDoc="1" locked="0" layoutInCell="0" allowOverlap="1">
            <wp:simplePos x="0" y="0"/>
            <wp:positionH relativeFrom="column">
              <wp:posOffset>3175000</wp:posOffset>
            </wp:positionH>
            <wp:positionV relativeFrom="paragraph">
              <wp:posOffset>-1296035</wp:posOffset>
            </wp:positionV>
            <wp:extent cx="8255" cy="8255"/>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78048" behindDoc="1" locked="0" layoutInCell="0" allowOverlap="1">
            <wp:simplePos x="0" y="0"/>
            <wp:positionH relativeFrom="column">
              <wp:posOffset>3192145</wp:posOffset>
            </wp:positionH>
            <wp:positionV relativeFrom="paragraph">
              <wp:posOffset>-1296035</wp:posOffset>
            </wp:positionV>
            <wp:extent cx="8255" cy="8255"/>
            <wp:effectExtent l="0" t="0" r="0" b="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79072" behindDoc="1" locked="0" layoutInCell="0" allowOverlap="1">
            <wp:simplePos x="0" y="0"/>
            <wp:positionH relativeFrom="column">
              <wp:posOffset>3209290</wp:posOffset>
            </wp:positionH>
            <wp:positionV relativeFrom="paragraph">
              <wp:posOffset>-1296035</wp:posOffset>
            </wp:positionV>
            <wp:extent cx="8890" cy="8255"/>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80096" behindDoc="1" locked="0" layoutInCell="0" allowOverlap="1">
            <wp:simplePos x="0" y="0"/>
            <wp:positionH relativeFrom="column">
              <wp:posOffset>3226435</wp:posOffset>
            </wp:positionH>
            <wp:positionV relativeFrom="paragraph">
              <wp:posOffset>-1296035</wp:posOffset>
            </wp:positionV>
            <wp:extent cx="8255" cy="8255"/>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81120" behindDoc="1" locked="0" layoutInCell="0" allowOverlap="1">
            <wp:simplePos x="0" y="0"/>
            <wp:positionH relativeFrom="column">
              <wp:posOffset>3243580</wp:posOffset>
            </wp:positionH>
            <wp:positionV relativeFrom="paragraph">
              <wp:posOffset>-1296035</wp:posOffset>
            </wp:positionV>
            <wp:extent cx="8255" cy="8255"/>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82144" behindDoc="1" locked="0" layoutInCell="0" allowOverlap="1">
            <wp:simplePos x="0" y="0"/>
            <wp:positionH relativeFrom="column">
              <wp:posOffset>3260725</wp:posOffset>
            </wp:positionH>
            <wp:positionV relativeFrom="paragraph">
              <wp:posOffset>-1296035</wp:posOffset>
            </wp:positionV>
            <wp:extent cx="8255" cy="8255"/>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83168" behindDoc="1" locked="0" layoutInCell="0" allowOverlap="1">
            <wp:simplePos x="0" y="0"/>
            <wp:positionH relativeFrom="column">
              <wp:posOffset>3277870</wp:posOffset>
            </wp:positionH>
            <wp:positionV relativeFrom="paragraph">
              <wp:posOffset>-1296035</wp:posOffset>
            </wp:positionV>
            <wp:extent cx="8255" cy="8255"/>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84192" behindDoc="1" locked="0" layoutInCell="0" allowOverlap="1">
            <wp:simplePos x="0" y="0"/>
            <wp:positionH relativeFrom="column">
              <wp:posOffset>3295015</wp:posOffset>
            </wp:positionH>
            <wp:positionV relativeFrom="paragraph">
              <wp:posOffset>-1296035</wp:posOffset>
            </wp:positionV>
            <wp:extent cx="8890" cy="8255"/>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85216" behindDoc="1" locked="0" layoutInCell="0" allowOverlap="1">
            <wp:simplePos x="0" y="0"/>
            <wp:positionH relativeFrom="column">
              <wp:posOffset>3312160</wp:posOffset>
            </wp:positionH>
            <wp:positionV relativeFrom="paragraph">
              <wp:posOffset>-1296035</wp:posOffset>
            </wp:positionV>
            <wp:extent cx="8255" cy="8255"/>
            <wp:effectExtent l="0" t="0" r="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86240" behindDoc="1" locked="0" layoutInCell="0" allowOverlap="1">
            <wp:simplePos x="0" y="0"/>
            <wp:positionH relativeFrom="column">
              <wp:posOffset>3329305</wp:posOffset>
            </wp:positionH>
            <wp:positionV relativeFrom="paragraph">
              <wp:posOffset>-1296035</wp:posOffset>
            </wp:positionV>
            <wp:extent cx="8255" cy="8255"/>
            <wp:effectExtent l="0" t="0" r="0" b="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87264" behindDoc="1" locked="0" layoutInCell="0" allowOverlap="1">
            <wp:simplePos x="0" y="0"/>
            <wp:positionH relativeFrom="column">
              <wp:posOffset>3346450</wp:posOffset>
            </wp:positionH>
            <wp:positionV relativeFrom="paragraph">
              <wp:posOffset>-1296035</wp:posOffset>
            </wp:positionV>
            <wp:extent cx="8255" cy="8255"/>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88288" behindDoc="1" locked="0" layoutInCell="0" allowOverlap="1">
            <wp:simplePos x="0" y="0"/>
            <wp:positionH relativeFrom="column">
              <wp:posOffset>3363595</wp:posOffset>
            </wp:positionH>
            <wp:positionV relativeFrom="paragraph">
              <wp:posOffset>-1296035</wp:posOffset>
            </wp:positionV>
            <wp:extent cx="8255" cy="825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89312" behindDoc="1" locked="0" layoutInCell="0" allowOverlap="1">
            <wp:simplePos x="0" y="0"/>
            <wp:positionH relativeFrom="column">
              <wp:posOffset>3380740</wp:posOffset>
            </wp:positionH>
            <wp:positionV relativeFrom="paragraph">
              <wp:posOffset>-1296035</wp:posOffset>
            </wp:positionV>
            <wp:extent cx="8890" cy="8255"/>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4">
                      <a:extLst/>
                    </a:blip>
                    <a:srcRect/>
                    <a:stretch>
                      <a:fillRect/>
                    </a:stretch>
                  </pic:blipFill>
                  <pic:spPr bwMode="auto">
                    <a:xfrm>
                      <a:off x="0" y="0"/>
                      <a:ext cx="8890" cy="8255"/>
                    </a:xfrm>
                    <a:prstGeom prst="rect">
                      <a:avLst/>
                    </a:prstGeom>
                    <a:noFill/>
                  </pic:spPr>
                </pic:pic>
              </a:graphicData>
            </a:graphic>
          </wp:anchor>
        </w:drawing>
      </w:r>
      <w:r>
        <w:rPr>
          <w:noProof/>
          <w:sz w:val="20"/>
          <w:szCs w:val="20"/>
        </w:rPr>
        <w:drawing>
          <wp:anchor distT="0" distB="0" distL="114300" distR="114300" simplePos="0" relativeHeight="251790336" behindDoc="1" locked="0" layoutInCell="0" allowOverlap="1">
            <wp:simplePos x="0" y="0"/>
            <wp:positionH relativeFrom="column">
              <wp:posOffset>3397885</wp:posOffset>
            </wp:positionH>
            <wp:positionV relativeFrom="paragraph">
              <wp:posOffset>-1296035</wp:posOffset>
            </wp:positionV>
            <wp:extent cx="8255" cy="8255"/>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r>
        <w:rPr>
          <w:noProof/>
          <w:sz w:val="20"/>
          <w:szCs w:val="20"/>
        </w:rPr>
        <w:drawing>
          <wp:anchor distT="0" distB="0" distL="114300" distR="114300" simplePos="0" relativeHeight="251791360" behindDoc="1" locked="0" layoutInCell="0" allowOverlap="1">
            <wp:simplePos x="0" y="0"/>
            <wp:positionH relativeFrom="column">
              <wp:posOffset>3415030</wp:posOffset>
            </wp:positionH>
            <wp:positionV relativeFrom="paragraph">
              <wp:posOffset>-1296035</wp:posOffset>
            </wp:positionV>
            <wp:extent cx="8255" cy="8255"/>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4">
                      <a:extLst/>
                    </a:blip>
                    <a:srcRect/>
                    <a:stretch>
                      <a:fillRect/>
                    </a:stretch>
                  </pic:blipFill>
                  <pic:spPr bwMode="auto">
                    <a:xfrm>
                      <a:off x="0" y="0"/>
                      <a:ext cx="8255" cy="8255"/>
                    </a:xfrm>
                    <a:prstGeom prst="rect">
                      <a:avLst/>
                    </a:prstGeom>
                    <a:noFill/>
                  </pic:spPr>
                </pic:pic>
              </a:graphicData>
            </a:graphic>
          </wp:anchor>
        </w:drawing>
      </w:r>
    </w:p>
    <w:p w:rsidR="00A621E3" w:rsidRDefault="00A621E3">
      <w:pPr>
        <w:spacing w:line="189" w:lineRule="exact"/>
        <w:rPr>
          <w:sz w:val="20"/>
          <w:szCs w:val="20"/>
        </w:rPr>
      </w:pPr>
    </w:p>
    <w:p w:rsidR="00A621E3" w:rsidRDefault="00EC630E">
      <w:pPr>
        <w:spacing w:line="250" w:lineRule="auto"/>
        <w:ind w:right="20"/>
        <w:jc w:val="both"/>
        <w:rPr>
          <w:sz w:val="20"/>
          <w:szCs w:val="20"/>
        </w:rPr>
      </w:pPr>
      <w:r>
        <w:rPr>
          <w:rFonts w:ascii="Arial" w:eastAsia="Arial" w:hAnsi="Arial" w:cs="Arial"/>
          <w:sz w:val="20"/>
          <w:szCs w:val="20"/>
        </w:rPr>
        <w:t xml:space="preserve">There are no </w:t>
      </w:r>
      <w:r>
        <w:rPr>
          <w:rFonts w:ascii="Arial" w:eastAsia="Arial" w:hAnsi="Arial" w:cs="Arial"/>
          <w:sz w:val="20"/>
          <w:szCs w:val="20"/>
        </w:rPr>
        <w:t>family relationships among any of the directors, director nominees and executive officers of the Company. Ages are as of April 12, 2023.</w:t>
      </w:r>
    </w:p>
    <w:p w:rsidR="00A621E3" w:rsidRDefault="00A621E3">
      <w:pPr>
        <w:spacing w:line="207" w:lineRule="exact"/>
        <w:rPr>
          <w:sz w:val="20"/>
          <w:szCs w:val="20"/>
        </w:rPr>
      </w:pPr>
    </w:p>
    <w:p w:rsidR="00A621E3" w:rsidRDefault="00EC630E">
      <w:pPr>
        <w:rPr>
          <w:sz w:val="20"/>
          <w:szCs w:val="20"/>
        </w:rPr>
      </w:pPr>
      <w:r>
        <w:rPr>
          <w:rFonts w:ascii="Arial" w:eastAsia="Arial" w:hAnsi="Arial" w:cs="Arial"/>
          <w:b/>
          <w:bCs/>
          <w:color w:val="CF0A2C"/>
          <w:sz w:val="20"/>
          <w:szCs w:val="20"/>
        </w:rPr>
        <w:t>What if a nominee is unwilling or unable to serve?</w:t>
      </w:r>
    </w:p>
    <w:p w:rsidR="00A621E3" w:rsidRDefault="00A621E3">
      <w:pPr>
        <w:spacing w:line="262" w:lineRule="exact"/>
        <w:rPr>
          <w:sz w:val="20"/>
          <w:szCs w:val="20"/>
        </w:rPr>
      </w:pPr>
    </w:p>
    <w:p w:rsidR="00A621E3" w:rsidRDefault="00EC630E">
      <w:pPr>
        <w:spacing w:line="260" w:lineRule="auto"/>
        <w:ind w:right="20"/>
        <w:jc w:val="both"/>
        <w:rPr>
          <w:sz w:val="20"/>
          <w:szCs w:val="20"/>
        </w:rPr>
      </w:pPr>
      <w:r>
        <w:rPr>
          <w:rFonts w:ascii="Arial" w:eastAsia="Arial" w:hAnsi="Arial" w:cs="Arial"/>
          <w:sz w:val="20"/>
          <w:szCs w:val="20"/>
        </w:rPr>
        <w:t>That is not expected to occur. If it does, proxies may be voted fo</w:t>
      </w:r>
      <w:r>
        <w:rPr>
          <w:rFonts w:ascii="Arial" w:eastAsia="Arial" w:hAnsi="Arial" w:cs="Arial"/>
          <w:sz w:val="20"/>
          <w:szCs w:val="20"/>
        </w:rPr>
        <w:t>r a substitute nominated by the Board of Directors.</w:t>
      </w:r>
    </w:p>
    <w:p w:rsidR="00A621E3" w:rsidRDefault="00A621E3">
      <w:pPr>
        <w:spacing w:line="211" w:lineRule="exact"/>
        <w:rPr>
          <w:sz w:val="20"/>
          <w:szCs w:val="20"/>
        </w:rPr>
      </w:pPr>
    </w:p>
    <w:p w:rsidR="00A621E3" w:rsidRDefault="00EC630E">
      <w:pPr>
        <w:rPr>
          <w:sz w:val="20"/>
          <w:szCs w:val="20"/>
        </w:rPr>
      </w:pPr>
      <w:r>
        <w:rPr>
          <w:rFonts w:ascii="Arial" w:eastAsia="Arial" w:hAnsi="Arial" w:cs="Arial"/>
          <w:b/>
          <w:bCs/>
          <w:color w:val="CF0A2C"/>
          <w:sz w:val="20"/>
          <w:szCs w:val="20"/>
        </w:rPr>
        <w:t>What vote is required to elect directors?</w:t>
      </w:r>
    </w:p>
    <w:p w:rsidR="00A621E3" w:rsidRDefault="00A621E3">
      <w:pPr>
        <w:spacing w:line="249" w:lineRule="exact"/>
        <w:rPr>
          <w:sz w:val="20"/>
          <w:szCs w:val="20"/>
        </w:rPr>
      </w:pPr>
    </w:p>
    <w:p w:rsidR="00A621E3" w:rsidRDefault="00EC630E">
      <w:pPr>
        <w:spacing w:line="250" w:lineRule="auto"/>
        <w:jc w:val="both"/>
        <w:rPr>
          <w:sz w:val="20"/>
          <w:szCs w:val="20"/>
        </w:rPr>
      </w:pPr>
      <w:r>
        <w:rPr>
          <w:rFonts w:ascii="Arial" w:eastAsia="Arial" w:hAnsi="Arial" w:cs="Arial"/>
          <w:sz w:val="20"/>
          <w:szCs w:val="20"/>
        </w:rPr>
        <w:t>A nominee will be elected as a director if the number of “FOR” votes exceeds the number of “AGAINST” votes with respect to his or her election.</w:t>
      </w:r>
    </w:p>
    <w:p w:rsidR="00A621E3" w:rsidRDefault="00A621E3">
      <w:pPr>
        <w:spacing w:line="220" w:lineRule="exact"/>
        <w:rPr>
          <w:sz w:val="20"/>
          <w:szCs w:val="20"/>
        </w:rPr>
      </w:pPr>
    </w:p>
    <w:p w:rsidR="00A621E3" w:rsidRDefault="00EC630E">
      <w:pPr>
        <w:spacing w:line="267" w:lineRule="auto"/>
        <w:ind w:right="20"/>
        <w:jc w:val="both"/>
        <w:rPr>
          <w:sz w:val="20"/>
          <w:szCs w:val="20"/>
        </w:rPr>
      </w:pPr>
      <w:r>
        <w:rPr>
          <w:rFonts w:ascii="Arial" w:eastAsia="Arial" w:hAnsi="Arial" w:cs="Arial"/>
          <w:b/>
          <w:bCs/>
          <w:color w:val="CF0A2C"/>
          <w:sz w:val="20"/>
          <w:szCs w:val="20"/>
        </w:rPr>
        <w:t xml:space="preserve">The Board of </w:t>
      </w:r>
      <w:r>
        <w:rPr>
          <w:rFonts w:ascii="Arial" w:eastAsia="Arial" w:hAnsi="Arial" w:cs="Arial"/>
          <w:b/>
          <w:bCs/>
          <w:color w:val="CF0A2C"/>
          <w:sz w:val="20"/>
          <w:szCs w:val="20"/>
        </w:rPr>
        <w:t>Directors recommends that you vote FOR the election of the nine director nominees.</w:t>
      </w:r>
    </w:p>
    <w:p w:rsidR="00A621E3" w:rsidRDefault="00A621E3">
      <w:pPr>
        <w:spacing w:line="559"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86"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25</w:t>
      </w:r>
    </w:p>
    <w:p w:rsidR="00A621E3" w:rsidRDefault="00EC630E">
      <w:pPr>
        <w:spacing w:line="20" w:lineRule="exact"/>
        <w:rPr>
          <w:sz w:val="20"/>
          <w:szCs w:val="20"/>
        </w:rPr>
      </w:pPr>
      <w:r>
        <w:rPr>
          <w:noProof/>
          <w:sz w:val="20"/>
          <w:szCs w:val="20"/>
        </w:rPr>
        <w:drawing>
          <wp:anchor distT="0" distB="0" distL="114300" distR="114300" simplePos="0" relativeHeight="251792384"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31" w:name="page31"/>
      <w:bookmarkEnd w:id="31"/>
      <w:r>
        <w:rPr>
          <w:rFonts w:ascii="Arial" w:eastAsia="Arial" w:hAnsi="Arial" w:cs="Arial"/>
          <w:b/>
          <w:bCs/>
          <w:noProof/>
          <w:color w:val="0000EE"/>
          <w:sz w:val="18"/>
          <w:szCs w:val="18"/>
          <w:u w:val="single"/>
        </w:rPr>
        <w:lastRenderedPageBreak/>
        <w:drawing>
          <wp:anchor distT="0" distB="0" distL="114300" distR="114300" simplePos="0" relativeHeight="251793408"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794432" behindDoc="1" locked="0" layoutInCell="0" allowOverlap="1">
            <wp:simplePos x="0" y="0"/>
            <wp:positionH relativeFrom="column">
              <wp:posOffset>73660</wp:posOffset>
            </wp:positionH>
            <wp:positionV relativeFrom="paragraph">
              <wp:posOffset>205740</wp:posOffset>
            </wp:positionV>
            <wp:extent cx="2486025" cy="205740"/>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7">
                      <a:extLst/>
                    </a:blip>
                    <a:srcRect/>
                    <a:stretch>
                      <a:fillRect/>
                    </a:stretch>
                  </pic:blipFill>
                  <pic:spPr bwMode="auto">
                    <a:xfrm>
                      <a:off x="0" y="0"/>
                      <a:ext cx="248602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MATTERS REQUIRING STOCKHOLDER ACTION</w:t>
      </w:r>
    </w:p>
    <w:p w:rsidR="00A621E3" w:rsidRDefault="00A621E3">
      <w:pPr>
        <w:spacing w:line="203" w:lineRule="exact"/>
        <w:rPr>
          <w:sz w:val="20"/>
          <w:szCs w:val="20"/>
        </w:rPr>
      </w:pPr>
    </w:p>
    <w:p w:rsidR="00A621E3" w:rsidRDefault="00EC630E">
      <w:pPr>
        <w:ind w:left="120"/>
        <w:rPr>
          <w:sz w:val="20"/>
          <w:szCs w:val="20"/>
        </w:rPr>
      </w:pPr>
      <w:r>
        <w:rPr>
          <w:rFonts w:ascii="Arial" w:eastAsia="Arial" w:hAnsi="Arial" w:cs="Arial"/>
          <w:b/>
          <w:bCs/>
          <w:color w:val="CF0A2C"/>
          <w:sz w:val="20"/>
          <w:szCs w:val="20"/>
        </w:rPr>
        <w:t>Director Nominees</w:t>
      </w:r>
    </w:p>
    <w:p w:rsidR="00A621E3" w:rsidRDefault="00EC630E">
      <w:pPr>
        <w:spacing w:line="20" w:lineRule="exact"/>
        <w:rPr>
          <w:sz w:val="20"/>
          <w:szCs w:val="20"/>
        </w:rPr>
      </w:pPr>
      <w:r>
        <w:rPr>
          <w:noProof/>
          <w:sz w:val="20"/>
          <w:szCs w:val="20"/>
        </w:rPr>
        <w:drawing>
          <wp:anchor distT="0" distB="0" distL="114300" distR="114300" simplePos="0" relativeHeight="251795456" behindDoc="1" locked="0" layoutInCell="0" allowOverlap="1">
            <wp:simplePos x="0" y="0"/>
            <wp:positionH relativeFrom="column">
              <wp:posOffset>73660</wp:posOffset>
            </wp:positionH>
            <wp:positionV relativeFrom="paragraph">
              <wp:posOffset>168275</wp:posOffset>
            </wp:positionV>
            <wp:extent cx="6995160" cy="857250"/>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8">
                      <a:extLst/>
                    </a:blip>
                    <a:srcRect/>
                    <a:stretch>
                      <a:fillRect/>
                    </a:stretch>
                  </pic:blipFill>
                  <pic:spPr bwMode="auto">
                    <a:xfrm>
                      <a:off x="0" y="0"/>
                      <a:ext cx="6995160" cy="857250"/>
                    </a:xfrm>
                    <a:prstGeom prst="rect">
                      <a:avLst/>
                    </a:prstGeom>
                    <a:noFill/>
                  </pic:spPr>
                </pic:pic>
              </a:graphicData>
            </a:graphic>
          </wp:anchor>
        </w:drawing>
      </w:r>
    </w:p>
    <w:p w:rsidR="00A621E3" w:rsidRDefault="00A621E3">
      <w:pPr>
        <w:spacing w:line="290" w:lineRule="exact"/>
        <w:rPr>
          <w:sz w:val="20"/>
          <w:szCs w:val="20"/>
        </w:rPr>
      </w:pPr>
    </w:p>
    <w:p w:rsidR="00A621E3" w:rsidRDefault="00EC630E">
      <w:pPr>
        <w:ind w:left="2000"/>
        <w:rPr>
          <w:sz w:val="20"/>
          <w:szCs w:val="20"/>
        </w:rPr>
      </w:pPr>
      <w:r>
        <w:rPr>
          <w:rFonts w:ascii="Arial" w:eastAsia="Arial" w:hAnsi="Arial" w:cs="Arial"/>
          <w:b/>
          <w:bCs/>
          <w:color w:val="CF0A2C"/>
          <w:sz w:val="20"/>
          <w:szCs w:val="20"/>
        </w:rPr>
        <w:t>Fred Hu</w:t>
      </w:r>
    </w:p>
    <w:p w:rsidR="00A621E3" w:rsidRDefault="00A621E3">
      <w:pPr>
        <w:spacing w:line="21" w:lineRule="exact"/>
        <w:rPr>
          <w:sz w:val="20"/>
          <w:szCs w:val="20"/>
        </w:rPr>
      </w:pPr>
    </w:p>
    <w:p w:rsidR="00A621E3" w:rsidRDefault="00EC630E">
      <w:pPr>
        <w:ind w:left="2000"/>
        <w:rPr>
          <w:sz w:val="20"/>
          <w:szCs w:val="20"/>
        </w:rPr>
      </w:pPr>
      <w:r>
        <w:rPr>
          <w:rFonts w:ascii="Arial" w:eastAsia="Arial" w:hAnsi="Arial" w:cs="Arial"/>
          <w:sz w:val="20"/>
          <w:szCs w:val="20"/>
        </w:rPr>
        <w:t>Age 59</w:t>
      </w:r>
    </w:p>
    <w:p w:rsidR="00A621E3" w:rsidRDefault="00EC630E">
      <w:pPr>
        <w:ind w:left="2000"/>
        <w:rPr>
          <w:sz w:val="20"/>
          <w:szCs w:val="20"/>
        </w:rPr>
      </w:pPr>
      <w:r>
        <w:rPr>
          <w:rFonts w:ascii="Arial" w:eastAsia="Arial" w:hAnsi="Arial" w:cs="Arial"/>
          <w:sz w:val="20"/>
          <w:szCs w:val="20"/>
        </w:rPr>
        <w:t>Director Since 2016</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1" w:lineRule="exact"/>
        <w:rPr>
          <w:sz w:val="20"/>
          <w:szCs w:val="20"/>
        </w:rPr>
      </w:pPr>
    </w:p>
    <w:p w:rsidR="00A621E3" w:rsidRDefault="00EC630E">
      <w:pPr>
        <w:spacing w:line="270" w:lineRule="auto"/>
        <w:ind w:left="120"/>
        <w:jc w:val="both"/>
        <w:rPr>
          <w:sz w:val="20"/>
          <w:szCs w:val="20"/>
        </w:rPr>
      </w:pPr>
      <w:r>
        <w:rPr>
          <w:rFonts w:ascii="Arial" w:eastAsia="Arial" w:hAnsi="Arial" w:cs="Arial"/>
          <w:i/>
          <w:iCs/>
          <w:sz w:val="18"/>
          <w:szCs w:val="18"/>
        </w:rPr>
        <w:t xml:space="preserve">Fred Hu </w:t>
      </w:r>
      <w:r>
        <w:rPr>
          <w:rFonts w:ascii="Arial" w:eastAsia="Arial" w:hAnsi="Arial" w:cs="Arial"/>
          <w:sz w:val="18"/>
          <w:szCs w:val="18"/>
        </w:rPr>
        <w:t>has served as the chairman and founder of Primavera, a China-based global investment firm, since its inception in 2011. Prior to</w:t>
      </w:r>
      <w:r>
        <w:rPr>
          <w:rFonts w:ascii="Arial" w:eastAsia="Arial" w:hAnsi="Arial" w:cs="Arial"/>
          <w:i/>
          <w:iCs/>
          <w:sz w:val="18"/>
          <w:szCs w:val="18"/>
        </w:rPr>
        <w:t xml:space="preserve"> </w:t>
      </w:r>
      <w:r>
        <w:rPr>
          <w:rFonts w:ascii="Arial" w:eastAsia="Arial" w:hAnsi="Arial" w:cs="Arial"/>
          <w:sz w:val="18"/>
          <w:szCs w:val="18"/>
        </w:rPr>
        <w:t>Primavera, Dr. Hu served in various roles at Goldman Sachs from 1997 to 2010, i</w:t>
      </w:r>
      <w:r>
        <w:rPr>
          <w:rFonts w:ascii="Arial" w:eastAsia="Arial" w:hAnsi="Arial" w:cs="Arial"/>
          <w:sz w:val="18"/>
          <w:szCs w:val="18"/>
        </w:rPr>
        <w:t>ncluding as partner and chairman of Greater China at Goldman Sachs Group, Inc. From 1991 to 1996, he served as an economist at the International Monetary Fund (IMF) in Washington D.C. Dr. Hu currently is a member of the board of directors of Industrial and</w:t>
      </w:r>
      <w:r>
        <w:rPr>
          <w:rFonts w:ascii="Arial" w:eastAsia="Arial" w:hAnsi="Arial" w:cs="Arial"/>
          <w:sz w:val="18"/>
          <w:szCs w:val="18"/>
        </w:rPr>
        <w:t xml:space="preserve"> Commercial Bank of China Limited, a company listed on both the Hong Kong Stock Exchange (stock code: 1398) and the Shanghai Stock Exchange (SHA: 601398), and UBS Group AG, a company listed on both the SIX Swiss Stock Exchange (SIX: UBSG) and the New York </w:t>
      </w:r>
      <w:r>
        <w:rPr>
          <w:rFonts w:ascii="Arial" w:eastAsia="Arial" w:hAnsi="Arial" w:cs="Arial"/>
          <w:sz w:val="18"/>
          <w:szCs w:val="18"/>
        </w:rPr>
        <w:t xml:space="preserve">Stock Exchange (NYSE: UBS). From May 2011 to May 2018, Dr. Hu served as an independent non-executive director of Hang Seng Bank Limited, a company listed on the Hong Kong Stock Exchange (stock code: 0011). From November 2014 to April 2021, he served as an </w:t>
      </w:r>
      <w:r>
        <w:rPr>
          <w:rFonts w:ascii="Arial" w:eastAsia="Arial" w:hAnsi="Arial" w:cs="Arial"/>
          <w:sz w:val="18"/>
          <w:szCs w:val="18"/>
        </w:rPr>
        <w:t>independent non-executive director of Hong Kong Exchanges and Clearing Limited, a company listed on the Hong Kong Stock Exchange (stock code: 0388). From August 2020 to March 2022, he served as an independent non-executive director for Ant Group. Dr. Hu se</w:t>
      </w:r>
      <w:r>
        <w:rPr>
          <w:rFonts w:ascii="Arial" w:eastAsia="Arial" w:hAnsi="Arial" w:cs="Arial"/>
          <w:sz w:val="18"/>
          <w:szCs w:val="18"/>
        </w:rPr>
        <w:t>rves as a co-director of the National Center for Economic Research and a professor at Tsinghua University. Dr. Hu obtained his doctoral degree in economics from Harvard University. Dr. Hu brings to our Board extensive expertise in international affairs and</w:t>
      </w:r>
      <w:r>
        <w:rPr>
          <w:rFonts w:ascii="Arial" w:eastAsia="Arial" w:hAnsi="Arial" w:cs="Arial"/>
          <w:sz w:val="18"/>
          <w:szCs w:val="18"/>
        </w:rPr>
        <w:t xml:space="preserve"> the Chinese economy. In addition, Dr. Hu brings valuable business, strategic development and corporate leadership experience as well as expertise in economics, finance and global capital markets.</w:t>
      </w:r>
    </w:p>
    <w:p w:rsidR="00A621E3" w:rsidRDefault="00EC630E">
      <w:pPr>
        <w:spacing w:line="20" w:lineRule="exact"/>
        <w:rPr>
          <w:sz w:val="20"/>
          <w:szCs w:val="20"/>
        </w:rPr>
      </w:pPr>
      <w:r>
        <w:rPr>
          <w:noProof/>
          <w:sz w:val="20"/>
          <w:szCs w:val="20"/>
        </w:rPr>
        <w:drawing>
          <wp:anchor distT="0" distB="0" distL="114300" distR="114300" simplePos="0" relativeHeight="251796480" behindDoc="1" locked="0" layoutInCell="0" allowOverlap="1">
            <wp:simplePos x="0" y="0"/>
            <wp:positionH relativeFrom="column">
              <wp:posOffset>73660</wp:posOffset>
            </wp:positionH>
            <wp:positionV relativeFrom="paragraph">
              <wp:posOffset>146050</wp:posOffset>
            </wp:positionV>
            <wp:extent cx="6995160" cy="85725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9">
                      <a:extLst/>
                    </a:blip>
                    <a:srcRect/>
                    <a:stretch>
                      <a:fillRect/>
                    </a:stretch>
                  </pic:blipFill>
                  <pic:spPr bwMode="auto">
                    <a:xfrm>
                      <a:off x="0" y="0"/>
                      <a:ext cx="6995160" cy="857250"/>
                    </a:xfrm>
                    <a:prstGeom prst="rect">
                      <a:avLst/>
                    </a:prstGeom>
                    <a:noFill/>
                  </pic:spPr>
                </pic:pic>
              </a:graphicData>
            </a:graphic>
          </wp:anchor>
        </w:drawing>
      </w:r>
    </w:p>
    <w:p w:rsidR="00A621E3" w:rsidRDefault="00A621E3">
      <w:pPr>
        <w:spacing w:line="254" w:lineRule="exact"/>
        <w:rPr>
          <w:sz w:val="20"/>
          <w:szCs w:val="20"/>
        </w:rPr>
      </w:pPr>
    </w:p>
    <w:p w:rsidR="00A621E3" w:rsidRDefault="00EC630E">
      <w:pPr>
        <w:ind w:left="2000"/>
        <w:rPr>
          <w:sz w:val="20"/>
          <w:szCs w:val="20"/>
        </w:rPr>
      </w:pPr>
      <w:r>
        <w:rPr>
          <w:rFonts w:ascii="Arial" w:eastAsia="Arial" w:hAnsi="Arial" w:cs="Arial"/>
          <w:b/>
          <w:bCs/>
          <w:color w:val="CF0A2C"/>
          <w:sz w:val="20"/>
          <w:szCs w:val="20"/>
        </w:rPr>
        <w:t>Joey Wat</w:t>
      </w:r>
    </w:p>
    <w:p w:rsidR="00A621E3" w:rsidRDefault="00A621E3">
      <w:pPr>
        <w:spacing w:line="21" w:lineRule="exact"/>
        <w:rPr>
          <w:sz w:val="20"/>
          <w:szCs w:val="20"/>
        </w:rPr>
      </w:pPr>
    </w:p>
    <w:p w:rsidR="00A621E3" w:rsidRDefault="00EC630E">
      <w:pPr>
        <w:ind w:left="2000"/>
        <w:rPr>
          <w:sz w:val="20"/>
          <w:szCs w:val="20"/>
        </w:rPr>
      </w:pPr>
      <w:r>
        <w:rPr>
          <w:rFonts w:ascii="Arial" w:eastAsia="Arial" w:hAnsi="Arial" w:cs="Arial"/>
          <w:sz w:val="20"/>
          <w:szCs w:val="20"/>
        </w:rPr>
        <w:t>Age 51</w:t>
      </w:r>
    </w:p>
    <w:p w:rsidR="00A621E3" w:rsidRDefault="00EC630E">
      <w:pPr>
        <w:ind w:left="2000"/>
        <w:rPr>
          <w:sz w:val="20"/>
          <w:szCs w:val="20"/>
        </w:rPr>
      </w:pPr>
      <w:r>
        <w:rPr>
          <w:rFonts w:ascii="Arial" w:eastAsia="Arial" w:hAnsi="Arial" w:cs="Arial"/>
          <w:sz w:val="20"/>
          <w:szCs w:val="20"/>
        </w:rPr>
        <w:t>Director Since 2017</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1" w:lineRule="exact"/>
        <w:rPr>
          <w:sz w:val="20"/>
          <w:szCs w:val="20"/>
        </w:rPr>
      </w:pPr>
    </w:p>
    <w:p w:rsidR="00A621E3" w:rsidRDefault="00EC630E">
      <w:pPr>
        <w:spacing w:line="270" w:lineRule="auto"/>
        <w:ind w:left="120"/>
        <w:jc w:val="both"/>
        <w:rPr>
          <w:sz w:val="20"/>
          <w:szCs w:val="20"/>
        </w:rPr>
      </w:pPr>
      <w:r>
        <w:rPr>
          <w:rFonts w:ascii="Arial" w:eastAsia="Arial" w:hAnsi="Arial" w:cs="Arial"/>
          <w:i/>
          <w:iCs/>
          <w:sz w:val="18"/>
          <w:szCs w:val="18"/>
        </w:rPr>
        <w:t xml:space="preserve">Joey Wat </w:t>
      </w:r>
      <w:r>
        <w:rPr>
          <w:rFonts w:ascii="Arial" w:eastAsia="Arial" w:hAnsi="Arial" w:cs="Arial"/>
          <w:sz w:val="18"/>
          <w:szCs w:val="18"/>
        </w:rPr>
        <w:t>has se</w:t>
      </w:r>
      <w:r>
        <w:rPr>
          <w:rFonts w:ascii="Arial" w:eastAsia="Arial" w:hAnsi="Arial" w:cs="Arial"/>
          <w:sz w:val="18"/>
          <w:szCs w:val="18"/>
        </w:rPr>
        <w:t>rved as a director of our Company since July 2017 and as the Chief Executive Officer of our Company since March 2018.</w:t>
      </w:r>
      <w:r>
        <w:rPr>
          <w:rFonts w:ascii="Arial" w:eastAsia="Arial" w:hAnsi="Arial" w:cs="Arial"/>
          <w:i/>
          <w:iCs/>
          <w:sz w:val="18"/>
          <w:szCs w:val="18"/>
        </w:rPr>
        <w:t xml:space="preserve"> </w:t>
      </w:r>
      <w:r>
        <w:rPr>
          <w:rFonts w:ascii="Arial" w:eastAsia="Arial" w:hAnsi="Arial" w:cs="Arial"/>
          <w:sz w:val="18"/>
          <w:szCs w:val="18"/>
        </w:rPr>
        <w:t>She served as our President and Chief Operating Officer from February 2017 to February 2018 and the Chief Executive Officer, KFC from Octo</w:t>
      </w:r>
      <w:r>
        <w:rPr>
          <w:rFonts w:ascii="Arial" w:eastAsia="Arial" w:hAnsi="Arial" w:cs="Arial"/>
          <w:sz w:val="18"/>
          <w:szCs w:val="18"/>
        </w:rPr>
        <w:t>ber 2016 to February 2017, a position she held at Yum! Restaurants China, from August 2015 to October 2016. Ms. Wat joined Yum! Restaurants China in September 2014 as President of KFC China and was promoted to Chief Executive Officer for KFC China in Augus</w:t>
      </w:r>
      <w:r>
        <w:rPr>
          <w:rFonts w:ascii="Arial" w:eastAsia="Arial" w:hAnsi="Arial" w:cs="Arial"/>
          <w:sz w:val="18"/>
          <w:szCs w:val="18"/>
        </w:rPr>
        <w:t>t 2015. Before joining YUM, Ms. Wat served in both management and strategy positions at A.S. Watson Group (“</w:t>
      </w:r>
      <w:r>
        <w:rPr>
          <w:rFonts w:ascii="Arial" w:eastAsia="Arial" w:hAnsi="Arial" w:cs="Arial"/>
          <w:b/>
          <w:bCs/>
          <w:i/>
          <w:iCs/>
          <w:sz w:val="18"/>
          <w:szCs w:val="18"/>
        </w:rPr>
        <w:t>Watson</w:t>
      </w:r>
      <w:r>
        <w:rPr>
          <w:rFonts w:ascii="Arial" w:eastAsia="Arial" w:hAnsi="Arial" w:cs="Arial"/>
          <w:sz w:val="18"/>
          <w:szCs w:val="18"/>
        </w:rPr>
        <w:t>”), an international health, beauty and lifestyle retailer, in the U.K. from 2004 to 2014. Her last position at Watson was managing director o</w:t>
      </w:r>
      <w:r>
        <w:rPr>
          <w:rFonts w:ascii="Arial" w:eastAsia="Arial" w:hAnsi="Arial" w:cs="Arial"/>
          <w:sz w:val="18"/>
          <w:szCs w:val="18"/>
        </w:rPr>
        <w:t>f Watson Health &amp; Beauty U.K., which operates Superdrug and Savers, two retail chains specializing in the sale of pharmacy and health and beauty products, from 2012 to 2014. She made the transition from head of strategy of Watson in Europe to managing dire</w:t>
      </w:r>
      <w:r>
        <w:rPr>
          <w:rFonts w:ascii="Arial" w:eastAsia="Arial" w:hAnsi="Arial" w:cs="Arial"/>
          <w:sz w:val="18"/>
          <w:szCs w:val="18"/>
        </w:rPr>
        <w:t>ctor of Savers in 2007. Before joining Watson, Ms. Wat spent seven years in management consulting including with McKinsey &amp; Company’s Hong Kong office from 2000 to 2003. Ms. Wat obtained a master of management degree from Kellogg School of Management at No</w:t>
      </w:r>
      <w:r>
        <w:rPr>
          <w:rFonts w:ascii="Arial" w:eastAsia="Arial" w:hAnsi="Arial" w:cs="Arial"/>
          <w:sz w:val="18"/>
          <w:szCs w:val="18"/>
        </w:rPr>
        <w:t>rthwestern University in 2000. Ms. Wat brings to our Board extensive knowledge of the Company’s business and her industry acumen acquired in the course of a career that included several leadership roles in retail companies.</w:t>
      </w:r>
    </w:p>
    <w:p w:rsidR="00A621E3" w:rsidRDefault="00A621E3">
      <w:pPr>
        <w:spacing w:line="129" w:lineRule="exact"/>
        <w:rPr>
          <w:sz w:val="20"/>
          <w:szCs w:val="20"/>
        </w:rPr>
      </w:pPr>
    </w:p>
    <w:p w:rsidR="00A621E3" w:rsidRDefault="00EC630E">
      <w:pPr>
        <w:numPr>
          <w:ilvl w:val="0"/>
          <w:numId w:val="36"/>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xml:space="preserve">– 2023 Proxy </w:t>
      </w:r>
      <w:r>
        <w:rPr>
          <w:rFonts w:ascii="Arial" w:eastAsia="Arial" w:hAnsi="Arial" w:cs="Arial"/>
          <w:i/>
          <w:iCs/>
          <w:color w:val="4C4C4C"/>
          <w:sz w:val="14"/>
          <w:szCs w:val="14"/>
        </w:rPr>
        <w:t>Statement</w:t>
      </w:r>
    </w:p>
    <w:p w:rsidR="00A621E3" w:rsidRDefault="00EC630E">
      <w:pPr>
        <w:spacing w:line="20" w:lineRule="exact"/>
        <w:rPr>
          <w:sz w:val="20"/>
          <w:szCs w:val="20"/>
        </w:rPr>
      </w:pPr>
      <w:r>
        <w:rPr>
          <w:noProof/>
          <w:sz w:val="20"/>
          <w:szCs w:val="20"/>
        </w:rPr>
        <w:drawing>
          <wp:anchor distT="0" distB="0" distL="114300" distR="114300" simplePos="0" relativeHeight="25179750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32" w:name="page32"/>
      <w:bookmarkEnd w:id="32"/>
      <w:r>
        <w:rPr>
          <w:rFonts w:ascii="Arial" w:eastAsia="Arial" w:hAnsi="Arial" w:cs="Arial"/>
          <w:b/>
          <w:bCs/>
          <w:noProof/>
          <w:color w:val="0000EE"/>
          <w:sz w:val="18"/>
          <w:szCs w:val="18"/>
          <w:u w:val="single"/>
        </w:rPr>
        <w:lastRenderedPageBreak/>
        <w:drawing>
          <wp:anchor distT="0" distB="0" distL="114300" distR="114300" simplePos="0" relativeHeight="251798528"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799552" behindDoc="1" locked="0" layoutInCell="0" allowOverlap="1">
            <wp:simplePos x="0" y="0"/>
            <wp:positionH relativeFrom="column">
              <wp:posOffset>4471035</wp:posOffset>
            </wp:positionH>
            <wp:positionV relativeFrom="paragraph">
              <wp:posOffset>205740</wp:posOffset>
            </wp:positionV>
            <wp:extent cx="2597150" cy="205740"/>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0">
                      <a:extLst/>
                    </a:blip>
                    <a:srcRect/>
                    <a:stretch>
                      <a:fillRect/>
                    </a:stretch>
                  </pic:blipFill>
                  <pic:spPr bwMode="auto">
                    <a:xfrm>
                      <a:off x="0" y="0"/>
                      <a:ext cx="259715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7280"/>
        <w:rPr>
          <w:sz w:val="20"/>
          <w:szCs w:val="20"/>
        </w:rPr>
      </w:pPr>
      <w:r>
        <w:rPr>
          <w:rFonts w:ascii="Arial" w:eastAsia="Arial" w:hAnsi="Arial" w:cs="Arial"/>
          <w:b/>
          <w:bCs/>
          <w:color w:val="FFFFFF"/>
          <w:sz w:val="16"/>
          <w:szCs w:val="16"/>
        </w:rPr>
        <w:t>MATTERS REQUIRING STOCKHOLDER ACTION</w:t>
      </w:r>
    </w:p>
    <w:p w:rsidR="00A621E3" w:rsidRDefault="00EC630E">
      <w:pPr>
        <w:spacing w:line="20" w:lineRule="exact"/>
        <w:rPr>
          <w:sz w:val="20"/>
          <w:szCs w:val="20"/>
        </w:rPr>
      </w:pPr>
      <w:r>
        <w:rPr>
          <w:noProof/>
          <w:sz w:val="20"/>
          <w:szCs w:val="20"/>
        </w:rPr>
        <w:drawing>
          <wp:anchor distT="0" distB="0" distL="114300" distR="114300" simplePos="0" relativeHeight="251800576" behindDoc="1" locked="0" layoutInCell="0" allowOverlap="1">
            <wp:simplePos x="0" y="0"/>
            <wp:positionH relativeFrom="column">
              <wp:posOffset>73660</wp:posOffset>
            </wp:positionH>
            <wp:positionV relativeFrom="paragraph">
              <wp:posOffset>143510</wp:posOffset>
            </wp:positionV>
            <wp:extent cx="6995160" cy="857250"/>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1">
                      <a:extLst/>
                    </a:blip>
                    <a:srcRect/>
                    <a:stretch>
                      <a:fillRect/>
                    </a:stretch>
                  </pic:blipFill>
                  <pic:spPr bwMode="auto">
                    <a:xfrm>
                      <a:off x="0" y="0"/>
                      <a:ext cx="6995160" cy="857250"/>
                    </a:xfrm>
                    <a:prstGeom prst="rect">
                      <a:avLst/>
                    </a:prstGeom>
                    <a:noFill/>
                  </pic:spPr>
                </pic:pic>
              </a:graphicData>
            </a:graphic>
          </wp:anchor>
        </w:drawing>
      </w:r>
    </w:p>
    <w:p w:rsidR="00A621E3" w:rsidRDefault="00A621E3">
      <w:pPr>
        <w:spacing w:line="250" w:lineRule="exact"/>
        <w:rPr>
          <w:sz w:val="20"/>
          <w:szCs w:val="20"/>
        </w:rPr>
      </w:pPr>
    </w:p>
    <w:p w:rsidR="00A621E3" w:rsidRDefault="00EC630E">
      <w:pPr>
        <w:ind w:left="2000"/>
        <w:rPr>
          <w:sz w:val="20"/>
          <w:szCs w:val="20"/>
        </w:rPr>
      </w:pPr>
      <w:r>
        <w:rPr>
          <w:rFonts w:ascii="Arial" w:eastAsia="Arial" w:hAnsi="Arial" w:cs="Arial"/>
          <w:b/>
          <w:bCs/>
          <w:color w:val="CF0A2C"/>
          <w:sz w:val="20"/>
          <w:szCs w:val="20"/>
        </w:rPr>
        <w:t>Peter A. Bassi</w:t>
      </w:r>
    </w:p>
    <w:p w:rsidR="00A621E3" w:rsidRDefault="00A621E3">
      <w:pPr>
        <w:spacing w:line="21" w:lineRule="exact"/>
        <w:rPr>
          <w:sz w:val="20"/>
          <w:szCs w:val="20"/>
        </w:rPr>
      </w:pPr>
    </w:p>
    <w:p w:rsidR="00A621E3" w:rsidRDefault="00EC630E">
      <w:pPr>
        <w:ind w:left="2000"/>
        <w:rPr>
          <w:sz w:val="20"/>
          <w:szCs w:val="20"/>
        </w:rPr>
      </w:pPr>
      <w:r>
        <w:rPr>
          <w:rFonts w:ascii="Arial" w:eastAsia="Arial" w:hAnsi="Arial" w:cs="Arial"/>
          <w:sz w:val="20"/>
          <w:szCs w:val="20"/>
        </w:rPr>
        <w:t>Age 73</w:t>
      </w:r>
    </w:p>
    <w:p w:rsidR="00A621E3" w:rsidRDefault="00EC630E">
      <w:pPr>
        <w:ind w:left="2000"/>
        <w:rPr>
          <w:sz w:val="20"/>
          <w:szCs w:val="20"/>
        </w:rPr>
      </w:pPr>
      <w:r>
        <w:rPr>
          <w:rFonts w:ascii="Arial" w:eastAsia="Arial" w:hAnsi="Arial" w:cs="Arial"/>
          <w:sz w:val="20"/>
          <w:szCs w:val="20"/>
        </w:rPr>
        <w:t>Director Since 2016</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1" w:lineRule="exact"/>
        <w:rPr>
          <w:sz w:val="20"/>
          <w:szCs w:val="20"/>
        </w:rPr>
      </w:pPr>
    </w:p>
    <w:p w:rsidR="00A621E3" w:rsidRDefault="00EC630E">
      <w:pPr>
        <w:spacing w:line="271" w:lineRule="auto"/>
        <w:ind w:left="120"/>
        <w:jc w:val="both"/>
        <w:rPr>
          <w:sz w:val="20"/>
          <w:szCs w:val="20"/>
        </w:rPr>
      </w:pPr>
      <w:r>
        <w:rPr>
          <w:rFonts w:ascii="Arial" w:eastAsia="Arial" w:hAnsi="Arial" w:cs="Arial"/>
          <w:i/>
          <w:iCs/>
          <w:sz w:val="18"/>
          <w:szCs w:val="18"/>
        </w:rPr>
        <w:t xml:space="preserve">Peter A. Bassi </w:t>
      </w:r>
      <w:r>
        <w:rPr>
          <w:rFonts w:ascii="Arial" w:eastAsia="Arial" w:hAnsi="Arial" w:cs="Arial"/>
          <w:sz w:val="18"/>
          <w:szCs w:val="18"/>
        </w:rPr>
        <w:t xml:space="preserve">served as Chairman of Yum! Restaurants International from 2003 to 2005 and as its President from </w:t>
      </w:r>
      <w:r>
        <w:rPr>
          <w:rFonts w:ascii="Arial" w:eastAsia="Arial" w:hAnsi="Arial" w:cs="Arial"/>
          <w:sz w:val="18"/>
          <w:szCs w:val="18"/>
        </w:rPr>
        <w:t>1997 to 2003. Prior to</w:t>
      </w:r>
      <w:r>
        <w:rPr>
          <w:rFonts w:ascii="Arial" w:eastAsia="Arial" w:hAnsi="Arial" w:cs="Arial"/>
          <w:i/>
          <w:iCs/>
          <w:sz w:val="18"/>
          <w:szCs w:val="18"/>
        </w:rPr>
        <w:t xml:space="preserve"> </w:t>
      </w:r>
      <w:r>
        <w:rPr>
          <w:rFonts w:ascii="Arial" w:eastAsia="Arial" w:hAnsi="Arial" w:cs="Arial"/>
          <w:sz w:val="18"/>
          <w:szCs w:val="18"/>
        </w:rPr>
        <w:t>that position, Mr. Bassi spent 25 years in a wide range of financial and general management positions at PepsiCo, Inc., Pepsi-Cola International, Pizza Hut (U.S. and International), Frito-Lay and Taco Bell. Mr. Bassi currently serves</w:t>
      </w:r>
      <w:r>
        <w:rPr>
          <w:rFonts w:ascii="Arial" w:eastAsia="Arial" w:hAnsi="Arial" w:cs="Arial"/>
          <w:sz w:val="18"/>
          <w:szCs w:val="18"/>
        </w:rPr>
        <w:t xml:space="preserve"> as lead independent director and chairman of the governance and nominating committee of BJ’s Restaurant, Inc. (NASDAQ: BJRI), where he also serves on the audit committee and compensation committee. He has been a member of the board of BJ’s Restaurant, Inc</w:t>
      </w:r>
      <w:r>
        <w:rPr>
          <w:rFonts w:ascii="Arial" w:eastAsia="Arial" w:hAnsi="Arial" w:cs="Arial"/>
          <w:sz w:val="18"/>
          <w:szCs w:val="18"/>
        </w:rPr>
        <w:t>. since 2004. From January 2009 to May 2019, Mr. Bassi held various positions on the board of Potbelly Corporation (NASDAQ: PBPB). From June 2015 to December 2018, Mr. Bassi served on the value optimization board for Mekong Capital Partners, a private equi</w:t>
      </w:r>
      <w:r>
        <w:rPr>
          <w:rFonts w:ascii="Arial" w:eastAsia="Arial" w:hAnsi="Arial" w:cs="Arial"/>
          <w:sz w:val="18"/>
          <w:szCs w:val="18"/>
        </w:rPr>
        <w:t>ty firm based in Vietnam. He also served on the board of supervisors of AmRest Holdings SE (WSE: EAT) from 2013 to 2015, and served on the board of the Pep Boys—Manny, Moe &amp; Jack from 2002 to 2009. Mr. Bassi received his master’s degree of business adminis</w:t>
      </w:r>
      <w:r>
        <w:rPr>
          <w:rFonts w:ascii="Arial" w:eastAsia="Arial" w:hAnsi="Arial" w:cs="Arial"/>
          <w:sz w:val="18"/>
          <w:szCs w:val="18"/>
        </w:rPr>
        <w:t>tration (MBA) from the University of Rhode Island in 1972. He brings to our Board knowledge of the restaurant industry and global franchising, as well as financial expertise and extensive public company board and corporate governance experience.</w:t>
      </w:r>
    </w:p>
    <w:p w:rsidR="00A621E3" w:rsidRDefault="00EC630E">
      <w:pPr>
        <w:spacing w:line="20" w:lineRule="exact"/>
        <w:rPr>
          <w:sz w:val="20"/>
          <w:szCs w:val="20"/>
        </w:rPr>
      </w:pPr>
      <w:r>
        <w:rPr>
          <w:noProof/>
          <w:sz w:val="20"/>
          <w:szCs w:val="20"/>
        </w:rPr>
        <w:drawing>
          <wp:anchor distT="0" distB="0" distL="114300" distR="114300" simplePos="0" relativeHeight="251801600" behindDoc="1" locked="0" layoutInCell="0" allowOverlap="1">
            <wp:simplePos x="0" y="0"/>
            <wp:positionH relativeFrom="column">
              <wp:posOffset>73660</wp:posOffset>
            </wp:positionH>
            <wp:positionV relativeFrom="paragraph">
              <wp:posOffset>144145</wp:posOffset>
            </wp:positionV>
            <wp:extent cx="6995160" cy="857250"/>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2">
                      <a:extLst/>
                    </a:blip>
                    <a:srcRect/>
                    <a:stretch>
                      <a:fillRect/>
                    </a:stretch>
                  </pic:blipFill>
                  <pic:spPr bwMode="auto">
                    <a:xfrm>
                      <a:off x="0" y="0"/>
                      <a:ext cx="6995160" cy="857250"/>
                    </a:xfrm>
                    <a:prstGeom prst="rect">
                      <a:avLst/>
                    </a:prstGeom>
                    <a:noFill/>
                  </pic:spPr>
                </pic:pic>
              </a:graphicData>
            </a:graphic>
          </wp:anchor>
        </w:drawing>
      </w:r>
    </w:p>
    <w:p w:rsidR="00A621E3" w:rsidRDefault="00A621E3">
      <w:pPr>
        <w:spacing w:line="252" w:lineRule="exact"/>
        <w:rPr>
          <w:sz w:val="20"/>
          <w:szCs w:val="20"/>
        </w:rPr>
      </w:pPr>
    </w:p>
    <w:p w:rsidR="00A621E3" w:rsidRDefault="00EC630E">
      <w:pPr>
        <w:ind w:left="2000"/>
        <w:rPr>
          <w:sz w:val="20"/>
          <w:szCs w:val="20"/>
        </w:rPr>
      </w:pPr>
      <w:r>
        <w:rPr>
          <w:rFonts w:ascii="Arial" w:eastAsia="Arial" w:hAnsi="Arial" w:cs="Arial"/>
          <w:b/>
          <w:bCs/>
          <w:color w:val="CF0A2C"/>
          <w:sz w:val="20"/>
          <w:szCs w:val="20"/>
        </w:rPr>
        <w:t>Edouard</w:t>
      </w:r>
      <w:r>
        <w:rPr>
          <w:rFonts w:ascii="Arial" w:eastAsia="Arial" w:hAnsi="Arial" w:cs="Arial"/>
          <w:b/>
          <w:bCs/>
          <w:color w:val="CF0A2C"/>
          <w:sz w:val="20"/>
          <w:szCs w:val="20"/>
        </w:rPr>
        <w:t xml:space="preserve"> Ettedgui</w:t>
      </w:r>
    </w:p>
    <w:p w:rsidR="00A621E3" w:rsidRDefault="00A621E3">
      <w:pPr>
        <w:spacing w:line="21" w:lineRule="exact"/>
        <w:rPr>
          <w:sz w:val="20"/>
          <w:szCs w:val="20"/>
        </w:rPr>
      </w:pPr>
    </w:p>
    <w:p w:rsidR="00A621E3" w:rsidRDefault="00EC630E">
      <w:pPr>
        <w:ind w:left="2000"/>
        <w:rPr>
          <w:sz w:val="20"/>
          <w:szCs w:val="20"/>
        </w:rPr>
      </w:pPr>
      <w:r>
        <w:rPr>
          <w:rFonts w:ascii="Arial" w:eastAsia="Arial" w:hAnsi="Arial" w:cs="Arial"/>
          <w:sz w:val="20"/>
          <w:szCs w:val="20"/>
        </w:rPr>
        <w:t>Age 71</w:t>
      </w:r>
    </w:p>
    <w:p w:rsidR="00A621E3" w:rsidRDefault="00EC630E">
      <w:pPr>
        <w:ind w:left="2000"/>
        <w:rPr>
          <w:sz w:val="20"/>
          <w:szCs w:val="20"/>
        </w:rPr>
      </w:pPr>
      <w:r>
        <w:rPr>
          <w:rFonts w:ascii="Arial" w:eastAsia="Arial" w:hAnsi="Arial" w:cs="Arial"/>
          <w:sz w:val="20"/>
          <w:szCs w:val="20"/>
        </w:rPr>
        <w:t>Director Since 2016</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1" w:lineRule="exact"/>
        <w:rPr>
          <w:sz w:val="20"/>
          <w:szCs w:val="20"/>
        </w:rPr>
      </w:pPr>
    </w:p>
    <w:p w:rsidR="00A621E3" w:rsidRDefault="00EC630E">
      <w:pPr>
        <w:spacing w:line="273" w:lineRule="auto"/>
        <w:ind w:left="120"/>
        <w:jc w:val="both"/>
        <w:rPr>
          <w:sz w:val="20"/>
          <w:szCs w:val="20"/>
        </w:rPr>
      </w:pPr>
      <w:r>
        <w:rPr>
          <w:rFonts w:ascii="Arial" w:eastAsia="Arial" w:hAnsi="Arial" w:cs="Arial"/>
          <w:i/>
          <w:iCs/>
          <w:sz w:val="18"/>
          <w:szCs w:val="18"/>
        </w:rPr>
        <w:t xml:space="preserve">Edouard Ettedgui </w:t>
      </w:r>
      <w:r>
        <w:rPr>
          <w:rFonts w:ascii="Arial" w:eastAsia="Arial" w:hAnsi="Arial" w:cs="Arial"/>
          <w:sz w:val="18"/>
          <w:szCs w:val="18"/>
        </w:rPr>
        <w:t>has served as the non-executive chairman of Alliance Française, Hong Kong since 2016. He also served as a non-executive director of Mandarin Oriental International Limited from April 2016 to May 20</w:t>
      </w:r>
      <w:r>
        <w:rPr>
          <w:rFonts w:ascii="Arial" w:eastAsia="Arial" w:hAnsi="Arial" w:cs="Arial"/>
          <w:sz w:val="18"/>
          <w:szCs w:val="18"/>
        </w:rPr>
        <w:t>20, the company for which he was the group chief executive from 1998 to 2016. Prior to his time at Mandarin Oriental International, Mr. Ettedgui was the chief financial officer for Dairy Farm International Holdings, and he served in various roles for Briti</w:t>
      </w:r>
      <w:r>
        <w:rPr>
          <w:rFonts w:ascii="Arial" w:eastAsia="Arial" w:hAnsi="Arial" w:cs="Arial"/>
          <w:sz w:val="18"/>
          <w:szCs w:val="18"/>
        </w:rPr>
        <w:t>sh American Tobacco (“</w:t>
      </w:r>
      <w:r>
        <w:rPr>
          <w:rFonts w:ascii="Arial" w:eastAsia="Arial" w:hAnsi="Arial" w:cs="Arial"/>
          <w:b/>
          <w:bCs/>
          <w:i/>
          <w:iCs/>
          <w:sz w:val="18"/>
          <w:szCs w:val="18"/>
        </w:rPr>
        <w:t>BAT</w:t>
      </w:r>
      <w:r>
        <w:rPr>
          <w:rFonts w:ascii="Arial" w:eastAsia="Arial" w:hAnsi="Arial" w:cs="Arial"/>
          <w:sz w:val="18"/>
          <w:szCs w:val="18"/>
        </w:rPr>
        <w:t>”), including as the business development director, group finance controller and group head of finance. From 1990 to 1996, he spent around six years with BAT Industries PLC in London, initially as the head of finance and later as t</w:t>
      </w:r>
      <w:r>
        <w:rPr>
          <w:rFonts w:ascii="Arial" w:eastAsia="Arial" w:hAnsi="Arial" w:cs="Arial"/>
          <w:sz w:val="18"/>
          <w:szCs w:val="18"/>
        </w:rPr>
        <w:t>he group finance controller and director for new business development. Mr. Ettedgui graduated from ESSEC Business School (France) in 1975. He brings to our Board senior management experience in various international consumer-product industries, extensive f</w:t>
      </w:r>
      <w:r>
        <w:rPr>
          <w:rFonts w:ascii="Arial" w:eastAsia="Arial" w:hAnsi="Arial" w:cs="Arial"/>
          <w:sz w:val="18"/>
          <w:szCs w:val="18"/>
        </w:rPr>
        <w:t>inancial expertise and public company board experience.</w:t>
      </w:r>
    </w:p>
    <w:p w:rsidR="00A621E3" w:rsidRDefault="00A621E3">
      <w:pPr>
        <w:spacing w:line="118"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27</w:t>
      </w:r>
    </w:p>
    <w:p w:rsidR="00A621E3" w:rsidRDefault="00EC630E">
      <w:pPr>
        <w:spacing w:line="20" w:lineRule="exact"/>
        <w:rPr>
          <w:sz w:val="20"/>
          <w:szCs w:val="20"/>
        </w:rPr>
      </w:pPr>
      <w:r>
        <w:rPr>
          <w:noProof/>
          <w:sz w:val="20"/>
          <w:szCs w:val="20"/>
        </w:rPr>
        <w:drawing>
          <wp:anchor distT="0" distB="0" distL="114300" distR="114300" simplePos="0" relativeHeight="251802624"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59" w:bottom="1440" w:left="320" w:header="0" w:footer="0" w:gutter="0"/>
          <w:cols w:space="720" w:equalWidth="0">
            <w:col w:w="11120"/>
          </w:cols>
        </w:sectPr>
      </w:pPr>
    </w:p>
    <w:p w:rsidR="00A621E3" w:rsidRDefault="00EC630E">
      <w:pPr>
        <w:rPr>
          <w:sz w:val="20"/>
          <w:szCs w:val="20"/>
        </w:rPr>
      </w:pPr>
      <w:bookmarkStart w:id="33" w:name="page33"/>
      <w:bookmarkEnd w:id="33"/>
      <w:r>
        <w:rPr>
          <w:rFonts w:ascii="Arial" w:eastAsia="Arial" w:hAnsi="Arial" w:cs="Arial"/>
          <w:b/>
          <w:bCs/>
          <w:noProof/>
          <w:color w:val="0000EE"/>
          <w:sz w:val="18"/>
          <w:szCs w:val="18"/>
          <w:u w:val="single"/>
        </w:rPr>
        <w:lastRenderedPageBreak/>
        <w:drawing>
          <wp:anchor distT="0" distB="0" distL="114300" distR="114300" simplePos="0" relativeHeight="251803648"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04672" behindDoc="1" locked="0" layoutInCell="0" allowOverlap="1">
            <wp:simplePos x="0" y="0"/>
            <wp:positionH relativeFrom="column">
              <wp:posOffset>73660</wp:posOffset>
            </wp:positionH>
            <wp:positionV relativeFrom="paragraph">
              <wp:posOffset>205740</wp:posOffset>
            </wp:positionV>
            <wp:extent cx="2486025" cy="205740"/>
            <wp:effectExtent l="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7">
                      <a:extLst/>
                    </a:blip>
                    <a:srcRect/>
                    <a:stretch>
                      <a:fillRect/>
                    </a:stretch>
                  </pic:blipFill>
                  <pic:spPr bwMode="auto">
                    <a:xfrm>
                      <a:off x="0" y="0"/>
                      <a:ext cx="248602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MATTERS REQUIRING STOCKHOLDER ACTION</w:t>
      </w:r>
    </w:p>
    <w:p w:rsidR="00A621E3" w:rsidRDefault="00EC630E">
      <w:pPr>
        <w:spacing w:line="20" w:lineRule="exact"/>
        <w:rPr>
          <w:sz w:val="20"/>
          <w:szCs w:val="20"/>
        </w:rPr>
      </w:pPr>
      <w:r>
        <w:rPr>
          <w:noProof/>
          <w:sz w:val="20"/>
          <w:szCs w:val="20"/>
        </w:rPr>
        <w:drawing>
          <wp:anchor distT="0" distB="0" distL="114300" distR="114300" simplePos="0" relativeHeight="251805696" behindDoc="1" locked="0" layoutInCell="0" allowOverlap="1">
            <wp:simplePos x="0" y="0"/>
            <wp:positionH relativeFrom="column">
              <wp:posOffset>73660</wp:posOffset>
            </wp:positionH>
            <wp:positionV relativeFrom="paragraph">
              <wp:posOffset>143510</wp:posOffset>
            </wp:positionV>
            <wp:extent cx="6995160" cy="857250"/>
            <wp:effectExtent l="0" t="0" r="0"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3">
                      <a:extLst/>
                    </a:blip>
                    <a:srcRect/>
                    <a:stretch>
                      <a:fillRect/>
                    </a:stretch>
                  </pic:blipFill>
                  <pic:spPr bwMode="auto">
                    <a:xfrm>
                      <a:off x="0" y="0"/>
                      <a:ext cx="6995160" cy="857250"/>
                    </a:xfrm>
                    <a:prstGeom prst="rect">
                      <a:avLst/>
                    </a:prstGeom>
                    <a:noFill/>
                  </pic:spPr>
                </pic:pic>
              </a:graphicData>
            </a:graphic>
          </wp:anchor>
        </w:drawing>
      </w:r>
    </w:p>
    <w:p w:rsidR="00A621E3" w:rsidRDefault="00A621E3">
      <w:pPr>
        <w:spacing w:line="250" w:lineRule="exact"/>
        <w:rPr>
          <w:sz w:val="20"/>
          <w:szCs w:val="20"/>
        </w:rPr>
      </w:pPr>
    </w:p>
    <w:p w:rsidR="00A621E3" w:rsidRDefault="00EC630E">
      <w:pPr>
        <w:ind w:left="2000"/>
        <w:rPr>
          <w:sz w:val="20"/>
          <w:szCs w:val="20"/>
        </w:rPr>
      </w:pPr>
      <w:r>
        <w:rPr>
          <w:rFonts w:ascii="Arial" w:eastAsia="Arial" w:hAnsi="Arial" w:cs="Arial"/>
          <w:b/>
          <w:bCs/>
          <w:color w:val="CF0A2C"/>
          <w:sz w:val="20"/>
          <w:szCs w:val="20"/>
        </w:rPr>
        <w:t>Ruby Lu</w:t>
      </w:r>
    </w:p>
    <w:p w:rsidR="00A621E3" w:rsidRDefault="00A621E3">
      <w:pPr>
        <w:spacing w:line="21" w:lineRule="exact"/>
        <w:rPr>
          <w:sz w:val="20"/>
          <w:szCs w:val="20"/>
        </w:rPr>
      </w:pPr>
    </w:p>
    <w:p w:rsidR="00A621E3" w:rsidRDefault="00EC630E">
      <w:pPr>
        <w:ind w:left="2000"/>
        <w:rPr>
          <w:sz w:val="20"/>
          <w:szCs w:val="20"/>
        </w:rPr>
      </w:pPr>
      <w:r>
        <w:rPr>
          <w:rFonts w:ascii="Arial" w:eastAsia="Arial" w:hAnsi="Arial" w:cs="Arial"/>
          <w:sz w:val="20"/>
          <w:szCs w:val="20"/>
        </w:rPr>
        <w:t>Age 52</w:t>
      </w:r>
    </w:p>
    <w:p w:rsidR="00A621E3" w:rsidRDefault="00EC630E">
      <w:pPr>
        <w:ind w:left="2000"/>
        <w:rPr>
          <w:sz w:val="20"/>
          <w:szCs w:val="20"/>
        </w:rPr>
      </w:pPr>
      <w:r>
        <w:rPr>
          <w:rFonts w:ascii="Arial" w:eastAsia="Arial" w:hAnsi="Arial" w:cs="Arial"/>
          <w:sz w:val="20"/>
          <w:szCs w:val="20"/>
        </w:rPr>
        <w:t>Director Since 2016</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1" w:lineRule="exact"/>
        <w:rPr>
          <w:sz w:val="20"/>
          <w:szCs w:val="20"/>
        </w:rPr>
      </w:pPr>
    </w:p>
    <w:p w:rsidR="00A621E3" w:rsidRDefault="00EC630E">
      <w:pPr>
        <w:spacing w:line="271" w:lineRule="auto"/>
        <w:ind w:left="120"/>
        <w:jc w:val="both"/>
        <w:rPr>
          <w:sz w:val="20"/>
          <w:szCs w:val="20"/>
        </w:rPr>
      </w:pPr>
      <w:r>
        <w:rPr>
          <w:rFonts w:ascii="Arial" w:eastAsia="Arial" w:hAnsi="Arial" w:cs="Arial"/>
          <w:i/>
          <w:iCs/>
          <w:sz w:val="18"/>
          <w:szCs w:val="18"/>
        </w:rPr>
        <w:t xml:space="preserve">Ruby Lu </w:t>
      </w:r>
      <w:r>
        <w:rPr>
          <w:rFonts w:ascii="Arial" w:eastAsia="Arial" w:hAnsi="Arial" w:cs="Arial"/>
          <w:sz w:val="18"/>
          <w:szCs w:val="18"/>
        </w:rPr>
        <w:t xml:space="preserve">is a venture capitalist </w:t>
      </w:r>
      <w:r>
        <w:rPr>
          <w:rFonts w:ascii="Arial" w:eastAsia="Arial" w:hAnsi="Arial" w:cs="Arial"/>
          <w:sz w:val="18"/>
          <w:szCs w:val="18"/>
        </w:rPr>
        <w:t>investing in technology start-ups in the U.S. and China. Ms. Lu founded Atypical Ventures, an early-stage</w:t>
      </w:r>
      <w:r>
        <w:rPr>
          <w:rFonts w:ascii="Arial" w:eastAsia="Arial" w:hAnsi="Arial" w:cs="Arial"/>
          <w:i/>
          <w:iCs/>
          <w:sz w:val="18"/>
          <w:szCs w:val="18"/>
        </w:rPr>
        <w:t xml:space="preserve"> </w:t>
      </w:r>
      <w:r>
        <w:rPr>
          <w:rFonts w:ascii="Arial" w:eastAsia="Arial" w:hAnsi="Arial" w:cs="Arial"/>
          <w:sz w:val="18"/>
          <w:szCs w:val="18"/>
        </w:rPr>
        <w:t>technology venture investment firm, in 2019. In 2006, she co-founded DCM China, a venture capital firm. During her more than 12-year tenure at DCM, sh</w:t>
      </w:r>
      <w:r>
        <w:rPr>
          <w:rFonts w:ascii="Arial" w:eastAsia="Arial" w:hAnsi="Arial" w:cs="Arial"/>
          <w:sz w:val="18"/>
          <w:szCs w:val="18"/>
        </w:rPr>
        <w:t>e invested in, and served as a board member for, many leading technology companies, including BitAuto Holdings Limited, Ecommerce China Dangdang Inc. and Pactera Technology International Ltd. Prior to joining DCM in 2003, Ms. Lu was a vice president in the</w:t>
      </w:r>
      <w:r>
        <w:rPr>
          <w:rFonts w:ascii="Arial" w:eastAsia="Arial" w:hAnsi="Arial" w:cs="Arial"/>
          <w:sz w:val="18"/>
          <w:szCs w:val="18"/>
        </w:rPr>
        <w:t xml:space="preserve"> investment banking group of technology, media and telecommunications at Goldman Sachs &amp; Co. in Menlo Park, California. She is currently an independent director on the boards of Unilever (NYSE: UL) and Uxin Limited (NASDAQ: UXIN). She also served as an ind</w:t>
      </w:r>
      <w:r>
        <w:rPr>
          <w:rFonts w:ascii="Arial" w:eastAsia="Arial" w:hAnsi="Arial" w:cs="Arial"/>
          <w:sz w:val="18"/>
          <w:szCs w:val="18"/>
        </w:rPr>
        <w:t>ependent director and on the audit committee of iKang Healthcare Group, Inc. and as an independent director and Chairman of the special committee for iDreamSky Technologies Limited before these two companies were taken private, as well as an independent di</w:t>
      </w:r>
      <w:r>
        <w:rPr>
          <w:rFonts w:ascii="Arial" w:eastAsia="Arial" w:hAnsi="Arial" w:cs="Arial"/>
          <w:sz w:val="18"/>
          <w:szCs w:val="18"/>
        </w:rPr>
        <w:t>rector of Blue City Holdings Limited (NASDAQ: BLCT). Ms. Lu obtained her master of arts from Johns Hopkins University in 1996. She brings to our Board public company board experience as well as extensive financial and global market experience.</w:t>
      </w:r>
    </w:p>
    <w:p w:rsidR="00A621E3" w:rsidRDefault="00EC630E">
      <w:pPr>
        <w:spacing w:line="20" w:lineRule="exact"/>
        <w:rPr>
          <w:sz w:val="20"/>
          <w:szCs w:val="20"/>
        </w:rPr>
      </w:pPr>
      <w:r>
        <w:rPr>
          <w:noProof/>
          <w:sz w:val="20"/>
          <w:szCs w:val="20"/>
        </w:rPr>
        <w:drawing>
          <wp:anchor distT="0" distB="0" distL="114300" distR="114300" simplePos="0" relativeHeight="251806720" behindDoc="1" locked="0" layoutInCell="0" allowOverlap="1">
            <wp:simplePos x="0" y="0"/>
            <wp:positionH relativeFrom="column">
              <wp:posOffset>73660</wp:posOffset>
            </wp:positionH>
            <wp:positionV relativeFrom="paragraph">
              <wp:posOffset>146685</wp:posOffset>
            </wp:positionV>
            <wp:extent cx="6995160" cy="857250"/>
            <wp:effectExtent l="0" t="0" r="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4">
                      <a:extLst/>
                    </a:blip>
                    <a:srcRect/>
                    <a:stretch>
                      <a:fillRect/>
                    </a:stretch>
                  </pic:blipFill>
                  <pic:spPr bwMode="auto">
                    <a:xfrm>
                      <a:off x="0" y="0"/>
                      <a:ext cx="6995160" cy="857250"/>
                    </a:xfrm>
                    <a:prstGeom prst="rect">
                      <a:avLst/>
                    </a:prstGeom>
                    <a:noFill/>
                  </pic:spPr>
                </pic:pic>
              </a:graphicData>
            </a:graphic>
          </wp:anchor>
        </w:drawing>
      </w:r>
    </w:p>
    <w:p w:rsidR="00A621E3" w:rsidRDefault="00A621E3">
      <w:pPr>
        <w:spacing w:line="256" w:lineRule="exact"/>
        <w:rPr>
          <w:sz w:val="20"/>
          <w:szCs w:val="20"/>
        </w:rPr>
      </w:pPr>
    </w:p>
    <w:p w:rsidR="00A621E3" w:rsidRDefault="00EC630E">
      <w:pPr>
        <w:ind w:left="2000"/>
        <w:rPr>
          <w:sz w:val="20"/>
          <w:szCs w:val="20"/>
        </w:rPr>
      </w:pPr>
      <w:r>
        <w:rPr>
          <w:rFonts w:ascii="Arial" w:eastAsia="Arial" w:hAnsi="Arial" w:cs="Arial"/>
          <w:b/>
          <w:bCs/>
          <w:color w:val="CF0A2C"/>
          <w:sz w:val="20"/>
          <w:szCs w:val="20"/>
        </w:rPr>
        <w:t>Zili Shao</w:t>
      </w:r>
    </w:p>
    <w:p w:rsidR="00A621E3" w:rsidRDefault="00A621E3">
      <w:pPr>
        <w:spacing w:line="21" w:lineRule="exact"/>
        <w:rPr>
          <w:sz w:val="20"/>
          <w:szCs w:val="20"/>
        </w:rPr>
      </w:pPr>
    </w:p>
    <w:p w:rsidR="00A621E3" w:rsidRDefault="00EC630E">
      <w:pPr>
        <w:ind w:left="2000"/>
        <w:rPr>
          <w:sz w:val="20"/>
          <w:szCs w:val="20"/>
        </w:rPr>
      </w:pPr>
      <w:r>
        <w:rPr>
          <w:rFonts w:ascii="Arial" w:eastAsia="Arial" w:hAnsi="Arial" w:cs="Arial"/>
          <w:sz w:val="20"/>
          <w:szCs w:val="20"/>
        </w:rPr>
        <w:t>Age 63</w:t>
      </w:r>
    </w:p>
    <w:p w:rsidR="00A621E3" w:rsidRDefault="00EC630E">
      <w:pPr>
        <w:ind w:left="2000"/>
        <w:rPr>
          <w:sz w:val="20"/>
          <w:szCs w:val="20"/>
        </w:rPr>
      </w:pPr>
      <w:r>
        <w:rPr>
          <w:rFonts w:ascii="Arial" w:eastAsia="Arial" w:hAnsi="Arial" w:cs="Arial"/>
          <w:sz w:val="20"/>
          <w:szCs w:val="20"/>
        </w:rPr>
        <w:t>Director Since 2016</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1" w:lineRule="exact"/>
        <w:rPr>
          <w:sz w:val="20"/>
          <w:szCs w:val="20"/>
        </w:rPr>
      </w:pPr>
    </w:p>
    <w:p w:rsidR="00A621E3" w:rsidRDefault="00EC630E">
      <w:pPr>
        <w:spacing w:line="272" w:lineRule="auto"/>
        <w:ind w:left="120" w:right="20"/>
        <w:jc w:val="both"/>
        <w:rPr>
          <w:sz w:val="20"/>
          <w:szCs w:val="20"/>
        </w:rPr>
      </w:pPr>
      <w:r>
        <w:rPr>
          <w:rFonts w:ascii="Arial" w:eastAsia="Arial" w:hAnsi="Arial" w:cs="Arial"/>
          <w:i/>
          <w:iCs/>
          <w:sz w:val="18"/>
          <w:szCs w:val="18"/>
        </w:rPr>
        <w:t xml:space="preserve">Zili Shao </w:t>
      </w:r>
      <w:r>
        <w:rPr>
          <w:rFonts w:ascii="Arial" w:eastAsia="Arial" w:hAnsi="Arial" w:cs="Arial"/>
          <w:sz w:val="18"/>
          <w:szCs w:val="18"/>
        </w:rPr>
        <w:t>is the founder and chairman of MountVue Capital Management Co. Ltd. Mr. Shao also serves as an independent non-executive</w:t>
      </w:r>
      <w:r>
        <w:rPr>
          <w:rFonts w:ascii="Arial" w:eastAsia="Arial" w:hAnsi="Arial" w:cs="Arial"/>
          <w:i/>
          <w:iCs/>
          <w:sz w:val="18"/>
          <w:szCs w:val="18"/>
        </w:rPr>
        <w:t xml:space="preserve"> </w:t>
      </w:r>
      <w:r>
        <w:rPr>
          <w:rFonts w:ascii="Arial" w:eastAsia="Arial" w:hAnsi="Arial" w:cs="Arial"/>
          <w:sz w:val="18"/>
          <w:szCs w:val="18"/>
        </w:rPr>
        <w:t xml:space="preserve">director of Bank of Montreal (China) Co., Ltd. and an independent member of the general and </w:t>
      </w:r>
      <w:r>
        <w:rPr>
          <w:rFonts w:ascii="Arial" w:eastAsia="Arial" w:hAnsi="Arial" w:cs="Arial"/>
          <w:sz w:val="18"/>
          <w:szCs w:val="18"/>
        </w:rPr>
        <w:t>supervisory board of EDP – Energias de Portugal, S.A., a multinational energy company listed on the Euronext Lisbon Stock Exchange (stock code: EDP).Mr. Shao also served as co-chairman and partner at King &amp; Wood Mallesons China from April 2015 to May 2017.</w:t>
      </w:r>
      <w:r>
        <w:rPr>
          <w:rFonts w:ascii="Arial" w:eastAsia="Arial" w:hAnsi="Arial" w:cs="Arial"/>
          <w:sz w:val="18"/>
          <w:szCs w:val="18"/>
        </w:rPr>
        <w:t xml:space="preserve"> From 2010 to 2015, Mr. Shao held various positions at JP Morgan Chase &amp; Co. (“</w:t>
      </w:r>
      <w:r>
        <w:rPr>
          <w:rFonts w:ascii="Arial" w:eastAsia="Arial" w:hAnsi="Arial" w:cs="Arial"/>
          <w:b/>
          <w:bCs/>
          <w:i/>
          <w:iCs/>
          <w:sz w:val="18"/>
          <w:szCs w:val="18"/>
        </w:rPr>
        <w:t>JP Morgan</w:t>
      </w:r>
      <w:r>
        <w:rPr>
          <w:rFonts w:ascii="Arial" w:eastAsia="Arial" w:hAnsi="Arial" w:cs="Arial"/>
          <w:sz w:val="18"/>
          <w:szCs w:val="18"/>
        </w:rPr>
        <w:t>”), including roles such as chairman and chief executive officer of JP Morgan China and vice chairman of JP Morgan Asia Pacific. Prior to JP Morgan, he was a partner at</w:t>
      </w:r>
      <w:r>
        <w:rPr>
          <w:rFonts w:ascii="Arial" w:eastAsia="Arial" w:hAnsi="Arial" w:cs="Arial"/>
          <w:sz w:val="18"/>
          <w:szCs w:val="18"/>
        </w:rPr>
        <w:t xml:space="preserve"> Linklaters LLP, a leading international law firm, for 12 years. He acted as managing partner of Linklaters of Greater China and subsequently was appointed managing partner of the Asia Pacific region. Mr. Shao obtained his master’s degree in law from the U</w:t>
      </w:r>
      <w:r>
        <w:rPr>
          <w:rFonts w:ascii="Arial" w:eastAsia="Arial" w:hAnsi="Arial" w:cs="Arial"/>
          <w:sz w:val="18"/>
          <w:szCs w:val="18"/>
        </w:rPr>
        <w:t>niversity of Melbourne in 1994. Mr. Shao brings to our Board extensive professional experience in Asia and public company board and corporate governance experience.</w:t>
      </w:r>
    </w:p>
    <w:p w:rsidR="00A621E3" w:rsidRDefault="00A621E3">
      <w:pPr>
        <w:spacing w:line="124" w:lineRule="exact"/>
        <w:rPr>
          <w:sz w:val="20"/>
          <w:szCs w:val="20"/>
        </w:rPr>
      </w:pPr>
    </w:p>
    <w:p w:rsidR="00A621E3" w:rsidRDefault="00EC630E">
      <w:pPr>
        <w:numPr>
          <w:ilvl w:val="0"/>
          <w:numId w:val="37"/>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80774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34" w:name="page34"/>
      <w:bookmarkEnd w:id="34"/>
      <w:r>
        <w:rPr>
          <w:rFonts w:ascii="Arial" w:eastAsia="Arial" w:hAnsi="Arial" w:cs="Arial"/>
          <w:b/>
          <w:bCs/>
          <w:noProof/>
          <w:color w:val="0000EE"/>
          <w:sz w:val="18"/>
          <w:szCs w:val="18"/>
          <w:u w:val="single"/>
        </w:rPr>
        <w:lastRenderedPageBreak/>
        <w:drawing>
          <wp:anchor distT="0" distB="0" distL="114300" distR="114300" simplePos="0" relativeHeight="251808768"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09792" behindDoc="1" locked="0" layoutInCell="0" allowOverlap="1">
            <wp:simplePos x="0" y="0"/>
            <wp:positionH relativeFrom="column">
              <wp:posOffset>4471035</wp:posOffset>
            </wp:positionH>
            <wp:positionV relativeFrom="paragraph">
              <wp:posOffset>205740</wp:posOffset>
            </wp:positionV>
            <wp:extent cx="2597150" cy="205740"/>
            <wp:effectExtent l="0" t="0" r="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0">
                      <a:extLst/>
                    </a:blip>
                    <a:srcRect/>
                    <a:stretch>
                      <a:fillRect/>
                    </a:stretch>
                  </pic:blipFill>
                  <pic:spPr bwMode="auto">
                    <a:xfrm>
                      <a:off x="0" y="0"/>
                      <a:ext cx="259715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7280"/>
        <w:rPr>
          <w:sz w:val="20"/>
          <w:szCs w:val="20"/>
        </w:rPr>
      </w:pPr>
      <w:r>
        <w:rPr>
          <w:rFonts w:ascii="Arial" w:eastAsia="Arial" w:hAnsi="Arial" w:cs="Arial"/>
          <w:b/>
          <w:bCs/>
          <w:color w:val="FFFFFF"/>
          <w:sz w:val="16"/>
          <w:szCs w:val="16"/>
        </w:rPr>
        <w:t xml:space="preserve">MATTERS </w:t>
      </w:r>
      <w:r>
        <w:rPr>
          <w:rFonts w:ascii="Arial" w:eastAsia="Arial" w:hAnsi="Arial" w:cs="Arial"/>
          <w:b/>
          <w:bCs/>
          <w:color w:val="FFFFFF"/>
          <w:sz w:val="16"/>
          <w:szCs w:val="16"/>
        </w:rPr>
        <w:t>REQUIRING STOCKHOLDER ACTION</w:t>
      </w:r>
    </w:p>
    <w:p w:rsidR="00A621E3" w:rsidRDefault="00EC630E">
      <w:pPr>
        <w:spacing w:line="20" w:lineRule="exact"/>
        <w:rPr>
          <w:sz w:val="20"/>
          <w:szCs w:val="20"/>
        </w:rPr>
      </w:pPr>
      <w:r>
        <w:rPr>
          <w:noProof/>
          <w:sz w:val="20"/>
          <w:szCs w:val="20"/>
        </w:rPr>
        <w:drawing>
          <wp:anchor distT="0" distB="0" distL="114300" distR="114300" simplePos="0" relativeHeight="251810816" behindDoc="1" locked="0" layoutInCell="0" allowOverlap="1">
            <wp:simplePos x="0" y="0"/>
            <wp:positionH relativeFrom="column">
              <wp:posOffset>73660</wp:posOffset>
            </wp:positionH>
            <wp:positionV relativeFrom="paragraph">
              <wp:posOffset>143510</wp:posOffset>
            </wp:positionV>
            <wp:extent cx="6995160" cy="857250"/>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5">
                      <a:extLst/>
                    </a:blip>
                    <a:srcRect/>
                    <a:stretch>
                      <a:fillRect/>
                    </a:stretch>
                  </pic:blipFill>
                  <pic:spPr bwMode="auto">
                    <a:xfrm>
                      <a:off x="0" y="0"/>
                      <a:ext cx="6995160" cy="857250"/>
                    </a:xfrm>
                    <a:prstGeom prst="rect">
                      <a:avLst/>
                    </a:prstGeom>
                    <a:noFill/>
                  </pic:spPr>
                </pic:pic>
              </a:graphicData>
            </a:graphic>
          </wp:anchor>
        </w:drawing>
      </w:r>
    </w:p>
    <w:p w:rsidR="00A621E3" w:rsidRDefault="00A621E3">
      <w:pPr>
        <w:spacing w:line="250" w:lineRule="exact"/>
        <w:rPr>
          <w:sz w:val="20"/>
          <w:szCs w:val="20"/>
        </w:rPr>
      </w:pPr>
    </w:p>
    <w:p w:rsidR="00A621E3" w:rsidRDefault="00EC630E">
      <w:pPr>
        <w:ind w:left="2000"/>
        <w:rPr>
          <w:sz w:val="20"/>
          <w:szCs w:val="20"/>
        </w:rPr>
      </w:pPr>
      <w:r>
        <w:rPr>
          <w:rFonts w:ascii="Arial" w:eastAsia="Arial" w:hAnsi="Arial" w:cs="Arial"/>
          <w:b/>
          <w:bCs/>
          <w:color w:val="CF0A2C"/>
          <w:sz w:val="20"/>
          <w:szCs w:val="20"/>
        </w:rPr>
        <w:t>William Wang</w:t>
      </w:r>
    </w:p>
    <w:p w:rsidR="00A621E3" w:rsidRDefault="00A621E3">
      <w:pPr>
        <w:spacing w:line="21" w:lineRule="exact"/>
        <w:rPr>
          <w:sz w:val="20"/>
          <w:szCs w:val="20"/>
        </w:rPr>
      </w:pPr>
    </w:p>
    <w:p w:rsidR="00A621E3" w:rsidRDefault="00EC630E">
      <w:pPr>
        <w:ind w:left="2000"/>
        <w:rPr>
          <w:sz w:val="20"/>
          <w:szCs w:val="20"/>
        </w:rPr>
      </w:pPr>
      <w:r>
        <w:rPr>
          <w:rFonts w:ascii="Arial" w:eastAsia="Arial" w:hAnsi="Arial" w:cs="Arial"/>
          <w:sz w:val="20"/>
          <w:szCs w:val="20"/>
        </w:rPr>
        <w:t>Age 48</w:t>
      </w:r>
    </w:p>
    <w:p w:rsidR="00A621E3" w:rsidRDefault="00EC630E">
      <w:pPr>
        <w:ind w:left="2000"/>
        <w:rPr>
          <w:sz w:val="20"/>
          <w:szCs w:val="20"/>
        </w:rPr>
      </w:pPr>
      <w:r>
        <w:rPr>
          <w:rFonts w:ascii="Arial" w:eastAsia="Arial" w:hAnsi="Arial" w:cs="Arial"/>
          <w:sz w:val="20"/>
          <w:szCs w:val="20"/>
        </w:rPr>
        <w:t>Director Since 2017</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1" w:lineRule="exact"/>
        <w:rPr>
          <w:sz w:val="20"/>
          <w:szCs w:val="20"/>
        </w:rPr>
      </w:pPr>
    </w:p>
    <w:p w:rsidR="00A621E3" w:rsidRDefault="00EC630E">
      <w:pPr>
        <w:spacing w:line="242" w:lineRule="auto"/>
        <w:ind w:left="120" w:right="20"/>
        <w:jc w:val="both"/>
        <w:rPr>
          <w:sz w:val="20"/>
          <w:szCs w:val="20"/>
        </w:rPr>
      </w:pPr>
      <w:r>
        <w:rPr>
          <w:rFonts w:ascii="Arial" w:eastAsia="Arial" w:hAnsi="Arial" w:cs="Arial"/>
          <w:i/>
          <w:iCs/>
          <w:sz w:val="20"/>
          <w:szCs w:val="20"/>
        </w:rPr>
        <w:t xml:space="preserve">William Wang </w:t>
      </w:r>
      <w:r>
        <w:rPr>
          <w:rFonts w:ascii="Arial" w:eastAsia="Arial" w:hAnsi="Arial" w:cs="Arial"/>
          <w:sz w:val="20"/>
          <w:szCs w:val="20"/>
        </w:rPr>
        <w:t>is one of the founding partners of Primavera. Prior to Primavera, Mr. Wang served as a managing director of Goldman</w:t>
      </w:r>
      <w:r>
        <w:rPr>
          <w:rFonts w:ascii="Arial" w:eastAsia="Arial" w:hAnsi="Arial" w:cs="Arial"/>
          <w:i/>
          <w:iCs/>
          <w:sz w:val="20"/>
          <w:szCs w:val="20"/>
        </w:rPr>
        <w:t xml:space="preserve"> </w:t>
      </w:r>
      <w:r>
        <w:rPr>
          <w:rFonts w:ascii="Arial" w:eastAsia="Arial" w:hAnsi="Arial" w:cs="Arial"/>
          <w:sz w:val="20"/>
          <w:szCs w:val="20"/>
        </w:rPr>
        <w:t xml:space="preserve">Sachs Merchant Banking/Principal Investment Area, </w:t>
      </w:r>
      <w:r>
        <w:rPr>
          <w:rFonts w:ascii="Arial" w:eastAsia="Arial" w:hAnsi="Arial" w:cs="Arial"/>
          <w:sz w:val="20"/>
          <w:szCs w:val="20"/>
        </w:rPr>
        <w:t>where he led significant successful investments in China for the group. Prior to that, Mr. Wang worked in the investment banking division and private equity group of China International Capital Corporation Limited. Mr. Wang currently serves as a director o</w:t>
      </w:r>
      <w:r>
        <w:rPr>
          <w:rFonts w:ascii="Arial" w:eastAsia="Arial" w:hAnsi="Arial" w:cs="Arial"/>
          <w:sz w:val="20"/>
          <w:szCs w:val="20"/>
        </w:rPr>
        <w:t>n the board of Geely Automobile Holdings Limited, a company listed on the Hong Kong Stock Exchange (stock code: 0175), and Sunlands Technology Group, a company listed on the New York Stock Exchange (NYSE: STG), in addition to directorships at Primavera’s p</w:t>
      </w:r>
      <w:r>
        <w:rPr>
          <w:rFonts w:ascii="Arial" w:eastAsia="Arial" w:hAnsi="Arial" w:cs="Arial"/>
          <w:sz w:val="20"/>
          <w:szCs w:val="20"/>
        </w:rPr>
        <w:t>ortfolio companies. Mr. Wang obtained a master of management degree in management science and engineering from Shanghai Jiao Tong University in 2000. He brings to our Board deep knowledge and investment insights of the Chinese market.</w:t>
      </w:r>
    </w:p>
    <w:p w:rsidR="00A621E3" w:rsidRDefault="00EC630E">
      <w:pPr>
        <w:spacing w:line="20" w:lineRule="exact"/>
        <w:rPr>
          <w:sz w:val="20"/>
          <w:szCs w:val="20"/>
        </w:rPr>
      </w:pPr>
      <w:r>
        <w:rPr>
          <w:noProof/>
          <w:sz w:val="20"/>
          <w:szCs w:val="20"/>
        </w:rPr>
        <w:drawing>
          <wp:anchor distT="0" distB="0" distL="114300" distR="114300" simplePos="0" relativeHeight="251811840" behindDoc="1" locked="0" layoutInCell="0" allowOverlap="1">
            <wp:simplePos x="0" y="0"/>
            <wp:positionH relativeFrom="column">
              <wp:posOffset>73660</wp:posOffset>
            </wp:positionH>
            <wp:positionV relativeFrom="paragraph">
              <wp:posOffset>161290</wp:posOffset>
            </wp:positionV>
            <wp:extent cx="6995160" cy="857250"/>
            <wp:effectExtent l="0" t="0" r="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36">
                      <a:extLst/>
                    </a:blip>
                    <a:srcRect/>
                    <a:stretch>
                      <a:fillRect/>
                    </a:stretch>
                  </pic:blipFill>
                  <pic:spPr bwMode="auto">
                    <a:xfrm>
                      <a:off x="0" y="0"/>
                      <a:ext cx="6995160" cy="857250"/>
                    </a:xfrm>
                    <a:prstGeom prst="rect">
                      <a:avLst/>
                    </a:prstGeom>
                    <a:noFill/>
                  </pic:spPr>
                </pic:pic>
              </a:graphicData>
            </a:graphic>
          </wp:anchor>
        </w:drawing>
      </w:r>
    </w:p>
    <w:p w:rsidR="00A621E3" w:rsidRDefault="00A621E3">
      <w:pPr>
        <w:spacing w:line="279" w:lineRule="exact"/>
        <w:rPr>
          <w:sz w:val="20"/>
          <w:szCs w:val="20"/>
        </w:rPr>
      </w:pPr>
    </w:p>
    <w:p w:rsidR="00A621E3" w:rsidRDefault="00EC630E">
      <w:pPr>
        <w:ind w:left="2000"/>
        <w:rPr>
          <w:sz w:val="20"/>
          <w:szCs w:val="20"/>
        </w:rPr>
      </w:pPr>
      <w:r>
        <w:rPr>
          <w:rFonts w:ascii="Arial" w:eastAsia="Arial" w:hAnsi="Arial" w:cs="Arial"/>
          <w:b/>
          <w:bCs/>
          <w:color w:val="CF0A2C"/>
          <w:sz w:val="20"/>
          <w:szCs w:val="20"/>
        </w:rPr>
        <w:t>Min (Jenny) Zhang</w:t>
      </w:r>
    </w:p>
    <w:p w:rsidR="00A621E3" w:rsidRDefault="00A621E3">
      <w:pPr>
        <w:spacing w:line="21" w:lineRule="exact"/>
        <w:rPr>
          <w:sz w:val="20"/>
          <w:szCs w:val="20"/>
        </w:rPr>
      </w:pPr>
    </w:p>
    <w:p w:rsidR="00A621E3" w:rsidRDefault="00EC630E">
      <w:pPr>
        <w:ind w:left="2000"/>
        <w:rPr>
          <w:sz w:val="20"/>
          <w:szCs w:val="20"/>
        </w:rPr>
      </w:pPr>
      <w:r>
        <w:rPr>
          <w:rFonts w:ascii="Arial" w:eastAsia="Arial" w:hAnsi="Arial" w:cs="Arial"/>
          <w:sz w:val="20"/>
          <w:szCs w:val="20"/>
        </w:rPr>
        <w:t>Age 49</w:t>
      </w:r>
    </w:p>
    <w:p w:rsidR="00A621E3" w:rsidRDefault="00EC630E">
      <w:pPr>
        <w:ind w:left="2000"/>
        <w:rPr>
          <w:sz w:val="20"/>
          <w:szCs w:val="20"/>
        </w:rPr>
      </w:pPr>
      <w:r>
        <w:rPr>
          <w:rFonts w:ascii="Arial" w:eastAsia="Arial" w:hAnsi="Arial" w:cs="Arial"/>
          <w:sz w:val="20"/>
          <w:szCs w:val="20"/>
        </w:rPr>
        <w:t>Director Since 2021</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1" w:lineRule="exact"/>
        <w:rPr>
          <w:sz w:val="20"/>
          <w:szCs w:val="20"/>
        </w:rPr>
      </w:pPr>
    </w:p>
    <w:p w:rsidR="00A621E3" w:rsidRDefault="00EC630E">
      <w:pPr>
        <w:spacing w:line="255" w:lineRule="auto"/>
        <w:ind w:left="120"/>
        <w:jc w:val="both"/>
        <w:rPr>
          <w:sz w:val="20"/>
          <w:szCs w:val="20"/>
        </w:rPr>
      </w:pPr>
      <w:r>
        <w:rPr>
          <w:rFonts w:ascii="Arial" w:eastAsia="Arial" w:hAnsi="Arial" w:cs="Arial"/>
          <w:i/>
          <w:iCs/>
          <w:sz w:val="19"/>
          <w:szCs w:val="19"/>
        </w:rPr>
        <w:t xml:space="preserve">Min (Jenny) </w:t>
      </w:r>
      <w:r>
        <w:rPr>
          <w:rFonts w:ascii="Arial" w:eastAsia="Arial" w:hAnsi="Arial" w:cs="Arial"/>
          <w:sz w:val="19"/>
          <w:szCs w:val="19"/>
        </w:rPr>
        <w:t>Zhang held various leadership positions in Huazhu Group Limited, a multi-brand hotel group listed on both the Nasdaq Stock</w:t>
      </w:r>
      <w:r>
        <w:rPr>
          <w:rFonts w:ascii="Arial" w:eastAsia="Arial" w:hAnsi="Arial" w:cs="Arial"/>
          <w:i/>
          <w:iCs/>
          <w:sz w:val="19"/>
          <w:szCs w:val="19"/>
        </w:rPr>
        <w:t xml:space="preserve"> </w:t>
      </w:r>
      <w:r>
        <w:rPr>
          <w:rFonts w:ascii="Arial" w:eastAsia="Arial" w:hAnsi="Arial" w:cs="Arial"/>
          <w:sz w:val="19"/>
          <w:szCs w:val="19"/>
        </w:rPr>
        <w:t xml:space="preserve">Market (NASDAQ: HTHT) and the Hong Kong Stock Exchange (stock code: 1179) from September </w:t>
      </w:r>
      <w:r>
        <w:rPr>
          <w:rFonts w:ascii="Arial" w:eastAsia="Arial" w:hAnsi="Arial" w:cs="Arial"/>
          <w:sz w:val="19"/>
          <w:szCs w:val="19"/>
        </w:rPr>
        <w:t>2007 to August 2021, including as vice-chairlady from July 2020 to August 2021, executive vice-chairlady from November 2019 to July 2020, chief executive officer from May 2015 to November 2019, president from January 2015 to May 2015, chief financial offic</w:t>
      </w:r>
      <w:r>
        <w:rPr>
          <w:rFonts w:ascii="Arial" w:eastAsia="Arial" w:hAnsi="Arial" w:cs="Arial"/>
          <w:sz w:val="19"/>
          <w:szCs w:val="19"/>
        </w:rPr>
        <w:t>er from March 2008 to May 2015, chief strategic officer from November 2013 to January 2015 and senior vice president of finance from September 2007 to February 2008. Ms. Zhang served as an independent director of LAIX Inc., an artificial intelligence compa</w:t>
      </w:r>
      <w:r>
        <w:rPr>
          <w:rFonts w:ascii="Arial" w:eastAsia="Arial" w:hAnsi="Arial" w:cs="Arial"/>
          <w:sz w:val="19"/>
          <w:szCs w:val="19"/>
        </w:rPr>
        <w:t>ny listed on the New York Stock Exchange (NYSE: LAIX), from May 2020 to October 2022. She served as an independent non-executive director of Genscript Biotech Corporation, a company listed on the Hong Kong Stock Exchange (stock code: 1548), from August 201</w:t>
      </w:r>
      <w:r>
        <w:rPr>
          <w:rFonts w:ascii="Arial" w:eastAsia="Arial" w:hAnsi="Arial" w:cs="Arial"/>
          <w:sz w:val="19"/>
          <w:szCs w:val="19"/>
        </w:rPr>
        <w:t>5 to November 2018, and an independent director of OneSmart Education Group Limited, a company listed on the New York Stock Exchange (NYSE: ONE), from March 2018 to February 2020. Ms. Zhang received a master of business administration degree from Harvard B</w:t>
      </w:r>
      <w:r>
        <w:rPr>
          <w:rFonts w:ascii="Arial" w:eastAsia="Arial" w:hAnsi="Arial" w:cs="Arial"/>
          <w:sz w:val="19"/>
          <w:szCs w:val="19"/>
        </w:rPr>
        <w:t>usiness School in 2003. Ms. Zhang brings to our Board leadership experience in a consumer-focused industry in China, extensive financial expertise and public company board experience.</w:t>
      </w:r>
    </w:p>
    <w:p w:rsidR="00A621E3" w:rsidRDefault="00A621E3">
      <w:pPr>
        <w:spacing w:line="134"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29</w:t>
      </w:r>
    </w:p>
    <w:p w:rsidR="00A621E3" w:rsidRDefault="00EC630E">
      <w:pPr>
        <w:spacing w:line="20" w:lineRule="exact"/>
        <w:rPr>
          <w:sz w:val="20"/>
          <w:szCs w:val="20"/>
        </w:rPr>
      </w:pPr>
      <w:r>
        <w:rPr>
          <w:noProof/>
          <w:sz w:val="20"/>
          <w:szCs w:val="20"/>
        </w:rPr>
        <w:drawing>
          <wp:anchor distT="0" distB="0" distL="114300" distR="114300" simplePos="0" relativeHeight="251812864"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35" w:name="page35"/>
      <w:bookmarkEnd w:id="35"/>
      <w:r>
        <w:rPr>
          <w:rFonts w:ascii="Arial" w:eastAsia="Arial" w:hAnsi="Arial" w:cs="Arial"/>
          <w:b/>
          <w:bCs/>
          <w:noProof/>
          <w:color w:val="0000EE"/>
          <w:sz w:val="18"/>
          <w:szCs w:val="18"/>
          <w:u w:val="single"/>
        </w:rPr>
        <w:lastRenderedPageBreak/>
        <w:drawing>
          <wp:anchor distT="0" distB="0" distL="114300" distR="114300" simplePos="0" relativeHeight="251813888"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 xml:space="preserve">Table of </w:t>
      </w:r>
      <w:r>
        <w:rPr>
          <w:rFonts w:ascii="Arial" w:eastAsia="Arial" w:hAnsi="Arial" w:cs="Arial"/>
          <w:b/>
          <w:bCs/>
          <w:color w:val="0000EE"/>
          <w:sz w:val="18"/>
          <w:szCs w:val="18"/>
          <w:u w:val="single"/>
        </w:rPr>
        <w:t>Contents</w:t>
      </w:r>
    </w:p>
    <w:p w:rsidR="00A621E3" w:rsidRDefault="00EC630E">
      <w:pPr>
        <w:spacing w:line="20" w:lineRule="exact"/>
        <w:rPr>
          <w:sz w:val="20"/>
          <w:szCs w:val="20"/>
        </w:rPr>
      </w:pPr>
      <w:r>
        <w:rPr>
          <w:noProof/>
          <w:sz w:val="20"/>
          <w:szCs w:val="20"/>
        </w:rPr>
        <w:drawing>
          <wp:anchor distT="0" distB="0" distL="114300" distR="114300" simplePos="0" relativeHeight="251814912" behindDoc="1" locked="0" layoutInCell="0" allowOverlap="1">
            <wp:simplePos x="0" y="0"/>
            <wp:positionH relativeFrom="column">
              <wp:posOffset>73660</wp:posOffset>
            </wp:positionH>
            <wp:positionV relativeFrom="paragraph">
              <wp:posOffset>205740</wp:posOffset>
            </wp:positionV>
            <wp:extent cx="2486025" cy="205740"/>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7">
                      <a:extLst/>
                    </a:blip>
                    <a:srcRect/>
                    <a:stretch>
                      <a:fillRect/>
                    </a:stretch>
                  </pic:blipFill>
                  <pic:spPr bwMode="auto">
                    <a:xfrm>
                      <a:off x="0" y="0"/>
                      <a:ext cx="248602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MATTERS REQUIRING STOCKHOLDER ACTION</w:t>
      </w:r>
    </w:p>
    <w:p w:rsidR="00A621E3" w:rsidRDefault="00EC630E">
      <w:pPr>
        <w:spacing w:line="20" w:lineRule="exact"/>
        <w:rPr>
          <w:sz w:val="20"/>
          <w:szCs w:val="20"/>
        </w:rPr>
      </w:pPr>
      <w:r>
        <w:rPr>
          <w:noProof/>
          <w:sz w:val="20"/>
          <w:szCs w:val="20"/>
        </w:rPr>
        <w:drawing>
          <wp:anchor distT="0" distB="0" distL="114300" distR="114300" simplePos="0" relativeHeight="251815936" behindDoc="1" locked="0" layoutInCell="0" allowOverlap="1">
            <wp:simplePos x="0" y="0"/>
            <wp:positionH relativeFrom="column">
              <wp:posOffset>73660</wp:posOffset>
            </wp:positionH>
            <wp:positionV relativeFrom="paragraph">
              <wp:posOffset>143510</wp:posOffset>
            </wp:positionV>
            <wp:extent cx="6995160" cy="857250"/>
            <wp:effectExtent l="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7">
                      <a:extLst/>
                    </a:blip>
                    <a:srcRect/>
                    <a:stretch>
                      <a:fillRect/>
                    </a:stretch>
                  </pic:blipFill>
                  <pic:spPr bwMode="auto">
                    <a:xfrm>
                      <a:off x="0" y="0"/>
                      <a:ext cx="6995160" cy="857250"/>
                    </a:xfrm>
                    <a:prstGeom prst="rect">
                      <a:avLst/>
                    </a:prstGeom>
                    <a:noFill/>
                  </pic:spPr>
                </pic:pic>
              </a:graphicData>
            </a:graphic>
          </wp:anchor>
        </w:drawing>
      </w:r>
    </w:p>
    <w:p w:rsidR="00A621E3" w:rsidRDefault="00A621E3">
      <w:pPr>
        <w:spacing w:line="250" w:lineRule="exact"/>
        <w:rPr>
          <w:sz w:val="20"/>
          <w:szCs w:val="20"/>
        </w:rPr>
      </w:pPr>
    </w:p>
    <w:p w:rsidR="00A621E3" w:rsidRDefault="00EC630E">
      <w:pPr>
        <w:ind w:left="2000"/>
        <w:rPr>
          <w:sz w:val="20"/>
          <w:szCs w:val="20"/>
        </w:rPr>
      </w:pPr>
      <w:r>
        <w:rPr>
          <w:rFonts w:ascii="Arial" w:eastAsia="Arial" w:hAnsi="Arial" w:cs="Arial"/>
          <w:b/>
          <w:bCs/>
          <w:color w:val="CF0A2C"/>
          <w:sz w:val="20"/>
          <w:szCs w:val="20"/>
        </w:rPr>
        <w:t>Christina Xiaojing Zhu</w:t>
      </w:r>
    </w:p>
    <w:p w:rsidR="00A621E3" w:rsidRDefault="00A621E3">
      <w:pPr>
        <w:spacing w:line="22" w:lineRule="exact"/>
        <w:rPr>
          <w:sz w:val="20"/>
          <w:szCs w:val="20"/>
        </w:rPr>
      </w:pPr>
    </w:p>
    <w:p w:rsidR="00A621E3" w:rsidRDefault="00EC630E">
      <w:pPr>
        <w:ind w:left="2000"/>
        <w:rPr>
          <w:sz w:val="20"/>
          <w:szCs w:val="20"/>
        </w:rPr>
      </w:pPr>
      <w:r>
        <w:rPr>
          <w:rFonts w:ascii="Arial" w:eastAsia="Arial" w:hAnsi="Arial" w:cs="Arial"/>
          <w:sz w:val="20"/>
          <w:szCs w:val="20"/>
        </w:rPr>
        <w:t>Age 50</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50" w:lineRule="exact"/>
        <w:rPr>
          <w:sz w:val="20"/>
          <w:szCs w:val="20"/>
        </w:rPr>
      </w:pPr>
    </w:p>
    <w:p w:rsidR="00A621E3" w:rsidRDefault="00EC630E">
      <w:pPr>
        <w:spacing w:line="270" w:lineRule="auto"/>
        <w:ind w:left="120"/>
        <w:jc w:val="both"/>
        <w:rPr>
          <w:sz w:val="20"/>
          <w:szCs w:val="20"/>
        </w:rPr>
      </w:pPr>
      <w:r>
        <w:rPr>
          <w:rFonts w:ascii="Arial" w:eastAsia="Arial" w:hAnsi="Arial" w:cs="Arial"/>
          <w:i/>
          <w:iCs/>
          <w:sz w:val="18"/>
          <w:szCs w:val="18"/>
        </w:rPr>
        <w:t xml:space="preserve">Christina Xiaojing Zhu </w:t>
      </w:r>
      <w:r>
        <w:rPr>
          <w:rFonts w:ascii="Arial" w:eastAsia="Arial" w:hAnsi="Arial" w:cs="Arial"/>
          <w:sz w:val="18"/>
          <w:szCs w:val="18"/>
        </w:rPr>
        <w:t>is the president and chief executive officer of Walmart China. Prior to joining Walmart Group in May 2020,</w:t>
      </w:r>
      <w:r>
        <w:rPr>
          <w:rFonts w:ascii="Arial" w:eastAsia="Arial" w:hAnsi="Arial" w:cs="Arial"/>
          <w:i/>
          <w:iCs/>
          <w:sz w:val="18"/>
          <w:szCs w:val="18"/>
        </w:rPr>
        <w:t xml:space="preserve"> </w:t>
      </w:r>
      <w:r>
        <w:rPr>
          <w:rFonts w:ascii="Arial" w:eastAsia="Arial" w:hAnsi="Arial" w:cs="Arial"/>
          <w:sz w:val="18"/>
          <w:szCs w:val="18"/>
        </w:rPr>
        <w:t xml:space="preserve">Ms. Zhu served as the president of </w:t>
      </w:r>
      <w:r>
        <w:rPr>
          <w:rFonts w:ascii="Arial" w:eastAsia="Arial" w:hAnsi="Arial" w:cs="Arial"/>
          <w:sz w:val="18"/>
          <w:szCs w:val="18"/>
        </w:rPr>
        <w:t>Fonterra Greater China, a global dairy exporter and milk processor, where she led Fonterra group’s businesses in mainland China, Hong Kong and Taiwan region, from August 2016 to December 2019, and served as a managing director and vice president from Septe</w:t>
      </w:r>
      <w:r>
        <w:rPr>
          <w:rFonts w:ascii="Arial" w:eastAsia="Arial" w:hAnsi="Arial" w:cs="Arial"/>
          <w:sz w:val="18"/>
          <w:szCs w:val="18"/>
        </w:rPr>
        <w:t>mber 2011 to July 2016. Prior to joining Fonterra, Ms. Zhu served as a vice president of Honeywell International Inc., a NYSE-listed technology company, where she was responsible for strategy and development, from January 2005 to May 2008, and served as di</w:t>
      </w:r>
      <w:r>
        <w:rPr>
          <w:rFonts w:ascii="Arial" w:eastAsia="Arial" w:hAnsi="Arial" w:cs="Arial"/>
          <w:sz w:val="18"/>
          <w:szCs w:val="18"/>
        </w:rPr>
        <w:t>rector for strategy and business development from February 2003 to January 2005. Prior to that, Ms. Zhu worked as an engagement manager of McKinsey &amp; Company with a focus on serving financial institutions from 1999 to 2003. Ms. Zhu currently serves as a di</w:t>
      </w:r>
      <w:r>
        <w:rPr>
          <w:rFonts w:ascii="Arial" w:eastAsia="Arial" w:hAnsi="Arial" w:cs="Arial"/>
          <w:sz w:val="18"/>
          <w:szCs w:val="18"/>
        </w:rPr>
        <w:t>rector of Dada Nexus Limited (NASDAQ: DADA), a platform of local on-demand retail and delivery in China listed on the Nasdaq Global Select Market. Ms. Zhu also serves as a non-voting observer of JD.com, Inc., an e-commerce company that is listed on the Nas</w:t>
      </w:r>
      <w:r>
        <w:rPr>
          <w:rFonts w:ascii="Arial" w:eastAsia="Arial" w:hAnsi="Arial" w:cs="Arial"/>
          <w:sz w:val="18"/>
          <w:szCs w:val="18"/>
        </w:rPr>
        <w:t>daq Stock Market (NASDAQ: JD) and the Hong Kong Stock Exchange (stock code: 9618). Ms. Zhu received a bachelor’s degree in western studies from Beijing Foreign Studies University and an MBA from Columbia Business School. Ms. Zhu will bring to our Board lea</w:t>
      </w:r>
      <w:r>
        <w:rPr>
          <w:rFonts w:ascii="Arial" w:eastAsia="Arial" w:hAnsi="Arial" w:cs="Arial"/>
          <w:sz w:val="18"/>
          <w:szCs w:val="18"/>
        </w:rPr>
        <w:t>dership, operational and digital experience in a customer-centric industry in China.</w:t>
      </w:r>
    </w:p>
    <w:p w:rsidR="00A621E3" w:rsidRDefault="00A621E3">
      <w:pPr>
        <w:spacing w:line="129" w:lineRule="exact"/>
        <w:rPr>
          <w:sz w:val="20"/>
          <w:szCs w:val="20"/>
        </w:rPr>
      </w:pPr>
    </w:p>
    <w:p w:rsidR="00A621E3" w:rsidRDefault="00EC630E">
      <w:pPr>
        <w:numPr>
          <w:ilvl w:val="0"/>
          <w:numId w:val="38"/>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81696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36" w:name="page36"/>
      <w:bookmarkEnd w:id="36"/>
      <w:r>
        <w:rPr>
          <w:rFonts w:ascii="Arial" w:eastAsia="Arial" w:hAnsi="Arial" w:cs="Arial"/>
          <w:b/>
          <w:bCs/>
          <w:noProof/>
          <w:color w:val="0000EE"/>
          <w:sz w:val="18"/>
          <w:szCs w:val="18"/>
          <w:u w:val="single"/>
        </w:rPr>
        <w:lastRenderedPageBreak/>
        <w:drawing>
          <wp:anchor distT="0" distB="0" distL="114300" distR="114300" simplePos="0" relativeHeight="25181798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19008" behindDoc="1" locked="0" layoutInCell="0" allowOverlap="1">
            <wp:simplePos x="0" y="0"/>
            <wp:positionH relativeFrom="column">
              <wp:posOffset>4471035</wp:posOffset>
            </wp:positionH>
            <wp:positionV relativeFrom="paragraph">
              <wp:posOffset>205740</wp:posOffset>
            </wp:positionV>
            <wp:extent cx="2597150" cy="205740"/>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30">
                      <a:extLst/>
                    </a:blip>
                    <a:srcRect/>
                    <a:stretch>
                      <a:fillRect/>
                    </a:stretch>
                  </pic:blipFill>
                  <pic:spPr bwMode="auto">
                    <a:xfrm>
                      <a:off x="0" y="0"/>
                      <a:ext cx="259715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7280"/>
        <w:rPr>
          <w:sz w:val="20"/>
          <w:szCs w:val="20"/>
        </w:rPr>
      </w:pPr>
      <w:r>
        <w:rPr>
          <w:rFonts w:ascii="Arial" w:eastAsia="Arial" w:hAnsi="Arial" w:cs="Arial"/>
          <w:b/>
          <w:bCs/>
          <w:color w:val="FFFFFF"/>
          <w:sz w:val="16"/>
          <w:szCs w:val="16"/>
        </w:rPr>
        <w:t>MATTERS REQUIRING STOCKHOLDER ACTION</w:t>
      </w:r>
    </w:p>
    <w:p w:rsidR="00A621E3" w:rsidRDefault="00A621E3">
      <w:pPr>
        <w:spacing w:line="189" w:lineRule="exact"/>
        <w:rPr>
          <w:sz w:val="20"/>
          <w:szCs w:val="20"/>
        </w:rPr>
      </w:pPr>
    </w:p>
    <w:p w:rsidR="00A621E3" w:rsidRDefault="00EC630E">
      <w:pPr>
        <w:tabs>
          <w:tab w:val="left" w:pos="1600"/>
        </w:tabs>
        <w:ind w:left="120"/>
        <w:rPr>
          <w:sz w:val="20"/>
          <w:szCs w:val="20"/>
        </w:rPr>
      </w:pPr>
      <w:r>
        <w:rPr>
          <w:rFonts w:ascii="Arial" w:eastAsia="Arial" w:hAnsi="Arial" w:cs="Arial"/>
          <w:b/>
          <w:bCs/>
          <w:color w:val="CF0A2C"/>
          <w:sz w:val="32"/>
          <w:szCs w:val="32"/>
        </w:rPr>
        <w:t>ITEM 2.</w:t>
      </w:r>
      <w:r>
        <w:rPr>
          <w:rFonts w:ascii="Arial" w:eastAsia="Arial" w:hAnsi="Arial" w:cs="Arial"/>
          <w:b/>
          <w:bCs/>
          <w:color w:val="CF0A2C"/>
          <w:sz w:val="32"/>
          <w:szCs w:val="32"/>
        </w:rPr>
        <w:tab/>
        <w:t>Approval and Ratification of Independent Audito</w:t>
      </w:r>
      <w:r>
        <w:rPr>
          <w:rFonts w:ascii="Arial" w:eastAsia="Arial" w:hAnsi="Arial" w:cs="Arial"/>
          <w:b/>
          <w:bCs/>
          <w:color w:val="CF0A2C"/>
          <w:sz w:val="32"/>
          <w:szCs w:val="32"/>
        </w:rPr>
        <w:t>rs</w:t>
      </w:r>
    </w:p>
    <w:p w:rsidR="00A621E3" w:rsidRDefault="00EC630E">
      <w:pPr>
        <w:spacing w:line="20" w:lineRule="exact"/>
        <w:rPr>
          <w:sz w:val="20"/>
          <w:szCs w:val="20"/>
        </w:rPr>
      </w:pPr>
      <w:r>
        <w:rPr>
          <w:noProof/>
          <w:sz w:val="20"/>
          <w:szCs w:val="20"/>
        </w:rPr>
        <w:drawing>
          <wp:anchor distT="0" distB="0" distL="114300" distR="114300" simplePos="0" relativeHeight="251820032"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4" w:lineRule="exact"/>
        <w:rPr>
          <w:sz w:val="20"/>
          <w:szCs w:val="20"/>
        </w:rPr>
      </w:pPr>
    </w:p>
    <w:p w:rsidR="00A621E3" w:rsidRDefault="00EC630E">
      <w:pPr>
        <w:ind w:left="120"/>
        <w:rPr>
          <w:sz w:val="20"/>
          <w:szCs w:val="20"/>
        </w:rPr>
      </w:pPr>
      <w:r>
        <w:rPr>
          <w:rFonts w:ascii="Arial" w:eastAsia="Arial" w:hAnsi="Arial" w:cs="Arial"/>
          <w:b/>
          <w:bCs/>
          <w:color w:val="CF0A2C"/>
          <w:sz w:val="20"/>
          <w:szCs w:val="20"/>
        </w:rPr>
        <w:t>What am I voting on?</w:t>
      </w:r>
    </w:p>
    <w:p w:rsidR="00A621E3" w:rsidRDefault="00A621E3">
      <w:pPr>
        <w:spacing w:line="262" w:lineRule="exact"/>
        <w:rPr>
          <w:sz w:val="20"/>
          <w:szCs w:val="20"/>
        </w:rPr>
      </w:pPr>
    </w:p>
    <w:p w:rsidR="00A621E3" w:rsidRDefault="00EC630E">
      <w:pPr>
        <w:spacing w:line="273" w:lineRule="auto"/>
        <w:ind w:left="120"/>
        <w:jc w:val="both"/>
        <w:rPr>
          <w:sz w:val="20"/>
          <w:szCs w:val="20"/>
        </w:rPr>
      </w:pPr>
      <w:r>
        <w:rPr>
          <w:rFonts w:ascii="Arial" w:eastAsia="Arial" w:hAnsi="Arial" w:cs="Arial"/>
          <w:sz w:val="18"/>
          <w:szCs w:val="18"/>
        </w:rPr>
        <w:t xml:space="preserve">We are asking stockholders to approve and ratify the appointment of KPMG Huazhen LLP and KPMG as our independent auditors for U.S. financial reporting and Hong Kong financial reporting purposes, </w:t>
      </w:r>
      <w:r>
        <w:rPr>
          <w:rFonts w:ascii="Arial" w:eastAsia="Arial" w:hAnsi="Arial" w:cs="Arial"/>
          <w:sz w:val="18"/>
          <w:szCs w:val="18"/>
        </w:rPr>
        <w:t>respectively, for the year 2023. KPMG Huazhen LLP has served as our independent auditor since 2016. KPMG has served as our independent auditor since 2020 after our listing on the Hong Kong Stock Exchange (KPMG Huazhen LLP and KPMG shall hereafter collectiv</w:t>
      </w:r>
      <w:r>
        <w:rPr>
          <w:rFonts w:ascii="Arial" w:eastAsia="Arial" w:hAnsi="Arial" w:cs="Arial"/>
          <w:sz w:val="18"/>
          <w:szCs w:val="18"/>
        </w:rPr>
        <w:t>ely referred as “</w:t>
      </w:r>
      <w:r>
        <w:rPr>
          <w:rFonts w:ascii="Arial" w:eastAsia="Arial" w:hAnsi="Arial" w:cs="Arial"/>
          <w:b/>
          <w:bCs/>
          <w:i/>
          <w:iCs/>
          <w:sz w:val="18"/>
          <w:szCs w:val="18"/>
        </w:rPr>
        <w:t>KPMG</w:t>
      </w:r>
      <w:r>
        <w:rPr>
          <w:rFonts w:ascii="Arial" w:eastAsia="Arial" w:hAnsi="Arial" w:cs="Arial"/>
          <w:sz w:val="18"/>
          <w:szCs w:val="18"/>
        </w:rPr>
        <w:t>”).</w:t>
      </w:r>
    </w:p>
    <w:p w:rsidR="00A621E3" w:rsidRDefault="00A621E3">
      <w:pPr>
        <w:spacing w:line="168" w:lineRule="exact"/>
        <w:rPr>
          <w:sz w:val="20"/>
          <w:szCs w:val="20"/>
        </w:rPr>
      </w:pPr>
    </w:p>
    <w:p w:rsidR="00A621E3" w:rsidRDefault="00EC630E">
      <w:pPr>
        <w:spacing w:line="282" w:lineRule="auto"/>
        <w:ind w:left="120"/>
        <w:jc w:val="both"/>
        <w:rPr>
          <w:sz w:val="20"/>
          <w:szCs w:val="20"/>
        </w:rPr>
      </w:pPr>
      <w:r>
        <w:rPr>
          <w:rFonts w:ascii="Arial" w:eastAsia="Arial" w:hAnsi="Arial" w:cs="Arial"/>
          <w:sz w:val="18"/>
          <w:szCs w:val="18"/>
        </w:rPr>
        <w:t>As part of its audit engagement process, the Audit Committee considers on at least an annual basis the engagement of independent auditors. In deciding to engage KPMG as independent auditors for 2023, the Audit Committee considered</w:t>
      </w:r>
      <w:r>
        <w:rPr>
          <w:rFonts w:ascii="Arial" w:eastAsia="Arial" w:hAnsi="Arial" w:cs="Arial"/>
          <w:sz w:val="18"/>
          <w:szCs w:val="18"/>
        </w:rPr>
        <w:t>:</w:t>
      </w:r>
    </w:p>
    <w:p w:rsidR="00A621E3" w:rsidRDefault="00A621E3">
      <w:pPr>
        <w:spacing w:line="242" w:lineRule="exact"/>
        <w:rPr>
          <w:sz w:val="20"/>
          <w:szCs w:val="20"/>
        </w:rPr>
      </w:pPr>
    </w:p>
    <w:p w:rsidR="00A621E3" w:rsidRDefault="00EC630E">
      <w:pPr>
        <w:numPr>
          <w:ilvl w:val="0"/>
          <w:numId w:val="39"/>
        </w:numPr>
        <w:tabs>
          <w:tab w:val="left" w:pos="360"/>
        </w:tabs>
        <w:ind w:left="360" w:hanging="190"/>
        <w:rPr>
          <w:rFonts w:ascii="Arial" w:eastAsia="Arial" w:hAnsi="Arial" w:cs="Arial"/>
          <w:color w:val="CF0A2C"/>
          <w:sz w:val="20"/>
          <w:szCs w:val="20"/>
        </w:rPr>
      </w:pPr>
      <w:r>
        <w:rPr>
          <w:rFonts w:ascii="Arial" w:eastAsia="Arial" w:hAnsi="Arial" w:cs="Arial"/>
          <w:sz w:val="20"/>
          <w:szCs w:val="20"/>
        </w:rPr>
        <w:t>KPMG’s performance in 2022;</w:t>
      </w:r>
    </w:p>
    <w:p w:rsidR="00A621E3" w:rsidRDefault="00A621E3">
      <w:pPr>
        <w:spacing w:line="296" w:lineRule="exact"/>
        <w:rPr>
          <w:rFonts w:ascii="Arial" w:eastAsia="Arial" w:hAnsi="Arial" w:cs="Arial"/>
          <w:color w:val="CF0A2C"/>
          <w:sz w:val="20"/>
          <w:szCs w:val="20"/>
        </w:rPr>
      </w:pPr>
    </w:p>
    <w:p w:rsidR="00A621E3" w:rsidRDefault="00EC630E">
      <w:pPr>
        <w:numPr>
          <w:ilvl w:val="0"/>
          <w:numId w:val="39"/>
        </w:numPr>
        <w:tabs>
          <w:tab w:val="left" w:pos="360"/>
        </w:tabs>
        <w:ind w:left="360" w:hanging="190"/>
        <w:rPr>
          <w:rFonts w:ascii="Arial" w:eastAsia="Arial" w:hAnsi="Arial" w:cs="Arial"/>
          <w:color w:val="CF0A2C"/>
          <w:sz w:val="20"/>
          <w:szCs w:val="20"/>
        </w:rPr>
      </w:pPr>
      <w:r>
        <w:rPr>
          <w:rFonts w:ascii="Arial" w:eastAsia="Arial" w:hAnsi="Arial" w:cs="Arial"/>
          <w:sz w:val="20"/>
          <w:szCs w:val="20"/>
        </w:rPr>
        <w:t>KPMG’s independence;</w:t>
      </w:r>
    </w:p>
    <w:p w:rsidR="00A621E3" w:rsidRDefault="00A621E3">
      <w:pPr>
        <w:spacing w:line="296" w:lineRule="exact"/>
        <w:rPr>
          <w:rFonts w:ascii="Arial" w:eastAsia="Arial" w:hAnsi="Arial" w:cs="Arial"/>
          <w:color w:val="CF0A2C"/>
          <w:sz w:val="20"/>
          <w:szCs w:val="20"/>
        </w:rPr>
      </w:pPr>
    </w:p>
    <w:p w:rsidR="00A621E3" w:rsidRDefault="00EC630E">
      <w:pPr>
        <w:numPr>
          <w:ilvl w:val="0"/>
          <w:numId w:val="39"/>
        </w:numPr>
        <w:tabs>
          <w:tab w:val="left" w:pos="360"/>
        </w:tabs>
        <w:spacing w:line="246" w:lineRule="auto"/>
        <w:ind w:left="360" w:hanging="190"/>
        <w:jc w:val="both"/>
        <w:rPr>
          <w:rFonts w:ascii="Arial" w:eastAsia="Arial" w:hAnsi="Arial" w:cs="Arial"/>
          <w:color w:val="CF0A2C"/>
          <w:sz w:val="20"/>
          <w:szCs w:val="20"/>
        </w:rPr>
      </w:pPr>
      <w:r>
        <w:rPr>
          <w:rFonts w:ascii="Arial" w:eastAsia="Arial" w:hAnsi="Arial" w:cs="Arial"/>
          <w:sz w:val="20"/>
          <w:szCs w:val="20"/>
        </w:rPr>
        <w:t>The depth and expertise of the KPMG’s audit teams, including their understanding of the Company’s industry, business, operations and systems, as well as accounting policies and processes;</w:t>
      </w:r>
    </w:p>
    <w:p w:rsidR="00A621E3" w:rsidRDefault="00A621E3">
      <w:pPr>
        <w:spacing w:line="272" w:lineRule="exact"/>
        <w:rPr>
          <w:rFonts w:ascii="Arial" w:eastAsia="Arial" w:hAnsi="Arial" w:cs="Arial"/>
          <w:color w:val="CF0A2C"/>
          <w:sz w:val="20"/>
          <w:szCs w:val="20"/>
        </w:rPr>
      </w:pPr>
    </w:p>
    <w:p w:rsidR="00A621E3" w:rsidRDefault="00EC630E">
      <w:pPr>
        <w:numPr>
          <w:ilvl w:val="0"/>
          <w:numId w:val="39"/>
        </w:numPr>
        <w:tabs>
          <w:tab w:val="left" w:pos="360"/>
        </w:tabs>
        <w:ind w:left="360" w:hanging="190"/>
        <w:rPr>
          <w:rFonts w:ascii="Arial" w:eastAsia="Arial" w:hAnsi="Arial" w:cs="Arial"/>
          <w:color w:val="CF0A2C"/>
          <w:sz w:val="20"/>
          <w:szCs w:val="20"/>
        </w:rPr>
      </w:pPr>
      <w:r>
        <w:rPr>
          <w:rFonts w:ascii="Arial" w:eastAsia="Arial" w:hAnsi="Arial" w:cs="Arial"/>
          <w:sz w:val="20"/>
          <w:szCs w:val="20"/>
        </w:rPr>
        <w:t>The appropria</w:t>
      </w:r>
      <w:r>
        <w:rPr>
          <w:rFonts w:ascii="Arial" w:eastAsia="Arial" w:hAnsi="Arial" w:cs="Arial"/>
          <w:sz w:val="20"/>
          <w:szCs w:val="20"/>
        </w:rPr>
        <w:t>teness of KPMG’s fees;</w:t>
      </w:r>
    </w:p>
    <w:p w:rsidR="00A621E3" w:rsidRDefault="00A621E3">
      <w:pPr>
        <w:spacing w:line="296" w:lineRule="exact"/>
        <w:rPr>
          <w:rFonts w:ascii="Arial" w:eastAsia="Arial" w:hAnsi="Arial" w:cs="Arial"/>
          <w:color w:val="CF0A2C"/>
          <w:sz w:val="20"/>
          <w:szCs w:val="20"/>
        </w:rPr>
      </w:pPr>
    </w:p>
    <w:p w:rsidR="00A621E3" w:rsidRDefault="00EC630E">
      <w:pPr>
        <w:numPr>
          <w:ilvl w:val="0"/>
          <w:numId w:val="39"/>
        </w:numPr>
        <w:tabs>
          <w:tab w:val="left" w:pos="360"/>
        </w:tabs>
        <w:spacing w:line="250" w:lineRule="auto"/>
        <w:ind w:left="360" w:right="20" w:hanging="190"/>
        <w:jc w:val="both"/>
        <w:rPr>
          <w:rFonts w:ascii="Arial" w:eastAsia="Arial" w:hAnsi="Arial" w:cs="Arial"/>
          <w:color w:val="CF0A2C"/>
          <w:sz w:val="20"/>
          <w:szCs w:val="20"/>
        </w:rPr>
      </w:pPr>
      <w:r>
        <w:rPr>
          <w:rFonts w:ascii="Arial" w:eastAsia="Arial" w:hAnsi="Arial" w:cs="Arial"/>
          <w:sz w:val="20"/>
          <w:szCs w:val="20"/>
        </w:rPr>
        <w:t>A consideration of KPMG’s known legal risks and significant proceedings that may impair its ability to perform the audit; and</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numPr>
          <w:ilvl w:val="0"/>
          <w:numId w:val="40"/>
        </w:numPr>
        <w:tabs>
          <w:tab w:val="left" w:pos="240"/>
        </w:tabs>
        <w:ind w:left="240" w:hanging="192"/>
        <w:rPr>
          <w:rFonts w:ascii="Arial" w:eastAsia="Arial" w:hAnsi="Arial" w:cs="Arial"/>
          <w:color w:val="CF0A2C"/>
          <w:sz w:val="20"/>
          <w:szCs w:val="20"/>
        </w:rPr>
      </w:pPr>
      <w:r>
        <w:rPr>
          <w:rFonts w:ascii="Arial" w:eastAsia="Arial" w:hAnsi="Arial" w:cs="Arial"/>
          <w:sz w:val="20"/>
          <w:szCs w:val="20"/>
        </w:rPr>
        <w:t>KPMG’s tenure as the Company’s independent auditors.</w:t>
      </w:r>
    </w:p>
    <w:p w:rsidR="00A621E3" w:rsidRDefault="00A621E3">
      <w:pPr>
        <w:spacing w:line="256" w:lineRule="exact"/>
        <w:rPr>
          <w:sz w:val="20"/>
          <w:szCs w:val="20"/>
        </w:rPr>
      </w:pPr>
    </w:p>
    <w:p w:rsidR="00A621E3" w:rsidRDefault="00EC630E">
      <w:pPr>
        <w:spacing w:line="313" w:lineRule="auto"/>
        <w:ind w:right="20"/>
        <w:jc w:val="both"/>
        <w:rPr>
          <w:sz w:val="20"/>
          <w:szCs w:val="20"/>
        </w:rPr>
      </w:pPr>
      <w:r>
        <w:rPr>
          <w:rFonts w:ascii="Arial" w:eastAsia="Arial" w:hAnsi="Arial" w:cs="Arial"/>
          <w:sz w:val="16"/>
          <w:szCs w:val="16"/>
        </w:rPr>
        <w:t xml:space="preserve">KPMG rotates its lead audit engagement partner </w:t>
      </w:r>
      <w:r>
        <w:rPr>
          <w:rFonts w:ascii="Arial" w:eastAsia="Arial" w:hAnsi="Arial" w:cs="Arial"/>
          <w:sz w:val="16"/>
          <w:szCs w:val="16"/>
        </w:rPr>
        <w:t>every five years. The Audit Committee is directly involved in the evaluation of the lead audit engagement partner to ensure that the he or she is appropriately qualified to lead the Company’s audit. After considering the criteria set forth above, the Audit</w:t>
      </w:r>
      <w:r>
        <w:rPr>
          <w:rFonts w:ascii="Arial" w:eastAsia="Arial" w:hAnsi="Arial" w:cs="Arial"/>
          <w:sz w:val="16"/>
          <w:szCs w:val="16"/>
        </w:rPr>
        <w:t xml:space="preserve"> Committee believes that retaining KPMG as the Company’s independent auditors is in the best interests of the Company and its stockholders.</w:t>
      </w:r>
    </w:p>
    <w:p w:rsidR="00A621E3" w:rsidRDefault="00A621E3">
      <w:pPr>
        <w:spacing w:line="164" w:lineRule="exact"/>
        <w:rPr>
          <w:sz w:val="20"/>
          <w:szCs w:val="20"/>
        </w:rPr>
      </w:pPr>
    </w:p>
    <w:p w:rsidR="00A621E3" w:rsidRDefault="00EC630E">
      <w:pPr>
        <w:rPr>
          <w:sz w:val="20"/>
          <w:szCs w:val="20"/>
        </w:rPr>
      </w:pPr>
      <w:r>
        <w:rPr>
          <w:rFonts w:ascii="Arial" w:eastAsia="Arial" w:hAnsi="Arial" w:cs="Arial"/>
          <w:b/>
          <w:bCs/>
          <w:color w:val="CF0A2C"/>
          <w:sz w:val="19"/>
          <w:szCs w:val="19"/>
        </w:rPr>
        <w:t>Will a representative of KPMG attend the Annual Meeting?</w:t>
      </w:r>
    </w:p>
    <w:p w:rsidR="00A621E3" w:rsidRDefault="00A621E3">
      <w:pPr>
        <w:spacing w:line="274" w:lineRule="exact"/>
        <w:rPr>
          <w:sz w:val="20"/>
          <w:szCs w:val="20"/>
        </w:rPr>
      </w:pPr>
    </w:p>
    <w:p w:rsidR="00A621E3" w:rsidRDefault="00EC630E">
      <w:pPr>
        <w:spacing w:line="291" w:lineRule="auto"/>
        <w:jc w:val="both"/>
        <w:rPr>
          <w:sz w:val="20"/>
          <w:szCs w:val="20"/>
        </w:rPr>
      </w:pPr>
      <w:r>
        <w:rPr>
          <w:rFonts w:ascii="Arial" w:eastAsia="Arial" w:hAnsi="Arial" w:cs="Arial"/>
          <w:sz w:val="18"/>
          <w:szCs w:val="18"/>
        </w:rPr>
        <w:t xml:space="preserve">Representatives of KPMG will attend the Annual Meeting, </w:t>
      </w:r>
      <w:r>
        <w:rPr>
          <w:rFonts w:ascii="Arial" w:eastAsia="Arial" w:hAnsi="Arial" w:cs="Arial"/>
          <w:sz w:val="18"/>
          <w:szCs w:val="18"/>
        </w:rPr>
        <w:t>will have the opportunity to make a statement if they desire and will be available to respond to appropriate questions from stockholders.</w:t>
      </w:r>
    </w:p>
    <w:p w:rsidR="00A621E3" w:rsidRDefault="00A621E3">
      <w:pPr>
        <w:spacing w:line="186" w:lineRule="exact"/>
        <w:rPr>
          <w:sz w:val="20"/>
          <w:szCs w:val="20"/>
        </w:rPr>
      </w:pPr>
    </w:p>
    <w:p w:rsidR="00A621E3" w:rsidRDefault="00EC630E">
      <w:pPr>
        <w:rPr>
          <w:sz w:val="20"/>
          <w:szCs w:val="20"/>
        </w:rPr>
      </w:pPr>
      <w:r>
        <w:rPr>
          <w:rFonts w:ascii="Arial" w:eastAsia="Arial" w:hAnsi="Arial" w:cs="Arial"/>
          <w:b/>
          <w:bCs/>
          <w:color w:val="CF0A2C"/>
          <w:sz w:val="20"/>
          <w:szCs w:val="20"/>
        </w:rPr>
        <w:t>What vote is required to approve this proposal?</w:t>
      </w:r>
    </w:p>
    <w:p w:rsidR="00A621E3" w:rsidRDefault="00A621E3">
      <w:pPr>
        <w:spacing w:line="249" w:lineRule="exact"/>
        <w:rPr>
          <w:sz w:val="20"/>
          <w:szCs w:val="20"/>
        </w:rPr>
      </w:pPr>
    </w:p>
    <w:p w:rsidR="00A621E3" w:rsidRDefault="00EC630E">
      <w:pPr>
        <w:spacing w:line="260" w:lineRule="auto"/>
        <w:ind w:right="20"/>
        <w:jc w:val="both"/>
        <w:rPr>
          <w:sz w:val="20"/>
          <w:szCs w:val="20"/>
        </w:rPr>
      </w:pPr>
      <w:r>
        <w:rPr>
          <w:rFonts w:ascii="Arial" w:eastAsia="Arial" w:hAnsi="Arial" w:cs="Arial"/>
          <w:sz w:val="19"/>
          <w:szCs w:val="19"/>
        </w:rPr>
        <w:t>Approval of this proposal requires the affirmative vote of a majorit</w:t>
      </w:r>
      <w:r>
        <w:rPr>
          <w:rFonts w:ascii="Arial" w:eastAsia="Arial" w:hAnsi="Arial" w:cs="Arial"/>
          <w:sz w:val="19"/>
          <w:szCs w:val="19"/>
        </w:rPr>
        <w:t>y of shares present in person or represented by proxy and entitled to vote at the Annual Meeting. In the event this proposal is not approved, the Audit Committee will reconsider the selection of KPMG as the Company’s independent auditors.</w:t>
      </w:r>
    </w:p>
    <w:p w:rsidR="00A621E3" w:rsidRDefault="00A621E3">
      <w:pPr>
        <w:spacing w:line="221" w:lineRule="exact"/>
        <w:rPr>
          <w:sz w:val="20"/>
          <w:szCs w:val="20"/>
        </w:rPr>
      </w:pPr>
    </w:p>
    <w:p w:rsidR="00A621E3" w:rsidRDefault="00EC630E">
      <w:pPr>
        <w:spacing w:line="287" w:lineRule="auto"/>
        <w:ind w:right="20"/>
        <w:jc w:val="both"/>
        <w:rPr>
          <w:sz w:val="20"/>
          <w:szCs w:val="20"/>
        </w:rPr>
      </w:pPr>
      <w:r>
        <w:rPr>
          <w:rFonts w:ascii="Arial" w:eastAsia="Arial" w:hAnsi="Arial" w:cs="Arial"/>
          <w:b/>
          <w:bCs/>
          <w:i/>
          <w:iCs/>
          <w:color w:val="CF0A2C"/>
          <w:sz w:val="19"/>
          <w:szCs w:val="19"/>
        </w:rPr>
        <w:t>The Audit Commit</w:t>
      </w:r>
      <w:r>
        <w:rPr>
          <w:rFonts w:ascii="Arial" w:eastAsia="Arial" w:hAnsi="Arial" w:cs="Arial"/>
          <w:b/>
          <w:bCs/>
          <w:i/>
          <w:iCs/>
          <w:color w:val="CF0A2C"/>
          <w:sz w:val="19"/>
          <w:szCs w:val="19"/>
        </w:rPr>
        <w:t>tee and the Board of Directors recommend that you vote FOR approval of this proposal.</w:t>
      </w:r>
    </w:p>
    <w:p w:rsidR="00A621E3" w:rsidRDefault="00A621E3">
      <w:pPr>
        <w:spacing w:line="13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57"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31</w:t>
      </w:r>
    </w:p>
    <w:p w:rsidR="00A621E3" w:rsidRDefault="00EC630E">
      <w:pPr>
        <w:spacing w:line="20" w:lineRule="exact"/>
        <w:rPr>
          <w:sz w:val="20"/>
          <w:szCs w:val="20"/>
        </w:rPr>
      </w:pPr>
      <w:r>
        <w:rPr>
          <w:noProof/>
          <w:sz w:val="20"/>
          <w:szCs w:val="20"/>
        </w:rPr>
        <w:drawing>
          <wp:anchor distT="0" distB="0" distL="114300" distR="114300" simplePos="0" relativeHeight="251821056"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37" w:name="page37"/>
      <w:bookmarkEnd w:id="37"/>
      <w:r>
        <w:rPr>
          <w:rFonts w:ascii="Arial" w:eastAsia="Arial" w:hAnsi="Arial" w:cs="Arial"/>
          <w:b/>
          <w:bCs/>
          <w:color w:val="0000EE"/>
          <w:sz w:val="18"/>
          <w:szCs w:val="18"/>
          <w:u w:val="single"/>
        </w:rPr>
        <w:lastRenderedPageBreak/>
        <w:t>Table of Contents</w:t>
      </w:r>
    </w:p>
    <w:p w:rsidR="00A621E3" w:rsidRDefault="00EC630E">
      <w:pPr>
        <w:spacing w:line="20" w:lineRule="exact"/>
        <w:rPr>
          <w:sz w:val="20"/>
          <w:szCs w:val="20"/>
        </w:rPr>
      </w:pPr>
      <w:r>
        <w:rPr>
          <w:noProof/>
          <w:sz w:val="20"/>
          <w:szCs w:val="20"/>
        </w:rPr>
        <w:drawing>
          <wp:anchor distT="0" distB="0" distL="114300" distR="114300" simplePos="0" relativeHeight="251822080" behindDoc="1" locked="0" layoutInCell="0" allowOverlap="1">
            <wp:simplePos x="0" y="0"/>
            <wp:positionH relativeFrom="column">
              <wp:posOffset>73660</wp:posOffset>
            </wp:positionH>
            <wp:positionV relativeFrom="paragraph">
              <wp:posOffset>205740</wp:posOffset>
            </wp:positionV>
            <wp:extent cx="2486025" cy="205740"/>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7">
                      <a:extLst/>
                    </a:blip>
                    <a:srcRect/>
                    <a:stretch>
                      <a:fillRect/>
                    </a:stretch>
                  </pic:blipFill>
                  <pic:spPr bwMode="auto">
                    <a:xfrm>
                      <a:off x="0" y="0"/>
                      <a:ext cx="248602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MATTERS REQUIRING STOCKHOLDER ACTION</w:t>
      </w:r>
    </w:p>
    <w:p w:rsidR="00A621E3" w:rsidRDefault="00A621E3">
      <w:pPr>
        <w:spacing w:line="257" w:lineRule="exact"/>
        <w:rPr>
          <w:sz w:val="20"/>
          <w:szCs w:val="20"/>
        </w:rPr>
      </w:pPr>
    </w:p>
    <w:p w:rsidR="00A621E3" w:rsidRDefault="00EC630E">
      <w:pPr>
        <w:spacing w:line="267" w:lineRule="auto"/>
        <w:ind w:left="120"/>
        <w:jc w:val="both"/>
        <w:rPr>
          <w:sz w:val="20"/>
          <w:szCs w:val="20"/>
        </w:rPr>
      </w:pPr>
      <w:r>
        <w:rPr>
          <w:rFonts w:ascii="Arial" w:eastAsia="Arial" w:hAnsi="Arial" w:cs="Arial"/>
          <w:b/>
          <w:bCs/>
          <w:color w:val="CF0A2C"/>
          <w:sz w:val="20"/>
          <w:szCs w:val="20"/>
        </w:rPr>
        <w:t xml:space="preserve">What were KPMG’s </w:t>
      </w:r>
      <w:r>
        <w:rPr>
          <w:rFonts w:ascii="Arial" w:eastAsia="Arial" w:hAnsi="Arial" w:cs="Arial"/>
          <w:b/>
          <w:bCs/>
          <w:color w:val="CF0A2C"/>
          <w:sz w:val="20"/>
          <w:szCs w:val="20"/>
        </w:rPr>
        <w:t>fees for audit and other services for 2022 and 2021?</w:t>
      </w:r>
    </w:p>
    <w:p w:rsidR="00A621E3" w:rsidRDefault="00A621E3">
      <w:pPr>
        <w:spacing w:line="210"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 xml:space="preserve">The following table presents fees for professional services rendered by KPMG for the audit of the Company’s annual financial statements, and fees billed for audit-related services, tax services and all </w:t>
      </w:r>
      <w:r>
        <w:rPr>
          <w:rFonts w:ascii="Arial" w:eastAsia="Arial" w:hAnsi="Arial" w:cs="Arial"/>
          <w:sz w:val="20"/>
          <w:szCs w:val="20"/>
        </w:rPr>
        <w:t>other services for 2022 and 2021. All KPMG services for 2022 and 2021 were approved in advance by the Audit Committee specifically or pursuant to procedures outlined below.</w:t>
      </w:r>
    </w:p>
    <w:p w:rsidR="00A621E3" w:rsidRDefault="00A621E3">
      <w:pPr>
        <w:spacing w:line="27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540"/>
        <w:gridCol w:w="320"/>
        <w:gridCol w:w="180"/>
        <w:gridCol w:w="1000"/>
        <w:gridCol w:w="380"/>
        <w:gridCol w:w="800"/>
        <w:gridCol w:w="60"/>
        <w:gridCol w:w="20"/>
      </w:tblGrid>
      <w:tr w:rsidR="00A621E3">
        <w:trPr>
          <w:trHeight w:val="203"/>
        </w:trPr>
        <w:tc>
          <w:tcPr>
            <w:tcW w:w="2540" w:type="dxa"/>
            <w:vMerge w:val="restart"/>
            <w:vAlign w:val="bottom"/>
          </w:tcPr>
          <w:p w:rsidR="00A621E3" w:rsidRDefault="00EC630E">
            <w:pPr>
              <w:rPr>
                <w:sz w:val="20"/>
                <w:szCs w:val="20"/>
              </w:rPr>
            </w:pPr>
            <w:r>
              <w:rPr>
                <w:rFonts w:ascii="Arial" w:eastAsia="Arial" w:hAnsi="Arial" w:cs="Arial"/>
                <w:color w:val="CF0A2C"/>
                <w:sz w:val="16"/>
                <w:szCs w:val="16"/>
              </w:rPr>
              <w:t>Audit fees</w:t>
            </w:r>
            <w:r>
              <w:rPr>
                <w:rFonts w:ascii="Arial" w:eastAsia="Arial" w:hAnsi="Arial" w:cs="Arial"/>
                <w:color w:val="CF0A2C"/>
                <w:sz w:val="24"/>
                <w:szCs w:val="24"/>
                <w:vertAlign w:val="superscript"/>
              </w:rPr>
              <w:t>(1)</w:t>
            </w:r>
          </w:p>
        </w:tc>
        <w:tc>
          <w:tcPr>
            <w:tcW w:w="320" w:type="dxa"/>
            <w:tcBorders>
              <w:top w:val="single" w:sz="8" w:space="0" w:color="CF0A2C"/>
              <w:bottom w:val="single" w:sz="8" w:space="0" w:color="CF0A2C"/>
            </w:tcBorders>
            <w:shd w:val="clear" w:color="auto" w:fill="FAE6E9"/>
            <w:vAlign w:val="bottom"/>
          </w:tcPr>
          <w:p w:rsidR="00A621E3" w:rsidRDefault="00A621E3">
            <w:pPr>
              <w:rPr>
                <w:sz w:val="17"/>
                <w:szCs w:val="17"/>
              </w:rPr>
            </w:pPr>
          </w:p>
        </w:tc>
        <w:tc>
          <w:tcPr>
            <w:tcW w:w="180" w:type="dxa"/>
            <w:tcBorders>
              <w:top w:val="single" w:sz="8" w:space="0" w:color="CF0A2C"/>
              <w:bottom w:val="single" w:sz="8" w:space="0" w:color="CF0A2C"/>
            </w:tcBorders>
            <w:shd w:val="clear" w:color="auto" w:fill="FAE6E9"/>
            <w:vAlign w:val="bottom"/>
          </w:tcPr>
          <w:p w:rsidR="00A621E3" w:rsidRDefault="00A621E3">
            <w:pPr>
              <w:rPr>
                <w:sz w:val="17"/>
                <w:szCs w:val="17"/>
              </w:rPr>
            </w:pPr>
          </w:p>
        </w:tc>
        <w:tc>
          <w:tcPr>
            <w:tcW w:w="1000" w:type="dxa"/>
            <w:tcBorders>
              <w:top w:val="single" w:sz="8" w:space="0" w:color="CF0A2C"/>
              <w:bottom w:val="single" w:sz="8" w:space="0" w:color="CF0A2C"/>
            </w:tcBorders>
            <w:shd w:val="clear" w:color="auto" w:fill="FAE6E9"/>
            <w:vAlign w:val="bottom"/>
          </w:tcPr>
          <w:p w:rsidR="00A621E3" w:rsidRDefault="00EC630E">
            <w:pPr>
              <w:ind w:right="379"/>
              <w:jc w:val="right"/>
              <w:rPr>
                <w:sz w:val="20"/>
                <w:szCs w:val="20"/>
              </w:rPr>
            </w:pPr>
            <w:r>
              <w:rPr>
                <w:rFonts w:ascii="Arial" w:eastAsia="Arial" w:hAnsi="Arial" w:cs="Arial"/>
                <w:b/>
                <w:bCs/>
                <w:color w:val="CF0A2C"/>
                <w:sz w:val="16"/>
                <w:szCs w:val="16"/>
              </w:rPr>
              <w:t>2022</w:t>
            </w:r>
          </w:p>
        </w:tc>
        <w:tc>
          <w:tcPr>
            <w:tcW w:w="380" w:type="dxa"/>
            <w:tcBorders>
              <w:top w:val="single" w:sz="8" w:space="0" w:color="CF0A2C"/>
              <w:bottom w:val="single" w:sz="8" w:space="0" w:color="CF0A2C"/>
            </w:tcBorders>
            <w:shd w:val="clear" w:color="auto" w:fill="FAE6E9"/>
            <w:vAlign w:val="bottom"/>
          </w:tcPr>
          <w:p w:rsidR="00A621E3" w:rsidRDefault="00A621E3">
            <w:pPr>
              <w:rPr>
                <w:sz w:val="17"/>
                <w:szCs w:val="17"/>
              </w:rPr>
            </w:pPr>
          </w:p>
        </w:tc>
        <w:tc>
          <w:tcPr>
            <w:tcW w:w="800" w:type="dxa"/>
            <w:tcBorders>
              <w:top w:val="single" w:sz="8" w:space="0" w:color="CF0A2C"/>
              <w:bottom w:val="single" w:sz="8" w:space="0" w:color="CF0A2C"/>
            </w:tcBorders>
            <w:shd w:val="clear" w:color="auto" w:fill="FAE6E9"/>
            <w:vAlign w:val="bottom"/>
          </w:tcPr>
          <w:p w:rsidR="00A621E3" w:rsidRDefault="00EC630E">
            <w:pPr>
              <w:ind w:right="179"/>
              <w:jc w:val="right"/>
              <w:rPr>
                <w:sz w:val="20"/>
                <w:szCs w:val="20"/>
              </w:rPr>
            </w:pPr>
            <w:r>
              <w:rPr>
                <w:rFonts w:ascii="Arial" w:eastAsia="Arial" w:hAnsi="Arial" w:cs="Arial"/>
                <w:b/>
                <w:bCs/>
                <w:color w:val="CF0A2C"/>
                <w:sz w:val="16"/>
                <w:szCs w:val="16"/>
              </w:rPr>
              <w:t>2021</w:t>
            </w:r>
          </w:p>
        </w:tc>
        <w:tc>
          <w:tcPr>
            <w:tcW w:w="60" w:type="dxa"/>
            <w:tcBorders>
              <w:top w:val="single" w:sz="8" w:space="0" w:color="CF0A2C"/>
              <w:bottom w:val="single" w:sz="8" w:space="0" w:color="CF0A2C"/>
            </w:tcBorders>
            <w:shd w:val="clear" w:color="auto" w:fill="FAE6E9"/>
            <w:vAlign w:val="bottom"/>
          </w:tcPr>
          <w:p w:rsidR="00A621E3" w:rsidRDefault="00A621E3">
            <w:pPr>
              <w:rPr>
                <w:sz w:val="17"/>
                <w:szCs w:val="17"/>
              </w:rPr>
            </w:pPr>
          </w:p>
        </w:tc>
        <w:tc>
          <w:tcPr>
            <w:tcW w:w="0" w:type="dxa"/>
            <w:vAlign w:val="bottom"/>
          </w:tcPr>
          <w:p w:rsidR="00A621E3" w:rsidRDefault="00A621E3">
            <w:pPr>
              <w:rPr>
                <w:sz w:val="1"/>
                <w:szCs w:val="1"/>
              </w:rPr>
            </w:pPr>
          </w:p>
        </w:tc>
      </w:tr>
      <w:tr w:rsidR="00A621E3">
        <w:trPr>
          <w:trHeight w:val="181"/>
        </w:trPr>
        <w:tc>
          <w:tcPr>
            <w:tcW w:w="2540" w:type="dxa"/>
            <w:vMerge/>
            <w:vAlign w:val="bottom"/>
          </w:tcPr>
          <w:p w:rsidR="00A621E3" w:rsidRDefault="00A621E3">
            <w:pPr>
              <w:rPr>
                <w:sz w:val="15"/>
                <w:szCs w:val="15"/>
              </w:rPr>
            </w:pPr>
          </w:p>
        </w:tc>
        <w:tc>
          <w:tcPr>
            <w:tcW w:w="500" w:type="dxa"/>
            <w:gridSpan w:val="2"/>
            <w:vAlign w:val="bottom"/>
          </w:tcPr>
          <w:p w:rsidR="00A621E3" w:rsidRDefault="00EC630E">
            <w:pPr>
              <w:spacing w:line="181" w:lineRule="exact"/>
              <w:jc w:val="right"/>
              <w:rPr>
                <w:sz w:val="20"/>
                <w:szCs w:val="20"/>
              </w:rPr>
            </w:pPr>
            <w:r>
              <w:rPr>
                <w:rFonts w:ascii="Arial" w:eastAsia="Arial" w:hAnsi="Arial" w:cs="Arial"/>
                <w:color w:val="CF0A2C"/>
                <w:sz w:val="16"/>
                <w:szCs w:val="16"/>
              </w:rPr>
              <w:t>$</w:t>
            </w:r>
          </w:p>
        </w:tc>
        <w:tc>
          <w:tcPr>
            <w:tcW w:w="1000" w:type="dxa"/>
            <w:vAlign w:val="bottom"/>
          </w:tcPr>
          <w:p w:rsidR="00A621E3" w:rsidRDefault="00EC630E">
            <w:pPr>
              <w:spacing w:line="181" w:lineRule="exact"/>
              <w:ind w:right="99"/>
              <w:jc w:val="right"/>
              <w:rPr>
                <w:sz w:val="20"/>
                <w:szCs w:val="20"/>
              </w:rPr>
            </w:pPr>
            <w:r>
              <w:rPr>
                <w:rFonts w:ascii="Arial" w:eastAsia="Arial" w:hAnsi="Arial" w:cs="Arial"/>
                <w:color w:val="CF0A2C"/>
                <w:sz w:val="16"/>
                <w:szCs w:val="16"/>
              </w:rPr>
              <w:t>2,856,814</w:t>
            </w:r>
          </w:p>
        </w:tc>
        <w:tc>
          <w:tcPr>
            <w:tcW w:w="380" w:type="dxa"/>
            <w:vAlign w:val="bottom"/>
          </w:tcPr>
          <w:p w:rsidR="00A621E3" w:rsidRDefault="00EC630E">
            <w:pPr>
              <w:spacing w:line="181" w:lineRule="exact"/>
              <w:ind w:right="19"/>
              <w:jc w:val="right"/>
              <w:rPr>
                <w:sz w:val="20"/>
                <w:szCs w:val="20"/>
              </w:rPr>
            </w:pPr>
            <w:r>
              <w:rPr>
                <w:rFonts w:ascii="Arial" w:eastAsia="Arial" w:hAnsi="Arial" w:cs="Arial"/>
                <w:color w:val="CF0A2C"/>
                <w:sz w:val="16"/>
                <w:szCs w:val="16"/>
              </w:rPr>
              <w:t>$</w:t>
            </w:r>
          </w:p>
        </w:tc>
        <w:tc>
          <w:tcPr>
            <w:tcW w:w="800" w:type="dxa"/>
            <w:vAlign w:val="bottom"/>
          </w:tcPr>
          <w:p w:rsidR="00A621E3" w:rsidRDefault="00EC630E">
            <w:pPr>
              <w:spacing w:line="181" w:lineRule="exact"/>
              <w:jc w:val="right"/>
              <w:rPr>
                <w:sz w:val="20"/>
                <w:szCs w:val="20"/>
              </w:rPr>
            </w:pPr>
            <w:r>
              <w:rPr>
                <w:rFonts w:ascii="Arial" w:eastAsia="Arial" w:hAnsi="Arial" w:cs="Arial"/>
                <w:color w:val="CF0A2C"/>
                <w:sz w:val="16"/>
                <w:szCs w:val="16"/>
              </w:rPr>
              <w:t>3,085,148</w:t>
            </w:r>
          </w:p>
        </w:tc>
        <w:tc>
          <w:tcPr>
            <w:tcW w:w="60" w:type="dxa"/>
            <w:vAlign w:val="bottom"/>
          </w:tcPr>
          <w:p w:rsidR="00A621E3" w:rsidRDefault="00A621E3">
            <w:pPr>
              <w:rPr>
                <w:sz w:val="15"/>
                <w:szCs w:val="15"/>
              </w:rPr>
            </w:pPr>
          </w:p>
        </w:tc>
        <w:tc>
          <w:tcPr>
            <w:tcW w:w="0" w:type="dxa"/>
            <w:vAlign w:val="bottom"/>
          </w:tcPr>
          <w:p w:rsidR="00A621E3" w:rsidRDefault="00A621E3">
            <w:pPr>
              <w:rPr>
                <w:sz w:val="1"/>
                <w:szCs w:val="1"/>
              </w:rPr>
            </w:pPr>
          </w:p>
        </w:tc>
      </w:tr>
      <w:tr w:rsidR="00A621E3">
        <w:trPr>
          <w:trHeight w:val="189"/>
        </w:trPr>
        <w:tc>
          <w:tcPr>
            <w:tcW w:w="2540" w:type="dxa"/>
            <w:vAlign w:val="bottom"/>
          </w:tcPr>
          <w:p w:rsidR="00A621E3" w:rsidRDefault="00EC630E">
            <w:pPr>
              <w:spacing w:line="189" w:lineRule="exact"/>
              <w:rPr>
                <w:sz w:val="20"/>
                <w:szCs w:val="20"/>
              </w:rPr>
            </w:pPr>
            <w:r>
              <w:rPr>
                <w:rFonts w:ascii="Arial" w:eastAsia="Arial" w:hAnsi="Arial" w:cs="Arial"/>
                <w:color w:val="CF0A2C"/>
                <w:sz w:val="14"/>
                <w:szCs w:val="14"/>
              </w:rPr>
              <w:t>Audit-related fees</w:t>
            </w:r>
            <w:r>
              <w:rPr>
                <w:rFonts w:ascii="Arial" w:eastAsia="Arial" w:hAnsi="Arial" w:cs="Arial"/>
                <w:color w:val="CF0A2C"/>
                <w:sz w:val="21"/>
                <w:szCs w:val="21"/>
                <w:vertAlign w:val="superscript"/>
              </w:rPr>
              <w:t>(2)</w:t>
            </w:r>
          </w:p>
        </w:tc>
        <w:tc>
          <w:tcPr>
            <w:tcW w:w="320" w:type="dxa"/>
            <w:vAlign w:val="bottom"/>
          </w:tcPr>
          <w:p w:rsidR="00A621E3" w:rsidRDefault="00A621E3">
            <w:pPr>
              <w:rPr>
                <w:sz w:val="16"/>
                <w:szCs w:val="16"/>
              </w:rPr>
            </w:pPr>
          </w:p>
        </w:tc>
        <w:tc>
          <w:tcPr>
            <w:tcW w:w="180" w:type="dxa"/>
            <w:vAlign w:val="bottom"/>
          </w:tcPr>
          <w:p w:rsidR="00A621E3" w:rsidRDefault="00A621E3">
            <w:pPr>
              <w:rPr>
                <w:sz w:val="16"/>
                <w:szCs w:val="16"/>
              </w:rPr>
            </w:pPr>
          </w:p>
        </w:tc>
        <w:tc>
          <w:tcPr>
            <w:tcW w:w="1000" w:type="dxa"/>
            <w:vAlign w:val="bottom"/>
          </w:tcPr>
          <w:p w:rsidR="00A621E3" w:rsidRDefault="00EC630E">
            <w:pPr>
              <w:ind w:right="99"/>
              <w:jc w:val="right"/>
              <w:rPr>
                <w:sz w:val="20"/>
                <w:szCs w:val="20"/>
              </w:rPr>
            </w:pPr>
            <w:r>
              <w:rPr>
                <w:rFonts w:ascii="Arial" w:eastAsia="Arial" w:hAnsi="Arial" w:cs="Arial"/>
                <w:color w:val="CF0A2C"/>
                <w:sz w:val="16"/>
                <w:szCs w:val="16"/>
              </w:rPr>
              <w:t>39,858</w:t>
            </w:r>
          </w:p>
        </w:tc>
        <w:tc>
          <w:tcPr>
            <w:tcW w:w="380" w:type="dxa"/>
            <w:vAlign w:val="bottom"/>
          </w:tcPr>
          <w:p w:rsidR="00A621E3" w:rsidRDefault="00A621E3">
            <w:pPr>
              <w:rPr>
                <w:sz w:val="16"/>
                <w:szCs w:val="16"/>
              </w:rPr>
            </w:pPr>
          </w:p>
        </w:tc>
        <w:tc>
          <w:tcPr>
            <w:tcW w:w="800" w:type="dxa"/>
            <w:vAlign w:val="bottom"/>
          </w:tcPr>
          <w:p w:rsidR="00A621E3" w:rsidRDefault="00EC630E">
            <w:pPr>
              <w:jc w:val="right"/>
              <w:rPr>
                <w:sz w:val="20"/>
                <w:szCs w:val="20"/>
              </w:rPr>
            </w:pPr>
            <w:r>
              <w:rPr>
                <w:rFonts w:ascii="Arial" w:eastAsia="Arial" w:hAnsi="Arial" w:cs="Arial"/>
                <w:color w:val="CF0A2C"/>
                <w:sz w:val="16"/>
                <w:szCs w:val="16"/>
              </w:rPr>
              <w:t>10,741</w:t>
            </w:r>
          </w:p>
        </w:tc>
        <w:tc>
          <w:tcPr>
            <w:tcW w:w="60" w:type="dxa"/>
            <w:vAlign w:val="bottom"/>
          </w:tcPr>
          <w:p w:rsidR="00A621E3" w:rsidRDefault="00A621E3">
            <w:pPr>
              <w:rPr>
                <w:sz w:val="16"/>
                <w:szCs w:val="16"/>
              </w:rPr>
            </w:pPr>
          </w:p>
        </w:tc>
        <w:tc>
          <w:tcPr>
            <w:tcW w:w="0" w:type="dxa"/>
            <w:vAlign w:val="bottom"/>
          </w:tcPr>
          <w:p w:rsidR="00A621E3" w:rsidRDefault="00A621E3">
            <w:pPr>
              <w:rPr>
                <w:sz w:val="1"/>
                <w:szCs w:val="1"/>
              </w:rPr>
            </w:pPr>
          </w:p>
        </w:tc>
      </w:tr>
      <w:tr w:rsidR="00A621E3">
        <w:trPr>
          <w:trHeight w:val="193"/>
        </w:trPr>
        <w:tc>
          <w:tcPr>
            <w:tcW w:w="2540" w:type="dxa"/>
            <w:vAlign w:val="bottom"/>
          </w:tcPr>
          <w:p w:rsidR="00A621E3" w:rsidRDefault="00EC630E">
            <w:pPr>
              <w:spacing w:line="192" w:lineRule="exact"/>
              <w:rPr>
                <w:sz w:val="20"/>
                <w:szCs w:val="20"/>
              </w:rPr>
            </w:pPr>
            <w:r>
              <w:rPr>
                <w:rFonts w:ascii="Arial" w:eastAsia="Arial" w:hAnsi="Arial" w:cs="Arial"/>
                <w:color w:val="CF0A2C"/>
                <w:sz w:val="15"/>
                <w:szCs w:val="15"/>
              </w:rPr>
              <w:t>Tax fees</w:t>
            </w:r>
            <w:r>
              <w:rPr>
                <w:rFonts w:ascii="Arial" w:eastAsia="Arial" w:hAnsi="Arial" w:cs="Arial"/>
                <w:color w:val="CF0A2C"/>
                <w:vertAlign w:val="superscript"/>
              </w:rPr>
              <w:t>(3)</w:t>
            </w:r>
          </w:p>
        </w:tc>
        <w:tc>
          <w:tcPr>
            <w:tcW w:w="320" w:type="dxa"/>
            <w:vAlign w:val="bottom"/>
          </w:tcPr>
          <w:p w:rsidR="00A621E3" w:rsidRDefault="00A621E3">
            <w:pPr>
              <w:rPr>
                <w:sz w:val="16"/>
                <w:szCs w:val="16"/>
              </w:rPr>
            </w:pPr>
          </w:p>
        </w:tc>
        <w:tc>
          <w:tcPr>
            <w:tcW w:w="180" w:type="dxa"/>
            <w:vAlign w:val="bottom"/>
          </w:tcPr>
          <w:p w:rsidR="00A621E3" w:rsidRDefault="00A621E3">
            <w:pPr>
              <w:rPr>
                <w:sz w:val="16"/>
                <w:szCs w:val="16"/>
              </w:rPr>
            </w:pPr>
          </w:p>
        </w:tc>
        <w:tc>
          <w:tcPr>
            <w:tcW w:w="1000" w:type="dxa"/>
            <w:vAlign w:val="bottom"/>
          </w:tcPr>
          <w:p w:rsidR="00A621E3" w:rsidRDefault="00EC630E">
            <w:pPr>
              <w:ind w:right="99"/>
              <w:jc w:val="right"/>
              <w:rPr>
                <w:sz w:val="20"/>
                <w:szCs w:val="20"/>
              </w:rPr>
            </w:pPr>
            <w:r>
              <w:rPr>
                <w:rFonts w:ascii="Arial" w:eastAsia="Arial" w:hAnsi="Arial" w:cs="Arial"/>
                <w:color w:val="CF0A2C"/>
                <w:sz w:val="16"/>
                <w:szCs w:val="16"/>
              </w:rPr>
              <w:t>30,603</w:t>
            </w:r>
          </w:p>
        </w:tc>
        <w:tc>
          <w:tcPr>
            <w:tcW w:w="380" w:type="dxa"/>
            <w:vAlign w:val="bottom"/>
          </w:tcPr>
          <w:p w:rsidR="00A621E3" w:rsidRDefault="00A621E3">
            <w:pPr>
              <w:rPr>
                <w:sz w:val="16"/>
                <w:szCs w:val="16"/>
              </w:rPr>
            </w:pPr>
          </w:p>
        </w:tc>
        <w:tc>
          <w:tcPr>
            <w:tcW w:w="800" w:type="dxa"/>
            <w:vAlign w:val="bottom"/>
          </w:tcPr>
          <w:p w:rsidR="00A621E3" w:rsidRDefault="00EC630E">
            <w:pPr>
              <w:jc w:val="right"/>
              <w:rPr>
                <w:sz w:val="20"/>
                <w:szCs w:val="20"/>
              </w:rPr>
            </w:pPr>
            <w:r>
              <w:rPr>
                <w:rFonts w:ascii="Arial" w:eastAsia="Arial" w:hAnsi="Arial" w:cs="Arial"/>
                <w:color w:val="CF0A2C"/>
                <w:sz w:val="16"/>
                <w:szCs w:val="16"/>
              </w:rPr>
              <w:t>37,766</w:t>
            </w:r>
          </w:p>
        </w:tc>
        <w:tc>
          <w:tcPr>
            <w:tcW w:w="60" w:type="dxa"/>
            <w:vAlign w:val="bottom"/>
          </w:tcPr>
          <w:p w:rsidR="00A621E3" w:rsidRDefault="00A621E3">
            <w:pPr>
              <w:rPr>
                <w:sz w:val="16"/>
                <w:szCs w:val="16"/>
              </w:rPr>
            </w:pPr>
          </w:p>
        </w:tc>
        <w:tc>
          <w:tcPr>
            <w:tcW w:w="0" w:type="dxa"/>
            <w:vAlign w:val="bottom"/>
          </w:tcPr>
          <w:p w:rsidR="00A621E3" w:rsidRDefault="00A621E3">
            <w:pPr>
              <w:rPr>
                <w:sz w:val="1"/>
                <w:szCs w:val="1"/>
              </w:rPr>
            </w:pPr>
          </w:p>
        </w:tc>
      </w:tr>
      <w:tr w:rsidR="00A621E3">
        <w:trPr>
          <w:trHeight w:val="187"/>
        </w:trPr>
        <w:tc>
          <w:tcPr>
            <w:tcW w:w="2540" w:type="dxa"/>
            <w:vAlign w:val="bottom"/>
          </w:tcPr>
          <w:p w:rsidR="00A621E3" w:rsidRDefault="00EC630E">
            <w:pPr>
              <w:rPr>
                <w:sz w:val="20"/>
                <w:szCs w:val="20"/>
              </w:rPr>
            </w:pPr>
            <w:r>
              <w:rPr>
                <w:rFonts w:ascii="Arial" w:eastAsia="Arial" w:hAnsi="Arial" w:cs="Arial"/>
                <w:color w:val="CF0A2C"/>
                <w:sz w:val="16"/>
                <w:szCs w:val="16"/>
              </w:rPr>
              <w:t>All other fees</w:t>
            </w:r>
          </w:p>
        </w:tc>
        <w:tc>
          <w:tcPr>
            <w:tcW w:w="320" w:type="dxa"/>
            <w:vAlign w:val="bottom"/>
          </w:tcPr>
          <w:p w:rsidR="00A621E3" w:rsidRDefault="00A621E3">
            <w:pPr>
              <w:rPr>
                <w:sz w:val="16"/>
                <w:szCs w:val="16"/>
              </w:rPr>
            </w:pPr>
          </w:p>
        </w:tc>
        <w:tc>
          <w:tcPr>
            <w:tcW w:w="180" w:type="dxa"/>
            <w:vAlign w:val="bottom"/>
          </w:tcPr>
          <w:p w:rsidR="00A621E3" w:rsidRDefault="00A621E3">
            <w:pPr>
              <w:rPr>
                <w:sz w:val="16"/>
                <w:szCs w:val="16"/>
              </w:rPr>
            </w:pPr>
          </w:p>
        </w:tc>
        <w:tc>
          <w:tcPr>
            <w:tcW w:w="1000" w:type="dxa"/>
            <w:vAlign w:val="bottom"/>
          </w:tcPr>
          <w:p w:rsidR="00A621E3" w:rsidRDefault="00EC630E">
            <w:pPr>
              <w:ind w:right="99"/>
              <w:jc w:val="right"/>
              <w:rPr>
                <w:sz w:val="20"/>
                <w:szCs w:val="20"/>
              </w:rPr>
            </w:pPr>
            <w:r>
              <w:rPr>
                <w:rFonts w:ascii="Arial" w:eastAsia="Arial" w:hAnsi="Arial" w:cs="Arial"/>
                <w:color w:val="CF0A2C"/>
                <w:sz w:val="16"/>
                <w:szCs w:val="16"/>
              </w:rPr>
              <w:t>—</w:t>
            </w:r>
          </w:p>
        </w:tc>
        <w:tc>
          <w:tcPr>
            <w:tcW w:w="380" w:type="dxa"/>
            <w:vAlign w:val="bottom"/>
          </w:tcPr>
          <w:p w:rsidR="00A621E3" w:rsidRDefault="00A621E3">
            <w:pPr>
              <w:rPr>
                <w:sz w:val="16"/>
                <w:szCs w:val="16"/>
              </w:rPr>
            </w:pPr>
          </w:p>
        </w:tc>
        <w:tc>
          <w:tcPr>
            <w:tcW w:w="860" w:type="dxa"/>
            <w:gridSpan w:val="2"/>
            <w:vAlign w:val="bottom"/>
          </w:tcPr>
          <w:p w:rsidR="00A621E3" w:rsidRDefault="00EC630E">
            <w:pPr>
              <w:ind w:right="60"/>
              <w:jc w:val="right"/>
              <w:rPr>
                <w:sz w:val="20"/>
                <w:szCs w:val="20"/>
              </w:rPr>
            </w:pPr>
            <w:r>
              <w:rPr>
                <w:rFonts w:ascii="Arial" w:eastAsia="Arial" w:hAnsi="Arial" w:cs="Arial"/>
                <w:color w:val="CF0A2C"/>
                <w:sz w:val="16"/>
                <w:szCs w:val="16"/>
              </w:rPr>
              <w:t>—</w:t>
            </w:r>
          </w:p>
        </w:tc>
        <w:tc>
          <w:tcPr>
            <w:tcW w:w="0" w:type="dxa"/>
            <w:vAlign w:val="bottom"/>
          </w:tcPr>
          <w:p w:rsidR="00A621E3" w:rsidRDefault="00A621E3">
            <w:pPr>
              <w:rPr>
                <w:sz w:val="1"/>
                <w:szCs w:val="1"/>
              </w:rPr>
            </w:pPr>
          </w:p>
        </w:tc>
      </w:tr>
      <w:tr w:rsidR="00A621E3">
        <w:trPr>
          <w:trHeight w:val="223"/>
        </w:trPr>
        <w:tc>
          <w:tcPr>
            <w:tcW w:w="2540" w:type="dxa"/>
            <w:vAlign w:val="bottom"/>
          </w:tcPr>
          <w:p w:rsidR="00A621E3" w:rsidRDefault="00EC630E">
            <w:pPr>
              <w:rPr>
                <w:sz w:val="20"/>
                <w:szCs w:val="20"/>
              </w:rPr>
            </w:pPr>
            <w:r>
              <w:rPr>
                <w:rFonts w:ascii="Arial" w:eastAsia="Arial" w:hAnsi="Arial" w:cs="Arial"/>
                <w:b/>
                <w:bCs/>
                <w:color w:val="CF0A2C"/>
                <w:sz w:val="16"/>
                <w:szCs w:val="16"/>
              </w:rPr>
              <w:t>TOTAL FEES</w:t>
            </w:r>
          </w:p>
        </w:tc>
        <w:tc>
          <w:tcPr>
            <w:tcW w:w="320" w:type="dxa"/>
            <w:vAlign w:val="bottom"/>
          </w:tcPr>
          <w:p w:rsidR="00A621E3" w:rsidRDefault="00A621E3">
            <w:pPr>
              <w:rPr>
                <w:sz w:val="19"/>
                <w:szCs w:val="19"/>
              </w:rPr>
            </w:pPr>
          </w:p>
        </w:tc>
        <w:tc>
          <w:tcPr>
            <w:tcW w:w="180" w:type="dxa"/>
            <w:tcBorders>
              <w:top w:val="single" w:sz="8" w:space="0" w:color="CF0A2C"/>
              <w:bottom w:val="single" w:sz="8" w:space="0" w:color="CF0A2C"/>
            </w:tcBorders>
            <w:vAlign w:val="bottom"/>
          </w:tcPr>
          <w:p w:rsidR="00A621E3" w:rsidRDefault="00EC630E">
            <w:pPr>
              <w:jc w:val="right"/>
              <w:rPr>
                <w:sz w:val="20"/>
                <w:szCs w:val="20"/>
              </w:rPr>
            </w:pPr>
            <w:r>
              <w:rPr>
                <w:rFonts w:ascii="Arial" w:eastAsia="Arial" w:hAnsi="Arial" w:cs="Arial"/>
                <w:color w:val="CF0A2C"/>
                <w:w w:val="89"/>
                <w:sz w:val="16"/>
                <w:szCs w:val="16"/>
              </w:rPr>
              <w:t>$</w:t>
            </w:r>
          </w:p>
        </w:tc>
        <w:tc>
          <w:tcPr>
            <w:tcW w:w="1000" w:type="dxa"/>
            <w:tcBorders>
              <w:top w:val="single" w:sz="8" w:space="0" w:color="CF0A2C"/>
              <w:bottom w:val="single" w:sz="8" w:space="0" w:color="CF0A2C"/>
            </w:tcBorders>
            <w:vAlign w:val="bottom"/>
          </w:tcPr>
          <w:p w:rsidR="00A621E3" w:rsidRDefault="00EC630E">
            <w:pPr>
              <w:ind w:right="99"/>
              <w:jc w:val="right"/>
              <w:rPr>
                <w:sz w:val="20"/>
                <w:szCs w:val="20"/>
              </w:rPr>
            </w:pPr>
            <w:r>
              <w:rPr>
                <w:rFonts w:ascii="Arial" w:eastAsia="Arial" w:hAnsi="Arial" w:cs="Arial"/>
                <w:color w:val="CF0A2C"/>
                <w:sz w:val="16"/>
                <w:szCs w:val="16"/>
              </w:rPr>
              <w:t>2,927,275</w:t>
            </w:r>
          </w:p>
        </w:tc>
        <w:tc>
          <w:tcPr>
            <w:tcW w:w="380" w:type="dxa"/>
            <w:tcBorders>
              <w:top w:val="single" w:sz="8" w:space="0" w:color="CF0A2C"/>
              <w:bottom w:val="single" w:sz="8" w:space="0" w:color="CF0A2C"/>
            </w:tcBorders>
            <w:vAlign w:val="bottom"/>
          </w:tcPr>
          <w:p w:rsidR="00A621E3" w:rsidRDefault="00EC630E">
            <w:pPr>
              <w:ind w:right="19"/>
              <w:jc w:val="right"/>
              <w:rPr>
                <w:sz w:val="20"/>
                <w:szCs w:val="20"/>
              </w:rPr>
            </w:pPr>
            <w:r>
              <w:rPr>
                <w:rFonts w:ascii="Arial" w:eastAsia="Arial" w:hAnsi="Arial" w:cs="Arial"/>
                <w:color w:val="CF0A2C"/>
                <w:sz w:val="16"/>
                <w:szCs w:val="16"/>
              </w:rPr>
              <w:t>$</w:t>
            </w:r>
          </w:p>
        </w:tc>
        <w:tc>
          <w:tcPr>
            <w:tcW w:w="800" w:type="dxa"/>
            <w:tcBorders>
              <w:top w:val="single" w:sz="8" w:space="0" w:color="CF0A2C"/>
              <w:bottom w:val="single" w:sz="8" w:space="0" w:color="CF0A2C"/>
            </w:tcBorders>
            <w:vAlign w:val="bottom"/>
          </w:tcPr>
          <w:p w:rsidR="00A621E3" w:rsidRDefault="00EC630E">
            <w:pPr>
              <w:jc w:val="right"/>
              <w:rPr>
                <w:sz w:val="20"/>
                <w:szCs w:val="20"/>
              </w:rPr>
            </w:pPr>
            <w:r>
              <w:rPr>
                <w:rFonts w:ascii="Arial" w:eastAsia="Arial" w:hAnsi="Arial" w:cs="Arial"/>
                <w:color w:val="CF0A2C"/>
                <w:sz w:val="16"/>
                <w:szCs w:val="16"/>
              </w:rPr>
              <w:t>3,133,655</w:t>
            </w:r>
          </w:p>
        </w:tc>
        <w:tc>
          <w:tcPr>
            <w:tcW w:w="60" w:type="dxa"/>
            <w:vAlign w:val="bottom"/>
          </w:tcPr>
          <w:p w:rsidR="00A621E3" w:rsidRDefault="00A621E3">
            <w:pPr>
              <w:rPr>
                <w:sz w:val="19"/>
                <w:szCs w:val="19"/>
              </w:rPr>
            </w:pPr>
          </w:p>
        </w:tc>
        <w:tc>
          <w:tcPr>
            <w:tcW w:w="0" w:type="dxa"/>
            <w:vAlign w:val="bottom"/>
          </w:tcPr>
          <w:p w:rsidR="00A621E3" w:rsidRDefault="00A621E3">
            <w:pPr>
              <w:rPr>
                <w:sz w:val="1"/>
                <w:szCs w:val="1"/>
              </w:rPr>
            </w:pPr>
          </w:p>
        </w:tc>
      </w:tr>
      <w:tr w:rsidR="00A621E3">
        <w:trPr>
          <w:trHeight w:val="20"/>
        </w:trPr>
        <w:tc>
          <w:tcPr>
            <w:tcW w:w="2540" w:type="dxa"/>
            <w:vAlign w:val="bottom"/>
          </w:tcPr>
          <w:p w:rsidR="00A621E3" w:rsidRDefault="00A621E3">
            <w:pPr>
              <w:spacing w:line="20" w:lineRule="exact"/>
              <w:rPr>
                <w:sz w:val="1"/>
                <w:szCs w:val="1"/>
              </w:rPr>
            </w:pPr>
          </w:p>
        </w:tc>
        <w:tc>
          <w:tcPr>
            <w:tcW w:w="320" w:type="dxa"/>
            <w:vAlign w:val="bottom"/>
          </w:tcPr>
          <w:p w:rsidR="00A621E3" w:rsidRDefault="00A621E3">
            <w:pPr>
              <w:spacing w:line="20" w:lineRule="exact"/>
              <w:rPr>
                <w:sz w:val="1"/>
                <w:szCs w:val="1"/>
              </w:rPr>
            </w:pPr>
          </w:p>
        </w:tc>
        <w:tc>
          <w:tcPr>
            <w:tcW w:w="180" w:type="dxa"/>
            <w:tcBorders>
              <w:bottom w:val="single" w:sz="8" w:space="0" w:color="CF0A2C"/>
            </w:tcBorders>
            <w:vAlign w:val="bottom"/>
          </w:tcPr>
          <w:p w:rsidR="00A621E3" w:rsidRDefault="00A621E3">
            <w:pPr>
              <w:spacing w:line="20" w:lineRule="exact"/>
              <w:rPr>
                <w:sz w:val="1"/>
                <w:szCs w:val="1"/>
              </w:rPr>
            </w:pPr>
          </w:p>
        </w:tc>
        <w:tc>
          <w:tcPr>
            <w:tcW w:w="1000" w:type="dxa"/>
            <w:tcBorders>
              <w:bottom w:val="single" w:sz="8" w:space="0" w:color="CF0A2C"/>
            </w:tcBorders>
            <w:vAlign w:val="bottom"/>
          </w:tcPr>
          <w:p w:rsidR="00A621E3" w:rsidRDefault="00A621E3">
            <w:pPr>
              <w:spacing w:line="20" w:lineRule="exact"/>
              <w:rPr>
                <w:sz w:val="1"/>
                <w:szCs w:val="1"/>
              </w:rPr>
            </w:pPr>
          </w:p>
        </w:tc>
        <w:tc>
          <w:tcPr>
            <w:tcW w:w="380" w:type="dxa"/>
            <w:tcBorders>
              <w:bottom w:val="single" w:sz="8" w:space="0" w:color="CF0A2C"/>
            </w:tcBorders>
            <w:vAlign w:val="bottom"/>
          </w:tcPr>
          <w:p w:rsidR="00A621E3" w:rsidRDefault="00A621E3">
            <w:pPr>
              <w:spacing w:line="20" w:lineRule="exact"/>
              <w:rPr>
                <w:sz w:val="1"/>
                <w:szCs w:val="1"/>
              </w:rPr>
            </w:pPr>
          </w:p>
        </w:tc>
        <w:tc>
          <w:tcPr>
            <w:tcW w:w="800" w:type="dxa"/>
            <w:tcBorders>
              <w:bottom w:val="single" w:sz="8" w:space="0" w:color="CF0A2C"/>
            </w:tcBorders>
            <w:vAlign w:val="bottom"/>
          </w:tcPr>
          <w:p w:rsidR="00A621E3" w:rsidRDefault="00A621E3">
            <w:pPr>
              <w:spacing w:line="20" w:lineRule="exact"/>
              <w:rPr>
                <w:sz w:val="1"/>
                <w:szCs w:val="1"/>
              </w:rPr>
            </w:pPr>
          </w:p>
        </w:tc>
        <w:tc>
          <w:tcPr>
            <w:tcW w:w="60" w:type="dxa"/>
            <w:vAlign w:val="bottom"/>
          </w:tcPr>
          <w:p w:rsidR="00A621E3" w:rsidRDefault="00A621E3">
            <w:pPr>
              <w:spacing w:line="20" w:lineRule="exact"/>
              <w:rPr>
                <w:sz w:val="1"/>
                <w:szCs w:val="1"/>
              </w:rPr>
            </w:pPr>
          </w:p>
        </w:tc>
        <w:tc>
          <w:tcPr>
            <w:tcW w:w="0" w:type="dxa"/>
            <w:vAlign w:val="bottom"/>
          </w:tcPr>
          <w:p w:rsidR="00A621E3" w:rsidRDefault="00A621E3">
            <w:pPr>
              <w:spacing w:line="20" w:lineRule="exact"/>
              <w:rPr>
                <w:sz w:val="1"/>
                <w:szCs w:val="1"/>
              </w:rPr>
            </w:pPr>
          </w:p>
        </w:tc>
      </w:tr>
    </w:tbl>
    <w:p w:rsidR="00A621E3" w:rsidRDefault="00A621E3">
      <w:pPr>
        <w:spacing w:line="294" w:lineRule="exact"/>
        <w:rPr>
          <w:sz w:val="20"/>
          <w:szCs w:val="20"/>
        </w:rPr>
      </w:pPr>
    </w:p>
    <w:p w:rsidR="00A621E3" w:rsidRDefault="00EC630E">
      <w:pPr>
        <w:numPr>
          <w:ilvl w:val="0"/>
          <w:numId w:val="41"/>
        </w:numPr>
        <w:tabs>
          <w:tab w:val="left" w:pos="620"/>
        </w:tabs>
        <w:spacing w:line="263" w:lineRule="auto"/>
        <w:ind w:left="620" w:hanging="504"/>
        <w:jc w:val="both"/>
        <w:rPr>
          <w:rFonts w:ascii="Arial" w:eastAsia="Arial" w:hAnsi="Arial" w:cs="Arial"/>
          <w:color w:val="CF0A2C"/>
          <w:sz w:val="19"/>
          <w:szCs w:val="19"/>
        </w:rPr>
      </w:pPr>
      <w:r>
        <w:rPr>
          <w:rFonts w:ascii="Arial" w:eastAsia="Arial" w:hAnsi="Arial" w:cs="Arial"/>
          <w:sz w:val="19"/>
          <w:szCs w:val="19"/>
        </w:rPr>
        <w:t xml:space="preserve">Audit fees include fees for the audit of the annual consolidated financial statements, reviews of the interim condensed consolidated </w:t>
      </w:r>
      <w:r>
        <w:rPr>
          <w:rFonts w:ascii="Arial" w:eastAsia="Arial" w:hAnsi="Arial" w:cs="Arial"/>
          <w:sz w:val="19"/>
          <w:szCs w:val="19"/>
        </w:rPr>
        <w:t>financial statements, and services related to statutory filings or engagements.</w:t>
      </w:r>
    </w:p>
    <w:p w:rsidR="00A621E3" w:rsidRDefault="00A621E3">
      <w:pPr>
        <w:spacing w:line="257" w:lineRule="exact"/>
        <w:rPr>
          <w:rFonts w:ascii="Arial" w:eastAsia="Arial" w:hAnsi="Arial" w:cs="Arial"/>
          <w:color w:val="CF0A2C"/>
          <w:sz w:val="19"/>
          <w:szCs w:val="19"/>
        </w:rPr>
      </w:pPr>
    </w:p>
    <w:p w:rsidR="00A621E3" w:rsidRDefault="00EC630E">
      <w:pPr>
        <w:numPr>
          <w:ilvl w:val="0"/>
          <w:numId w:val="41"/>
        </w:numPr>
        <w:tabs>
          <w:tab w:val="left" w:pos="620"/>
        </w:tabs>
        <w:spacing w:line="246" w:lineRule="auto"/>
        <w:ind w:left="620" w:hanging="504"/>
        <w:jc w:val="both"/>
        <w:rPr>
          <w:rFonts w:ascii="Arial" w:eastAsia="Arial" w:hAnsi="Arial" w:cs="Arial"/>
          <w:color w:val="CF0A2C"/>
          <w:sz w:val="20"/>
          <w:szCs w:val="20"/>
        </w:rPr>
      </w:pPr>
      <w:r>
        <w:rPr>
          <w:rFonts w:ascii="Arial" w:eastAsia="Arial" w:hAnsi="Arial" w:cs="Arial"/>
          <w:sz w:val="20"/>
          <w:szCs w:val="20"/>
        </w:rPr>
        <w:t>Audit-related fees consist principally of fees for the attestation services related to certain employee benefit plans and key data as defined in the sustainability report of t</w:t>
      </w:r>
      <w:r>
        <w:rPr>
          <w:rFonts w:ascii="Arial" w:eastAsia="Arial" w:hAnsi="Arial" w:cs="Arial"/>
          <w:sz w:val="20"/>
          <w:szCs w:val="20"/>
        </w:rPr>
        <w:t>he Company.</w:t>
      </w:r>
    </w:p>
    <w:p w:rsidR="00A621E3" w:rsidRDefault="00A621E3">
      <w:pPr>
        <w:spacing w:line="272" w:lineRule="exact"/>
        <w:rPr>
          <w:rFonts w:ascii="Arial" w:eastAsia="Arial" w:hAnsi="Arial" w:cs="Arial"/>
          <w:color w:val="CF0A2C"/>
          <w:sz w:val="20"/>
          <w:szCs w:val="20"/>
        </w:rPr>
      </w:pPr>
    </w:p>
    <w:p w:rsidR="00A621E3" w:rsidRDefault="00EC630E">
      <w:pPr>
        <w:numPr>
          <w:ilvl w:val="0"/>
          <w:numId w:val="41"/>
        </w:numPr>
        <w:tabs>
          <w:tab w:val="left" w:pos="620"/>
        </w:tabs>
        <w:spacing w:line="260" w:lineRule="auto"/>
        <w:ind w:left="620" w:hanging="504"/>
        <w:rPr>
          <w:rFonts w:ascii="Arial" w:eastAsia="Arial" w:hAnsi="Arial" w:cs="Arial"/>
          <w:color w:val="CF0A2C"/>
          <w:sz w:val="20"/>
          <w:szCs w:val="20"/>
        </w:rPr>
      </w:pPr>
      <w:r>
        <w:rPr>
          <w:rFonts w:ascii="Arial" w:eastAsia="Arial" w:hAnsi="Arial" w:cs="Arial"/>
          <w:sz w:val="20"/>
          <w:szCs w:val="20"/>
        </w:rPr>
        <w:t>Tax fees consist principally of fees for tax filling assistance and tax advisory services.</w:t>
      </w:r>
    </w:p>
    <w:p w:rsidR="00A621E3" w:rsidRDefault="00A621E3">
      <w:pPr>
        <w:spacing w:line="211" w:lineRule="exact"/>
        <w:rPr>
          <w:sz w:val="20"/>
          <w:szCs w:val="20"/>
        </w:rPr>
      </w:pPr>
    </w:p>
    <w:p w:rsidR="00A621E3" w:rsidRDefault="00EC630E">
      <w:pPr>
        <w:spacing w:line="267" w:lineRule="auto"/>
        <w:ind w:left="120"/>
        <w:rPr>
          <w:sz w:val="20"/>
          <w:szCs w:val="20"/>
        </w:rPr>
      </w:pPr>
      <w:r>
        <w:rPr>
          <w:rFonts w:ascii="Arial" w:eastAsia="Arial" w:hAnsi="Arial" w:cs="Arial"/>
          <w:b/>
          <w:bCs/>
          <w:color w:val="CF0A2C"/>
          <w:sz w:val="20"/>
          <w:szCs w:val="20"/>
        </w:rPr>
        <w:t>What is the Company’s policy regarding the approval of audit and non-audit services?</w:t>
      </w:r>
    </w:p>
    <w:p w:rsidR="00A621E3" w:rsidRDefault="00A621E3">
      <w:pPr>
        <w:spacing w:line="196" w:lineRule="exact"/>
        <w:rPr>
          <w:sz w:val="20"/>
          <w:szCs w:val="20"/>
        </w:rPr>
      </w:pPr>
    </w:p>
    <w:p w:rsidR="00A621E3" w:rsidRDefault="00EC630E">
      <w:pPr>
        <w:spacing w:line="260" w:lineRule="auto"/>
        <w:ind w:left="120"/>
        <w:rPr>
          <w:sz w:val="20"/>
          <w:szCs w:val="20"/>
        </w:rPr>
      </w:pPr>
      <w:r>
        <w:rPr>
          <w:rFonts w:ascii="Arial" w:eastAsia="Arial" w:hAnsi="Arial" w:cs="Arial"/>
          <w:sz w:val="20"/>
          <w:szCs w:val="20"/>
        </w:rPr>
        <w:t>The Audit Committee has implemented a policy for the pre-approval</w:t>
      </w:r>
      <w:r>
        <w:rPr>
          <w:rFonts w:ascii="Arial" w:eastAsia="Arial" w:hAnsi="Arial" w:cs="Arial"/>
          <w:sz w:val="20"/>
          <w:szCs w:val="20"/>
        </w:rPr>
        <w:t xml:space="preserve"> of all audit and permitted non-audit services,</w:t>
      </w:r>
    </w:p>
    <w:p w:rsidR="00A621E3" w:rsidRDefault="00A621E3">
      <w:pPr>
        <w:spacing w:line="265" w:lineRule="exact"/>
        <w:rPr>
          <w:sz w:val="20"/>
          <w:szCs w:val="20"/>
        </w:rPr>
      </w:pPr>
    </w:p>
    <w:p w:rsidR="00A621E3" w:rsidRDefault="00EC630E">
      <w:pPr>
        <w:numPr>
          <w:ilvl w:val="0"/>
          <w:numId w:val="42"/>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82310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0" w:lineRule="exact"/>
        <w:rPr>
          <w:sz w:val="20"/>
          <w:szCs w:val="20"/>
        </w:rPr>
      </w:pPr>
    </w:p>
    <w:p w:rsidR="00A621E3" w:rsidRDefault="00EC630E">
      <w:pPr>
        <w:spacing w:line="257" w:lineRule="auto"/>
        <w:jc w:val="both"/>
        <w:rPr>
          <w:sz w:val="20"/>
          <w:szCs w:val="20"/>
        </w:rPr>
      </w:pPr>
      <w:r>
        <w:rPr>
          <w:rFonts w:ascii="Arial" w:eastAsia="Arial" w:hAnsi="Arial" w:cs="Arial"/>
          <w:sz w:val="19"/>
          <w:szCs w:val="19"/>
        </w:rPr>
        <w:t xml:space="preserve">including tax services, proposed to be provided to the Company by its independent auditors. Under the policy, the Audit Committee may approve engagements on a </w:t>
      </w:r>
      <w:r>
        <w:rPr>
          <w:rFonts w:ascii="Arial" w:eastAsia="Arial" w:hAnsi="Arial" w:cs="Arial"/>
          <w:sz w:val="19"/>
          <w:szCs w:val="19"/>
        </w:rPr>
        <w:t>case-by-case basis or pre-approve engagements on a categorical basis pursuant to the Audit Committee’s pre-approval policy. The Audit Committee may delegate pre-approval authority to one of its independent members and has currently delegated pre-approval a</w:t>
      </w:r>
      <w:r>
        <w:rPr>
          <w:rFonts w:ascii="Arial" w:eastAsia="Arial" w:hAnsi="Arial" w:cs="Arial"/>
          <w:sz w:val="19"/>
          <w:szCs w:val="19"/>
        </w:rPr>
        <w:t>uthority up to certain amounts to its Chairperson.</w:t>
      </w:r>
    </w:p>
    <w:p w:rsidR="00A621E3" w:rsidRDefault="00EC630E">
      <w:pPr>
        <w:spacing w:line="20" w:lineRule="exact"/>
        <w:rPr>
          <w:sz w:val="20"/>
          <w:szCs w:val="20"/>
        </w:rPr>
      </w:pPr>
      <w:r>
        <w:rPr>
          <w:noProof/>
          <w:sz w:val="20"/>
          <w:szCs w:val="20"/>
        </w:rPr>
        <w:drawing>
          <wp:anchor distT="0" distB="0" distL="114300" distR="114300" simplePos="0" relativeHeight="251824128" behindDoc="1" locked="0" layoutInCell="0" allowOverlap="1">
            <wp:simplePos x="0" y="0"/>
            <wp:positionH relativeFrom="column">
              <wp:posOffset>-3651885</wp:posOffset>
            </wp:positionH>
            <wp:positionV relativeFrom="paragraph">
              <wp:posOffset>-2068830</wp:posOffset>
            </wp:positionV>
            <wp:extent cx="7174865" cy="55245"/>
            <wp:effectExtent l="0" t="0" r="0"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p>
    <w:p w:rsidR="00A621E3" w:rsidRDefault="00A621E3">
      <w:pPr>
        <w:spacing w:line="201" w:lineRule="exact"/>
        <w:rPr>
          <w:sz w:val="20"/>
          <w:szCs w:val="20"/>
        </w:rPr>
      </w:pPr>
    </w:p>
    <w:p w:rsidR="00A621E3" w:rsidRDefault="00EC630E">
      <w:pPr>
        <w:spacing w:line="271" w:lineRule="auto"/>
        <w:jc w:val="both"/>
        <w:rPr>
          <w:sz w:val="20"/>
          <w:szCs w:val="20"/>
        </w:rPr>
      </w:pPr>
      <w:r>
        <w:rPr>
          <w:rFonts w:ascii="Arial" w:eastAsia="Arial" w:hAnsi="Arial" w:cs="Arial"/>
          <w:sz w:val="18"/>
          <w:szCs w:val="18"/>
        </w:rPr>
        <w:t xml:space="preserve">In considering pre-approvals, the Audit Committee considers the nature, scope and fees of the service to be provided to the Company as well as the principles and guidance established by the SEC and the </w:t>
      </w:r>
      <w:r>
        <w:rPr>
          <w:rFonts w:ascii="Arial" w:eastAsia="Arial" w:hAnsi="Arial" w:cs="Arial"/>
          <w:sz w:val="18"/>
          <w:szCs w:val="18"/>
        </w:rPr>
        <w:t>Public Company Accounting Oversight Board (“</w:t>
      </w:r>
      <w:r>
        <w:rPr>
          <w:rFonts w:ascii="Arial" w:eastAsia="Arial" w:hAnsi="Arial" w:cs="Arial"/>
          <w:b/>
          <w:bCs/>
          <w:i/>
          <w:iCs/>
          <w:sz w:val="18"/>
          <w:szCs w:val="18"/>
        </w:rPr>
        <w:t>PCAOB</w:t>
      </w:r>
      <w:r>
        <w:rPr>
          <w:rFonts w:ascii="Arial" w:eastAsia="Arial" w:hAnsi="Arial" w:cs="Arial"/>
          <w:sz w:val="18"/>
          <w:szCs w:val="18"/>
        </w:rPr>
        <w:t>”) with respect to auditor independence. Services as to which a general pre-approval has been granted on an annual basis are effective for the applicable year. Any proposed service for which the estimated fe</w:t>
      </w:r>
      <w:r>
        <w:rPr>
          <w:rFonts w:ascii="Arial" w:eastAsia="Arial" w:hAnsi="Arial" w:cs="Arial"/>
          <w:sz w:val="18"/>
          <w:szCs w:val="18"/>
        </w:rPr>
        <w:t>es would cause the total fees for that class of service to exceed the applicable estimated fee threshold requires specific approval by the Audit Committee or its delegate.</w:t>
      </w:r>
    </w:p>
    <w:p w:rsidR="00A621E3" w:rsidRDefault="00A621E3">
      <w:pPr>
        <w:spacing w:line="214" w:lineRule="exact"/>
        <w:rPr>
          <w:sz w:val="20"/>
          <w:szCs w:val="20"/>
        </w:rPr>
      </w:pPr>
    </w:p>
    <w:p w:rsidR="00A621E3" w:rsidRDefault="00EC630E">
      <w:pPr>
        <w:spacing w:line="255" w:lineRule="auto"/>
        <w:jc w:val="both"/>
        <w:rPr>
          <w:sz w:val="20"/>
          <w:szCs w:val="20"/>
        </w:rPr>
      </w:pPr>
      <w:r>
        <w:rPr>
          <w:rFonts w:ascii="Arial" w:eastAsia="Arial" w:hAnsi="Arial" w:cs="Arial"/>
          <w:sz w:val="19"/>
          <w:szCs w:val="19"/>
        </w:rPr>
        <w:t xml:space="preserve">The Principal Accounting Officer monitors the performance of all services provided </w:t>
      </w:r>
      <w:r>
        <w:rPr>
          <w:rFonts w:ascii="Arial" w:eastAsia="Arial" w:hAnsi="Arial" w:cs="Arial"/>
          <w:sz w:val="19"/>
          <w:szCs w:val="19"/>
        </w:rPr>
        <w:t>by the independent auditors and determines whether such services are in compliance with this policy. The Principal Accounting Officer reports periodically to the Audit Committee with respect to compliance with this policy and the status of outstanding enga</w:t>
      </w:r>
      <w:r>
        <w:rPr>
          <w:rFonts w:ascii="Arial" w:eastAsia="Arial" w:hAnsi="Arial" w:cs="Arial"/>
          <w:sz w:val="19"/>
          <w:szCs w:val="19"/>
        </w:rPr>
        <w:t>gements, including actual services provided by the independent auditors and associated fees, and must promptly report to the Chairperson of the Audit Committee any non-compliance (or attempted non-compliance) with this policy of which the Principal Account</w:t>
      </w:r>
      <w:r>
        <w:rPr>
          <w:rFonts w:ascii="Arial" w:eastAsia="Arial" w:hAnsi="Arial" w:cs="Arial"/>
          <w:sz w:val="19"/>
          <w:szCs w:val="19"/>
        </w:rPr>
        <w:t>ing Officer becomes aware.</w:t>
      </w: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38" w:name="page38"/>
      <w:bookmarkEnd w:id="38"/>
      <w:r>
        <w:rPr>
          <w:rFonts w:ascii="Arial" w:eastAsia="Arial" w:hAnsi="Arial" w:cs="Arial"/>
          <w:b/>
          <w:bCs/>
          <w:noProof/>
          <w:color w:val="0000EE"/>
          <w:sz w:val="18"/>
          <w:szCs w:val="18"/>
          <w:u w:val="single"/>
        </w:rPr>
        <w:lastRenderedPageBreak/>
        <w:drawing>
          <wp:anchor distT="0" distB="0" distL="114300" distR="114300" simplePos="0" relativeHeight="251825152"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26176" behindDoc="1" locked="0" layoutInCell="0" allowOverlap="1">
            <wp:simplePos x="0" y="0"/>
            <wp:positionH relativeFrom="column">
              <wp:posOffset>4471035</wp:posOffset>
            </wp:positionH>
            <wp:positionV relativeFrom="paragraph">
              <wp:posOffset>205740</wp:posOffset>
            </wp:positionV>
            <wp:extent cx="2597150" cy="205740"/>
            <wp:effectExtent l="0" t="0" r="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0">
                      <a:extLst/>
                    </a:blip>
                    <a:srcRect/>
                    <a:stretch>
                      <a:fillRect/>
                    </a:stretch>
                  </pic:blipFill>
                  <pic:spPr bwMode="auto">
                    <a:xfrm>
                      <a:off x="0" y="0"/>
                      <a:ext cx="259715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7280"/>
        <w:rPr>
          <w:sz w:val="20"/>
          <w:szCs w:val="20"/>
        </w:rPr>
      </w:pPr>
      <w:r>
        <w:rPr>
          <w:rFonts w:ascii="Arial" w:eastAsia="Arial" w:hAnsi="Arial" w:cs="Arial"/>
          <w:b/>
          <w:bCs/>
          <w:color w:val="FFFFFF"/>
          <w:sz w:val="16"/>
          <w:szCs w:val="16"/>
        </w:rPr>
        <w:t>MATTERS REQUIRING STOCKHOLDER ACTION</w:t>
      </w:r>
    </w:p>
    <w:p w:rsidR="00A621E3" w:rsidRDefault="00A621E3">
      <w:pPr>
        <w:spacing w:line="189" w:lineRule="exact"/>
        <w:rPr>
          <w:sz w:val="20"/>
          <w:szCs w:val="20"/>
        </w:rPr>
      </w:pPr>
    </w:p>
    <w:p w:rsidR="00A621E3" w:rsidRDefault="00EC630E">
      <w:pPr>
        <w:tabs>
          <w:tab w:val="left" w:pos="1600"/>
        </w:tabs>
        <w:ind w:left="120"/>
        <w:rPr>
          <w:sz w:val="20"/>
          <w:szCs w:val="20"/>
        </w:rPr>
      </w:pPr>
      <w:r>
        <w:rPr>
          <w:rFonts w:ascii="Arial" w:eastAsia="Arial" w:hAnsi="Arial" w:cs="Arial"/>
          <w:b/>
          <w:bCs/>
          <w:color w:val="CF0A2C"/>
          <w:sz w:val="32"/>
          <w:szCs w:val="32"/>
        </w:rPr>
        <w:t>ITEM 3.</w:t>
      </w:r>
      <w:r>
        <w:rPr>
          <w:rFonts w:ascii="Arial" w:eastAsia="Arial" w:hAnsi="Arial" w:cs="Arial"/>
          <w:b/>
          <w:bCs/>
          <w:color w:val="CF0A2C"/>
          <w:sz w:val="32"/>
          <w:szCs w:val="32"/>
        </w:rPr>
        <w:tab/>
        <w:t>Advisory Vote on Named Executive Officer Compensation</w:t>
      </w:r>
    </w:p>
    <w:p w:rsidR="00A621E3" w:rsidRDefault="00EC630E">
      <w:pPr>
        <w:spacing w:line="20" w:lineRule="exact"/>
        <w:rPr>
          <w:sz w:val="20"/>
          <w:szCs w:val="20"/>
        </w:rPr>
      </w:pPr>
      <w:r>
        <w:rPr>
          <w:noProof/>
          <w:sz w:val="20"/>
          <w:szCs w:val="20"/>
        </w:rPr>
        <w:drawing>
          <wp:anchor distT="0" distB="0" distL="114300" distR="114300" simplePos="0" relativeHeight="251827200"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4" w:lineRule="exact"/>
        <w:rPr>
          <w:sz w:val="20"/>
          <w:szCs w:val="20"/>
        </w:rPr>
      </w:pPr>
    </w:p>
    <w:p w:rsidR="00A621E3" w:rsidRDefault="00EC630E">
      <w:pPr>
        <w:ind w:left="120"/>
        <w:rPr>
          <w:sz w:val="20"/>
          <w:szCs w:val="20"/>
        </w:rPr>
      </w:pPr>
      <w:r>
        <w:rPr>
          <w:rFonts w:ascii="Arial" w:eastAsia="Arial" w:hAnsi="Arial" w:cs="Arial"/>
          <w:b/>
          <w:bCs/>
          <w:color w:val="CF0A2C"/>
          <w:sz w:val="20"/>
          <w:szCs w:val="20"/>
        </w:rPr>
        <w:t>What am I voting on?</w:t>
      </w:r>
    </w:p>
    <w:p w:rsidR="00A621E3" w:rsidRDefault="00A621E3">
      <w:pPr>
        <w:spacing w:line="262" w:lineRule="exact"/>
        <w:rPr>
          <w:sz w:val="20"/>
          <w:szCs w:val="20"/>
        </w:rPr>
      </w:pPr>
    </w:p>
    <w:p w:rsidR="00A621E3" w:rsidRDefault="00EC630E">
      <w:pPr>
        <w:spacing w:line="271" w:lineRule="auto"/>
        <w:ind w:left="120"/>
        <w:jc w:val="both"/>
        <w:rPr>
          <w:sz w:val="20"/>
          <w:szCs w:val="20"/>
        </w:rPr>
      </w:pPr>
      <w:r>
        <w:rPr>
          <w:rFonts w:ascii="Arial" w:eastAsia="Arial" w:hAnsi="Arial" w:cs="Arial"/>
          <w:sz w:val="18"/>
          <w:szCs w:val="18"/>
        </w:rPr>
        <w:t xml:space="preserve">In accordance with SEC rules, we </w:t>
      </w:r>
      <w:r>
        <w:rPr>
          <w:rFonts w:ascii="Arial" w:eastAsia="Arial" w:hAnsi="Arial" w:cs="Arial"/>
          <w:sz w:val="18"/>
          <w:szCs w:val="18"/>
        </w:rPr>
        <w:t>are asking stockholders to approve, on a non-binding basis, the compensation of the Company’s named executive officers as disclosed in this proxy statement. This non-binding advisory vote is also known as the “Say on Pay” vote. This is not a vote on the Co</w:t>
      </w:r>
      <w:r>
        <w:rPr>
          <w:rFonts w:ascii="Arial" w:eastAsia="Arial" w:hAnsi="Arial" w:cs="Arial"/>
          <w:sz w:val="18"/>
          <w:szCs w:val="18"/>
        </w:rPr>
        <w:t>mpany’s general compensation policies or the compensation of the Board. At the 2022 annual meeting of the Company’s stockholders, approximately 89% of the votes cast by our stockholders were voted in approval of the compensation of our named executive offi</w:t>
      </w:r>
      <w:r>
        <w:rPr>
          <w:rFonts w:ascii="Arial" w:eastAsia="Arial" w:hAnsi="Arial" w:cs="Arial"/>
          <w:sz w:val="18"/>
          <w:szCs w:val="18"/>
        </w:rPr>
        <w:t>cers as disclosed in the 2022 proxy statement.</w:t>
      </w:r>
    </w:p>
    <w:p w:rsidR="00A621E3" w:rsidRDefault="00A621E3">
      <w:pPr>
        <w:spacing w:line="201" w:lineRule="exact"/>
        <w:rPr>
          <w:sz w:val="20"/>
          <w:szCs w:val="20"/>
        </w:rPr>
      </w:pPr>
    </w:p>
    <w:p w:rsidR="00A621E3" w:rsidRDefault="00EC630E">
      <w:pPr>
        <w:spacing w:line="256" w:lineRule="auto"/>
        <w:ind w:left="120"/>
        <w:jc w:val="both"/>
        <w:rPr>
          <w:sz w:val="20"/>
          <w:szCs w:val="20"/>
        </w:rPr>
      </w:pPr>
      <w:r>
        <w:rPr>
          <w:rFonts w:ascii="Arial" w:eastAsia="Arial" w:hAnsi="Arial" w:cs="Arial"/>
          <w:sz w:val="19"/>
          <w:szCs w:val="19"/>
        </w:rPr>
        <w:t>Our performance-based executive compensation program is designed to attract, reward and retain the talented leaders necessary for our Company to succeed in the highly competitive market for talent, while maxi</w:t>
      </w:r>
      <w:r>
        <w:rPr>
          <w:rFonts w:ascii="Arial" w:eastAsia="Arial" w:hAnsi="Arial" w:cs="Arial"/>
          <w:sz w:val="19"/>
          <w:szCs w:val="19"/>
        </w:rPr>
        <w:t>mizing stockholder returns. This approach has made our management team a key driver in the Company’s strong performance over both the long and short term. We believe that our compensation program has attracted and retained strong leaders, and is closely al</w:t>
      </w:r>
      <w:r>
        <w:rPr>
          <w:rFonts w:ascii="Arial" w:eastAsia="Arial" w:hAnsi="Arial" w:cs="Arial"/>
          <w:sz w:val="19"/>
          <w:szCs w:val="19"/>
        </w:rPr>
        <w:t>igned with the interests of our stockholders.</w:t>
      </w:r>
    </w:p>
    <w:p w:rsidR="00A621E3" w:rsidRDefault="00A621E3">
      <w:pPr>
        <w:spacing w:line="225" w:lineRule="exact"/>
        <w:rPr>
          <w:sz w:val="20"/>
          <w:szCs w:val="20"/>
        </w:rPr>
      </w:pPr>
    </w:p>
    <w:p w:rsidR="00A621E3" w:rsidRDefault="00EC630E">
      <w:pPr>
        <w:spacing w:line="250" w:lineRule="auto"/>
        <w:ind w:left="120"/>
        <w:jc w:val="both"/>
        <w:rPr>
          <w:sz w:val="20"/>
          <w:szCs w:val="20"/>
        </w:rPr>
      </w:pPr>
      <w:r>
        <w:rPr>
          <w:rFonts w:ascii="Arial" w:eastAsia="Arial" w:hAnsi="Arial" w:cs="Arial"/>
          <w:sz w:val="20"/>
          <w:szCs w:val="20"/>
        </w:rPr>
        <w:t>In deciding how to vote on this proposal, we urge you to read the Compensation Discussion and Analysis section of this proxy statement, which discusses in detail how our</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spacing w:line="291" w:lineRule="auto"/>
        <w:ind w:right="20"/>
        <w:jc w:val="both"/>
        <w:rPr>
          <w:sz w:val="20"/>
          <w:szCs w:val="20"/>
        </w:rPr>
      </w:pPr>
      <w:r>
        <w:rPr>
          <w:rFonts w:ascii="Arial" w:eastAsia="Arial" w:hAnsi="Arial" w:cs="Arial"/>
          <w:sz w:val="18"/>
          <w:szCs w:val="18"/>
        </w:rPr>
        <w:t>compensation policies and procedure</w:t>
      </w:r>
      <w:r>
        <w:rPr>
          <w:rFonts w:ascii="Arial" w:eastAsia="Arial" w:hAnsi="Arial" w:cs="Arial"/>
          <w:sz w:val="18"/>
          <w:szCs w:val="18"/>
        </w:rPr>
        <w:t>s operate and are designed to meet our compensation goals and how our Compensation Committee makes compensation decisions under our programs.</w:t>
      </w:r>
    </w:p>
    <w:p w:rsidR="00A621E3" w:rsidRDefault="00A621E3">
      <w:pPr>
        <w:spacing w:line="192" w:lineRule="exact"/>
        <w:rPr>
          <w:sz w:val="20"/>
          <w:szCs w:val="20"/>
        </w:rPr>
      </w:pPr>
    </w:p>
    <w:p w:rsidR="00A621E3" w:rsidRDefault="00EC630E">
      <w:pPr>
        <w:spacing w:line="260" w:lineRule="auto"/>
        <w:ind w:right="20"/>
        <w:jc w:val="both"/>
        <w:rPr>
          <w:sz w:val="20"/>
          <w:szCs w:val="20"/>
        </w:rPr>
      </w:pPr>
      <w:r>
        <w:rPr>
          <w:rFonts w:ascii="Arial" w:eastAsia="Arial" w:hAnsi="Arial" w:cs="Arial"/>
          <w:sz w:val="20"/>
          <w:szCs w:val="20"/>
        </w:rPr>
        <w:t>Accordingly, we ask our stockholders to vote in favor of the following resolution at the Annual Meeting:</w:t>
      </w:r>
    </w:p>
    <w:p w:rsidR="00A621E3" w:rsidRDefault="00A621E3">
      <w:pPr>
        <w:spacing w:line="204" w:lineRule="exact"/>
        <w:rPr>
          <w:sz w:val="20"/>
          <w:szCs w:val="20"/>
        </w:rPr>
      </w:pPr>
    </w:p>
    <w:p w:rsidR="00A621E3" w:rsidRDefault="00EC630E">
      <w:pPr>
        <w:spacing w:line="263" w:lineRule="auto"/>
        <w:jc w:val="both"/>
        <w:rPr>
          <w:sz w:val="20"/>
          <w:szCs w:val="20"/>
        </w:rPr>
      </w:pPr>
      <w:r>
        <w:rPr>
          <w:rFonts w:ascii="Arial" w:eastAsia="Arial" w:hAnsi="Arial" w:cs="Arial"/>
          <w:sz w:val="19"/>
          <w:szCs w:val="19"/>
        </w:rPr>
        <w:t>“RESOLVED, that the compensation paid to the named executive officers, as disclosed in the Compensation Discussion and Analysis, the compensation tables and related materials included in the proxy statement, is hereby approved.”</w:t>
      </w:r>
    </w:p>
    <w:p w:rsidR="00A621E3" w:rsidRDefault="00A621E3">
      <w:pPr>
        <w:spacing w:line="211" w:lineRule="exact"/>
        <w:rPr>
          <w:sz w:val="20"/>
          <w:szCs w:val="20"/>
        </w:rPr>
      </w:pPr>
    </w:p>
    <w:p w:rsidR="00A621E3" w:rsidRDefault="00EC630E">
      <w:pPr>
        <w:rPr>
          <w:sz w:val="20"/>
          <w:szCs w:val="20"/>
        </w:rPr>
      </w:pPr>
      <w:r>
        <w:rPr>
          <w:rFonts w:ascii="Arial" w:eastAsia="Arial" w:hAnsi="Arial" w:cs="Arial"/>
          <w:b/>
          <w:bCs/>
          <w:color w:val="CF0A2C"/>
          <w:sz w:val="20"/>
          <w:szCs w:val="20"/>
        </w:rPr>
        <w:t>What vote is required to a</w:t>
      </w:r>
      <w:r>
        <w:rPr>
          <w:rFonts w:ascii="Arial" w:eastAsia="Arial" w:hAnsi="Arial" w:cs="Arial"/>
          <w:b/>
          <w:bCs/>
          <w:color w:val="CF0A2C"/>
          <w:sz w:val="20"/>
          <w:szCs w:val="20"/>
        </w:rPr>
        <w:t>pprove this proposal?</w:t>
      </w:r>
    </w:p>
    <w:p w:rsidR="00A621E3" w:rsidRDefault="00A621E3">
      <w:pPr>
        <w:spacing w:line="262" w:lineRule="exact"/>
        <w:rPr>
          <w:sz w:val="20"/>
          <w:szCs w:val="20"/>
        </w:rPr>
      </w:pPr>
    </w:p>
    <w:p w:rsidR="00A621E3" w:rsidRDefault="00EC630E">
      <w:pPr>
        <w:spacing w:line="257" w:lineRule="auto"/>
        <w:ind w:right="20"/>
        <w:jc w:val="both"/>
        <w:rPr>
          <w:sz w:val="20"/>
          <w:szCs w:val="20"/>
        </w:rPr>
      </w:pPr>
      <w:r>
        <w:rPr>
          <w:rFonts w:ascii="Arial" w:eastAsia="Arial" w:hAnsi="Arial" w:cs="Arial"/>
          <w:sz w:val="19"/>
          <w:szCs w:val="19"/>
        </w:rPr>
        <w:t>Approval of this proposal requires the affirmative vote of a majority of shares present in person or represented by proxy and entitled to vote at the Annual Meeting. While this vote is advisory and non-binding on the Company, the Boa</w:t>
      </w:r>
      <w:r>
        <w:rPr>
          <w:rFonts w:ascii="Arial" w:eastAsia="Arial" w:hAnsi="Arial" w:cs="Arial"/>
          <w:sz w:val="19"/>
          <w:szCs w:val="19"/>
        </w:rPr>
        <w:t>rd of Directors and the Compensation Committee will review the voting results and consider stockholder concerns in its continuing evaluation of the Company’s compensation program.</w:t>
      </w:r>
    </w:p>
    <w:p w:rsidR="00A621E3" w:rsidRDefault="00A621E3">
      <w:pPr>
        <w:spacing w:line="212" w:lineRule="exact"/>
        <w:rPr>
          <w:sz w:val="20"/>
          <w:szCs w:val="20"/>
        </w:rPr>
      </w:pPr>
    </w:p>
    <w:p w:rsidR="00A621E3" w:rsidRDefault="00EC630E">
      <w:pPr>
        <w:spacing w:line="260" w:lineRule="auto"/>
        <w:ind w:right="20"/>
        <w:jc w:val="both"/>
        <w:rPr>
          <w:sz w:val="20"/>
          <w:szCs w:val="20"/>
        </w:rPr>
      </w:pPr>
      <w:r>
        <w:rPr>
          <w:rFonts w:ascii="Arial" w:eastAsia="Arial" w:hAnsi="Arial" w:cs="Arial"/>
          <w:b/>
          <w:bCs/>
          <w:i/>
          <w:iCs/>
          <w:color w:val="CF0A2C"/>
          <w:sz w:val="20"/>
          <w:szCs w:val="20"/>
        </w:rPr>
        <w:t>The Board of Directors recommends that you vote FOR approval of this propos</w:t>
      </w:r>
      <w:r>
        <w:rPr>
          <w:rFonts w:ascii="Arial" w:eastAsia="Arial" w:hAnsi="Arial" w:cs="Arial"/>
          <w:b/>
          <w:bCs/>
          <w:i/>
          <w:iCs/>
          <w:color w:val="CF0A2C"/>
          <w:sz w:val="20"/>
          <w:szCs w:val="20"/>
        </w:rPr>
        <w:t>al.</w:t>
      </w:r>
    </w:p>
    <w:p w:rsidR="00A621E3" w:rsidRDefault="00A621E3">
      <w:pPr>
        <w:spacing w:line="609"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70"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33</w:t>
      </w:r>
    </w:p>
    <w:p w:rsidR="00A621E3" w:rsidRDefault="00EC630E">
      <w:pPr>
        <w:spacing w:line="20" w:lineRule="exact"/>
        <w:rPr>
          <w:sz w:val="20"/>
          <w:szCs w:val="20"/>
        </w:rPr>
      </w:pPr>
      <w:r>
        <w:rPr>
          <w:noProof/>
          <w:sz w:val="20"/>
          <w:szCs w:val="20"/>
        </w:rPr>
        <w:drawing>
          <wp:anchor distT="0" distB="0" distL="114300" distR="114300" simplePos="0" relativeHeight="251828224"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39" w:name="page39"/>
      <w:bookmarkEnd w:id="39"/>
      <w:r>
        <w:rPr>
          <w:rFonts w:ascii="Arial" w:eastAsia="Arial" w:hAnsi="Arial" w:cs="Arial"/>
          <w:b/>
          <w:bCs/>
          <w:noProof/>
          <w:color w:val="0000EE"/>
          <w:sz w:val="18"/>
          <w:szCs w:val="18"/>
          <w:u w:val="single"/>
        </w:rPr>
        <w:lastRenderedPageBreak/>
        <w:drawing>
          <wp:anchor distT="0" distB="0" distL="114300" distR="114300" simplePos="0" relativeHeight="25182924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30272" behindDoc="1" locked="0" layoutInCell="0" allowOverlap="1">
            <wp:simplePos x="0" y="0"/>
            <wp:positionH relativeFrom="column">
              <wp:posOffset>73660</wp:posOffset>
            </wp:positionH>
            <wp:positionV relativeFrom="paragraph">
              <wp:posOffset>205740</wp:posOffset>
            </wp:positionV>
            <wp:extent cx="2486025" cy="205740"/>
            <wp:effectExtent l="0" t="0" r="0" b="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7">
                      <a:extLst/>
                    </a:blip>
                    <a:srcRect/>
                    <a:stretch>
                      <a:fillRect/>
                    </a:stretch>
                  </pic:blipFill>
                  <pic:spPr bwMode="auto">
                    <a:xfrm>
                      <a:off x="0" y="0"/>
                      <a:ext cx="248602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MATTERS REQUIRING STOCKHOLDER ACTION</w:t>
      </w:r>
    </w:p>
    <w:p w:rsidR="00A621E3" w:rsidRDefault="00A621E3">
      <w:pPr>
        <w:spacing w:line="189" w:lineRule="exact"/>
        <w:rPr>
          <w:sz w:val="20"/>
          <w:szCs w:val="20"/>
        </w:rPr>
      </w:pPr>
    </w:p>
    <w:p w:rsidR="00A621E3" w:rsidRDefault="00EC630E">
      <w:pPr>
        <w:spacing w:line="286" w:lineRule="auto"/>
        <w:ind w:left="120" w:right="860"/>
        <w:rPr>
          <w:sz w:val="20"/>
          <w:szCs w:val="20"/>
        </w:rPr>
      </w:pPr>
      <w:r>
        <w:rPr>
          <w:rFonts w:ascii="Arial" w:eastAsia="Arial" w:hAnsi="Arial" w:cs="Arial"/>
          <w:b/>
          <w:bCs/>
          <w:color w:val="CF0A2C"/>
          <w:sz w:val="32"/>
          <w:szCs w:val="32"/>
        </w:rPr>
        <w:t>ITEM 4. Advisory Vote on the Frequency of the Advisory Vote on Named Executive Officer Compensation</w:t>
      </w:r>
    </w:p>
    <w:p w:rsidR="00A621E3" w:rsidRDefault="00EC630E">
      <w:pPr>
        <w:spacing w:line="20" w:lineRule="exact"/>
        <w:rPr>
          <w:sz w:val="20"/>
          <w:szCs w:val="20"/>
        </w:rPr>
      </w:pPr>
      <w:r>
        <w:rPr>
          <w:noProof/>
          <w:sz w:val="20"/>
          <w:szCs w:val="20"/>
        </w:rPr>
        <w:drawing>
          <wp:anchor distT="0" distB="0" distL="114300" distR="114300" simplePos="0" relativeHeight="251831296" behindDoc="1" locked="0" layoutInCell="0" allowOverlap="1">
            <wp:simplePos x="0" y="0"/>
            <wp:positionH relativeFrom="column">
              <wp:posOffset>73660</wp:posOffset>
            </wp:positionH>
            <wp:positionV relativeFrom="paragraph">
              <wp:posOffset>57785</wp:posOffset>
            </wp:positionV>
            <wp:extent cx="6995160" cy="8255"/>
            <wp:effectExtent l="0" t="0" r="0" b="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59" w:bottom="1440" w:left="320" w:header="0" w:footer="0" w:gutter="0"/>
          <w:cols w:space="720" w:equalWidth="0">
            <w:col w:w="11120"/>
          </w:cols>
        </w:sectPr>
      </w:pPr>
    </w:p>
    <w:p w:rsidR="00A621E3" w:rsidRDefault="00A621E3">
      <w:pPr>
        <w:spacing w:line="200" w:lineRule="exact"/>
        <w:rPr>
          <w:sz w:val="20"/>
          <w:szCs w:val="20"/>
        </w:rPr>
      </w:pPr>
    </w:p>
    <w:p w:rsidR="00A621E3" w:rsidRDefault="00A621E3">
      <w:pPr>
        <w:spacing w:line="273" w:lineRule="exact"/>
        <w:rPr>
          <w:sz w:val="20"/>
          <w:szCs w:val="20"/>
        </w:rPr>
      </w:pPr>
    </w:p>
    <w:p w:rsidR="00A621E3" w:rsidRDefault="00EC630E">
      <w:pPr>
        <w:ind w:left="120"/>
        <w:rPr>
          <w:sz w:val="20"/>
          <w:szCs w:val="20"/>
        </w:rPr>
      </w:pPr>
      <w:r>
        <w:rPr>
          <w:rFonts w:ascii="Arial" w:eastAsia="Arial" w:hAnsi="Arial" w:cs="Arial"/>
          <w:b/>
          <w:bCs/>
          <w:color w:val="CF0A2C"/>
          <w:sz w:val="20"/>
          <w:szCs w:val="20"/>
        </w:rPr>
        <w:t>What am I voting on?</w:t>
      </w:r>
    </w:p>
    <w:p w:rsidR="00A621E3" w:rsidRDefault="00A621E3">
      <w:pPr>
        <w:spacing w:line="262" w:lineRule="exact"/>
        <w:rPr>
          <w:sz w:val="20"/>
          <w:szCs w:val="20"/>
        </w:rPr>
      </w:pPr>
    </w:p>
    <w:p w:rsidR="00A621E3" w:rsidRDefault="00EC630E">
      <w:pPr>
        <w:spacing w:line="244" w:lineRule="auto"/>
        <w:ind w:left="120"/>
        <w:jc w:val="both"/>
        <w:rPr>
          <w:sz w:val="20"/>
          <w:szCs w:val="20"/>
        </w:rPr>
      </w:pPr>
      <w:r>
        <w:rPr>
          <w:rFonts w:ascii="Arial" w:eastAsia="Arial" w:hAnsi="Arial" w:cs="Arial"/>
          <w:sz w:val="20"/>
          <w:szCs w:val="20"/>
        </w:rPr>
        <w:t>In accordance with SEC rules, we are asking stockholders to determine, on a non-binding basis, whether the Say on Pay vote should occur every year, every two years or every three years. This non-binding advisory</w:t>
      </w:r>
      <w:r>
        <w:rPr>
          <w:rFonts w:ascii="Arial" w:eastAsia="Arial" w:hAnsi="Arial" w:cs="Arial"/>
          <w:sz w:val="20"/>
          <w:szCs w:val="20"/>
        </w:rPr>
        <w:t xml:space="preserve"> vote is also known as the “Say When on Pay” vote.</w:t>
      </w:r>
    </w:p>
    <w:p w:rsidR="00A621E3" w:rsidRDefault="00A621E3">
      <w:pPr>
        <w:spacing w:line="221" w:lineRule="exact"/>
        <w:rPr>
          <w:sz w:val="20"/>
          <w:szCs w:val="20"/>
        </w:rPr>
      </w:pPr>
    </w:p>
    <w:p w:rsidR="00A621E3" w:rsidRDefault="00EC630E">
      <w:pPr>
        <w:spacing w:line="260" w:lineRule="auto"/>
        <w:ind w:left="120"/>
        <w:jc w:val="both"/>
        <w:rPr>
          <w:sz w:val="20"/>
          <w:szCs w:val="20"/>
        </w:rPr>
      </w:pPr>
      <w:r>
        <w:rPr>
          <w:rFonts w:ascii="Arial" w:eastAsia="Arial" w:hAnsi="Arial" w:cs="Arial"/>
          <w:sz w:val="19"/>
          <w:szCs w:val="19"/>
        </w:rPr>
        <w:t>The Board believes that continuing to conduct an advisory Say on Pay vote every year is the best approach for the Company. This frequency will enable our stockholders to provide timely feedback on our exe</w:t>
      </w:r>
      <w:r>
        <w:rPr>
          <w:rFonts w:ascii="Arial" w:eastAsia="Arial" w:hAnsi="Arial" w:cs="Arial"/>
          <w:sz w:val="19"/>
          <w:szCs w:val="19"/>
        </w:rPr>
        <w:t>cutive compensation program based on the most recent information presented in our proxy statement.</w:t>
      </w:r>
    </w:p>
    <w:p w:rsidR="00A621E3" w:rsidRDefault="00A621E3">
      <w:pPr>
        <w:spacing w:line="215" w:lineRule="exact"/>
        <w:rPr>
          <w:sz w:val="20"/>
          <w:szCs w:val="20"/>
        </w:rPr>
      </w:pPr>
    </w:p>
    <w:p w:rsidR="00A621E3" w:rsidRDefault="00EC630E">
      <w:pPr>
        <w:ind w:left="120"/>
        <w:rPr>
          <w:sz w:val="20"/>
          <w:szCs w:val="20"/>
        </w:rPr>
      </w:pPr>
      <w:r>
        <w:rPr>
          <w:rFonts w:ascii="Arial" w:eastAsia="Arial" w:hAnsi="Arial" w:cs="Arial"/>
          <w:b/>
          <w:bCs/>
          <w:color w:val="CF0A2C"/>
          <w:sz w:val="20"/>
          <w:szCs w:val="20"/>
        </w:rPr>
        <w:t>What vote is required to approve this proposal?</w:t>
      </w:r>
    </w:p>
    <w:p w:rsidR="00A621E3" w:rsidRDefault="00A621E3">
      <w:pPr>
        <w:spacing w:line="262" w:lineRule="exact"/>
        <w:rPr>
          <w:sz w:val="20"/>
          <w:szCs w:val="20"/>
        </w:rPr>
      </w:pPr>
    </w:p>
    <w:p w:rsidR="00A621E3" w:rsidRDefault="00EC630E">
      <w:pPr>
        <w:spacing w:line="260" w:lineRule="auto"/>
        <w:ind w:left="120"/>
        <w:jc w:val="both"/>
        <w:rPr>
          <w:sz w:val="20"/>
          <w:szCs w:val="20"/>
        </w:rPr>
      </w:pPr>
      <w:r>
        <w:rPr>
          <w:rFonts w:ascii="Arial" w:eastAsia="Arial" w:hAnsi="Arial" w:cs="Arial"/>
          <w:sz w:val="20"/>
          <w:szCs w:val="20"/>
        </w:rPr>
        <w:t>Stockholders are not voting to approve or disapprove of the Board’s recommendation to hold the Say on Pay V</w:t>
      </w:r>
      <w:r>
        <w:rPr>
          <w:rFonts w:ascii="Arial" w:eastAsia="Arial" w:hAnsi="Arial" w:cs="Arial"/>
          <w:sz w:val="20"/>
          <w:szCs w:val="20"/>
        </w:rPr>
        <w:t>ote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59" w:lineRule="exact"/>
        <w:rPr>
          <w:sz w:val="20"/>
          <w:szCs w:val="20"/>
        </w:rPr>
      </w:pPr>
    </w:p>
    <w:p w:rsidR="00A621E3" w:rsidRDefault="00EC630E">
      <w:pPr>
        <w:spacing w:line="275" w:lineRule="auto"/>
        <w:ind w:left="6"/>
        <w:jc w:val="both"/>
        <w:rPr>
          <w:sz w:val="20"/>
          <w:szCs w:val="20"/>
        </w:rPr>
      </w:pPr>
      <w:r>
        <w:rPr>
          <w:rFonts w:ascii="Arial" w:eastAsia="Arial" w:hAnsi="Arial" w:cs="Arial"/>
          <w:sz w:val="18"/>
          <w:szCs w:val="18"/>
        </w:rPr>
        <w:t>every year. Instead, stockholders may cast their vote in one of four manners with respect to this proposal: (1) one year; (2) two years;</w:t>
      </w:r>
    </w:p>
    <w:p w:rsidR="00A621E3" w:rsidRDefault="00A621E3">
      <w:pPr>
        <w:spacing w:line="1" w:lineRule="exact"/>
        <w:rPr>
          <w:sz w:val="20"/>
          <w:szCs w:val="20"/>
        </w:rPr>
      </w:pPr>
    </w:p>
    <w:p w:rsidR="00A621E3" w:rsidRDefault="00EC630E">
      <w:pPr>
        <w:numPr>
          <w:ilvl w:val="0"/>
          <w:numId w:val="43"/>
        </w:numPr>
        <w:tabs>
          <w:tab w:val="left" w:pos="302"/>
        </w:tabs>
        <w:spacing w:line="299" w:lineRule="auto"/>
        <w:ind w:left="6" w:hanging="6"/>
        <w:jc w:val="both"/>
        <w:rPr>
          <w:rFonts w:ascii="Arial" w:eastAsia="Arial" w:hAnsi="Arial" w:cs="Arial"/>
          <w:sz w:val="16"/>
          <w:szCs w:val="16"/>
        </w:rPr>
      </w:pPr>
      <w:r>
        <w:rPr>
          <w:rFonts w:ascii="Arial" w:eastAsia="Arial" w:hAnsi="Arial" w:cs="Arial"/>
          <w:sz w:val="16"/>
          <w:szCs w:val="16"/>
        </w:rPr>
        <w:t xml:space="preserve">three years; or (4) abstaining from voting on the proposal. The frequency with the most votes cast shall be </w:t>
      </w:r>
      <w:r>
        <w:rPr>
          <w:rFonts w:ascii="Arial" w:eastAsia="Arial" w:hAnsi="Arial" w:cs="Arial"/>
          <w:sz w:val="16"/>
          <w:szCs w:val="16"/>
        </w:rPr>
        <w:t>the desired frequency of</w:t>
      </w:r>
    </w:p>
    <w:p w:rsidR="00A621E3" w:rsidRDefault="00A621E3">
      <w:pPr>
        <w:spacing w:line="1" w:lineRule="exact"/>
        <w:rPr>
          <w:sz w:val="20"/>
          <w:szCs w:val="20"/>
        </w:rPr>
      </w:pPr>
    </w:p>
    <w:p w:rsidR="00A621E3" w:rsidRDefault="00EC630E">
      <w:pPr>
        <w:spacing w:line="255" w:lineRule="auto"/>
        <w:ind w:left="6"/>
        <w:jc w:val="both"/>
        <w:rPr>
          <w:sz w:val="20"/>
          <w:szCs w:val="20"/>
        </w:rPr>
      </w:pPr>
      <w:r>
        <w:rPr>
          <w:rFonts w:ascii="Arial" w:eastAsia="Arial" w:hAnsi="Arial" w:cs="Arial"/>
          <w:sz w:val="19"/>
          <w:szCs w:val="19"/>
        </w:rPr>
        <w:t>the stockholders of the Company. Although the vote is non-binding, we value continuing and constructive feedback from our stockholders on compensation and other important matters. The Board of Directors and the Compensation Commit</w:t>
      </w:r>
      <w:r>
        <w:rPr>
          <w:rFonts w:ascii="Arial" w:eastAsia="Arial" w:hAnsi="Arial" w:cs="Arial"/>
          <w:sz w:val="19"/>
          <w:szCs w:val="19"/>
        </w:rPr>
        <w:t>tee will take into consideration the voting results when determining how often the Say on Pay vote should occur.</w:t>
      </w:r>
    </w:p>
    <w:p w:rsidR="00A621E3" w:rsidRDefault="00A621E3">
      <w:pPr>
        <w:spacing w:line="219" w:lineRule="exact"/>
        <w:rPr>
          <w:sz w:val="20"/>
          <w:szCs w:val="20"/>
        </w:rPr>
      </w:pPr>
    </w:p>
    <w:p w:rsidR="00A621E3" w:rsidRDefault="00EC630E">
      <w:pPr>
        <w:spacing w:line="248" w:lineRule="auto"/>
        <w:ind w:left="6"/>
        <w:jc w:val="both"/>
        <w:rPr>
          <w:sz w:val="20"/>
          <w:szCs w:val="20"/>
        </w:rPr>
      </w:pPr>
      <w:r>
        <w:rPr>
          <w:rFonts w:ascii="Arial" w:eastAsia="Arial" w:hAnsi="Arial" w:cs="Arial"/>
          <w:b/>
          <w:bCs/>
          <w:color w:val="CF0A2C"/>
          <w:sz w:val="20"/>
          <w:szCs w:val="20"/>
        </w:rPr>
        <w:t>The Board of Directors recommends that you vote for “1 YEAR” as the frequency which the non-binding advisory vote to approve named executive o</w:t>
      </w:r>
      <w:r>
        <w:rPr>
          <w:rFonts w:ascii="Arial" w:eastAsia="Arial" w:hAnsi="Arial" w:cs="Arial"/>
          <w:b/>
          <w:bCs/>
          <w:color w:val="CF0A2C"/>
          <w:sz w:val="20"/>
          <w:szCs w:val="20"/>
        </w:rPr>
        <w:t>fficer compensation should be held.</w:t>
      </w:r>
    </w:p>
    <w:p w:rsidR="00A621E3" w:rsidRDefault="00A621E3">
      <w:pPr>
        <w:spacing w:line="968" w:lineRule="exact"/>
        <w:rPr>
          <w:sz w:val="20"/>
          <w:szCs w:val="20"/>
        </w:rPr>
      </w:pPr>
    </w:p>
    <w:p w:rsidR="00A621E3" w:rsidRDefault="00A621E3">
      <w:pPr>
        <w:sectPr w:rsidR="00A621E3">
          <w:type w:val="continuous"/>
          <w:pgSz w:w="11900" w:h="16838"/>
          <w:pgMar w:top="486" w:right="459" w:bottom="1440" w:left="320" w:header="0" w:footer="0" w:gutter="0"/>
          <w:cols w:num="2" w:space="720" w:equalWidth="0">
            <w:col w:w="5400" w:space="334"/>
            <w:col w:w="5386"/>
          </w:cols>
        </w:sectPr>
      </w:pPr>
    </w:p>
    <w:p w:rsidR="00A621E3" w:rsidRDefault="00A621E3">
      <w:pPr>
        <w:spacing w:line="52" w:lineRule="exact"/>
        <w:rPr>
          <w:sz w:val="20"/>
          <w:szCs w:val="20"/>
        </w:rPr>
      </w:pPr>
    </w:p>
    <w:p w:rsidR="00A621E3" w:rsidRDefault="00EC630E">
      <w:pPr>
        <w:numPr>
          <w:ilvl w:val="0"/>
          <w:numId w:val="44"/>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83232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59" w:bottom="1440" w:left="320" w:header="0" w:footer="0" w:gutter="0"/>
          <w:cols w:space="720" w:equalWidth="0">
            <w:col w:w="11120"/>
          </w:cols>
        </w:sectPr>
      </w:pPr>
    </w:p>
    <w:p w:rsidR="00A621E3" w:rsidRDefault="00EC630E">
      <w:pPr>
        <w:rPr>
          <w:sz w:val="20"/>
          <w:szCs w:val="20"/>
        </w:rPr>
      </w:pPr>
      <w:bookmarkStart w:id="40" w:name="page40"/>
      <w:bookmarkEnd w:id="40"/>
      <w:r>
        <w:rPr>
          <w:rFonts w:ascii="Arial" w:eastAsia="Arial" w:hAnsi="Arial" w:cs="Arial"/>
          <w:b/>
          <w:bCs/>
          <w:noProof/>
          <w:color w:val="0000EE"/>
          <w:sz w:val="18"/>
          <w:szCs w:val="18"/>
          <w:u w:val="single"/>
        </w:rPr>
        <w:lastRenderedPageBreak/>
        <w:drawing>
          <wp:anchor distT="0" distB="0" distL="114300" distR="114300" simplePos="0" relativeHeight="25183334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34368" behindDoc="1" locked="0" layoutInCell="0" allowOverlap="1">
            <wp:simplePos x="0" y="0"/>
            <wp:positionH relativeFrom="column">
              <wp:posOffset>4471035</wp:posOffset>
            </wp:positionH>
            <wp:positionV relativeFrom="paragraph">
              <wp:posOffset>205740</wp:posOffset>
            </wp:positionV>
            <wp:extent cx="2597150" cy="205740"/>
            <wp:effectExtent l="0" t="0" r="0" b="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30">
                      <a:extLst/>
                    </a:blip>
                    <a:srcRect/>
                    <a:stretch>
                      <a:fillRect/>
                    </a:stretch>
                  </pic:blipFill>
                  <pic:spPr bwMode="auto">
                    <a:xfrm>
                      <a:off x="0" y="0"/>
                      <a:ext cx="259715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7280"/>
        <w:rPr>
          <w:sz w:val="20"/>
          <w:szCs w:val="20"/>
        </w:rPr>
      </w:pPr>
      <w:r>
        <w:rPr>
          <w:rFonts w:ascii="Arial" w:eastAsia="Arial" w:hAnsi="Arial" w:cs="Arial"/>
          <w:b/>
          <w:bCs/>
          <w:color w:val="FFFFFF"/>
          <w:sz w:val="16"/>
          <w:szCs w:val="16"/>
        </w:rPr>
        <w:t>MATTERS REQUIRING STOCKHOLDER ACTION</w:t>
      </w:r>
    </w:p>
    <w:p w:rsidR="00A621E3" w:rsidRDefault="00A621E3">
      <w:pPr>
        <w:spacing w:line="189" w:lineRule="exact"/>
        <w:rPr>
          <w:sz w:val="20"/>
          <w:szCs w:val="20"/>
        </w:rPr>
      </w:pPr>
    </w:p>
    <w:p w:rsidR="00A621E3" w:rsidRDefault="00EC630E">
      <w:pPr>
        <w:spacing w:line="286" w:lineRule="auto"/>
        <w:ind w:left="120" w:right="940"/>
        <w:rPr>
          <w:sz w:val="20"/>
          <w:szCs w:val="20"/>
        </w:rPr>
      </w:pPr>
      <w:r>
        <w:rPr>
          <w:rFonts w:ascii="Arial" w:eastAsia="Arial" w:hAnsi="Arial" w:cs="Arial"/>
          <w:b/>
          <w:bCs/>
          <w:color w:val="CF0A2C"/>
          <w:sz w:val="32"/>
          <w:szCs w:val="32"/>
        </w:rPr>
        <w:t>ITEM 5. Authorization to Issue Shares up to 20% of Outstanding Shares</w:t>
      </w:r>
    </w:p>
    <w:p w:rsidR="00A621E3" w:rsidRDefault="00EC630E">
      <w:pPr>
        <w:spacing w:line="20" w:lineRule="exact"/>
        <w:rPr>
          <w:sz w:val="20"/>
          <w:szCs w:val="20"/>
        </w:rPr>
      </w:pPr>
      <w:r>
        <w:rPr>
          <w:noProof/>
          <w:sz w:val="20"/>
          <w:szCs w:val="20"/>
        </w:rPr>
        <w:drawing>
          <wp:anchor distT="0" distB="0" distL="114300" distR="114300" simplePos="0" relativeHeight="251835392" behindDoc="1" locked="0" layoutInCell="0" allowOverlap="1">
            <wp:simplePos x="0" y="0"/>
            <wp:positionH relativeFrom="column">
              <wp:posOffset>73660</wp:posOffset>
            </wp:positionH>
            <wp:positionV relativeFrom="paragraph">
              <wp:posOffset>57785</wp:posOffset>
            </wp:positionV>
            <wp:extent cx="6995160" cy="8255"/>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79" w:lineRule="exact"/>
        <w:rPr>
          <w:sz w:val="20"/>
          <w:szCs w:val="20"/>
        </w:rPr>
      </w:pPr>
    </w:p>
    <w:p w:rsidR="00A621E3" w:rsidRDefault="00EC630E">
      <w:pPr>
        <w:spacing w:line="269" w:lineRule="auto"/>
        <w:ind w:left="120"/>
        <w:jc w:val="both"/>
        <w:rPr>
          <w:sz w:val="20"/>
          <w:szCs w:val="20"/>
        </w:rPr>
      </w:pPr>
      <w:r>
        <w:rPr>
          <w:rFonts w:ascii="Arial" w:eastAsia="Arial" w:hAnsi="Arial" w:cs="Arial"/>
          <w:sz w:val="18"/>
          <w:szCs w:val="18"/>
        </w:rPr>
        <w:t>Prior to the voluntary conversion of our secondary listing status to a primary listing status on the HKEX, the Board’s authority included the ability to issue shares. Such authority is generally on par with other NYSE-listed U.S. com</w:t>
      </w:r>
      <w:r>
        <w:rPr>
          <w:rFonts w:ascii="Arial" w:eastAsia="Arial" w:hAnsi="Arial" w:cs="Arial"/>
          <w:sz w:val="18"/>
          <w:szCs w:val="18"/>
        </w:rPr>
        <w:t>panies. However, under the Hong Kong Listing Rules, a primary-listed company must have authority from its stockholders to issue any shares, including shares that are part of the company’s authorized but unissued share capital, unless they are offered to ex</w:t>
      </w:r>
      <w:r>
        <w:rPr>
          <w:rFonts w:ascii="Arial" w:eastAsia="Arial" w:hAnsi="Arial" w:cs="Arial"/>
          <w:sz w:val="18"/>
          <w:szCs w:val="18"/>
        </w:rPr>
        <w:t>isting stockholders pro-rata to their existing holdings. Approval of this proposal will permit the Board the authority to authorize the Company to issue shares in compliance with the Hong Kong Listing Rules to the same extent already authorized under our A</w:t>
      </w:r>
      <w:r>
        <w:rPr>
          <w:rFonts w:ascii="Arial" w:eastAsia="Arial" w:hAnsi="Arial" w:cs="Arial"/>
          <w:sz w:val="18"/>
          <w:szCs w:val="18"/>
        </w:rPr>
        <w:t>mended and Restated Certificate of Incorporation and the rules of the NYSE. We are not asking stockholders to approve an increase in our authorized share capital.</w:t>
      </w:r>
    </w:p>
    <w:p w:rsidR="00A621E3" w:rsidRDefault="00A621E3">
      <w:pPr>
        <w:spacing w:line="219" w:lineRule="exact"/>
        <w:rPr>
          <w:sz w:val="20"/>
          <w:szCs w:val="20"/>
        </w:rPr>
      </w:pPr>
    </w:p>
    <w:p w:rsidR="00A621E3" w:rsidRDefault="00EC630E">
      <w:pPr>
        <w:spacing w:line="308" w:lineRule="auto"/>
        <w:ind w:left="120"/>
        <w:jc w:val="both"/>
        <w:rPr>
          <w:sz w:val="20"/>
          <w:szCs w:val="20"/>
        </w:rPr>
      </w:pPr>
      <w:r>
        <w:rPr>
          <w:rFonts w:ascii="Arial" w:eastAsia="Arial" w:hAnsi="Arial" w:cs="Arial"/>
          <w:sz w:val="16"/>
          <w:szCs w:val="16"/>
        </w:rPr>
        <w:t>In light of the dynamics of the China market in which it operates, the Company has always be</w:t>
      </w:r>
      <w:r>
        <w:rPr>
          <w:rFonts w:ascii="Arial" w:eastAsia="Arial" w:hAnsi="Arial" w:cs="Arial"/>
          <w:sz w:val="16"/>
          <w:szCs w:val="16"/>
        </w:rPr>
        <w:t>lieved in maintaining a strong balance sheet and maximum financial flexibility. This authority will enable the Company to address business contingencies and capture growth opportunities, in accordance with its long-term strategic goals, in a timely manner.</w:t>
      </w:r>
      <w:r>
        <w:rPr>
          <w:rFonts w:ascii="Arial" w:eastAsia="Arial" w:hAnsi="Arial" w:cs="Arial"/>
          <w:sz w:val="16"/>
          <w:szCs w:val="16"/>
        </w:rPr>
        <w:t xml:space="preserve"> Consistent with its past practice, the Board will authorize future issuances of securities only if it determines that such issuances are in the best interests of the Company and its stockholders. The Board has no immediate plans to issue any shares pursua</w:t>
      </w:r>
      <w:r>
        <w:rPr>
          <w:rFonts w:ascii="Arial" w:eastAsia="Arial" w:hAnsi="Arial" w:cs="Arial"/>
          <w:sz w:val="16"/>
          <w:szCs w:val="16"/>
        </w:rPr>
        <w:t>nt to this authorization and we are not asking stockholders to approve a specific issuance of shares.</w:t>
      </w:r>
    </w:p>
    <w:p w:rsidR="00A621E3" w:rsidRDefault="00A621E3">
      <w:pPr>
        <w:spacing w:line="200" w:lineRule="exact"/>
        <w:rPr>
          <w:sz w:val="20"/>
          <w:szCs w:val="20"/>
        </w:rPr>
      </w:pPr>
    </w:p>
    <w:p w:rsidR="00A621E3" w:rsidRDefault="00A621E3">
      <w:pPr>
        <w:spacing w:line="206" w:lineRule="exact"/>
        <w:rPr>
          <w:sz w:val="20"/>
          <w:szCs w:val="20"/>
        </w:rPr>
      </w:pPr>
    </w:p>
    <w:p w:rsidR="00A621E3" w:rsidRDefault="00EC630E">
      <w:pPr>
        <w:spacing w:line="278" w:lineRule="auto"/>
        <w:ind w:left="120"/>
        <w:jc w:val="both"/>
        <w:rPr>
          <w:sz w:val="20"/>
          <w:szCs w:val="20"/>
        </w:rPr>
      </w:pPr>
      <w:r>
        <w:rPr>
          <w:rFonts w:ascii="Arial" w:eastAsia="Arial" w:hAnsi="Arial" w:cs="Arial"/>
          <w:sz w:val="18"/>
          <w:szCs w:val="18"/>
        </w:rPr>
        <w:t>Furthermore, the Company does not intend to issue any shares under this authority at a discount of more than 10% to the “benchmarked price” (as describe</w:t>
      </w:r>
      <w:r>
        <w:rPr>
          <w:rFonts w:ascii="Arial" w:eastAsia="Arial" w:hAnsi="Arial" w:cs="Arial"/>
          <w:sz w:val="18"/>
          <w:szCs w:val="18"/>
        </w:rPr>
        <w:t>d in Rule 13.36(5) of the Hong Kong Listing Rules), which is more restrictive than the maximum discount of 20% permitted under the Hong Kong Listing Rules.</w:t>
      </w:r>
    </w:p>
    <w:p w:rsidR="00A621E3" w:rsidRDefault="00A621E3">
      <w:pPr>
        <w:spacing w:line="205" w:lineRule="exact"/>
        <w:rPr>
          <w:sz w:val="20"/>
          <w:szCs w:val="20"/>
        </w:rPr>
      </w:pPr>
    </w:p>
    <w:p w:rsidR="00A621E3" w:rsidRDefault="00EC630E">
      <w:pPr>
        <w:spacing w:line="250" w:lineRule="auto"/>
        <w:ind w:left="120"/>
        <w:jc w:val="both"/>
        <w:rPr>
          <w:sz w:val="20"/>
          <w:szCs w:val="20"/>
        </w:rPr>
      </w:pPr>
      <w:r>
        <w:rPr>
          <w:rFonts w:ascii="Arial" w:eastAsia="Arial" w:hAnsi="Arial" w:cs="Arial"/>
          <w:sz w:val="20"/>
          <w:szCs w:val="20"/>
        </w:rPr>
        <w:t xml:space="preserve">Granting the Board this authority is an annual, routine matter for primary-listed companies on the </w:t>
      </w:r>
      <w:r>
        <w:rPr>
          <w:rFonts w:ascii="Arial" w:eastAsia="Arial" w:hAnsi="Arial" w:cs="Arial"/>
          <w:sz w:val="20"/>
          <w:szCs w:val="20"/>
        </w:rPr>
        <w:t>Hong Kong Stock Exchange. In accordance with the Hong Kong List-</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59" w:lineRule="exact"/>
        <w:rPr>
          <w:sz w:val="20"/>
          <w:szCs w:val="20"/>
        </w:rPr>
      </w:pPr>
    </w:p>
    <w:p w:rsidR="00A621E3" w:rsidRDefault="00EC630E">
      <w:pPr>
        <w:spacing w:line="268" w:lineRule="auto"/>
        <w:jc w:val="both"/>
        <w:rPr>
          <w:sz w:val="20"/>
          <w:szCs w:val="20"/>
        </w:rPr>
      </w:pPr>
      <w:r>
        <w:rPr>
          <w:rFonts w:ascii="Arial" w:eastAsia="Arial" w:hAnsi="Arial" w:cs="Arial"/>
          <w:sz w:val="18"/>
          <w:szCs w:val="18"/>
        </w:rPr>
        <w:t xml:space="preserve">ing Rules, it is a customary practice for primary-listed companies on the Hong Kong Stock Exchange to seek stockholder authority to issue up to 20% of a company’s outstanding shares and </w:t>
      </w:r>
      <w:r>
        <w:rPr>
          <w:rFonts w:ascii="Arial" w:eastAsia="Arial" w:hAnsi="Arial" w:cs="Arial"/>
          <w:sz w:val="18"/>
          <w:szCs w:val="18"/>
        </w:rPr>
        <w:t>for such authority to be effective until the next annual meeting of stockholders, unless otherwise earlier revoked or modified by a duly adopted resolution of the stockholders. June 25, 2024 is the 13-month anniversary of the Annual Meeting and reflects th</w:t>
      </w:r>
      <w:r>
        <w:rPr>
          <w:rFonts w:ascii="Arial" w:eastAsia="Arial" w:hAnsi="Arial" w:cs="Arial"/>
          <w:sz w:val="18"/>
          <w:szCs w:val="18"/>
        </w:rPr>
        <w:t>e end date of the authorization, after which the authorization cannot extend. Therefore, consistent with this market practice, and as allowed under the Hong Kong Listing Rules, we are seeking approval for continuing authority for the Board to authorize the</w:t>
      </w:r>
      <w:r>
        <w:rPr>
          <w:rFonts w:ascii="Arial" w:eastAsia="Arial" w:hAnsi="Arial" w:cs="Arial"/>
          <w:sz w:val="18"/>
          <w:szCs w:val="18"/>
        </w:rPr>
        <w:t xml:space="preserve"> Company to issue common stock or securities convertible into common stock up to a maximum of 20% of our outstanding shares as of the date of the Annual Meeting, for a period from the Annual Meeting until the earlier of the 2024 annual meeting of stockhold</w:t>
      </w:r>
      <w:r>
        <w:rPr>
          <w:rFonts w:ascii="Arial" w:eastAsia="Arial" w:hAnsi="Arial" w:cs="Arial"/>
          <w:sz w:val="18"/>
          <w:szCs w:val="18"/>
        </w:rPr>
        <w:t>ers or June 25, 2024. We expect to propose a renewal of this authorization annually. Pursuant to this proposal, assuming for illustrative purposes that our outstanding shares remain unchanged from March 27, 2023 to the date of the Annual Meeting, the Compa</w:t>
      </w:r>
      <w:r>
        <w:rPr>
          <w:rFonts w:ascii="Arial" w:eastAsia="Arial" w:hAnsi="Arial" w:cs="Arial"/>
          <w:sz w:val="18"/>
          <w:szCs w:val="18"/>
        </w:rPr>
        <w:t>ny will be allowed to issue a maximum of 83,649,497 shares of common stock.</w:t>
      </w:r>
    </w:p>
    <w:p w:rsidR="00A621E3" w:rsidRDefault="00A621E3">
      <w:pPr>
        <w:spacing w:line="222" w:lineRule="exact"/>
        <w:rPr>
          <w:sz w:val="20"/>
          <w:szCs w:val="20"/>
        </w:rPr>
      </w:pPr>
    </w:p>
    <w:p w:rsidR="00A621E3" w:rsidRDefault="00EC630E">
      <w:pPr>
        <w:spacing w:line="260" w:lineRule="auto"/>
        <w:ind w:right="20"/>
        <w:jc w:val="both"/>
        <w:rPr>
          <w:sz w:val="20"/>
          <w:szCs w:val="20"/>
        </w:rPr>
      </w:pPr>
      <w:r>
        <w:rPr>
          <w:rFonts w:ascii="Arial" w:eastAsia="Arial" w:hAnsi="Arial" w:cs="Arial"/>
          <w:sz w:val="20"/>
          <w:szCs w:val="20"/>
        </w:rPr>
        <w:t>Accordingly, we ask our stockholders to vote in favor of the following resolution at the Annual Meeting:</w:t>
      </w:r>
    </w:p>
    <w:p w:rsidR="00A621E3" w:rsidRDefault="00A621E3">
      <w:pPr>
        <w:spacing w:line="204" w:lineRule="exact"/>
        <w:rPr>
          <w:sz w:val="20"/>
          <w:szCs w:val="20"/>
        </w:rPr>
      </w:pPr>
    </w:p>
    <w:p w:rsidR="00A621E3" w:rsidRDefault="00EC630E">
      <w:pPr>
        <w:spacing w:line="274" w:lineRule="auto"/>
        <w:jc w:val="both"/>
        <w:rPr>
          <w:sz w:val="20"/>
          <w:szCs w:val="20"/>
        </w:rPr>
      </w:pPr>
      <w:r>
        <w:rPr>
          <w:rFonts w:ascii="Arial" w:eastAsia="Arial" w:hAnsi="Arial" w:cs="Arial"/>
          <w:sz w:val="18"/>
          <w:szCs w:val="18"/>
        </w:rPr>
        <w:t xml:space="preserve">“RESOLVED, to approve the Board’s continuing authority to approve the </w:t>
      </w:r>
      <w:r>
        <w:rPr>
          <w:rFonts w:ascii="Arial" w:eastAsia="Arial" w:hAnsi="Arial" w:cs="Arial"/>
          <w:sz w:val="18"/>
          <w:szCs w:val="18"/>
        </w:rPr>
        <w:t>Company’s issuance of shares of its common stock or securities convertible into common stock in an amount not to exceed 20% of the total number of outstanding shares of common stock of the Company as of the date of the Annual Meeting, effective from date o</w:t>
      </w:r>
      <w:r>
        <w:rPr>
          <w:rFonts w:ascii="Arial" w:eastAsia="Arial" w:hAnsi="Arial" w:cs="Arial"/>
          <w:sz w:val="18"/>
          <w:szCs w:val="18"/>
        </w:rPr>
        <w:t>f the Annual Meeting until the earlier of the date the next annual meeting is held or June 25, 2024.”</w:t>
      </w:r>
    </w:p>
    <w:p w:rsidR="00A621E3" w:rsidRDefault="00A621E3">
      <w:pPr>
        <w:spacing w:line="209" w:lineRule="exact"/>
        <w:rPr>
          <w:sz w:val="20"/>
          <w:szCs w:val="20"/>
        </w:rPr>
      </w:pPr>
    </w:p>
    <w:p w:rsidR="00A621E3" w:rsidRDefault="00EC630E">
      <w:pPr>
        <w:spacing w:line="244" w:lineRule="auto"/>
        <w:ind w:right="20"/>
        <w:jc w:val="both"/>
        <w:rPr>
          <w:sz w:val="20"/>
          <w:szCs w:val="20"/>
        </w:rPr>
      </w:pPr>
      <w:r>
        <w:rPr>
          <w:rFonts w:ascii="Arial" w:eastAsia="Arial" w:hAnsi="Arial" w:cs="Arial"/>
          <w:sz w:val="20"/>
          <w:szCs w:val="20"/>
        </w:rPr>
        <w:t>For clarity, this authority will include the authority to issue securities convertible into shares of common stock, or options, warrants or similar right</w:t>
      </w:r>
      <w:r>
        <w:rPr>
          <w:rFonts w:ascii="Arial" w:eastAsia="Arial" w:hAnsi="Arial" w:cs="Arial"/>
          <w:sz w:val="20"/>
          <w:szCs w:val="20"/>
        </w:rPr>
        <w:t>s to subscribe for shares of common stock or such convertible securities of the Company and to make or grant offers, agreements</w:t>
      </w:r>
    </w:p>
    <w:p w:rsidR="00A621E3" w:rsidRDefault="00A621E3">
      <w:pPr>
        <w:spacing w:line="279" w:lineRule="exact"/>
        <w:rPr>
          <w:sz w:val="20"/>
          <w:szCs w:val="20"/>
        </w:rPr>
      </w:pPr>
    </w:p>
    <w:p w:rsidR="00A621E3" w:rsidRDefault="00EC630E">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35</w:t>
      </w:r>
    </w:p>
    <w:p w:rsidR="00A621E3" w:rsidRDefault="00EC630E">
      <w:pPr>
        <w:spacing w:line="20" w:lineRule="exact"/>
        <w:rPr>
          <w:sz w:val="20"/>
          <w:szCs w:val="20"/>
        </w:rPr>
      </w:pPr>
      <w:r>
        <w:rPr>
          <w:noProof/>
          <w:sz w:val="20"/>
          <w:szCs w:val="20"/>
        </w:rPr>
        <w:drawing>
          <wp:anchor distT="0" distB="0" distL="114300" distR="114300" simplePos="0" relativeHeight="251836416" behindDoc="1" locked="0" layoutInCell="0" allowOverlap="1">
            <wp:simplePos x="0" y="0"/>
            <wp:positionH relativeFrom="column">
              <wp:posOffset>3149600</wp:posOffset>
            </wp:positionH>
            <wp:positionV relativeFrom="paragraph">
              <wp:posOffset>-93345</wp:posOffset>
            </wp:positionV>
            <wp:extent cx="8255" cy="102870"/>
            <wp:effectExtent l="0" t="0" r="0" b="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41" w:name="page41"/>
      <w:bookmarkEnd w:id="41"/>
      <w:r>
        <w:rPr>
          <w:rFonts w:ascii="Arial" w:eastAsia="Arial" w:hAnsi="Arial" w:cs="Arial"/>
          <w:b/>
          <w:bCs/>
          <w:color w:val="0000EE"/>
          <w:sz w:val="18"/>
          <w:szCs w:val="18"/>
          <w:u w:val="single"/>
        </w:rPr>
        <w:lastRenderedPageBreak/>
        <w:t>Table of Contents</w:t>
      </w:r>
    </w:p>
    <w:p w:rsidR="00A621E3" w:rsidRDefault="00EC630E">
      <w:pPr>
        <w:spacing w:line="20" w:lineRule="exact"/>
        <w:rPr>
          <w:sz w:val="20"/>
          <w:szCs w:val="20"/>
        </w:rPr>
      </w:pPr>
      <w:r>
        <w:rPr>
          <w:noProof/>
          <w:sz w:val="20"/>
          <w:szCs w:val="20"/>
        </w:rPr>
        <w:drawing>
          <wp:anchor distT="0" distB="0" distL="114300" distR="114300" simplePos="0" relativeHeight="251837440" behindDoc="1" locked="0" layoutInCell="0" allowOverlap="1">
            <wp:simplePos x="0" y="0"/>
            <wp:positionH relativeFrom="column">
              <wp:posOffset>73660</wp:posOffset>
            </wp:positionH>
            <wp:positionV relativeFrom="paragraph">
              <wp:posOffset>205740</wp:posOffset>
            </wp:positionV>
            <wp:extent cx="2486025" cy="205740"/>
            <wp:effectExtent l="0" t="0" r="0" b="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7">
                      <a:extLst/>
                    </a:blip>
                    <a:srcRect/>
                    <a:stretch>
                      <a:fillRect/>
                    </a:stretch>
                  </pic:blipFill>
                  <pic:spPr bwMode="auto">
                    <a:xfrm>
                      <a:off x="0" y="0"/>
                      <a:ext cx="248602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MATTERS REQUIRING STOCKHOLDER ACTION</w:t>
      </w:r>
    </w:p>
    <w:p w:rsidR="00A621E3" w:rsidRDefault="00A621E3">
      <w:pPr>
        <w:spacing w:line="263" w:lineRule="exact"/>
        <w:rPr>
          <w:sz w:val="20"/>
          <w:szCs w:val="20"/>
        </w:rPr>
      </w:pPr>
    </w:p>
    <w:p w:rsidR="00A621E3" w:rsidRDefault="00EC630E">
      <w:pPr>
        <w:spacing w:line="250" w:lineRule="auto"/>
        <w:ind w:left="120"/>
        <w:jc w:val="both"/>
        <w:rPr>
          <w:sz w:val="20"/>
          <w:szCs w:val="20"/>
        </w:rPr>
      </w:pPr>
      <w:r>
        <w:rPr>
          <w:rFonts w:ascii="Arial" w:eastAsia="Arial" w:hAnsi="Arial" w:cs="Arial"/>
          <w:sz w:val="20"/>
          <w:szCs w:val="20"/>
        </w:rPr>
        <w:t>and/or options (including bonds, warrants and debentures convertible into shares of common stock), subject to the limitations described in the resolution set forth above.</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62" w:lineRule="exact"/>
        <w:rPr>
          <w:sz w:val="20"/>
          <w:szCs w:val="20"/>
        </w:rPr>
      </w:pPr>
    </w:p>
    <w:p w:rsidR="00A621E3" w:rsidRDefault="00EC630E">
      <w:pPr>
        <w:numPr>
          <w:ilvl w:val="0"/>
          <w:numId w:val="45"/>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83846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4" w:lineRule="exact"/>
        <w:rPr>
          <w:sz w:val="20"/>
          <w:szCs w:val="20"/>
        </w:rPr>
      </w:pPr>
    </w:p>
    <w:p w:rsidR="00A621E3" w:rsidRDefault="00EC630E">
      <w:pPr>
        <w:rPr>
          <w:sz w:val="20"/>
          <w:szCs w:val="20"/>
        </w:rPr>
      </w:pPr>
      <w:r>
        <w:rPr>
          <w:rFonts w:ascii="Arial" w:eastAsia="Arial" w:hAnsi="Arial" w:cs="Arial"/>
          <w:b/>
          <w:bCs/>
          <w:color w:val="CF0A2C"/>
          <w:sz w:val="20"/>
          <w:szCs w:val="20"/>
        </w:rPr>
        <w:t xml:space="preserve">What vote is required to approve </w:t>
      </w:r>
      <w:r>
        <w:rPr>
          <w:rFonts w:ascii="Arial" w:eastAsia="Arial" w:hAnsi="Arial" w:cs="Arial"/>
          <w:b/>
          <w:bCs/>
          <w:color w:val="CF0A2C"/>
          <w:sz w:val="20"/>
          <w:szCs w:val="20"/>
        </w:rPr>
        <w:t>this proposal?</w:t>
      </w:r>
    </w:p>
    <w:p w:rsidR="00A621E3" w:rsidRDefault="00EC630E">
      <w:pPr>
        <w:spacing w:line="20" w:lineRule="exact"/>
        <w:rPr>
          <w:sz w:val="20"/>
          <w:szCs w:val="20"/>
        </w:rPr>
      </w:pPr>
      <w:r>
        <w:rPr>
          <w:noProof/>
          <w:sz w:val="20"/>
          <w:szCs w:val="20"/>
        </w:rPr>
        <w:drawing>
          <wp:anchor distT="0" distB="0" distL="114300" distR="114300" simplePos="0" relativeHeight="251839488" behindDoc="1" locked="0" layoutInCell="0" allowOverlap="1">
            <wp:simplePos x="0" y="0"/>
            <wp:positionH relativeFrom="column">
              <wp:posOffset>-3651885</wp:posOffset>
            </wp:positionH>
            <wp:positionV relativeFrom="paragraph">
              <wp:posOffset>-1022350</wp:posOffset>
            </wp:positionV>
            <wp:extent cx="7174865" cy="55880"/>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p>
    <w:p w:rsidR="00A621E3" w:rsidRDefault="00A621E3">
      <w:pPr>
        <w:spacing w:line="242" w:lineRule="exact"/>
        <w:rPr>
          <w:sz w:val="20"/>
          <w:szCs w:val="20"/>
        </w:rPr>
      </w:pPr>
    </w:p>
    <w:p w:rsidR="00A621E3" w:rsidRDefault="00EC630E">
      <w:pPr>
        <w:spacing w:line="250" w:lineRule="auto"/>
        <w:jc w:val="both"/>
        <w:rPr>
          <w:sz w:val="20"/>
          <w:szCs w:val="20"/>
        </w:rPr>
      </w:pPr>
      <w:r>
        <w:rPr>
          <w:rFonts w:ascii="Arial" w:eastAsia="Arial" w:hAnsi="Arial" w:cs="Arial"/>
          <w:sz w:val="20"/>
          <w:szCs w:val="20"/>
        </w:rPr>
        <w:t>Approval of this proposal requires the affirmative vote of a majority of shares present in person or represented by proxy and entitled to vote at the Annual Meeting.</w:t>
      </w:r>
    </w:p>
    <w:p w:rsidR="00A621E3" w:rsidRDefault="00A621E3">
      <w:pPr>
        <w:spacing w:line="220" w:lineRule="exact"/>
        <w:rPr>
          <w:sz w:val="20"/>
          <w:szCs w:val="20"/>
        </w:rPr>
      </w:pPr>
    </w:p>
    <w:p w:rsidR="00A621E3" w:rsidRDefault="00EC630E">
      <w:pPr>
        <w:spacing w:line="267" w:lineRule="auto"/>
        <w:jc w:val="both"/>
        <w:rPr>
          <w:sz w:val="20"/>
          <w:szCs w:val="20"/>
        </w:rPr>
      </w:pPr>
      <w:r>
        <w:rPr>
          <w:rFonts w:ascii="Arial" w:eastAsia="Arial" w:hAnsi="Arial" w:cs="Arial"/>
          <w:b/>
          <w:bCs/>
          <w:color w:val="CF0A2C"/>
          <w:sz w:val="20"/>
          <w:szCs w:val="20"/>
        </w:rPr>
        <w:t xml:space="preserve">The Board of Directors recommends that you vote FOR the approval of </w:t>
      </w:r>
      <w:r>
        <w:rPr>
          <w:rFonts w:ascii="Arial" w:eastAsia="Arial" w:hAnsi="Arial" w:cs="Arial"/>
          <w:b/>
          <w:bCs/>
          <w:color w:val="CF0A2C"/>
          <w:sz w:val="20"/>
          <w:szCs w:val="20"/>
        </w:rPr>
        <w:t>this proposal.</w:t>
      </w:r>
    </w:p>
    <w:p w:rsidR="00A621E3" w:rsidRDefault="00A621E3">
      <w:pPr>
        <w:sectPr w:rsidR="00A621E3">
          <w:pgSz w:w="11900" w:h="16838"/>
          <w:pgMar w:top="486" w:right="459" w:bottom="1440" w:left="320" w:header="0" w:footer="0" w:gutter="0"/>
          <w:cols w:num="2" w:space="720" w:equalWidth="0">
            <w:col w:w="5400" w:space="340"/>
            <w:col w:w="5380"/>
          </w:cols>
        </w:sectPr>
      </w:pPr>
    </w:p>
    <w:p w:rsidR="00A621E3" w:rsidRDefault="00EC630E">
      <w:pPr>
        <w:rPr>
          <w:sz w:val="20"/>
          <w:szCs w:val="20"/>
        </w:rPr>
      </w:pPr>
      <w:bookmarkStart w:id="42" w:name="page42"/>
      <w:bookmarkEnd w:id="42"/>
      <w:r>
        <w:rPr>
          <w:rFonts w:ascii="Arial" w:eastAsia="Arial" w:hAnsi="Arial" w:cs="Arial"/>
          <w:b/>
          <w:bCs/>
          <w:noProof/>
          <w:color w:val="0000EE"/>
          <w:sz w:val="18"/>
          <w:szCs w:val="18"/>
          <w:u w:val="single"/>
        </w:rPr>
        <w:lastRenderedPageBreak/>
        <w:drawing>
          <wp:anchor distT="0" distB="0" distL="114300" distR="114300" simplePos="0" relativeHeight="25184051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41536" behindDoc="1" locked="0" layoutInCell="0" allowOverlap="1">
            <wp:simplePos x="0" y="0"/>
            <wp:positionH relativeFrom="column">
              <wp:posOffset>4471035</wp:posOffset>
            </wp:positionH>
            <wp:positionV relativeFrom="paragraph">
              <wp:posOffset>205740</wp:posOffset>
            </wp:positionV>
            <wp:extent cx="2597150" cy="20574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0">
                      <a:extLst/>
                    </a:blip>
                    <a:srcRect/>
                    <a:stretch>
                      <a:fillRect/>
                    </a:stretch>
                  </pic:blipFill>
                  <pic:spPr bwMode="auto">
                    <a:xfrm>
                      <a:off x="0" y="0"/>
                      <a:ext cx="259715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7280"/>
        <w:rPr>
          <w:sz w:val="20"/>
          <w:szCs w:val="20"/>
        </w:rPr>
      </w:pPr>
      <w:r>
        <w:rPr>
          <w:rFonts w:ascii="Arial" w:eastAsia="Arial" w:hAnsi="Arial" w:cs="Arial"/>
          <w:b/>
          <w:bCs/>
          <w:color w:val="FFFFFF"/>
          <w:sz w:val="16"/>
          <w:szCs w:val="16"/>
        </w:rPr>
        <w:t>MATTERS REQUIRING STOCKHOLDER ACTION</w:t>
      </w:r>
    </w:p>
    <w:p w:rsidR="00A621E3" w:rsidRDefault="00A621E3">
      <w:pPr>
        <w:spacing w:line="189" w:lineRule="exact"/>
        <w:rPr>
          <w:sz w:val="20"/>
          <w:szCs w:val="20"/>
        </w:rPr>
      </w:pPr>
    </w:p>
    <w:p w:rsidR="00A621E3" w:rsidRDefault="00EC630E">
      <w:pPr>
        <w:spacing w:line="286" w:lineRule="auto"/>
        <w:ind w:left="120" w:right="1920"/>
        <w:rPr>
          <w:sz w:val="20"/>
          <w:szCs w:val="20"/>
        </w:rPr>
      </w:pPr>
      <w:r>
        <w:rPr>
          <w:rFonts w:ascii="Arial" w:eastAsia="Arial" w:hAnsi="Arial" w:cs="Arial"/>
          <w:b/>
          <w:bCs/>
          <w:color w:val="CF0A2C"/>
          <w:sz w:val="32"/>
          <w:szCs w:val="32"/>
        </w:rPr>
        <w:t>ITEM 6. Authorization to Repurchase Shares up to 10% of Outstanding Shares</w:t>
      </w:r>
    </w:p>
    <w:p w:rsidR="00A621E3" w:rsidRDefault="00EC630E">
      <w:pPr>
        <w:spacing w:line="20" w:lineRule="exact"/>
        <w:rPr>
          <w:sz w:val="20"/>
          <w:szCs w:val="20"/>
        </w:rPr>
      </w:pPr>
      <w:r>
        <w:rPr>
          <w:noProof/>
          <w:sz w:val="20"/>
          <w:szCs w:val="20"/>
        </w:rPr>
        <w:drawing>
          <wp:anchor distT="0" distB="0" distL="114300" distR="114300" simplePos="0" relativeHeight="251842560" behindDoc="1" locked="0" layoutInCell="0" allowOverlap="1">
            <wp:simplePos x="0" y="0"/>
            <wp:positionH relativeFrom="column">
              <wp:posOffset>73660</wp:posOffset>
            </wp:positionH>
            <wp:positionV relativeFrom="paragraph">
              <wp:posOffset>57785</wp:posOffset>
            </wp:positionV>
            <wp:extent cx="6995160" cy="8255"/>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79" w:lineRule="exact"/>
        <w:rPr>
          <w:sz w:val="20"/>
          <w:szCs w:val="20"/>
        </w:rPr>
      </w:pPr>
    </w:p>
    <w:p w:rsidR="00A621E3" w:rsidRDefault="00EC630E">
      <w:pPr>
        <w:spacing w:line="243" w:lineRule="auto"/>
        <w:ind w:left="120"/>
        <w:jc w:val="both"/>
        <w:rPr>
          <w:sz w:val="20"/>
          <w:szCs w:val="20"/>
        </w:rPr>
      </w:pPr>
      <w:r>
        <w:rPr>
          <w:rFonts w:ascii="Arial" w:eastAsia="Arial" w:hAnsi="Arial" w:cs="Arial"/>
          <w:i/>
          <w:iCs/>
          <w:sz w:val="20"/>
          <w:szCs w:val="20"/>
        </w:rPr>
        <w:t xml:space="preserve">This section serves as the explanatory statement </w:t>
      </w:r>
      <w:r>
        <w:rPr>
          <w:rFonts w:ascii="Arial" w:eastAsia="Arial" w:hAnsi="Arial" w:cs="Arial"/>
          <w:i/>
          <w:iCs/>
          <w:sz w:val="20"/>
          <w:szCs w:val="20"/>
        </w:rPr>
        <w:t>pursuant to Rule 10.06(1)(b) of the Hong Kong Listing Rules to provide information for our stockholders to make a reasonably informed decision on whether to vote for or against the resolution with respect to the authorization to repurchase shares to be pro</w:t>
      </w:r>
      <w:r>
        <w:rPr>
          <w:rFonts w:ascii="Arial" w:eastAsia="Arial" w:hAnsi="Arial" w:cs="Arial"/>
          <w:i/>
          <w:iCs/>
          <w:sz w:val="20"/>
          <w:szCs w:val="20"/>
        </w:rPr>
        <w:t>posed at the Annual Meeting.</w:t>
      </w:r>
    </w:p>
    <w:p w:rsidR="00A621E3" w:rsidRDefault="00A621E3">
      <w:pPr>
        <w:spacing w:line="236" w:lineRule="exact"/>
        <w:rPr>
          <w:sz w:val="20"/>
          <w:szCs w:val="20"/>
        </w:rPr>
      </w:pPr>
    </w:p>
    <w:p w:rsidR="00A621E3" w:rsidRDefault="00EC630E">
      <w:pPr>
        <w:spacing w:line="270" w:lineRule="auto"/>
        <w:ind w:left="120"/>
        <w:jc w:val="both"/>
        <w:rPr>
          <w:sz w:val="20"/>
          <w:szCs w:val="20"/>
        </w:rPr>
      </w:pPr>
      <w:r>
        <w:rPr>
          <w:rFonts w:ascii="Arial" w:eastAsia="Arial" w:hAnsi="Arial" w:cs="Arial"/>
          <w:sz w:val="18"/>
          <w:szCs w:val="18"/>
        </w:rPr>
        <w:t>We have historically used share repurchases as a means of returning cash to stockholders. The Board believes that, after we became a primary-listed company on the Hong Kong Stock Exchange, it is in the best interests of the Co</w:t>
      </w:r>
      <w:r>
        <w:rPr>
          <w:rFonts w:ascii="Arial" w:eastAsia="Arial" w:hAnsi="Arial" w:cs="Arial"/>
          <w:sz w:val="18"/>
          <w:szCs w:val="18"/>
        </w:rPr>
        <w:t xml:space="preserve">mpany and our stockholders to continue have a general authority from our stockholders to enable our Company to purchase shares of common stock in the markets. Further, the Company prioritizes the equality of our stockholders, regardless of the exchange on </w:t>
      </w:r>
      <w:r>
        <w:rPr>
          <w:rFonts w:ascii="Arial" w:eastAsia="Arial" w:hAnsi="Arial" w:cs="Arial"/>
          <w:sz w:val="18"/>
          <w:szCs w:val="18"/>
        </w:rPr>
        <w:t>which the shares they hold trade. After we became a primary-listed company on the Hong Kong Stock Exchange, our goal is to maintain that priority and ensure that our stockholders holding our shares that trade on the Hong Kong Stock Exchange are also allowe</w:t>
      </w:r>
      <w:r>
        <w:rPr>
          <w:rFonts w:ascii="Arial" w:eastAsia="Arial" w:hAnsi="Arial" w:cs="Arial"/>
          <w:sz w:val="18"/>
          <w:szCs w:val="18"/>
        </w:rPr>
        <w:t>d the benefit of our share repurchase program.</w:t>
      </w:r>
    </w:p>
    <w:p w:rsidR="00A621E3" w:rsidRDefault="00A621E3">
      <w:pPr>
        <w:spacing w:line="199" w:lineRule="exact"/>
        <w:rPr>
          <w:sz w:val="20"/>
          <w:szCs w:val="20"/>
        </w:rPr>
      </w:pPr>
    </w:p>
    <w:p w:rsidR="00A621E3" w:rsidRDefault="00EC630E">
      <w:pPr>
        <w:spacing w:line="271" w:lineRule="auto"/>
        <w:ind w:left="120"/>
        <w:jc w:val="both"/>
        <w:rPr>
          <w:sz w:val="20"/>
          <w:szCs w:val="20"/>
        </w:rPr>
      </w:pPr>
      <w:r>
        <w:rPr>
          <w:rFonts w:ascii="Arial" w:eastAsia="Arial" w:hAnsi="Arial" w:cs="Arial"/>
          <w:sz w:val="18"/>
          <w:szCs w:val="18"/>
        </w:rPr>
        <w:t>The Company first adopted a share repurchase program in the U.S. in 2017 (the “</w:t>
      </w:r>
      <w:r>
        <w:rPr>
          <w:rFonts w:ascii="Arial" w:eastAsia="Arial" w:hAnsi="Arial" w:cs="Arial"/>
          <w:b/>
          <w:bCs/>
          <w:i/>
          <w:iCs/>
          <w:sz w:val="18"/>
          <w:szCs w:val="18"/>
        </w:rPr>
        <w:t>U.S. Repurchase Program</w:t>
      </w:r>
      <w:r>
        <w:rPr>
          <w:rFonts w:ascii="Arial" w:eastAsia="Arial" w:hAnsi="Arial" w:cs="Arial"/>
          <w:sz w:val="18"/>
          <w:szCs w:val="18"/>
        </w:rPr>
        <w:t>”) and has increased the authorization thereunder from time to time. The Company has also adopted plans in</w:t>
      </w:r>
      <w:r>
        <w:rPr>
          <w:rFonts w:ascii="Arial" w:eastAsia="Arial" w:hAnsi="Arial" w:cs="Arial"/>
          <w:sz w:val="18"/>
          <w:szCs w:val="18"/>
        </w:rPr>
        <w:t xml:space="preserve"> compliance with Rule 10b5-1 and/or Rule 10b-18 of the Securities Exchange Act of 1934 to effect repurchases under the U.S. Repurchase Program. After we became a primary-listed company on the Hong Kong Stock Exchange, we carried on the U.S. Repurchase Prog</w:t>
      </w:r>
      <w:r>
        <w:rPr>
          <w:rFonts w:ascii="Arial" w:eastAsia="Arial" w:hAnsi="Arial" w:cs="Arial"/>
          <w:sz w:val="18"/>
          <w:szCs w:val="18"/>
        </w:rPr>
        <w:t>ram, and we also adopted a share repurchase program in Hong Kong which is analogous to the U.S. Repurchase Program.</w:t>
      </w:r>
    </w:p>
    <w:p w:rsidR="00A621E3" w:rsidRDefault="00A621E3">
      <w:pPr>
        <w:spacing w:line="214" w:lineRule="exact"/>
        <w:rPr>
          <w:sz w:val="20"/>
          <w:szCs w:val="20"/>
        </w:rPr>
      </w:pPr>
    </w:p>
    <w:p w:rsidR="00A621E3" w:rsidRDefault="00EC630E">
      <w:pPr>
        <w:spacing w:line="274" w:lineRule="auto"/>
        <w:ind w:left="120"/>
        <w:jc w:val="both"/>
        <w:rPr>
          <w:sz w:val="20"/>
          <w:szCs w:val="20"/>
        </w:rPr>
      </w:pPr>
      <w:r>
        <w:rPr>
          <w:rFonts w:ascii="Arial" w:eastAsia="Arial" w:hAnsi="Arial" w:cs="Arial"/>
          <w:sz w:val="18"/>
          <w:szCs w:val="18"/>
        </w:rPr>
        <w:t xml:space="preserve">Under the Hong Kong Listing Rules, a primary-listed company must obtain authority from its stockholders to repurchase its shares on the </w:t>
      </w:r>
      <w:r>
        <w:rPr>
          <w:rFonts w:ascii="Arial" w:eastAsia="Arial" w:hAnsi="Arial" w:cs="Arial"/>
          <w:sz w:val="18"/>
          <w:szCs w:val="18"/>
        </w:rPr>
        <w:t>Hong Kong Stock Exchange if it wishes to conduct share repurchases on the Hong Kong Stock Exchange. Granting the Company this authority is a routine matter for primary-listed companies on the Hong Kong Stock Exchange and is consistent with market practice.</w:t>
      </w:r>
      <w:r>
        <w:rPr>
          <w:rFonts w:ascii="Arial" w:eastAsia="Arial" w:hAnsi="Arial" w:cs="Arial"/>
          <w:sz w:val="18"/>
          <w:szCs w:val="18"/>
        </w:rPr>
        <w:t xml:space="preserve"> Without this authority, the Company’s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59" w:lineRule="exact"/>
        <w:rPr>
          <w:sz w:val="20"/>
          <w:szCs w:val="20"/>
        </w:rPr>
      </w:pPr>
    </w:p>
    <w:p w:rsidR="00A621E3" w:rsidRDefault="00EC630E">
      <w:pPr>
        <w:spacing w:line="256" w:lineRule="auto"/>
        <w:jc w:val="both"/>
        <w:rPr>
          <w:sz w:val="20"/>
          <w:szCs w:val="20"/>
        </w:rPr>
      </w:pPr>
      <w:r>
        <w:rPr>
          <w:rFonts w:ascii="Arial" w:eastAsia="Arial" w:hAnsi="Arial" w:cs="Arial"/>
          <w:sz w:val="19"/>
          <w:szCs w:val="19"/>
        </w:rPr>
        <w:t>ability to repurchase shares would be limited to the repurchase of shares that trade on the NYSE and would not include repurchases on the Hong Kong Stock Exchange. Granting the Company this authority will ensure c</w:t>
      </w:r>
      <w:r>
        <w:rPr>
          <w:rFonts w:ascii="Arial" w:eastAsia="Arial" w:hAnsi="Arial" w:cs="Arial"/>
          <w:sz w:val="19"/>
          <w:szCs w:val="19"/>
        </w:rPr>
        <w:t>ontinuous parity between investors who hold our shares that trade on the NYSE and investors that hold our shares that trade on the Hong Kong Stock Exchange. Any repurchases made in Hong Kong or the United States will reduce the available authority under th</w:t>
      </w:r>
      <w:r>
        <w:rPr>
          <w:rFonts w:ascii="Arial" w:eastAsia="Arial" w:hAnsi="Arial" w:cs="Arial"/>
          <w:sz w:val="19"/>
          <w:szCs w:val="19"/>
        </w:rPr>
        <w:t>e repurchase mandate and the repurchase authorization.</w:t>
      </w:r>
    </w:p>
    <w:p w:rsidR="00A621E3" w:rsidRDefault="00A621E3">
      <w:pPr>
        <w:spacing w:line="225" w:lineRule="exact"/>
        <w:rPr>
          <w:sz w:val="20"/>
          <w:szCs w:val="20"/>
        </w:rPr>
      </w:pPr>
    </w:p>
    <w:p w:rsidR="00A621E3" w:rsidRDefault="00EC630E">
      <w:pPr>
        <w:spacing w:line="269" w:lineRule="auto"/>
        <w:jc w:val="both"/>
        <w:rPr>
          <w:sz w:val="20"/>
          <w:szCs w:val="20"/>
        </w:rPr>
      </w:pPr>
      <w:r>
        <w:rPr>
          <w:rFonts w:ascii="Arial" w:eastAsia="Arial" w:hAnsi="Arial" w:cs="Arial"/>
          <w:sz w:val="18"/>
          <w:szCs w:val="18"/>
        </w:rPr>
        <w:t>In connection with the authorizations established by the Board regarding our share repurchase programs, these repurchases would be made only at price levels that the Company would consider to be in th</w:t>
      </w:r>
      <w:r>
        <w:rPr>
          <w:rFonts w:ascii="Arial" w:eastAsia="Arial" w:hAnsi="Arial" w:cs="Arial"/>
          <w:sz w:val="18"/>
          <w:szCs w:val="18"/>
        </w:rPr>
        <w:t>e best interests of the stockholders generally, after taking into account the Company’s overall financial position. Our Board of Directors has authorized an aggregate of $2.4 billion for our share repurchase program, including its most recent increase in a</w:t>
      </w:r>
      <w:r>
        <w:rPr>
          <w:rFonts w:ascii="Arial" w:eastAsia="Arial" w:hAnsi="Arial" w:cs="Arial"/>
          <w:sz w:val="18"/>
          <w:szCs w:val="18"/>
        </w:rPr>
        <w:t>uthorization in March 2022. As of December 31, 2022, approximately $1.2 billion remained available under that program. As a Delaware corporation, we are bound by the requirements the Delaware General Corporation Law, which prohibits a corporation from purc</w:t>
      </w:r>
      <w:r>
        <w:rPr>
          <w:rFonts w:ascii="Arial" w:eastAsia="Arial" w:hAnsi="Arial" w:cs="Arial"/>
          <w:sz w:val="18"/>
          <w:szCs w:val="18"/>
        </w:rPr>
        <w:t>hasing its shares of capital stock when the purchase would cause any impairment of our capital, as well as applicable SEC and NYSE requirements.</w:t>
      </w:r>
    </w:p>
    <w:p w:rsidR="00A621E3" w:rsidRDefault="00A621E3">
      <w:pPr>
        <w:spacing w:line="202" w:lineRule="exact"/>
        <w:rPr>
          <w:sz w:val="20"/>
          <w:szCs w:val="20"/>
        </w:rPr>
      </w:pPr>
    </w:p>
    <w:p w:rsidR="00A621E3" w:rsidRDefault="00EC630E">
      <w:pPr>
        <w:rPr>
          <w:sz w:val="20"/>
          <w:szCs w:val="20"/>
        </w:rPr>
      </w:pPr>
      <w:r>
        <w:rPr>
          <w:rFonts w:ascii="Arial" w:eastAsia="Arial" w:hAnsi="Arial" w:cs="Arial"/>
          <w:b/>
          <w:bCs/>
          <w:color w:val="CF0A2C"/>
          <w:sz w:val="20"/>
          <w:szCs w:val="20"/>
        </w:rPr>
        <w:t>Share Capital</w:t>
      </w:r>
    </w:p>
    <w:p w:rsidR="00A621E3" w:rsidRDefault="00A621E3">
      <w:pPr>
        <w:spacing w:line="262" w:lineRule="exact"/>
        <w:rPr>
          <w:sz w:val="20"/>
          <w:szCs w:val="20"/>
        </w:rPr>
      </w:pPr>
    </w:p>
    <w:p w:rsidR="00A621E3" w:rsidRDefault="00EC630E">
      <w:pPr>
        <w:spacing w:line="255" w:lineRule="auto"/>
        <w:jc w:val="both"/>
        <w:rPr>
          <w:sz w:val="20"/>
          <w:szCs w:val="20"/>
        </w:rPr>
      </w:pPr>
      <w:r>
        <w:rPr>
          <w:rFonts w:ascii="Arial" w:eastAsia="Arial" w:hAnsi="Arial" w:cs="Arial"/>
          <w:sz w:val="19"/>
          <w:szCs w:val="19"/>
        </w:rPr>
        <w:t>As of March 27, 2023, the total number of outstanding shares of common stock of the Company was</w:t>
      </w:r>
      <w:r>
        <w:rPr>
          <w:rFonts w:ascii="Arial" w:eastAsia="Arial" w:hAnsi="Arial" w:cs="Arial"/>
          <w:sz w:val="19"/>
          <w:szCs w:val="19"/>
        </w:rPr>
        <w:t xml:space="preserve"> 418,247,486. Pursuant to this proposal, and assuming for illustrative purposes that our outstanding shares remain unchanged from March 27, 2023 to the date of the Annual Meeting, we are seeking continuing authority to repurchase up to a maximum of 41,824,</w:t>
      </w:r>
      <w:r>
        <w:rPr>
          <w:rFonts w:ascii="Arial" w:eastAsia="Arial" w:hAnsi="Arial" w:cs="Arial"/>
          <w:sz w:val="19"/>
          <w:szCs w:val="19"/>
        </w:rPr>
        <w:t>748 shares of common stock, representing 10% of our outstanding shares as of the date of the Annual Meeting. The authority will be effective for a period from the Annual Meeting until the earlier of the 2024 annual meeting of stockholders or June 25, 2024,</w:t>
      </w:r>
      <w:r>
        <w:rPr>
          <w:rFonts w:ascii="Arial" w:eastAsia="Arial" w:hAnsi="Arial" w:cs="Arial"/>
          <w:sz w:val="19"/>
          <w:szCs w:val="19"/>
        </w:rPr>
        <w:t xml:space="preserve"> unless earlier revoked or modified by a</w:t>
      </w:r>
    </w:p>
    <w:p w:rsidR="00A621E3" w:rsidRDefault="00A621E3">
      <w:pPr>
        <w:spacing w:line="448"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53"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37</w:t>
      </w:r>
    </w:p>
    <w:p w:rsidR="00A621E3" w:rsidRDefault="00EC630E">
      <w:pPr>
        <w:spacing w:line="20" w:lineRule="exact"/>
        <w:rPr>
          <w:sz w:val="20"/>
          <w:szCs w:val="20"/>
        </w:rPr>
      </w:pPr>
      <w:r>
        <w:rPr>
          <w:noProof/>
          <w:sz w:val="20"/>
          <w:szCs w:val="20"/>
        </w:rPr>
        <w:drawing>
          <wp:anchor distT="0" distB="0" distL="114300" distR="114300" simplePos="0" relativeHeight="251843584"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43" w:name="page43"/>
      <w:bookmarkEnd w:id="43"/>
      <w:r>
        <w:rPr>
          <w:rFonts w:ascii="Arial" w:eastAsia="Arial" w:hAnsi="Arial" w:cs="Arial"/>
          <w:b/>
          <w:bCs/>
          <w:color w:val="0000EE"/>
          <w:sz w:val="18"/>
          <w:szCs w:val="18"/>
          <w:u w:val="single"/>
        </w:rPr>
        <w:lastRenderedPageBreak/>
        <w:t>Table of Contents</w:t>
      </w:r>
    </w:p>
    <w:p w:rsidR="00A621E3" w:rsidRDefault="00EC630E">
      <w:pPr>
        <w:spacing w:line="20" w:lineRule="exact"/>
        <w:rPr>
          <w:sz w:val="20"/>
          <w:szCs w:val="20"/>
        </w:rPr>
      </w:pPr>
      <w:r>
        <w:rPr>
          <w:noProof/>
          <w:sz w:val="20"/>
          <w:szCs w:val="20"/>
        </w:rPr>
        <w:drawing>
          <wp:anchor distT="0" distB="0" distL="114300" distR="114300" simplePos="0" relativeHeight="251844608" behindDoc="1" locked="0" layoutInCell="0" allowOverlap="1">
            <wp:simplePos x="0" y="0"/>
            <wp:positionH relativeFrom="column">
              <wp:posOffset>73660</wp:posOffset>
            </wp:positionH>
            <wp:positionV relativeFrom="paragraph">
              <wp:posOffset>205740</wp:posOffset>
            </wp:positionV>
            <wp:extent cx="2486025" cy="205740"/>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7">
                      <a:extLst/>
                    </a:blip>
                    <a:srcRect/>
                    <a:stretch>
                      <a:fillRect/>
                    </a:stretch>
                  </pic:blipFill>
                  <pic:spPr bwMode="auto">
                    <a:xfrm>
                      <a:off x="0" y="0"/>
                      <a:ext cx="248602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MATTERS REQUIRING STOCKHOLDER ACTION</w:t>
      </w:r>
    </w:p>
    <w:p w:rsidR="00A621E3" w:rsidRDefault="00A621E3">
      <w:pPr>
        <w:spacing w:line="263" w:lineRule="exact"/>
        <w:rPr>
          <w:sz w:val="20"/>
          <w:szCs w:val="20"/>
        </w:rPr>
      </w:pPr>
    </w:p>
    <w:p w:rsidR="00A621E3" w:rsidRDefault="00EC630E">
      <w:pPr>
        <w:spacing w:line="246" w:lineRule="auto"/>
        <w:ind w:left="120"/>
        <w:jc w:val="both"/>
        <w:rPr>
          <w:sz w:val="20"/>
          <w:szCs w:val="20"/>
        </w:rPr>
      </w:pPr>
      <w:r>
        <w:rPr>
          <w:rFonts w:ascii="Arial" w:eastAsia="Arial" w:hAnsi="Arial" w:cs="Arial"/>
          <w:sz w:val="20"/>
          <w:szCs w:val="20"/>
        </w:rPr>
        <w:t>duly adopted resolution of the stockholders. As noted above, June</w:t>
      </w:r>
      <w:r>
        <w:rPr>
          <w:rFonts w:ascii="Arial" w:eastAsia="Arial" w:hAnsi="Arial" w:cs="Arial"/>
          <w:sz w:val="20"/>
          <w:szCs w:val="20"/>
        </w:rPr>
        <w:t xml:space="preserve"> 25, 2024 is the 13-month anniversary of the Annual Meeting and reflects the end date of the authorization, after which the authorization cannot extend.</w:t>
      </w:r>
    </w:p>
    <w:p w:rsidR="00A621E3" w:rsidRDefault="00A621E3">
      <w:pPr>
        <w:spacing w:line="226" w:lineRule="exact"/>
        <w:rPr>
          <w:sz w:val="20"/>
          <w:szCs w:val="20"/>
        </w:rPr>
      </w:pPr>
    </w:p>
    <w:p w:rsidR="00A621E3" w:rsidRDefault="00EC630E">
      <w:pPr>
        <w:ind w:left="120"/>
        <w:rPr>
          <w:sz w:val="20"/>
          <w:szCs w:val="20"/>
        </w:rPr>
      </w:pPr>
      <w:r>
        <w:rPr>
          <w:rFonts w:ascii="Arial" w:eastAsia="Arial" w:hAnsi="Arial" w:cs="Arial"/>
          <w:b/>
          <w:bCs/>
          <w:color w:val="CF0A2C"/>
          <w:sz w:val="20"/>
          <w:szCs w:val="20"/>
        </w:rPr>
        <w:t>Funding of Repurchase</w:t>
      </w:r>
    </w:p>
    <w:p w:rsidR="00A621E3" w:rsidRDefault="00A621E3">
      <w:pPr>
        <w:spacing w:line="262" w:lineRule="exact"/>
        <w:rPr>
          <w:sz w:val="20"/>
          <w:szCs w:val="20"/>
        </w:rPr>
      </w:pPr>
    </w:p>
    <w:p w:rsidR="00A621E3" w:rsidRDefault="00EC630E">
      <w:pPr>
        <w:spacing w:line="272" w:lineRule="auto"/>
        <w:ind w:left="120"/>
        <w:jc w:val="both"/>
        <w:rPr>
          <w:sz w:val="20"/>
          <w:szCs w:val="20"/>
        </w:rPr>
      </w:pPr>
      <w:r>
        <w:rPr>
          <w:rFonts w:ascii="Arial" w:eastAsia="Arial" w:hAnsi="Arial" w:cs="Arial"/>
          <w:sz w:val="18"/>
          <w:szCs w:val="18"/>
        </w:rPr>
        <w:t>The repurchases may depend on market conditions and funding arrangements at the</w:t>
      </w:r>
      <w:r>
        <w:rPr>
          <w:rFonts w:ascii="Arial" w:eastAsia="Arial" w:hAnsi="Arial" w:cs="Arial"/>
          <w:sz w:val="18"/>
          <w:szCs w:val="18"/>
        </w:rPr>
        <w:t xml:space="preserve"> time and will be made only when the Company believes that such repurchases will benefit the Company and our stockholders. Repurchases of shares of common stock will be funded out of funds legally available for such purposes in accordance with the Company’</w:t>
      </w:r>
      <w:r>
        <w:rPr>
          <w:rFonts w:ascii="Arial" w:eastAsia="Arial" w:hAnsi="Arial" w:cs="Arial"/>
          <w:sz w:val="18"/>
          <w:szCs w:val="18"/>
        </w:rPr>
        <w:t>s Amended and Restated Bylaws, the Hong Kong Listing Rules, applicable U.S. federal law, Delaware law, the NYSE listing standards, and other applicable laws and regulations in U.S. and Hong Kong.</w:t>
      </w:r>
    </w:p>
    <w:p w:rsidR="00A621E3" w:rsidRDefault="00A621E3">
      <w:pPr>
        <w:spacing w:line="191" w:lineRule="exact"/>
        <w:rPr>
          <w:sz w:val="20"/>
          <w:szCs w:val="20"/>
        </w:rPr>
      </w:pPr>
    </w:p>
    <w:p w:rsidR="00A621E3" w:rsidRDefault="00EC630E">
      <w:pPr>
        <w:ind w:left="120"/>
        <w:rPr>
          <w:sz w:val="20"/>
          <w:szCs w:val="20"/>
        </w:rPr>
      </w:pPr>
      <w:r>
        <w:rPr>
          <w:rFonts w:ascii="Arial" w:eastAsia="Arial" w:hAnsi="Arial" w:cs="Arial"/>
          <w:b/>
          <w:bCs/>
          <w:color w:val="CF0A2C"/>
          <w:sz w:val="20"/>
          <w:szCs w:val="20"/>
        </w:rPr>
        <w:t>Impact of Repurchases</w:t>
      </w:r>
    </w:p>
    <w:p w:rsidR="00A621E3" w:rsidRDefault="00A621E3">
      <w:pPr>
        <w:spacing w:line="262" w:lineRule="exact"/>
        <w:rPr>
          <w:sz w:val="20"/>
          <w:szCs w:val="20"/>
        </w:rPr>
      </w:pPr>
    </w:p>
    <w:p w:rsidR="00A621E3" w:rsidRDefault="00EC630E">
      <w:pPr>
        <w:spacing w:line="271" w:lineRule="auto"/>
        <w:ind w:left="120"/>
        <w:jc w:val="both"/>
        <w:rPr>
          <w:sz w:val="20"/>
          <w:szCs w:val="20"/>
        </w:rPr>
      </w:pPr>
      <w:r>
        <w:rPr>
          <w:rFonts w:ascii="Arial" w:eastAsia="Arial" w:hAnsi="Arial" w:cs="Arial"/>
          <w:sz w:val="18"/>
          <w:szCs w:val="18"/>
        </w:rPr>
        <w:t>The repurchase of common stock pursu</w:t>
      </w:r>
      <w:r>
        <w:rPr>
          <w:rFonts w:ascii="Arial" w:eastAsia="Arial" w:hAnsi="Arial" w:cs="Arial"/>
          <w:sz w:val="18"/>
          <w:szCs w:val="18"/>
        </w:rPr>
        <w:t>ant to this proposal may have a material adverse impact on the working capital or leverage of the Company as compared with the position as at December 31, 2022 in the event that the proposed repurchases were to be carried out in full at any time during pro</w:t>
      </w:r>
      <w:r>
        <w:rPr>
          <w:rFonts w:ascii="Arial" w:eastAsia="Arial" w:hAnsi="Arial" w:cs="Arial"/>
          <w:sz w:val="18"/>
          <w:szCs w:val="18"/>
        </w:rPr>
        <w:t>posed repurchase period. However, our directors are subject to fiduciary duties to the Company and are bound by the requirements the State of Delaware General Corporation Law, which prohibits a corporation from purchasing its shares of capital stock when t</w:t>
      </w:r>
      <w:r>
        <w:rPr>
          <w:rFonts w:ascii="Arial" w:eastAsia="Arial" w:hAnsi="Arial" w:cs="Arial"/>
          <w:sz w:val="18"/>
          <w:szCs w:val="18"/>
        </w:rPr>
        <w:t>he purchase would cause any impairment of our capital.</w:t>
      </w:r>
    </w:p>
    <w:p w:rsidR="00A621E3" w:rsidRDefault="00A621E3">
      <w:pPr>
        <w:spacing w:line="208" w:lineRule="exact"/>
        <w:rPr>
          <w:sz w:val="20"/>
          <w:szCs w:val="20"/>
        </w:rPr>
      </w:pPr>
    </w:p>
    <w:p w:rsidR="00A621E3" w:rsidRDefault="00EC630E">
      <w:pPr>
        <w:ind w:left="120"/>
        <w:rPr>
          <w:sz w:val="20"/>
          <w:szCs w:val="20"/>
        </w:rPr>
      </w:pPr>
      <w:r>
        <w:rPr>
          <w:rFonts w:ascii="Arial" w:eastAsia="Arial" w:hAnsi="Arial" w:cs="Arial"/>
          <w:b/>
          <w:bCs/>
          <w:color w:val="CF0A2C"/>
          <w:sz w:val="18"/>
          <w:szCs w:val="18"/>
        </w:rPr>
        <w:t xml:space="preserve">The Code on Takeovers and Mergers (the </w:t>
      </w:r>
      <w:r>
        <w:rPr>
          <w:rFonts w:ascii="Arial" w:eastAsia="Arial" w:hAnsi="Arial" w:cs="Arial"/>
          <w:b/>
          <w:bCs/>
          <w:i/>
          <w:iCs/>
          <w:color w:val="CF0A2C"/>
          <w:sz w:val="18"/>
          <w:szCs w:val="18"/>
        </w:rPr>
        <w:t>“Takeovers Code”</w:t>
      </w:r>
      <w:r>
        <w:rPr>
          <w:rFonts w:ascii="Arial" w:eastAsia="Arial" w:hAnsi="Arial" w:cs="Arial"/>
          <w:b/>
          <w:bCs/>
          <w:color w:val="CF0A2C"/>
          <w:sz w:val="18"/>
          <w:szCs w:val="18"/>
        </w:rPr>
        <w:t>)</w:t>
      </w:r>
    </w:p>
    <w:p w:rsidR="00A621E3" w:rsidRDefault="00A621E3">
      <w:pPr>
        <w:spacing w:line="272" w:lineRule="exact"/>
        <w:rPr>
          <w:sz w:val="20"/>
          <w:szCs w:val="20"/>
        </w:rPr>
      </w:pPr>
    </w:p>
    <w:p w:rsidR="00A621E3" w:rsidRDefault="00EC630E">
      <w:pPr>
        <w:spacing w:line="271" w:lineRule="auto"/>
        <w:ind w:left="120"/>
        <w:jc w:val="both"/>
        <w:rPr>
          <w:sz w:val="20"/>
          <w:szCs w:val="20"/>
        </w:rPr>
      </w:pPr>
      <w:r>
        <w:rPr>
          <w:rFonts w:ascii="Arial" w:eastAsia="Arial" w:hAnsi="Arial" w:cs="Arial"/>
          <w:sz w:val="18"/>
          <w:szCs w:val="18"/>
        </w:rPr>
        <w:t xml:space="preserve">If, as a result of a repurchase pursuant to the authorization to repurchase shares, a stockholder’s proportionate interest in the voting </w:t>
      </w:r>
      <w:r>
        <w:rPr>
          <w:rFonts w:ascii="Arial" w:eastAsia="Arial" w:hAnsi="Arial" w:cs="Arial"/>
          <w:sz w:val="18"/>
          <w:szCs w:val="18"/>
        </w:rPr>
        <w:t>rights of our Company increases, such increase will be treated as an acquisition of voting rights for the purposes of the Takeovers Code. Accordingly, a stockholder, or a group of stockholders acting in concert (within the meaning under the Takeovers Code)</w:t>
      </w:r>
      <w:r>
        <w:rPr>
          <w:rFonts w:ascii="Arial" w:eastAsia="Arial" w:hAnsi="Arial" w:cs="Arial"/>
          <w:sz w:val="18"/>
          <w:szCs w:val="18"/>
        </w:rPr>
        <w:t>, depending on the level of increase in the stockholder’s interest, could obtain or consolidate control of our Company and thereby become obliged to make a mandatory offer in accordance with Rule 26 of the Takeovers Code.</w:t>
      </w:r>
    </w:p>
    <w:p w:rsidR="00A621E3" w:rsidRDefault="00A621E3">
      <w:pPr>
        <w:spacing w:line="262" w:lineRule="exact"/>
        <w:rPr>
          <w:sz w:val="20"/>
          <w:szCs w:val="20"/>
        </w:rPr>
      </w:pPr>
    </w:p>
    <w:p w:rsidR="00A621E3" w:rsidRDefault="00EC630E">
      <w:pPr>
        <w:numPr>
          <w:ilvl w:val="0"/>
          <w:numId w:val="46"/>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845632"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0" w:lineRule="exact"/>
        <w:rPr>
          <w:sz w:val="20"/>
          <w:szCs w:val="20"/>
        </w:rPr>
      </w:pPr>
    </w:p>
    <w:p w:rsidR="00A621E3" w:rsidRDefault="00EC630E">
      <w:pPr>
        <w:spacing w:line="271" w:lineRule="auto"/>
        <w:jc w:val="both"/>
        <w:rPr>
          <w:sz w:val="20"/>
          <w:szCs w:val="20"/>
        </w:rPr>
      </w:pPr>
      <w:r>
        <w:rPr>
          <w:rFonts w:ascii="Arial" w:eastAsia="Arial" w:hAnsi="Arial" w:cs="Arial"/>
          <w:sz w:val="18"/>
          <w:szCs w:val="18"/>
        </w:rPr>
        <w:t xml:space="preserve">As of March 27, 2023, to the best knowledge and belief of our Board of Directors, our largest stockholder beneficially owned 39,956,938 shares of common stock, representing approximately 9.6% of our outstanding shares, based on Amendment No. 4 to </w:t>
      </w:r>
      <w:r>
        <w:rPr>
          <w:rFonts w:ascii="Arial" w:eastAsia="Arial" w:hAnsi="Arial" w:cs="Arial"/>
          <w:sz w:val="18"/>
          <w:szCs w:val="18"/>
        </w:rPr>
        <w:t>the Schedule 13G filed on February 10, 2023 with the SEC by the stockholder. In the event that our Board of Directors should exercise in full the authorization to repurchase shares, and the shareholding of our largest stockholder remains the same, the bene</w:t>
      </w:r>
      <w:r>
        <w:rPr>
          <w:rFonts w:ascii="Arial" w:eastAsia="Arial" w:hAnsi="Arial" w:cs="Arial"/>
          <w:sz w:val="18"/>
          <w:szCs w:val="18"/>
        </w:rPr>
        <w:t>ficial ownership of our largest stockholder will be increased to approximately 10.6% of our outstanding shares.</w:t>
      </w:r>
    </w:p>
    <w:p w:rsidR="00A621E3" w:rsidRDefault="00EC630E">
      <w:pPr>
        <w:spacing w:line="20" w:lineRule="exact"/>
        <w:rPr>
          <w:sz w:val="20"/>
          <w:szCs w:val="20"/>
        </w:rPr>
      </w:pPr>
      <w:r>
        <w:rPr>
          <w:noProof/>
          <w:sz w:val="20"/>
          <w:szCs w:val="20"/>
        </w:rPr>
        <w:drawing>
          <wp:anchor distT="0" distB="0" distL="114300" distR="114300" simplePos="0" relativeHeight="251846656" behindDoc="1" locked="0" layoutInCell="0" allowOverlap="1">
            <wp:simplePos x="0" y="0"/>
            <wp:positionH relativeFrom="column">
              <wp:posOffset>-3651885</wp:posOffset>
            </wp:positionH>
            <wp:positionV relativeFrom="paragraph">
              <wp:posOffset>-2364105</wp:posOffset>
            </wp:positionV>
            <wp:extent cx="7174865" cy="55880"/>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p>
    <w:p w:rsidR="00A621E3" w:rsidRDefault="00A621E3">
      <w:pPr>
        <w:spacing w:line="194" w:lineRule="exact"/>
        <w:rPr>
          <w:sz w:val="20"/>
          <w:szCs w:val="20"/>
        </w:rPr>
      </w:pPr>
    </w:p>
    <w:p w:rsidR="00A621E3" w:rsidRDefault="00EC630E">
      <w:pPr>
        <w:spacing w:line="269" w:lineRule="auto"/>
        <w:jc w:val="both"/>
        <w:rPr>
          <w:sz w:val="20"/>
          <w:szCs w:val="20"/>
        </w:rPr>
      </w:pPr>
      <w:r>
        <w:rPr>
          <w:rFonts w:ascii="Arial" w:eastAsia="Arial" w:hAnsi="Arial" w:cs="Arial"/>
          <w:sz w:val="18"/>
          <w:szCs w:val="18"/>
        </w:rPr>
        <w:t>To the best knowledge and belief of our Board of Directors, such increase would not give rise to an obligation to make a mandatory offer unde</w:t>
      </w:r>
      <w:r>
        <w:rPr>
          <w:rFonts w:ascii="Arial" w:eastAsia="Arial" w:hAnsi="Arial" w:cs="Arial"/>
          <w:sz w:val="18"/>
          <w:szCs w:val="18"/>
        </w:rPr>
        <w:t>r the Takeovers Code. Our Board of Directors has no present intention to repurchase shares of common stock to the extent that will trigger the obligations under the Takeovers Code for our largest stockholder to make a mandatory offer. Our Board of Director</w:t>
      </w:r>
      <w:r>
        <w:rPr>
          <w:rFonts w:ascii="Arial" w:eastAsia="Arial" w:hAnsi="Arial" w:cs="Arial"/>
          <w:sz w:val="18"/>
          <w:szCs w:val="18"/>
        </w:rPr>
        <w:t xml:space="preserve">s is not aware of any other consequences which may arise under the Takeovers Code as a result of a repurchase pursuant to the authorization to repurchase shares. The Hong Kong Listing Rules prohibit a company from buying back shares on the Hong Kong Stock </w:t>
      </w:r>
      <w:r>
        <w:rPr>
          <w:rFonts w:ascii="Arial" w:eastAsia="Arial" w:hAnsi="Arial" w:cs="Arial"/>
          <w:sz w:val="18"/>
          <w:szCs w:val="18"/>
        </w:rPr>
        <w:t>Exchange if the result of the repurchases would be that less than 25% (or such other prescribed minimum percentage as determined by the Hong Kong Stock Exchange) of our outstanding shares would be in public hands. Our Board of Directors does not propose to</w:t>
      </w:r>
      <w:r>
        <w:rPr>
          <w:rFonts w:ascii="Arial" w:eastAsia="Arial" w:hAnsi="Arial" w:cs="Arial"/>
          <w:sz w:val="18"/>
          <w:szCs w:val="18"/>
        </w:rPr>
        <w:t xml:space="preserve"> repurchase shares which would result in less than the prescribed minimum percentage of shares of common stock in public hands.</w:t>
      </w:r>
    </w:p>
    <w:p w:rsidR="00A621E3" w:rsidRDefault="00A621E3">
      <w:pPr>
        <w:spacing w:line="208" w:lineRule="exact"/>
        <w:rPr>
          <w:sz w:val="20"/>
          <w:szCs w:val="20"/>
        </w:rPr>
      </w:pPr>
    </w:p>
    <w:p w:rsidR="00A621E3" w:rsidRDefault="00EC630E">
      <w:pPr>
        <w:rPr>
          <w:sz w:val="20"/>
          <w:szCs w:val="20"/>
        </w:rPr>
      </w:pPr>
      <w:r>
        <w:rPr>
          <w:rFonts w:ascii="Arial" w:eastAsia="Arial" w:hAnsi="Arial" w:cs="Arial"/>
          <w:b/>
          <w:bCs/>
          <w:color w:val="CF0A2C"/>
          <w:sz w:val="20"/>
          <w:szCs w:val="20"/>
        </w:rPr>
        <w:t>Market Prices of Shares</w:t>
      </w:r>
    </w:p>
    <w:p w:rsidR="00A621E3" w:rsidRDefault="00A621E3">
      <w:pPr>
        <w:spacing w:line="243" w:lineRule="exact"/>
        <w:rPr>
          <w:sz w:val="20"/>
          <w:szCs w:val="20"/>
        </w:rPr>
      </w:pPr>
    </w:p>
    <w:p w:rsidR="00A621E3" w:rsidRDefault="00EC630E">
      <w:pPr>
        <w:spacing w:line="275" w:lineRule="auto"/>
        <w:ind w:right="20"/>
        <w:jc w:val="both"/>
        <w:rPr>
          <w:sz w:val="20"/>
          <w:szCs w:val="20"/>
        </w:rPr>
      </w:pPr>
      <w:r>
        <w:rPr>
          <w:rFonts w:ascii="Arial" w:eastAsia="Arial" w:hAnsi="Arial" w:cs="Arial"/>
          <w:b/>
          <w:bCs/>
          <w:sz w:val="18"/>
          <w:szCs w:val="18"/>
        </w:rPr>
        <w:t>This section includes information required to be provided pursuant to Rule 10.06(1)(b) of the Hong Kon</w:t>
      </w:r>
      <w:r>
        <w:rPr>
          <w:rFonts w:ascii="Arial" w:eastAsia="Arial" w:hAnsi="Arial" w:cs="Arial"/>
          <w:b/>
          <w:bCs/>
          <w:sz w:val="18"/>
          <w:szCs w:val="18"/>
        </w:rPr>
        <w:t xml:space="preserve">g Listing Rules. While our shares are dual-primary listed on the NYSE and HKEX, the information set forth below relates exclusively to our listing on the Hong Kong Stock Exchange and is therefore provided in Hong Kong dollars. </w:t>
      </w:r>
      <w:r>
        <w:rPr>
          <w:rFonts w:ascii="Arial" w:eastAsia="Arial" w:hAnsi="Arial" w:cs="Arial"/>
          <w:b/>
          <w:bCs/>
          <w:sz w:val="18"/>
          <w:szCs w:val="18"/>
          <w:u w:val="single"/>
        </w:rPr>
        <w:t>The below values do not</w:t>
      </w:r>
      <w:r>
        <w:rPr>
          <w:rFonts w:ascii="Arial" w:eastAsia="Arial" w:hAnsi="Arial" w:cs="Arial"/>
          <w:b/>
          <w:bCs/>
          <w:sz w:val="18"/>
          <w:szCs w:val="18"/>
        </w:rPr>
        <w:t xml:space="preserve"> </w:t>
      </w:r>
      <w:r>
        <w:rPr>
          <w:rFonts w:ascii="Arial" w:eastAsia="Arial" w:hAnsi="Arial" w:cs="Arial"/>
          <w:b/>
          <w:bCs/>
          <w:sz w:val="18"/>
          <w:szCs w:val="18"/>
          <w:u w:val="single"/>
        </w:rPr>
        <w:t>represent trading prices of our shares on the NYSE.</w:t>
      </w: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44" w:name="page44"/>
      <w:bookmarkEnd w:id="44"/>
      <w:r>
        <w:rPr>
          <w:rFonts w:ascii="Arial" w:eastAsia="Arial" w:hAnsi="Arial" w:cs="Arial"/>
          <w:b/>
          <w:bCs/>
          <w:color w:val="0000EE"/>
          <w:sz w:val="18"/>
          <w:szCs w:val="18"/>
          <w:u w:val="single"/>
        </w:rPr>
        <w:lastRenderedPageBreak/>
        <w:t>Table of Contents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3" w:lineRule="exact"/>
        <w:rPr>
          <w:sz w:val="20"/>
          <w:szCs w:val="20"/>
        </w:rPr>
      </w:pPr>
    </w:p>
    <w:p w:rsidR="00A621E3" w:rsidRDefault="00EC630E">
      <w:pPr>
        <w:spacing w:line="278" w:lineRule="auto"/>
        <w:ind w:left="120"/>
        <w:jc w:val="both"/>
        <w:rPr>
          <w:sz w:val="20"/>
          <w:szCs w:val="20"/>
        </w:rPr>
      </w:pPr>
      <w:r>
        <w:rPr>
          <w:rFonts w:ascii="Arial" w:eastAsia="Arial" w:hAnsi="Arial" w:cs="Arial"/>
          <w:sz w:val="18"/>
          <w:szCs w:val="18"/>
        </w:rPr>
        <w:t xml:space="preserve">Our common stock was listed on the Hong Kong Stock Exchange on September 10, 2020. The following table sets forth the highest and lowest closing prices at </w:t>
      </w:r>
      <w:r>
        <w:rPr>
          <w:rFonts w:ascii="Arial" w:eastAsia="Arial" w:hAnsi="Arial" w:cs="Arial"/>
          <w:sz w:val="18"/>
          <w:szCs w:val="18"/>
        </w:rPr>
        <w:t>which the shares of common stock traded on the Hong Kong Stock Exchange during each month of the previous 12 months and until March 2023:</w:t>
      </w:r>
    </w:p>
    <w:p w:rsidR="00A621E3" w:rsidRDefault="00A621E3">
      <w:pPr>
        <w:spacing w:line="205" w:lineRule="exact"/>
        <w:rPr>
          <w:sz w:val="20"/>
          <w:szCs w:val="20"/>
        </w:rPr>
      </w:pPr>
    </w:p>
    <w:p w:rsidR="00A621E3" w:rsidRDefault="00EC630E">
      <w:pPr>
        <w:spacing w:line="260" w:lineRule="auto"/>
        <w:ind w:left="120" w:right="160"/>
        <w:jc w:val="center"/>
        <w:rPr>
          <w:sz w:val="20"/>
          <w:szCs w:val="20"/>
        </w:rPr>
      </w:pPr>
      <w:r>
        <w:rPr>
          <w:rFonts w:ascii="Arial" w:eastAsia="Arial" w:hAnsi="Arial" w:cs="Arial"/>
          <w:sz w:val="20"/>
          <w:szCs w:val="20"/>
        </w:rPr>
        <w:t>Yum China’s Highest and Lowest Monthly Close Price (March 2022 – March 2023)</w:t>
      </w:r>
    </w:p>
    <w:p w:rsidR="00A621E3" w:rsidRDefault="00A621E3">
      <w:pPr>
        <w:spacing w:line="26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140"/>
        <w:gridCol w:w="2280"/>
        <w:gridCol w:w="820"/>
        <w:gridCol w:w="20"/>
      </w:tblGrid>
      <w:tr w:rsidR="00A621E3">
        <w:trPr>
          <w:trHeight w:val="162"/>
        </w:trPr>
        <w:tc>
          <w:tcPr>
            <w:tcW w:w="2140" w:type="dxa"/>
            <w:vAlign w:val="bottom"/>
          </w:tcPr>
          <w:p w:rsidR="00A621E3" w:rsidRDefault="00A621E3">
            <w:pPr>
              <w:rPr>
                <w:sz w:val="14"/>
                <w:szCs w:val="14"/>
              </w:rPr>
            </w:pPr>
          </w:p>
        </w:tc>
        <w:tc>
          <w:tcPr>
            <w:tcW w:w="3100" w:type="dxa"/>
            <w:gridSpan w:val="2"/>
            <w:vAlign w:val="bottom"/>
          </w:tcPr>
          <w:p w:rsidR="00A621E3" w:rsidRDefault="00EC630E">
            <w:pPr>
              <w:ind w:right="368"/>
              <w:jc w:val="right"/>
              <w:rPr>
                <w:sz w:val="20"/>
                <w:szCs w:val="20"/>
              </w:rPr>
            </w:pPr>
            <w:r>
              <w:rPr>
                <w:rFonts w:ascii="Arial" w:eastAsia="Arial" w:hAnsi="Arial" w:cs="Arial"/>
                <w:b/>
                <w:bCs/>
                <w:color w:val="CF0A2C"/>
                <w:sz w:val="14"/>
                <w:szCs w:val="14"/>
              </w:rPr>
              <w:t>Share price</w:t>
            </w:r>
          </w:p>
        </w:tc>
        <w:tc>
          <w:tcPr>
            <w:tcW w:w="0" w:type="dxa"/>
            <w:vAlign w:val="bottom"/>
          </w:tcPr>
          <w:p w:rsidR="00A621E3" w:rsidRDefault="00A621E3">
            <w:pPr>
              <w:rPr>
                <w:sz w:val="1"/>
                <w:szCs w:val="1"/>
              </w:rPr>
            </w:pPr>
          </w:p>
        </w:tc>
      </w:tr>
      <w:tr w:rsidR="00A621E3">
        <w:trPr>
          <w:trHeight w:val="166"/>
        </w:trPr>
        <w:tc>
          <w:tcPr>
            <w:tcW w:w="2140" w:type="dxa"/>
            <w:vAlign w:val="bottom"/>
          </w:tcPr>
          <w:p w:rsidR="00A621E3" w:rsidRDefault="00A621E3">
            <w:pPr>
              <w:rPr>
                <w:sz w:val="14"/>
                <w:szCs w:val="14"/>
              </w:rPr>
            </w:pPr>
          </w:p>
        </w:tc>
        <w:tc>
          <w:tcPr>
            <w:tcW w:w="2280" w:type="dxa"/>
            <w:vAlign w:val="bottom"/>
          </w:tcPr>
          <w:p w:rsidR="00A621E3" w:rsidRDefault="00EC630E">
            <w:pPr>
              <w:ind w:right="248"/>
              <w:jc w:val="right"/>
              <w:rPr>
                <w:sz w:val="20"/>
                <w:szCs w:val="20"/>
              </w:rPr>
            </w:pPr>
            <w:r>
              <w:rPr>
                <w:rFonts w:ascii="Arial" w:eastAsia="Arial" w:hAnsi="Arial" w:cs="Arial"/>
                <w:b/>
                <w:bCs/>
                <w:color w:val="CF0A2C"/>
                <w:sz w:val="14"/>
                <w:szCs w:val="14"/>
              </w:rPr>
              <w:t>Highest</w:t>
            </w:r>
          </w:p>
        </w:tc>
        <w:tc>
          <w:tcPr>
            <w:tcW w:w="820" w:type="dxa"/>
            <w:vAlign w:val="bottom"/>
          </w:tcPr>
          <w:p w:rsidR="00A621E3" w:rsidRDefault="00EC630E">
            <w:pPr>
              <w:jc w:val="right"/>
              <w:rPr>
                <w:sz w:val="20"/>
                <w:szCs w:val="20"/>
              </w:rPr>
            </w:pPr>
            <w:r>
              <w:rPr>
                <w:rFonts w:ascii="Arial" w:eastAsia="Arial" w:hAnsi="Arial" w:cs="Arial"/>
                <w:b/>
                <w:bCs/>
                <w:color w:val="CF0A2C"/>
                <w:sz w:val="14"/>
                <w:szCs w:val="14"/>
              </w:rPr>
              <w:t>Lowest</w:t>
            </w:r>
          </w:p>
        </w:tc>
        <w:tc>
          <w:tcPr>
            <w:tcW w:w="0" w:type="dxa"/>
            <w:vAlign w:val="bottom"/>
          </w:tcPr>
          <w:p w:rsidR="00A621E3" w:rsidRDefault="00A621E3">
            <w:pPr>
              <w:rPr>
                <w:sz w:val="1"/>
                <w:szCs w:val="1"/>
              </w:rPr>
            </w:pPr>
          </w:p>
        </w:tc>
      </w:tr>
      <w:tr w:rsidR="00A621E3">
        <w:trPr>
          <w:trHeight w:val="186"/>
        </w:trPr>
        <w:tc>
          <w:tcPr>
            <w:tcW w:w="2140" w:type="dxa"/>
            <w:vMerge w:val="restart"/>
            <w:vAlign w:val="bottom"/>
          </w:tcPr>
          <w:p w:rsidR="00A621E3" w:rsidRDefault="00EC630E">
            <w:pPr>
              <w:rPr>
                <w:sz w:val="20"/>
                <w:szCs w:val="20"/>
              </w:rPr>
            </w:pPr>
            <w:r>
              <w:rPr>
                <w:rFonts w:ascii="Arial" w:eastAsia="Arial" w:hAnsi="Arial" w:cs="Arial"/>
                <w:b/>
                <w:bCs/>
                <w:color w:val="CF0A2C"/>
                <w:sz w:val="14"/>
                <w:szCs w:val="14"/>
              </w:rPr>
              <w:t>2022</w:t>
            </w:r>
          </w:p>
        </w:tc>
        <w:tc>
          <w:tcPr>
            <w:tcW w:w="2280" w:type="dxa"/>
            <w:vAlign w:val="bottom"/>
          </w:tcPr>
          <w:p w:rsidR="00A621E3" w:rsidRDefault="00EC630E">
            <w:pPr>
              <w:ind w:right="328"/>
              <w:jc w:val="right"/>
              <w:rPr>
                <w:sz w:val="20"/>
                <w:szCs w:val="20"/>
              </w:rPr>
            </w:pPr>
            <w:r>
              <w:rPr>
                <w:rFonts w:ascii="Arial" w:eastAsia="Arial" w:hAnsi="Arial" w:cs="Arial"/>
                <w:i/>
                <w:iCs/>
                <w:color w:val="CF0A2C"/>
                <w:sz w:val="14"/>
                <w:szCs w:val="14"/>
              </w:rPr>
              <w:t>(HK$)</w:t>
            </w:r>
          </w:p>
        </w:tc>
        <w:tc>
          <w:tcPr>
            <w:tcW w:w="820" w:type="dxa"/>
            <w:vAlign w:val="bottom"/>
          </w:tcPr>
          <w:p w:rsidR="00A621E3" w:rsidRDefault="00EC630E">
            <w:pPr>
              <w:jc w:val="right"/>
              <w:rPr>
                <w:sz w:val="20"/>
                <w:szCs w:val="20"/>
              </w:rPr>
            </w:pPr>
            <w:r>
              <w:rPr>
                <w:rFonts w:ascii="Arial" w:eastAsia="Arial" w:hAnsi="Arial" w:cs="Arial"/>
                <w:i/>
                <w:iCs/>
                <w:color w:val="CF0A2C"/>
                <w:sz w:val="14"/>
                <w:szCs w:val="14"/>
              </w:rPr>
              <w:t>(HK$)</w:t>
            </w:r>
          </w:p>
        </w:tc>
        <w:tc>
          <w:tcPr>
            <w:tcW w:w="0" w:type="dxa"/>
            <w:vAlign w:val="bottom"/>
          </w:tcPr>
          <w:p w:rsidR="00A621E3" w:rsidRDefault="00A621E3">
            <w:pPr>
              <w:rPr>
                <w:sz w:val="1"/>
                <w:szCs w:val="1"/>
              </w:rPr>
            </w:pPr>
          </w:p>
        </w:tc>
      </w:tr>
      <w:tr w:rsidR="00A621E3">
        <w:trPr>
          <w:trHeight w:val="179"/>
        </w:trPr>
        <w:tc>
          <w:tcPr>
            <w:tcW w:w="2140" w:type="dxa"/>
            <w:vMerge/>
            <w:vAlign w:val="bottom"/>
          </w:tcPr>
          <w:p w:rsidR="00A621E3" w:rsidRDefault="00A621E3">
            <w:pPr>
              <w:rPr>
                <w:sz w:val="15"/>
                <w:szCs w:val="15"/>
              </w:rPr>
            </w:pPr>
          </w:p>
        </w:tc>
        <w:tc>
          <w:tcPr>
            <w:tcW w:w="2280" w:type="dxa"/>
            <w:vAlign w:val="bottom"/>
          </w:tcPr>
          <w:p w:rsidR="00A621E3" w:rsidRDefault="00A621E3">
            <w:pPr>
              <w:rPr>
                <w:sz w:val="15"/>
                <w:szCs w:val="15"/>
              </w:rPr>
            </w:pPr>
          </w:p>
        </w:tc>
        <w:tc>
          <w:tcPr>
            <w:tcW w:w="820" w:type="dxa"/>
            <w:vAlign w:val="bottom"/>
          </w:tcPr>
          <w:p w:rsidR="00A621E3" w:rsidRDefault="00A621E3">
            <w:pPr>
              <w:rPr>
                <w:sz w:val="15"/>
                <w:szCs w:val="15"/>
              </w:rPr>
            </w:pPr>
          </w:p>
        </w:tc>
        <w:tc>
          <w:tcPr>
            <w:tcW w:w="0" w:type="dxa"/>
            <w:vAlign w:val="bottom"/>
          </w:tcPr>
          <w:p w:rsidR="00A621E3" w:rsidRDefault="00A621E3">
            <w:pPr>
              <w:rPr>
                <w:sz w:val="1"/>
                <w:szCs w:val="1"/>
              </w:rPr>
            </w:pPr>
          </w:p>
        </w:tc>
      </w:tr>
      <w:tr w:rsidR="00A621E3">
        <w:trPr>
          <w:trHeight w:val="162"/>
        </w:trPr>
        <w:tc>
          <w:tcPr>
            <w:tcW w:w="2140" w:type="dxa"/>
            <w:vAlign w:val="bottom"/>
          </w:tcPr>
          <w:p w:rsidR="00A621E3" w:rsidRDefault="00EC630E">
            <w:pPr>
              <w:rPr>
                <w:sz w:val="20"/>
                <w:szCs w:val="20"/>
              </w:rPr>
            </w:pPr>
            <w:r>
              <w:rPr>
                <w:rFonts w:ascii="Arial" w:eastAsia="Arial" w:hAnsi="Arial" w:cs="Arial"/>
                <w:color w:val="CF0A2C"/>
                <w:sz w:val="14"/>
                <w:szCs w:val="14"/>
              </w:rPr>
              <w:t>March</w:t>
            </w:r>
          </w:p>
        </w:tc>
        <w:tc>
          <w:tcPr>
            <w:tcW w:w="2280" w:type="dxa"/>
            <w:vAlign w:val="bottom"/>
          </w:tcPr>
          <w:p w:rsidR="00A621E3" w:rsidRDefault="00EC630E">
            <w:pPr>
              <w:ind w:right="248"/>
              <w:jc w:val="right"/>
              <w:rPr>
                <w:sz w:val="20"/>
                <w:szCs w:val="20"/>
              </w:rPr>
            </w:pPr>
            <w:r>
              <w:rPr>
                <w:rFonts w:ascii="Arial" w:eastAsia="Arial" w:hAnsi="Arial" w:cs="Arial"/>
                <w:color w:val="CF0A2C"/>
                <w:sz w:val="14"/>
                <w:szCs w:val="14"/>
              </w:rPr>
              <w:t>416.4</w:t>
            </w:r>
          </w:p>
        </w:tc>
        <w:tc>
          <w:tcPr>
            <w:tcW w:w="820" w:type="dxa"/>
            <w:vAlign w:val="bottom"/>
          </w:tcPr>
          <w:p w:rsidR="00A621E3" w:rsidRDefault="00EC630E">
            <w:pPr>
              <w:jc w:val="right"/>
              <w:rPr>
                <w:sz w:val="20"/>
                <w:szCs w:val="20"/>
              </w:rPr>
            </w:pPr>
            <w:r>
              <w:rPr>
                <w:rFonts w:ascii="Arial" w:eastAsia="Arial" w:hAnsi="Arial" w:cs="Arial"/>
                <w:color w:val="CF0A2C"/>
                <w:sz w:val="14"/>
                <w:szCs w:val="14"/>
              </w:rPr>
              <w:t>290.0</w:t>
            </w:r>
          </w:p>
        </w:tc>
        <w:tc>
          <w:tcPr>
            <w:tcW w:w="0" w:type="dxa"/>
            <w:vAlign w:val="bottom"/>
          </w:tcPr>
          <w:p w:rsidR="00A621E3" w:rsidRDefault="00A621E3">
            <w:pPr>
              <w:rPr>
                <w:sz w:val="1"/>
                <w:szCs w:val="1"/>
              </w:rPr>
            </w:pPr>
          </w:p>
        </w:tc>
      </w:tr>
      <w:tr w:rsidR="00A621E3">
        <w:trPr>
          <w:trHeight w:val="162"/>
        </w:trPr>
        <w:tc>
          <w:tcPr>
            <w:tcW w:w="2140" w:type="dxa"/>
            <w:vAlign w:val="bottom"/>
          </w:tcPr>
          <w:p w:rsidR="00A621E3" w:rsidRDefault="00EC630E">
            <w:pPr>
              <w:rPr>
                <w:sz w:val="20"/>
                <w:szCs w:val="20"/>
              </w:rPr>
            </w:pPr>
            <w:r>
              <w:rPr>
                <w:rFonts w:ascii="Arial" w:eastAsia="Arial" w:hAnsi="Arial" w:cs="Arial"/>
                <w:color w:val="CF0A2C"/>
                <w:sz w:val="14"/>
                <w:szCs w:val="14"/>
              </w:rPr>
              <w:t>April</w:t>
            </w:r>
          </w:p>
        </w:tc>
        <w:tc>
          <w:tcPr>
            <w:tcW w:w="2280" w:type="dxa"/>
            <w:vAlign w:val="bottom"/>
          </w:tcPr>
          <w:p w:rsidR="00A621E3" w:rsidRDefault="00EC630E">
            <w:pPr>
              <w:ind w:right="248"/>
              <w:jc w:val="right"/>
              <w:rPr>
                <w:sz w:val="20"/>
                <w:szCs w:val="20"/>
              </w:rPr>
            </w:pPr>
            <w:r>
              <w:rPr>
                <w:rFonts w:ascii="Arial" w:eastAsia="Arial" w:hAnsi="Arial" w:cs="Arial"/>
                <w:color w:val="CF0A2C"/>
                <w:sz w:val="14"/>
                <w:szCs w:val="14"/>
              </w:rPr>
              <w:t>355.4</w:t>
            </w:r>
          </w:p>
        </w:tc>
        <w:tc>
          <w:tcPr>
            <w:tcW w:w="820" w:type="dxa"/>
            <w:vAlign w:val="bottom"/>
          </w:tcPr>
          <w:p w:rsidR="00A621E3" w:rsidRDefault="00EC630E">
            <w:pPr>
              <w:jc w:val="right"/>
              <w:rPr>
                <w:sz w:val="20"/>
                <w:szCs w:val="20"/>
              </w:rPr>
            </w:pPr>
            <w:r>
              <w:rPr>
                <w:rFonts w:ascii="Arial" w:eastAsia="Arial" w:hAnsi="Arial" w:cs="Arial"/>
                <w:color w:val="CF0A2C"/>
                <w:sz w:val="14"/>
                <w:szCs w:val="14"/>
              </w:rPr>
              <w:t>313.2</w:t>
            </w:r>
          </w:p>
        </w:tc>
        <w:tc>
          <w:tcPr>
            <w:tcW w:w="0" w:type="dxa"/>
            <w:vAlign w:val="bottom"/>
          </w:tcPr>
          <w:p w:rsidR="00A621E3" w:rsidRDefault="00A621E3">
            <w:pPr>
              <w:rPr>
                <w:sz w:val="1"/>
                <w:szCs w:val="1"/>
              </w:rPr>
            </w:pPr>
          </w:p>
        </w:tc>
      </w:tr>
      <w:tr w:rsidR="00A621E3">
        <w:trPr>
          <w:trHeight w:val="162"/>
        </w:trPr>
        <w:tc>
          <w:tcPr>
            <w:tcW w:w="2140" w:type="dxa"/>
            <w:vAlign w:val="bottom"/>
          </w:tcPr>
          <w:p w:rsidR="00A621E3" w:rsidRDefault="00EC630E">
            <w:pPr>
              <w:rPr>
                <w:sz w:val="20"/>
                <w:szCs w:val="20"/>
              </w:rPr>
            </w:pPr>
            <w:r>
              <w:rPr>
                <w:rFonts w:ascii="Arial" w:eastAsia="Arial" w:hAnsi="Arial" w:cs="Arial"/>
                <w:color w:val="CF0A2C"/>
                <w:sz w:val="14"/>
                <w:szCs w:val="14"/>
              </w:rPr>
              <w:t>May</w:t>
            </w:r>
          </w:p>
        </w:tc>
        <w:tc>
          <w:tcPr>
            <w:tcW w:w="2280" w:type="dxa"/>
            <w:vAlign w:val="bottom"/>
          </w:tcPr>
          <w:p w:rsidR="00A621E3" w:rsidRDefault="00EC630E">
            <w:pPr>
              <w:ind w:right="248"/>
              <w:jc w:val="right"/>
              <w:rPr>
                <w:sz w:val="20"/>
                <w:szCs w:val="20"/>
              </w:rPr>
            </w:pPr>
            <w:r>
              <w:rPr>
                <w:rFonts w:ascii="Arial" w:eastAsia="Arial" w:hAnsi="Arial" w:cs="Arial"/>
                <w:color w:val="CF0A2C"/>
                <w:sz w:val="14"/>
                <w:szCs w:val="14"/>
              </w:rPr>
              <w:t>360.2</w:t>
            </w:r>
          </w:p>
        </w:tc>
        <w:tc>
          <w:tcPr>
            <w:tcW w:w="820" w:type="dxa"/>
            <w:vAlign w:val="bottom"/>
          </w:tcPr>
          <w:p w:rsidR="00A621E3" w:rsidRDefault="00EC630E">
            <w:pPr>
              <w:jc w:val="right"/>
              <w:rPr>
                <w:sz w:val="20"/>
                <w:szCs w:val="20"/>
              </w:rPr>
            </w:pPr>
            <w:r>
              <w:rPr>
                <w:rFonts w:ascii="Arial" w:eastAsia="Arial" w:hAnsi="Arial" w:cs="Arial"/>
                <w:color w:val="CF0A2C"/>
                <w:sz w:val="14"/>
                <w:szCs w:val="14"/>
              </w:rPr>
              <w:t>292.8</w:t>
            </w:r>
          </w:p>
        </w:tc>
        <w:tc>
          <w:tcPr>
            <w:tcW w:w="0" w:type="dxa"/>
            <w:vAlign w:val="bottom"/>
          </w:tcPr>
          <w:p w:rsidR="00A621E3" w:rsidRDefault="00A621E3">
            <w:pPr>
              <w:rPr>
                <w:sz w:val="1"/>
                <w:szCs w:val="1"/>
              </w:rPr>
            </w:pPr>
          </w:p>
        </w:tc>
      </w:tr>
      <w:tr w:rsidR="00A621E3">
        <w:trPr>
          <w:trHeight w:val="162"/>
        </w:trPr>
        <w:tc>
          <w:tcPr>
            <w:tcW w:w="2140" w:type="dxa"/>
            <w:vAlign w:val="bottom"/>
          </w:tcPr>
          <w:p w:rsidR="00A621E3" w:rsidRDefault="00EC630E">
            <w:pPr>
              <w:rPr>
                <w:sz w:val="20"/>
                <w:szCs w:val="20"/>
              </w:rPr>
            </w:pPr>
            <w:r>
              <w:rPr>
                <w:rFonts w:ascii="Arial" w:eastAsia="Arial" w:hAnsi="Arial" w:cs="Arial"/>
                <w:color w:val="CF0A2C"/>
                <w:sz w:val="14"/>
                <w:szCs w:val="14"/>
              </w:rPr>
              <w:t>June</w:t>
            </w:r>
          </w:p>
        </w:tc>
        <w:tc>
          <w:tcPr>
            <w:tcW w:w="2280" w:type="dxa"/>
            <w:vAlign w:val="bottom"/>
          </w:tcPr>
          <w:p w:rsidR="00A621E3" w:rsidRDefault="00EC630E">
            <w:pPr>
              <w:ind w:right="248"/>
              <w:jc w:val="right"/>
              <w:rPr>
                <w:sz w:val="20"/>
                <w:szCs w:val="20"/>
              </w:rPr>
            </w:pPr>
            <w:r>
              <w:rPr>
                <w:rFonts w:ascii="Arial" w:eastAsia="Arial" w:hAnsi="Arial" w:cs="Arial"/>
                <w:color w:val="CF0A2C"/>
                <w:sz w:val="14"/>
                <w:szCs w:val="14"/>
              </w:rPr>
              <w:t>385.2</w:t>
            </w:r>
          </w:p>
        </w:tc>
        <w:tc>
          <w:tcPr>
            <w:tcW w:w="820" w:type="dxa"/>
            <w:vAlign w:val="bottom"/>
          </w:tcPr>
          <w:p w:rsidR="00A621E3" w:rsidRDefault="00EC630E">
            <w:pPr>
              <w:jc w:val="right"/>
              <w:rPr>
                <w:sz w:val="20"/>
                <w:szCs w:val="20"/>
              </w:rPr>
            </w:pPr>
            <w:r>
              <w:rPr>
                <w:rFonts w:ascii="Arial" w:eastAsia="Arial" w:hAnsi="Arial" w:cs="Arial"/>
                <w:color w:val="CF0A2C"/>
                <w:sz w:val="14"/>
                <w:szCs w:val="14"/>
              </w:rPr>
              <w:t>320.4</w:t>
            </w:r>
          </w:p>
        </w:tc>
        <w:tc>
          <w:tcPr>
            <w:tcW w:w="0" w:type="dxa"/>
            <w:vAlign w:val="bottom"/>
          </w:tcPr>
          <w:p w:rsidR="00A621E3" w:rsidRDefault="00A621E3">
            <w:pPr>
              <w:rPr>
                <w:sz w:val="1"/>
                <w:szCs w:val="1"/>
              </w:rPr>
            </w:pPr>
          </w:p>
        </w:tc>
      </w:tr>
      <w:tr w:rsidR="00A621E3">
        <w:trPr>
          <w:trHeight w:val="162"/>
        </w:trPr>
        <w:tc>
          <w:tcPr>
            <w:tcW w:w="2140" w:type="dxa"/>
            <w:vAlign w:val="bottom"/>
          </w:tcPr>
          <w:p w:rsidR="00A621E3" w:rsidRDefault="00EC630E">
            <w:pPr>
              <w:rPr>
                <w:sz w:val="20"/>
                <w:szCs w:val="20"/>
              </w:rPr>
            </w:pPr>
            <w:r>
              <w:rPr>
                <w:rFonts w:ascii="Arial" w:eastAsia="Arial" w:hAnsi="Arial" w:cs="Arial"/>
                <w:color w:val="CF0A2C"/>
                <w:sz w:val="14"/>
                <w:szCs w:val="14"/>
              </w:rPr>
              <w:t>July</w:t>
            </w:r>
          </w:p>
        </w:tc>
        <w:tc>
          <w:tcPr>
            <w:tcW w:w="2280" w:type="dxa"/>
            <w:vAlign w:val="bottom"/>
          </w:tcPr>
          <w:p w:rsidR="00A621E3" w:rsidRDefault="00EC630E">
            <w:pPr>
              <w:ind w:right="248"/>
              <w:jc w:val="right"/>
              <w:rPr>
                <w:sz w:val="20"/>
                <w:szCs w:val="20"/>
              </w:rPr>
            </w:pPr>
            <w:r>
              <w:rPr>
                <w:rFonts w:ascii="Arial" w:eastAsia="Arial" w:hAnsi="Arial" w:cs="Arial"/>
                <w:color w:val="CF0A2C"/>
                <w:sz w:val="14"/>
                <w:szCs w:val="14"/>
              </w:rPr>
              <w:t>392.2</w:t>
            </w:r>
          </w:p>
        </w:tc>
        <w:tc>
          <w:tcPr>
            <w:tcW w:w="820" w:type="dxa"/>
            <w:vAlign w:val="bottom"/>
          </w:tcPr>
          <w:p w:rsidR="00A621E3" w:rsidRDefault="00EC630E">
            <w:pPr>
              <w:jc w:val="right"/>
              <w:rPr>
                <w:sz w:val="20"/>
                <w:szCs w:val="20"/>
              </w:rPr>
            </w:pPr>
            <w:r>
              <w:rPr>
                <w:rFonts w:ascii="Arial" w:eastAsia="Arial" w:hAnsi="Arial" w:cs="Arial"/>
                <w:color w:val="CF0A2C"/>
                <w:sz w:val="14"/>
                <w:szCs w:val="14"/>
              </w:rPr>
              <w:t>358.2</w:t>
            </w:r>
          </w:p>
        </w:tc>
        <w:tc>
          <w:tcPr>
            <w:tcW w:w="0" w:type="dxa"/>
            <w:vAlign w:val="bottom"/>
          </w:tcPr>
          <w:p w:rsidR="00A621E3" w:rsidRDefault="00A621E3">
            <w:pPr>
              <w:rPr>
                <w:sz w:val="1"/>
                <w:szCs w:val="1"/>
              </w:rPr>
            </w:pPr>
          </w:p>
        </w:tc>
      </w:tr>
      <w:tr w:rsidR="00A621E3">
        <w:trPr>
          <w:trHeight w:val="162"/>
        </w:trPr>
        <w:tc>
          <w:tcPr>
            <w:tcW w:w="2140" w:type="dxa"/>
            <w:vAlign w:val="bottom"/>
          </w:tcPr>
          <w:p w:rsidR="00A621E3" w:rsidRDefault="00EC630E">
            <w:pPr>
              <w:rPr>
                <w:sz w:val="20"/>
                <w:szCs w:val="20"/>
              </w:rPr>
            </w:pPr>
            <w:r>
              <w:rPr>
                <w:rFonts w:ascii="Arial" w:eastAsia="Arial" w:hAnsi="Arial" w:cs="Arial"/>
                <w:color w:val="CF0A2C"/>
                <w:sz w:val="14"/>
                <w:szCs w:val="14"/>
              </w:rPr>
              <w:t>August</w:t>
            </w:r>
          </w:p>
        </w:tc>
        <w:tc>
          <w:tcPr>
            <w:tcW w:w="2280" w:type="dxa"/>
            <w:vAlign w:val="bottom"/>
          </w:tcPr>
          <w:p w:rsidR="00A621E3" w:rsidRDefault="00EC630E">
            <w:pPr>
              <w:ind w:right="248"/>
              <w:jc w:val="right"/>
              <w:rPr>
                <w:sz w:val="20"/>
                <w:szCs w:val="20"/>
              </w:rPr>
            </w:pPr>
            <w:r>
              <w:rPr>
                <w:rFonts w:ascii="Arial" w:eastAsia="Arial" w:hAnsi="Arial" w:cs="Arial"/>
                <w:color w:val="CF0A2C"/>
                <w:sz w:val="14"/>
                <w:szCs w:val="14"/>
              </w:rPr>
              <w:t>401.4</w:t>
            </w:r>
          </w:p>
        </w:tc>
        <w:tc>
          <w:tcPr>
            <w:tcW w:w="820" w:type="dxa"/>
            <w:vAlign w:val="bottom"/>
          </w:tcPr>
          <w:p w:rsidR="00A621E3" w:rsidRDefault="00EC630E">
            <w:pPr>
              <w:jc w:val="right"/>
              <w:rPr>
                <w:sz w:val="20"/>
                <w:szCs w:val="20"/>
              </w:rPr>
            </w:pPr>
            <w:r>
              <w:rPr>
                <w:rFonts w:ascii="Arial" w:eastAsia="Arial" w:hAnsi="Arial" w:cs="Arial"/>
                <w:color w:val="CF0A2C"/>
                <w:sz w:val="14"/>
                <w:szCs w:val="14"/>
              </w:rPr>
              <w:t>365.6</w:t>
            </w:r>
          </w:p>
        </w:tc>
        <w:tc>
          <w:tcPr>
            <w:tcW w:w="0" w:type="dxa"/>
            <w:vAlign w:val="bottom"/>
          </w:tcPr>
          <w:p w:rsidR="00A621E3" w:rsidRDefault="00A621E3">
            <w:pPr>
              <w:rPr>
                <w:sz w:val="1"/>
                <w:szCs w:val="1"/>
              </w:rPr>
            </w:pPr>
          </w:p>
        </w:tc>
      </w:tr>
      <w:tr w:rsidR="00A621E3">
        <w:trPr>
          <w:trHeight w:val="162"/>
        </w:trPr>
        <w:tc>
          <w:tcPr>
            <w:tcW w:w="2140" w:type="dxa"/>
            <w:vAlign w:val="bottom"/>
          </w:tcPr>
          <w:p w:rsidR="00A621E3" w:rsidRDefault="00EC630E">
            <w:pPr>
              <w:rPr>
                <w:sz w:val="20"/>
                <w:szCs w:val="20"/>
              </w:rPr>
            </w:pPr>
            <w:r>
              <w:rPr>
                <w:rFonts w:ascii="Arial" w:eastAsia="Arial" w:hAnsi="Arial" w:cs="Arial"/>
                <w:color w:val="CF0A2C"/>
                <w:sz w:val="14"/>
                <w:szCs w:val="14"/>
              </w:rPr>
              <w:t>September</w:t>
            </w:r>
          </w:p>
        </w:tc>
        <w:tc>
          <w:tcPr>
            <w:tcW w:w="2280" w:type="dxa"/>
            <w:vAlign w:val="bottom"/>
          </w:tcPr>
          <w:p w:rsidR="00A621E3" w:rsidRDefault="00EC630E">
            <w:pPr>
              <w:ind w:right="248"/>
              <w:jc w:val="right"/>
              <w:rPr>
                <w:sz w:val="20"/>
                <w:szCs w:val="20"/>
              </w:rPr>
            </w:pPr>
            <w:r>
              <w:rPr>
                <w:rFonts w:ascii="Arial" w:eastAsia="Arial" w:hAnsi="Arial" w:cs="Arial"/>
                <w:color w:val="CF0A2C"/>
                <w:sz w:val="14"/>
                <w:szCs w:val="14"/>
              </w:rPr>
              <w:t>417</w:t>
            </w:r>
          </w:p>
        </w:tc>
        <w:tc>
          <w:tcPr>
            <w:tcW w:w="820" w:type="dxa"/>
            <w:vAlign w:val="bottom"/>
          </w:tcPr>
          <w:p w:rsidR="00A621E3" w:rsidRDefault="00EC630E">
            <w:pPr>
              <w:jc w:val="right"/>
              <w:rPr>
                <w:sz w:val="20"/>
                <w:szCs w:val="20"/>
              </w:rPr>
            </w:pPr>
            <w:r>
              <w:rPr>
                <w:rFonts w:ascii="Arial" w:eastAsia="Arial" w:hAnsi="Arial" w:cs="Arial"/>
                <w:color w:val="CF0A2C"/>
                <w:sz w:val="14"/>
                <w:szCs w:val="14"/>
              </w:rPr>
              <w:t>367</w:t>
            </w:r>
          </w:p>
        </w:tc>
        <w:tc>
          <w:tcPr>
            <w:tcW w:w="0" w:type="dxa"/>
            <w:vAlign w:val="bottom"/>
          </w:tcPr>
          <w:p w:rsidR="00A621E3" w:rsidRDefault="00A621E3">
            <w:pPr>
              <w:rPr>
                <w:sz w:val="1"/>
                <w:szCs w:val="1"/>
              </w:rPr>
            </w:pPr>
          </w:p>
        </w:tc>
      </w:tr>
      <w:tr w:rsidR="00A621E3">
        <w:trPr>
          <w:trHeight w:val="162"/>
        </w:trPr>
        <w:tc>
          <w:tcPr>
            <w:tcW w:w="2140" w:type="dxa"/>
            <w:vAlign w:val="bottom"/>
          </w:tcPr>
          <w:p w:rsidR="00A621E3" w:rsidRDefault="00EC630E">
            <w:pPr>
              <w:rPr>
                <w:sz w:val="20"/>
                <w:szCs w:val="20"/>
              </w:rPr>
            </w:pPr>
            <w:r>
              <w:rPr>
                <w:rFonts w:ascii="Arial" w:eastAsia="Arial" w:hAnsi="Arial" w:cs="Arial"/>
                <w:color w:val="CF0A2C"/>
                <w:sz w:val="14"/>
                <w:szCs w:val="14"/>
              </w:rPr>
              <w:t>October</w:t>
            </w:r>
          </w:p>
        </w:tc>
        <w:tc>
          <w:tcPr>
            <w:tcW w:w="2280" w:type="dxa"/>
            <w:vAlign w:val="bottom"/>
          </w:tcPr>
          <w:p w:rsidR="00A621E3" w:rsidRDefault="00EC630E">
            <w:pPr>
              <w:ind w:right="248"/>
              <w:jc w:val="right"/>
              <w:rPr>
                <w:sz w:val="20"/>
                <w:szCs w:val="20"/>
              </w:rPr>
            </w:pPr>
            <w:r>
              <w:rPr>
                <w:rFonts w:ascii="Arial" w:eastAsia="Arial" w:hAnsi="Arial" w:cs="Arial"/>
                <w:color w:val="CF0A2C"/>
                <w:sz w:val="14"/>
                <w:szCs w:val="14"/>
              </w:rPr>
              <w:t>395</w:t>
            </w:r>
          </w:p>
        </w:tc>
        <w:tc>
          <w:tcPr>
            <w:tcW w:w="820" w:type="dxa"/>
            <w:vAlign w:val="bottom"/>
          </w:tcPr>
          <w:p w:rsidR="00A621E3" w:rsidRDefault="00EC630E">
            <w:pPr>
              <w:jc w:val="right"/>
              <w:rPr>
                <w:sz w:val="20"/>
                <w:szCs w:val="20"/>
              </w:rPr>
            </w:pPr>
            <w:r>
              <w:rPr>
                <w:rFonts w:ascii="Arial" w:eastAsia="Arial" w:hAnsi="Arial" w:cs="Arial"/>
                <w:color w:val="CF0A2C"/>
                <w:sz w:val="14"/>
                <w:szCs w:val="14"/>
              </w:rPr>
              <w:t>312.8</w:t>
            </w:r>
          </w:p>
        </w:tc>
        <w:tc>
          <w:tcPr>
            <w:tcW w:w="0" w:type="dxa"/>
            <w:vAlign w:val="bottom"/>
          </w:tcPr>
          <w:p w:rsidR="00A621E3" w:rsidRDefault="00A621E3">
            <w:pPr>
              <w:rPr>
                <w:sz w:val="1"/>
                <w:szCs w:val="1"/>
              </w:rPr>
            </w:pPr>
          </w:p>
        </w:tc>
      </w:tr>
      <w:tr w:rsidR="00A621E3">
        <w:trPr>
          <w:trHeight w:val="162"/>
        </w:trPr>
        <w:tc>
          <w:tcPr>
            <w:tcW w:w="2140" w:type="dxa"/>
            <w:vAlign w:val="bottom"/>
          </w:tcPr>
          <w:p w:rsidR="00A621E3" w:rsidRDefault="00EC630E">
            <w:pPr>
              <w:rPr>
                <w:sz w:val="20"/>
                <w:szCs w:val="20"/>
              </w:rPr>
            </w:pPr>
            <w:r>
              <w:rPr>
                <w:rFonts w:ascii="Arial" w:eastAsia="Arial" w:hAnsi="Arial" w:cs="Arial"/>
                <w:color w:val="CF0A2C"/>
                <w:sz w:val="14"/>
                <w:szCs w:val="14"/>
              </w:rPr>
              <w:t>November</w:t>
            </w:r>
          </w:p>
        </w:tc>
        <w:tc>
          <w:tcPr>
            <w:tcW w:w="2280" w:type="dxa"/>
            <w:vAlign w:val="bottom"/>
          </w:tcPr>
          <w:p w:rsidR="00A621E3" w:rsidRDefault="00EC630E">
            <w:pPr>
              <w:ind w:right="248"/>
              <w:jc w:val="right"/>
              <w:rPr>
                <w:sz w:val="20"/>
                <w:szCs w:val="20"/>
              </w:rPr>
            </w:pPr>
            <w:r>
              <w:rPr>
                <w:rFonts w:ascii="Arial" w:eastAsia="Arial" w:hAnsi="Arial" w:cs="Arial"/>
                <w:color w:val="CF0A2C"/>
                <w:sz w:val="14"/>
                <w:szCs w:val="14"/>
              </w:rPr>
              <w:t>431.4</w:t>
            </w:r>
          </w:p>
        </w:tc>
        <w:tc>
          <w:tcPr>
            <w:tcW w:w="820" w:type="dxa"/>
            <w:vAlign w:val="bottom"/>
          </w:tcPr>
          <w:p w:rsidR="00A621E3" w:rsidRDefault="00EC630E">
            <w:pPr>
              <w:jc w:val="right"/>
              <w:rPr>
                <w:sz w:val="20"/>
                <w:szCs w:val="20"/>
              </w:rPr>
            </w:pPr>
            <w:r>
              <w:rPr>
                <w:rFonts w:ascii="Arial" w:eastAsia="Arial" w:hAnsi="Arial" w:cs="Arial"/>
                <w:color w:val="CF0A2C"/>
                <w:sz w:val="14"/>
                <w:szCs w:val="14"/>
              </w:rPr>
              <w:t>342.6</w:t>
            </w:r>
          </w:p>
        </w:tc>
        <w:tc>
          <w:tcPr>
            <w:tcW w:w="0" w:type="dxa"/>
            <w:vAlign w:val="bottom"/>
          </w:tcPr>
          <w:p w:rsidR="00A621E3" w:rsidRDefault="00A621E3">
            <w:pPr>
              <w:rPr>
                <w:sz w:val="1"/>
                <w:szCs w:val="1"/>
              </w:rPr>
            </w:pPr>
          </w:p>
        </w:tc>
      </w:tr>
      <w:tr w:rsidR="00A621E3">
        <w:trPr>
          <w:trHeight w:val="172"/>
        </w:trPr>
        <w:tc>
          <w:tcPr>
            <w:tcW w:w="2140" w:type="dxa"/>
            <w:vAlign w:val="bottom"/>
          </w:tcPr>
          <w:p w:rsidR="00A621E3" w:rsidRDefault="00EC630E">
            <w:pPr>
              <w:rPr>
                <w:sz w:val="20"/>
                <w:szCs w:val="20"/>
              </w:rPr>
            </w:pPr>
            <w:r>
              <w:rPr>
                <w:rFonts w:ascii="Arial" w:eastAsia="Arial" w:hAnsi="Arial" w:cs="Arial"/>
                <w:color w:val="CF0A2C"/>
                <w:sz w:val="14"/>
                <w:szCs w:val="14"/>
              </w:rPr>
              <w:t>December</w:t>
            </w:r>
          </w:p>
        </w:tc>
        <w:tc>
          <w:tcPr>
            <w:tcW w:w="2280" w:type="dxa"/>
            <w:vAlign w:val="bottom"/>
          </w:tcPr>
          <w:p w:rsidR="00A621E3" w:rsidRDefault="00EC630E">
            <w:pPr>
              <w:ind w:right="248"/>
              <w:jc w:val="right"/>
              <w:rPr>
                <w:sz w:val="20"/>
                <w:szCs w:val="20"/>
              </w:rPr>
            </w:pPr>
            <w:r>
              <w:rPr>
                <w:rFonts w:ascii="Arial" w:eastAsia="Arial" w:hAnsi="Arial" w:cs="Arial"/>
                <w:color w:val="CF0A2C"/>
                <w:sz w:val="14"/>
                <w:szCs w:val="14"/>
              </w:rPr>
              <w:t>456.6</w:t>
            </w:r>
          </w:p>
        </w:tc>
        <w:tc>
          <w:tcPr>
            <w:tcW w:w="820" w:type="dxa"/>
            <w:vAlign w:val="bottom"/>
          </w:tcPr>
          <w:p w:rsidR="00A621E3" w:rsidRDefault="00EC630E">
            <w:pPr>
              <w:jc w:val="right"/>
              <w:rPr>
                <w:sz w:val="20"/>
                <w:szCs w:val="20"/>
              </w:rPr>
            </w:pPr>
            <w:r>
              <w:rPr>
                <w:rFonts w:ascii="Arial" w:eastAsia="Arial" w:hAnsi="Arial" w:cs="Arial"/>
                <w:color w:val="CF0A2C"/>
                <w:sz w:val="14"/>
                <w:szCs w:val="14"/>
              </w:rPr>
              <w:t>421</w:t>
            </w:r>
          </w:p>
        </w:tc>
        <w:tc>
          <w:tcPr>
            <w:tcW w:w="0" w:type="dxa"/>
            <w:vAlign w:val="bottom"/>
          </w:tcPr>
          <w:p w:rsidR="00A621E3" w:rsidRDefault="00A621E3">
            <w:pPr>
              <w:rPr>
                <w:sz w:val="1"/>
                <w:szCs w:val="1"/>
              </w:rPr>
            </w:pPr>
          </w:p>
        </w:tc>
      </w:tr>
      <w:tr w:rsidR="00A621E3">
        <w:trPr>
          <w:trHeight w:val="287"/>
        </w:trPr>
        <w:tc>
          <w:tcPr>
            <w:tcW w:w="2140" w:type="dxa"/>
            <w:vAlign w:val="bottom"/>
          </w:tcPr>
          <w:p w:rsidR="00A621E3" w:rsidRDefault="00EC630E">
            <w:pPr>
              <w:rPr>
                <w:sz w:val="20"/>
                <w:szCs w:val="20"/>
              </w:rPr>
            </w:pPr>
            <w:r>
              <w:rPr>
                <w:rFonts w:ascii="Arial" w:eastAsia="Arial" w:hAnsi="Arial" w:cs="Arial"/>
                <w:b/>
                <w:bCs/>
                <w:color w:val="CF0A2C"/>
                <w:sz w:val="14"/>
                <w:szCs w:val="14"/>
              </w:rPr>
              <w:t>2023</w:t>
            </w:r>
          </w:p>
        </w:tc>
        <w:tc>
          <w:tcPr>
            <w:tcW w:w="2280" w:type="dxa"/>
            <w:vAlign w:val="bottom"/>
          </w:tcPr>
          <w:p w:rsidR="00A621E3" w:rsidRDefault="00A621E3">
            <w:pPr>
              <w:rPr>
                <w:sz w:val="24"/>
                <w:szCs w:val="24"/>
              </w:rPr>
            </w:pPr>
          </w:p>
        </w:tc>
        <w:tc>
          <w:tcPr>
            <w:tcW w:w="820" w:type="dxa"/>
            <w:vAlign w:val="bottom"/>
          </w:tcPr>
          <w:p w:rsidR="00A621E3" w:rsidRDefault="00A621E3">
            <w:pPr>
              <w:rPr>
                <w:sz w:val="24"/>
                <w:szCs w:val="24"/>
              </w:rPr>
            </w:pPr>
          </w:p>
        </w:tc>
        <w:tc>
          <w:tcPr>
            <w:tcW w:w="0" w:type="dxa"/>
            <w:vAlign w:val="bottom"/>
          </w:tcPr>
          <w:p w:rsidR="00A621E3" w:rsidRDefault="00A621E3">
            <w:pPr>
              <w:rPr>
                <w:sz w:val="1"/>
                <w:szCs w:val="1"/>
              </w:rPr>
            </w:pPr>
          </w:p>
        </w:tc>
      </w:tr>
      <w:tr w:rsidR="00A621E3">
        <w:trPr>
          <w:trHeight w:val="162"/>
        </w:trPr>
        <w:tc>
          <w:tcPr>
            <w:tcW w:w="2140" w:type="dxa"/>
            <w:vAlign w:val="bottom"/>
          </w:tcPr>
          <w:p w:rsidR="00A621E3" w:rsidRDefault="00EC630E">
            <w:pPr>
              <w:rPr>
                <w:sz w:val="20"/>
                <w:szCs w:val="20"/>
              </w:rPr>
            </w:pPr>
            <w:r>
              <w:rPr>
                <w:rFonts w:ascii="Arial" w:eastAsia="Arial" w:hAnsi="Arial" w:cs="Arial"/>
                <w:color w:val="CF0A2C"/>
                <w:sz w:val="14"/>
                <w:szCs w:val="14"/>
              </w:rPr>
              <w:t>January</w:t>
            </w:r>
          </w:p>
        </w:tc>
        <w:tc>
          <w:tcPr>
            <w:tcW w:w="2280" w:type="dxa"/>
            <w:vAlign w:val="bottom"/>
          </w:tcPr>
          <w:p w:rsidR="00A621E3" w:rsidRDefault="00EC630E">
            <w:pPr>
              <w:ind w:right="248"/>
              <w:jc w:val="right"/>
              <w:rPr>
                <w:sz w:val="20"/>
                <w:szCs w:val="20"/>
              </w:rPr>
            </w:pPr>
            <w:r>
              <w:rPr>
                <w:rFonts w:ascii="Arial" w:eastAsia="Arial" w:hAnsi="Arial" w:cs="Arial"/>
                <w:color w:val="CF0A2C"/>
                <w:sz w:val="14"/>
                <w:szCs w:val="14"/>
              </w:rPr>
              <w:t>494</w:t>
            </w:r>
          </w:p>
        </w:tc>
        <w:tc>
          <w:tcPr>
            <w:tcW w:w="820" w:type="dxa"/>
            <w:vAlign w:val="bottom"/>
          </w:tcPr>
          <w:p w:rsidR="00A621E3" w:rsidRDefault="00EC630E">
            <w:pPr>
              <w:jc w:val="right"/>
              <w:rPr>
                <w:sz w:val="20"/>
                <w:szCs w:val="20"/>
              </w:rPr>
            </w:pPr>
            <w:r>
              <w:rPr>
                <w:rFonts w:ascii="Arial" w:eastAsia="Arial" w:hAnsi="Arial" w:cs="Arial"/>
                <w:color w:val="CF0A2C"/>
                <w:sz w:val="14"/>
                <w:szCs w:val="14"/>
              </w:rPr>
              <w:t>433.6</w:t>
            </w:r>
          </w:p>
        </w:tc>
        <w:tc>
          <w:tcPr>
            <w:tcW w:w="0" w:type="dxa"/>
            <w:vAlign w:val="bottom"/>
          </w:tcPr>
          <w:p w:rsidR="00A621E3" w:rsidRDefault="00A621E3">
            <w:pPr>
              <w:rPr>
                <w:sz w:val="1"/>
                <w:szCs w:val="1"/>
              </w:rPr>
            </w:pPr>
          </w:p>
        </w:tc>
      </w:tr>
      <w:tr w:rsidR="00A621E3">
        <w:trPr>
          <w:trHeight w:val="162"/>
        </w:trPr>
        <w:tc>
          <w:tcPr>
            <w:tcW w:w="2140" w:type="dxa"/>
            <w:vAlign w:val="bottom"/>
          </w:tcPr>
          <w:p w:rsidR="00A621E3" w:rsidRDefault="00EC630E">
            <w:pPr>
              <w:rPr>
                <w:sz w:val="20"/>
                <w:szCs w:val="20"/>
              </w:rPr>
            </w:pPr>
            <w:r>
              <w:rPr>
                <w:rFonts w:ascii="Arial" w:eastAsia="Arial" w:hAnsi="Arial" w:cs="Arial"/>
                <w:color w:val="CF0A2C"/>
                <w:sz w:val="14"/>
                <w:szCs w:val="14"/>
              </w:rPr>
              <w:t>February</w:t>
            </w:r>
          </w:p>
        </w:tc>
        <w:tc>
          <w:tcPr>
            <w:tcW w:w="2280" w:type="dxa"/>
            <w:vAlign w:val="bottom"/>
          </w:tcPr>
          <w:p w:rsidR="00A621E3" w:rsidRDefault="00EC630E">
            <w:pPr>
              <w:ind w:right="248"/>
              <w:jc w:val="right"/>
              <w:rPr>
                <w:sz w:val="20"/>
                <w:szCs w:val="20"/>
              </w:rPr>
            </w:pPr>
            <w:r>
              <w:rPr>
                <w:rFonts w:ascii="Arial" w:eastAsia="Arial" w:hAnsi="Arial" w:cs="Arial"/>
                <w:color w:val="CF0A2C"/>
                <w:sz w:val="14"/>
                <w:szCs w:val="14"/>
              </w:rPr>
              <w:t>491.6</w:t>
            </w:r>
          </w:p>
        </w:tc>
        <w:tc>
          <w:tcPr>
            <w:tcW w:w="820" w:type="dxa"/>
            <w:vAlign w:val="bottom"/>
          </w:tcPr>
          <w:p w:rsidR="00A621E3" w:rsidRDefault="00EC630E">
            <w:pPr>
              <w:jc w:val="right"/>
              <w:rPr>
                <w:sz w:val="20"/>
                <w:szCs w:val="20"/>
              </w:rPr>
            </w:pPr>
            <w:r>
              <w:rPr>
                <w:rFonts w:ascii="Arial" w:eastAsia="Arial" w:hAnsi="Arial" w:cs="Arial"/>
                <w:color w:val="CF0A2C"/>
                <w:sz w:val="14"/>
                <w:szCs w:val="14"/>
              </w:rPr>
              <w:t>454.8</w:t>
            </w:r>
          </w:p>
        </w:tc>
        <w:tc>
          <w:tcPr>
            <w:tcW w:w="0" w:type="dxa"/>
            <w:vAlign w:val="bottom"/>
          </w:tcPr>
          <w:p w:rsidR="00A621E3" w:rsidRDefault="00A621E3">
            <w:pPr>
              <w:rPr>
                <w:sz w:val="1"/>
                <w:szCs w:val="1"/>
              </w:rPr>
            </w:pPr>
          </w:p>
        </w:tc>
      </w:tr>
      <w:tr w:rsidR="00A621E3">
        <w:trPr>
          <w:trHeight w:val="172"/>
        </w:trPr>
        <w:tc>
          <w:tcPr>
            <w:tcW w:w="2140" w:type="dxa"/>
            <w:vAlign w:val="bottom"/>
          </w:tcPr>
          <w:p w:rsidR="00A621E3" w:rsidRDefault="00EC630E">
            <w:pPr>
              <w:rPr>
                <w:sz w:val="20"/>
                <w:szCs w:val="20"/>
              </w:rPr>
            </w:pPr>
            <w:r>
              <w:rPr>
                <w:rFonts w:ascii="Arial" w:eastAsia="Arial" w:hAnsi="Arial" w:cs="Arial"/>
                <w:color w:val="CF0A2C"/>
                <w:sz w:val="14"/>
                <w:szCs w:val="14"/>
              </w:rPr>
              <w:t>March</w:t>
            </w:r>
          </w:p>
        </w:tc>
        <w:tc>
          <w:tcPr>
            <w:tcW w:w="2280" w:type="dxa"/>
            <w:vAlign w:val="bottom"/>
          </w:tcPr>
          <w:p w:rsidR="00A621E3" w:rsidRDefault="00EC630E">
            <w:pPr>
              <w:ind w:right="248"/>
              <w:jc w:val="right"/>
              <w:rPr>
                <w:sz w:val="20"/>
                <w:szCs w:val="20"/>
              </w:rPr>
            </w:pPr>
            <w:r>
              <w:rPr>
                <w:rFonts w:ascii="Arial" w:eastAsia="Arial" w:hAnsi="Arial" w:cs="Arial"/>
                <w:color w:val="CF0A2C"/>
                <w:sz w:val="14"/>
                <w:szCs w:val="14"/>
              </w:rPr>
              <w:t>500</w:t>
            </w:r>
          </w:p>
        </w:tc>
        <w:tc>
          <w:tcPr>
            <w:tcW w:w="820" w:type="dxa"/>
            <w:vAlign w:val="bottom"/>
          </w:tcPr>
          <w:p w:rsidR="00A621E3" w:rsidRDefault="00EC630E">
            <w:pPr>
              <w:jc w:val="right"/>
              <w:rPr>
                <w:sz w:val="20"/>
                <w:szCs w:val="20"/>
              </w:rPr>
            </w:pPr>
            <w:r>
              <w:rPr>
                <w:rFonts w:ascii="Arial" w:eastAsia="Arial" w:hAnsi="Arial" w:cs="Arial"/>
                <w:color w:val="CF0A2C"/>
                <w:sz w:val="14"/>
                <w:szCs w:val="14"/>
              </w:rPr>
              <w:t>452.2</w:t>
            </w:r>
          </w:p>
        </w:tc>
        <w:tc>
          <w:tcPr>
            <w:tcW w:w="0" w:type="dxa"/>
            <w:vAlign w:val="bottom"/>
          </w:tcPr>
          <w:p w:rsidR="00A621E3" w:rsidRDefault="00A621E3">
            <w:pPr>
              <w:rPr>
                <w:sz w:val="1"/>
                <w:szCs w:val="1"/>
              </w:rPr>
            </w:pPr>
          </w:p>
        </w:tc>
      </w:tr>
    </w:tbl>
    <w:p w:rsidR="00A621E3" w:rsidRDefault="00A621E3">
      <w:pPr>
        <w:spacing w:line="219" w:lineRule="exact"/>
        <w:rPr>
          <w:sz w:val="20"/>
          <w:szCs w:val="20"/>
        </w:rPr>
      </w:pPr>
    </w:p>
    <w:p w:rsidR="00A621E3" w:rsidRDefault="00EC630E">
      <w:pPr>
        <w:ind w:left="120"/>
        <w:rPr>
          <w:sz w:val="20"/>
          <w:szCs w:val="20"/>
        </w:rPr>
      </w:pPr>
      <w:r>
        <w:rPr>
          <w:rFonts w:ascii="Arial" w:eastAsia="Arial" w:hAnsi="Arial" w:cs="Arial"/>
          <w:b/>
          <w:bCs/>
          <w:color w:val="CF0A2C"/>
          <w:sz w:val="20"/>
          <w:szCs w:val="20"/>
        </w:rPr>
        <w:t>Undertaking</w:t>
      </w:r>
    </w:p>
    <w:p w:rsidR="00A621E3" w:rsidRDefault="00A621E3">
      <w:pPr>
        <w:spacing w:line="249"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 xml:space="preserve">None of our directors, nor, to the best of our directors’ knowledge after having made all reasonable inquiries, any of their close associates (as defined in the Hong Kong Listing Rules), have any </w:t>
      </w:r>
      <w:r>
        <w:rPr>
          <w:rFonts w:ascii="Arial" w:eastAsia="Arial" w:hAnsi="Arial" w:cs="Arial"/>
          <w:sz w:val="20"/>
          <w:szCs w:val="20"/>
        </w:rPr>
        <w:t>present intention, in the event that the authorization to repurchase shares is approved, to sell any shares of common stock to our Company.</w:t>
      </w:r>
    </w:p>
    <w:p w:rsidR="00A621E3" w:rsidRDefault="00A621E3">
      <w:pPr>
        <w:spacing w:line="236" w:lineRule="exact"/>
        <w:rPr>
          <w:sz w:val="20"/>
          <w:szCs w:val="20"/>
        </w:rPr>
      </w:pPr>
    </w:p>
    <w:p w:rsidR="00A621E3" w:rsidRDefault="00EC630E">
      <w:pPr>
        <w:spacing w:line="278" w:lineRule="auto"/>
        <w:ind w:left="120"/>
        <w:jc w:val="both"/>
        <w:rPr>
          <w:sz w:val="20"/>
          <w:szCs w:val="20"/>
        </w:rPr>
      </w:pPr>
      <w:r>
        <w:rPr>
          <w:rFonts w:ascii="Arial" w:eastAsia="Arial" w:hAnsi="Arial" w:cs="Arial"/>
          <w:sz w:val="18"/>
          <w:szCs w:val="18"/>
        </w:rPr>
        <w:t xml:space="preserve">No core connected person (as defined in the Hong Kong Listing Rules) has notified our Company that he/she/it has a </w:t>
      </w:r>
      <w:r>
        <w:rPr>
          <w:rFonts w:ascii="Arial" w:eastAsia="Arial" w:hAnsi="Arial" w:cs="Arial"/>
          <w:sz w:val="18"/>
          <w:szCs w:val="18"/>
        </w:rPr>
        <w:t>present intention to sell shares of common stock to our Company pursuant to the authority being sought in this proposal, if the authorization to repurchase shares is exercised.</w:t>
      </w:r>
    </w:p>
    <w:p w:rsidR="00A621E3" w:rsidRDefault="00A621E3">
      <w:pPr>
        <w:spacing w:line="205" w:lineRule="exact"/>
        <w:rPr>
          <w:sz w:val="20"/>
          <w:szCs w:val="20"/>
        </w:rPr>
      </w:pPr>
    </w:p>
    <w:p w:rsidR="00A621E3" w:rsidRDefault="00EC630E">
      <w:pPr>
        <w:spacing w:line="278" w:lineRule="auto"/>
        <w:ind w:left="120"/>
        <w:jc w:val="both"/>
        <w:rPr>
          <w:sz w:val="20"/>
          <w:szCs w:val="20"/>
        </w:rPr>
      </w:pPr>
      <w:r>
        <w:rPr>
          <w:rFonts w:ascii="Arial" w:eastAsia="Arial" w:hAnsi="Arial" w:cs="Arial"/>
          <w:sz w:val="18"/>
          <w:szCs w:val="18"/>
        </w:rPr>
        <w:t xml:space="preserve">Our directors have undertaken to the Hong Kong Stock Exchange that, so far as </w:t>
      </w:r>
      <w:r>
        <w:rPr>
          <w:rFonts w:ascii="Arial" w:eastAsia="Arial" w:hAnsi="Arial" w:cs="Arial"/>
          <w:sz w:val="18"/>
          <w:szCs w:val="18"/>
        </w:rPr>
        <w:t>the same may be applicable, they will exercise the authorization to repurchase shares in accordance with the Hong Kong Listing Rules and the applicable laws of the Delaware (being the jurisdiction of the Company’s incorporation).</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4" w:lineRule="exact"/>
        <w:rPr>
          <w:sz w:val="20"/>
          <w:szCs w:val="20"/>
        </w:rPr>
      </w:pPr>
    </w:p>
    <w:p w:rsidR="00A621E3" w:rsidRDefault="00EC630E">
      <w:pPr>
        <w:ind w:left="1540"/>
        <w:rPr>
          <w:sz w:val="20"/>
          <w:szCs w:val="20"/>
        </w:rPr>
      </w:pPr>
      <w:r>
        <w:rPr>
          <w:rFonts w:ascii="Arial" w:eastAsia="Arial" w:hAnsi="Arial" w:cs="Arial"/>
          <w:b/>
          <w:bCs/>
          <w:color w:val="FFFFFF"/>
          <w:sz w:val="16"/>
          <w:szCs w:val="16"/>
        </w:rPr>
        <w:t>MATTERS REQUIRING STOC</w:t>
      </w:r>
      <w:r>
        <w:rPr>
          <w:rFonts w:ascii="Arial" w:eastAsia="Arial" w:hAnsi="Arial" w:cs="Arial"/>
          <w:b/>
          <w:bCs/>
          <w:color w:val="FFFFFF"/>
          <w:sz w:val="16"/>
          <w:szCs w:val="16"/>
        </w:rPr>
        <w:t>KHOLDER ACTION</w:t>
      </w:r>
    </w:p>
    <w:p w:rsidR="00A621E3" w:rsidRDefault="00EC630E">
      <w:pPr>
        <w:spacing w:line="20" w:lineRule="exact"/>
        <w:rPr>
          <w:sz w:val="20"/>
          <w:szCs w:val="20"/>
        </w:rPr>
      </w:pPr>
      <w:r>
        <w:rPr>
          <w:noProof/>
          <w:sz w:val="20"/>
          <w:szCs w:val="20"/>
        </w:rPr>
        <w:drawing>
          <wp:anchor distT="0" distB="0" distL="114300" distR="114300" simplePos="0" relativeHeight="251847680" behindDoc="1" locked="0" layoutInCell="0" allowOverlap="1">
            <wp:simplePos x="0" y="0"/>
            <wp:positionH relativeFrom="column">
              <wp:posOffset>-3651885</wp:posOffset>
            </wp:positionH>
            <wp:positionV relativeFrom="paragraph">
              <wp:posOffset>-713105</wp:posOffset>
            </wp:positionV>
            <wp:extent cx="7174865" cy="55880"/>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noProof/>
          <w:sz w:val="20"/>
          <w:szCs w:val="20"/>
        </w:rPr>
        <w:drawing>
          <wp:anchor distT="0" distB="0" distL="114300" distR="114300" simplePos="0" relativeHeight="251848704" behindDoc="1" locked="0" layoutInCell="0" allowOverlap="1">
            <wp:simplePos x="0" y="0"/>
            <wp:positionH relativeFrom="column">
              <wp:posOffset>826135</wp:posOffset>
            </wp:positionH>
            <wp:positionV relativeFrom="paragraph">
              <wp:posOffset>-156210</wp:posOffset>
            </wp:positionV>
            <wp:extent cx="2597150" cy="205740"/>
            <wp:effectExtent l="0" t="0" r="0"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0">
                      <a:extLst/>
                    </a:blip>
                    <a:srcRect/>
                    <a:stretch>
                      <a:fillRect/>
                    </a:stretch>
                  </pic:blipFill>
                  <pic:spPr bwMode="auto">
                    <a:xfrm>
                      <a:off x="0" y="0"/>
                      <a:ext cx="2597150" cy="205740"/>
                    </a:xfrm>
                    <a:prstGeom prst="rect">
                      <a:avLst/>
                    </a:prstGeom>
                    <a:noFill/>
                  </pic:spPr>
                </pic:pic>
              </a:graphicData>
            </a:graphic>
          </wp:anchor>
        </w:drawing>
      </w:r>
    </w:p>
    <w:p w:rsidR="00A621E3" w:rsidRDefault="00A621E3">
      <w:pPr>
        <w:spacing w:line="237" w:lineRule="exact"/>
        <w:rPr>
          <w:sz w:val="20"/>
          <w:szCs w:val="20"/>
        </w:rPr>
      </w:pPr>
    </w:p>
    <w:p w:rsidR="00A621E3" w:rsidRDefault="00EC630E">
      <w:pPr>
        <w:rPr>
          <w:sz w:val="20"/>
          <w:szCs w:val="20"/>
        </w:rPr>
      </w:pPr>
      <w:r>
        <w:rPr>
          <w:rFonts w:ascii="Arial" w:eastAsia="Arial" w:hAnsi="Arial" w:cs="Arial"/>
          <w:b/>
          <w:bCs/>
          <w:color w:val="CF0A2C"/>
          <w:sz w:val="20"/>
          <w:szCs w:val="20"/>
        </w:rPr>
        <w:t>Repurchases of Shares</w:t>
      </w:r>
    </w:p>
    <w:p w:rsidR="00A621E3" w:rsidRDefault="00A621E3">
      <w:pPr>
        <w:spacing w:line="262" w:lineRule="exact"/>
        <w:rPr>
          <w:sz w:val="20"/>
          <w:szCs w:val="20"/>
        </w:rPr>
      </w:pPr>
    </w:p>
    <w:p w:rsidR="00A621E3" w:rsidRDefault="00EC630E">
      <w:pPr>
        <w:spacing w:line="246" w:lineRule="auto"/>
        <w:jc w:val="both"/>
        <w:rPr>
          <w:sz w:val="20"/>
          <w:szCs w:val="20"/>
        </w:rPr>
      </w:pPr>
      <w:r>
        <w:rPr>
          <w:rFonts w:ascii="Arial" w:eastAsia="Arial" w:hAnsi="Arial" w:cs="Arial"/>
          <w:sz w:val="20"/>
          <w:szCs w:val="20"/>
        </w:rPr>
        <w:t>For the year ended December 31, 2022, we repurchased approximately 10.5 million shares of our common stock in open market transactions on the New York Stock Exchange for a total cost of approximately $466 million.</w:t>
      </w:r>
    </w:p>
    <w:p w:rsidR="00A621E3" w:rsidRDefault="00A621E3">
      <w:pPr>
        <w:spacing w:line="232" w:lineRule="exact"/>
        <w:rPr>
          <w:sz w:val="20"/>
          <w:szCs w:val="20"/>
        </w:rPr>
      </w:pPr>
    </w:p>
    <w:p w:rsidR="00A621E3" w:rsidRDefault="00EC630E">
      <w:pPr>
        <w:spacing w:line="260" w:lineRule="auto"/>
        <w:jc w:val="both"/>
        <w:rPr>
          <w:sz w:val="20"/>
          <w:szCs w:val="20"/>
        </w:rPr>
      </w:pPr>
      <w:r>
        <w:rPr>
          <w:rFonts w:ascii="Arial" w:eastAsia="Arial" w:hAnsi="Arial" w:cs="Arial"/>
          <w:sz w:val="20"/>
          <w:szCs w:val="20"/>
        </w:rPr>
        <w:t>Details of shares repurchased on the New York Stock Exchange in the previous six months are as follows:</w:t>
      </w:r>
    </w:p>
    <w:p w:rsidR="00A621E3" w:rsidRDefault="00A621E3">
      <w:pPr>
        <w:spacing w:line="2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320"/>
        <w:gridCol w:w="2160"/>
        <w:gridCol w:w="1100"/>
        <w:gridCol w:w="760"/>
        <w:gridCol w:w="20"/>
      </w:tblGrid>
      <w:tr w:rsidR="00A621E3">
        <w:trPr>
          <w:trHeight w:val="162"/>
        </w:trPr>
        <w:tc>
          <w:tcPr>
            <w:tcW w:w="1320" w:type="dxa"/>
            <w:vAlign w:val="bottom"/>
          </w:tcPr>
          <w:p w:rsidR="00A621E3" w:rsidRDefault="00A621E3">
            <w:pPr>
              <w:rPr>
                <w:sz w:val="14"/>
                <w:szCs w:val="14"/>
              </w:rPr>
            </w:pPr>
          </w:p>
        </w:tc>
        <w:tc>
          <w:tcPr>
            <w:tcW w:w="2160" w:type="dxa"/>
            <w:vAlign w:val="bottom"/>
          </w:tcPr>
          <w:p w:rsidR="00A621E3" w:rsidRDefault="00EC630E">
            <w:pPr>
              <w:ind w:right="208"/>
              <w:jc w:val="right"/>
              <w:rPr>
                <w:sz w:val="20"/>
                <w:szCs w:val="20"/>
              </w:rPr>
            </w:pPr>
            <w:r>
              <w:rPr>
                <w:rFonts w:ascii="Arial" w:eastAsia="Arial" w:hAnsi="Arial" w:cs="Arial"/>
                <w:b/>
                <w:bCs/>
                <w:color w:val="CF0A2C"/>
                <w:sz w:val="14"/>
                <w:szCs w:val="14"/>
              </w:rPr>
              <w:t>Number of Shares</w:t>
            </w:r>
          </w:p>
        </w:tc>
        <w:tc>
          <w:tcPr>
            <w:tcW w:w="1860" w:type="dxa"/>
            <w:gridSpan w:val="2"/>
            <w:vAlign w:val="bottom"/>
          </w:tcPr>
          <w:p w:rsidR="00A621E3" w:rsidRDefault="00EC630E">
            <w:pPr>
              <w:ind w:right="28"/>
              <w:jc w:val="right"/>
              <w:rPr>
                <w:sz w:val="20"/>
                <w:szCs w:val="20"/>
              </w:rPr>
            </w:pPr>
            <w:r>
              <w:rPr>
                <w:rFonts w:ascii="Arial" w:eastAsia="Arial" w:hAnsi="Arial" w:cs="Arial"/>
                <w:b/>
                <w:bCs/>
                <w:color w:val="CF0A2C"/>
                <w:sz w:val="14"/>
                <w:szCs w:val="14"/>
              </w:rPr>
              <w:t>Price paid per share</w:t>
            </w:r>
          </w:p>
        </w:tc>
        <w:tc>
          <w:tcPr>
            <w:tcW w:w="0" w:type="dxa"/>
            <w:vAlign w:val="bottom"/>
          </w:tcPr>
          <w:p w:rsidR="00A621E3" w:rsidRDefault="00A621E3">
            <w:pPr>
              <w:rPr>
                <w:sz w:val="1"/>
                <w:szCs w:val="1"/>
              </w:rPr>
            </w:pPr>
          </w:p>
        </w:tc>
      </w:tr>
      <w:tr w:rsidR="00A621E3">
        <w:trPr>
          <w:trHeight w:val="166"/>
        </w:trPr>
        <w:tc>
          <w:tcPr>
            <w:tcW w:w="1320" w:type="dxa"/>
            <w:vAlign w:val="bottom"/>
          </w:tcPr>
          <w:p w:rsidR="00A621E3" w:rsidRDefault="00A621E3">
            <w:pPr>
              <w:rPr>
                <w:sz w:val="14"/>
                <w:szCs w:val="14"/>
              </w:rPr>
            </w:pPr>
          </w:p>
        </w:tc>
        <w:tc>
          <w:tcPr>
            <w:tcW w:w="2160" w:type="dxa"/>
            <w:vAlign w:val="bottom"/>
          </w:tcPr>
          <w:p w:rsidR="00A621E3" w:rsidRDefault="00EC630E">
            <w:pPr>
              <w:ind w:right="368"/>
              <w:jc w:val="right"/>
              <w:rPr>
                <w:sz w:val="20"/>
                <w:szCs w:val="20"/>
              </w:rPr>
            </w:pPr>
            <w:r>
              <w:rPr>
                <w:rFonts w:ascii="Arial" w:eastAsia="Arial" w:hAnsi="Arial" w:cs="Arial"/>
                <w:b/>
                <w:bCs/>
                <w:color w:val="CF0A2C"/>
                <w:sz w:val="14"/>
                <w:szCs w:val="14"/>
              </w:rPr>
              <w:t>Repurchased</w:t>
            </w:r>
          </w:p>
        </w:tc>
        <w:tc>
          <w:tcPr>
            <w:tcW w:w="1100" w:type="dxa"/>
            <w:vAlign w:val="bottom"/>
          </w:tcPr>
          <w:p w:rsidR="00A621E3" w:rsidRDefault="00EC630E">
            <w:pPr>
              <w:ind w:right="228"/>
              <w:jc w:val="right"/>
              <w:rPr>
                <w:sz w:val="20"/>
                <w:szCs w:val="20"/>
              </w:rPr>
            </w:pPr>
            <w:r>
              <w:rPr>
                <w:rFonts w:ascii="Arial" w:eastAsia="Arial" w:hAnsi="Arial" w:cs="Arial"/>
                <w:b/>
                <w:bCs/>
                <w:color w:val="CF0A2C"/>
                <w:sz w:val="14"/>
                <w:szCs w:val="14"/>
              </w:rPr>
              <w:t>Highest</w:t>
            </w:r>
          </w:p>
        </w:tc>
        <w:tc>
          <w:tcPr>
            <w:tcW w:w="760" w:type="dxa"/>
            <w:vAlign w:val="bottom"/>
          </w:tcPr>
          <w:p w:rsidR="00A621E3" w:rsidRDefault="00EC630E">
            <w:pPr>
              <w:jc w:val="right"/>
              <w:rPr>
                <w:sz w:val="20"/>
                <w:szCs w:val="20"/>
              </w:rPr>
            </w:pPr>
            <w:r>
              <w:rPr>
                <w:rFonts w:ascii="Arial" w:eastAsia="Arial" w:hAnsi="Arial" w:cs="Arial"/>
                <w:b/>
                <w:bCs/>
                <w:color w:val="CF0A2C"/>
                <w:sz w:val="14"/>
                <w:szCs w:val="14"/>
              </w:rPr>
              <w:t>Lowest</w:t>
            </w:r>
          </w:p>
        </w:tc>
        <w:tc>
          <w:tcPr>
            <w:tcW w:w="0" w:type="dxa"/>
            <w:vAlign w:val="bottom"/>
          </w:tcPr>
          <w:p w:rsidR="00A621E3" w:rsidRDefault="00A621E3">
            <w:pPr>
              <w:rPr>
                <w:sz w:val="1"/>
                <w:szCs w:val="1"/>
              </w:rPr>
            </w:pPr>
          </w:p>
        </w:tc>
      </w:tr>
      <w:tr w:rsidR="00A621E3">
        <w:trPr>
          <w:trHeight w:val="186"/>
        </w:trPr>
        <w:tc>
          <w:tcPr>
            <w:tcW w:w="1320" w:type="dxa"/>
            <w:vMerge w:val="restart"/>
            <w:vAlign w:val="bottom"/>
          </w:tcPr>
          <w:p w:rsidR="00A621E3" w:rsidRDefault="00EC630E">
            <w:pPr>
              <w:rPr>
                <w:sz w:val="20"/>
                <w:szCs w:val="20"/>
              </w:rPr>
            </w:pPr>
            <w:r>
              <w:rPr>
                <w:rFonts w:ascii="Arial" w:eastAsia="Arial" w:hAnsi="Arial" w:cs="Arial"/>
                <w:b/>
                <w:bCs/>
                <w:color w:val="CF0A2C"/>
                <w:sz w:val="14"/>
                <w:szCs w:val="14"/>
              </w:rPr>
              <w:t>2022</w:t>
            </w:r>
          </w:p>
        </w:tc>
        <w:tc>
          <w:tcPr>
            <w:tcW w:w="2160" w:type="dxa"/>
            <w:vAlign w:val="bottom"/>
          </w:tcPr>
          <w:p w:rsidR="00A621E3" w:rsidRDefault="00EC630E">
            <w:pPr>
              <w:ind w:right="448"/>
              <w:jc w:val="right"/>
              <w:rPr>
                <w:sz w:val="20"/>
                <w:szCs w:val="20"/>
              </w:rPr>
            </w:pPr>
            <w:r>
              <w:rPr>
                <w:rFonts w:ascii="Arial" w:eastAsia="Arial" w:hAnsi="Arial" w:cs="Arial"/>
                <w:i/>
                <w:iCs/>
                <w:color w:val="CF0A2C"/>
                <w:sz w:val="14"/>
                <w:szCs w:val="14"/>
              </w:rPr>
              <w:t>(thousands)</w:t>
            </w:r>
          </w:p>
        </w:tc>
        <w:tc>
          <w:tcPr>
            <w:tcW w:w="1100" w:type="dxa"/>
            <w:vAlign w:val="bottom"/>
          </w:tcPr>
          <w:p w:rsidR="00A621E3" w:rsidRDefault="00EC630E">
            <w:pPr>
              <w:ind w:right="288"/>
              <w:jc w:val="right"/>
              <w:rPr>
                <w:sz w:val="20"/>
                <w:szCs w:val="20"/>
              </w:rPr>
            </w:pPr>
            <w:r>
              <w:rPr>
                <w:rFonts w:ascii="Arial" w:eastAsia="Arial" w:hAnsi="Arial" w:cs="Arial"/>
                <w:i/>
                <w:iCs/>
                <w:color w:val="CF0A2C"/>
                <w:sz w:val="14"/>
                <w:szCs w:val="14"/>
              </w:rPr>
              <w:t>(US$)</w:t>
            </w:r>
          </w:p>
        </w:tc>
        <w:tc>
          <w:tcPr>
            <w:tcW w:w="760" w:type="dxa"/>
            <w:vAlign w:val="bottom"/>
          </w:tcPr>
          <w:p w:rsidR="00A621E3" w:rsidRDefault="00EC630E">
            <w:pPr>
              <w:jc w:val="right"/>
              <w:rPr>
                <w:sz w:val="20"/>
                <w:szCs w:val="20"/>
              </w:rPr>
            </w:pPr>
            <w:r>
              <w:rPr>
                <w:rFonts w:ascii="Arial" w:eastAsia="Arial" w:hAnsi="Arial" w:cs="Arial"/>
                <w:i/>
                <w:iCs/>
                <w:color w:val="CF0A2C"/>
                <w:sz w:val="14"/>
                <w:szCs w:val="14"/>
              </w:rPr>
              <w:t>(US$)</w:t>
            </w:r>
          </w:p>
        </w:tc>
        <w:tc>
          <w:tcPr>
            <w:tcW w:w="0" w:type="dxa"/>
            <w:vAlign w:val="bottom"/>
          </w:tcPr>
          <w:p w:rsidR="00A621E3" w:rsidRDefault="00A621E3">
            <w:pPr>
              <w:rPr>
                <w:sz w:val="1"/>
                <w:szCs w:val="1"/>
              </w:rPr>
            </w:pPr>
          </w:p>
        </w:tc>
      </w:tr>
      <w:tr w:rsidR="00A621E3">
        <w:trPr>
          <w:trHeight w:val="179"/>
        </w:trPr>
        <w:tc>
          <w:tcPr>
            <w:tcW w:w="1320" w:type="dxa"/>
            <w:vMerge/>
            <w:vAlign w:val="bottom"/>
          </w:tcPr>
          <w:p w:rsidR="00A621E3" w:rsidRDefault="00A621E3">
            <w:pPr>
              <w:rPr>
                <w:sz w:val="15"/>
                <w:szCs w:val="15"/>
              </w:rPr>
            </w:pPr>
          </w:p>
        </w:tc>
        <w:tc>
          <w:tcPr>
            <w:tcW w:w="2160" w:type="dxa"/>
            <w:vAlign w:val="bottom"/>
          </w:tcPr>
          <w:p w:rsidR="00A621E3" w:rsidRDefault="00A621E3">
            <w:pPr>
              <w:rPr>
                <w:sz w:val="15"/>
                <w:szCs w:val="15"/>
              </w:rPr>
            </w:pPr>
          </w:p>
        </w:tc>
        <w:tc>
          <w:tcPr>
            <w:tcW w:w="1100" w:type="dxa"/>
            <w:vAlign w:val="bottom"/>
          </w:tcPr>
          <w:p w:rsidR="00A621E3" w:rsidRDefault="00A621E3">
            <w:pPr>
              <w:rPr>
                <w:sz w:val="15"/>
                <w:szCs w:val="15"/>
              </w:rPr>
            </w:pPr>
          </w:p>
        </w:tc>
        <w:tc>
          <w:tcPr>
            <w:tcW w:w="760" w:type="dxa"/>
            <w:vAlign w:val="bottom"/>
          </w:tcPr>
          <w:p w:rsidR="00A621E3" w:rsidRDefault="00A621E3">
            <w:pPr>
              <w:rPr>
                <w:sz w:val="15"/>
                <w:szCs w:val="15"/>
              </w:rPr>
            </w:pPr>
          </w:p>
        </w:tc>
        <w:tc>
          <w:tcPr>
            <w:tcW w:w="0" w:type="dxa"/>
            <w:vAlign w:val="bottom"/>
          </w:tcPr>
          <w:p w:rsidR="00A621E3" w:rsidRDefault="00A621E3">
            <w:pPr>
              <w:rPr>
                <w:sz w:val="1"/>
                <w:szCs w:val="1"/>
              </w:rPr>
            </w:pPr>
          </w:p>
        </w:tc>
      </w:tr>
      <w:tr w:rsidR="00A621E3">
        <w:trPr>
          <w:trHeight w:val="162"/>
        </w:trPr>
        <w:tc>
          <w:tcPr>
            <w:tcW w:w="1320" w:type="dxa"/>
            <w:vAlign w:val="bottom"/>
          </w:tcPr>
          <w:p w:rsidR="00A621E3" w:rsidRDefault="00EC630E">
            <w:pPr>
              <w:rPr>
                <w:sz w:val="20"/>
                <w:szCs w:val="20"/>
              </w:rPr>
            </w:pPr>
            <w:r>
              <w:rPr>
                <w:rFonts w:ascii="Arial" w:eastAsia="Arial" w:hAnsi="Arial" w:cs="Arial"/>
                <w:color w:val="CF0A2C"/>
                <w:sz w:val="14"/>
                <w:szCs w:val="14"/>
              </w:rPr>
              <w:t>October</w:t>
            </w:r>
          </w:p>
        </w:tc>
        <w:tc>
          <w:tcPr>
            <w:tcW w:w="2160" w:type="dxa"/>
            <w:vAlign w:val="bottom"/>
          </w:tcPr>
          <w:p w:rsidR="00A621E3" w:rsidRDefault="00EC630E">
            <w:pPr>
              <w:ind w:right="208"/>
              <w:jc w:val="right"/>
              <w:rPr>
                <w:sz w:val="20"/>
                <w:szCs w:val="20"/>
              </w:rPr>
            </w:pPr>
            <w:r>
              <w:rPr>
                <w:rFonts w:ascii="Arial" w:eastAsia="Arial" w:hAnsi="Arial" w:cs="Arial"/>
                <w:color w:val="CF0A2C"/>
                <w:sz w:val="14"/>
                <w:szCs w:val="14"/>
              </w:rPr>
              <w:t>964</w:t>
            </w:r>
          </w:p>
        </w:tc>
        <w:tc>
          <w:tcPr>
            <w:tcW w:w="1100" w:type="dxa"/>
            <w:vAlign w:val="bottom"/>
          </w:tcPr>
          <w:p w:rsidR="00A621E3" w:rsidRDefault="00EC630E">
            <w:pPr>
              <w:ind w:right="208"/>
              <w:jc w:val="right"/>
              <w:rPr>
                <w:sz w:val="20"/>
                <w:szCs w:val="20"/>
              </w:rPr>
            </w:pPr>
            <w:r>
              <w:rPr>
                <w:rFonts w:ascii="Arial" w:eastAsia="Arial" w:hAnsi="Arial" w:cs="Arial"/>
                <w:color w:val="CF0A2C"/>
                <w:sz w:val="14"/>
                <w:szCs w:val="14"/>
              </w:rPr>
              <w:t>50.00</w:t>
            </w:r>
          </w:p>
        </w:tc>
        <w:tc>
          <w:tcPr>
            <w:tcW w:w="760" w:type="dxa"/>
            <w:vAlign w:val="bottom"/>
          </w:tcPr>
          <w:p w:rsidR="00A621E3" w:rsidRDefault="00EC630E">
            <w:pPr>
              <w:jc w:val="right"/>
              <w:rPr>
                <w:sz w:val="20"/>
                <w:szCs w:val="20"/>
              </w:rPr>
            </w:pPr>
            <w:r>
              <w:rPr>
                <w:rFonts w:ascii="Arial" w:eastAsia="Arial" w:hAnsi="Arial" w:cs="Arial"/>
                <w:color w:val="CF0A2C"/>
                <w:sz w:val="14"/>
                <w:szCs w:val="14"/>
              </w:rPr>
              <w:t>38.76</w:t>
            </w:r>
          </w:p>
        </w:tc>
        <w:tc>
          <w:tcPr>
            <w:tcW w:w="0" w:type="dxa"/>
            <w:vAlign w:val="bottom"/>
          </w:tcPr>
          <w:p w:rsidR="00A621E3" w:rsidRDefault="00A621E3">
            <w:pPr>
              <w:rPr>
                <w:sz w:val="1"/>
                <w:szCs w:val="1"/>
              </w:rPr>
            </w:pPr>
          </w:p>
        </w:tc>
      </w:tr>
      <w:tr w:rsidR="00A621E3">
        <w:trPr>
          <w:trHeight w:val="162"/>
        </w:trPr>
        <w:tc>
          <w:tcPr>
            <w:tcW w:w="1320" w:type="dxa"/>
            <w:vAlign w:val="bottom"/>
          </w:tcPr>
          <w:p w:rsidR="00A621E3" w:rsidRDefault="00EC630E">
            <w:pPr>
              <w:rPr>
                <w:sz w:val="20"/>
                <w:szCs w:val="20"/>
              </w:rPr>
            </w:pPr>
            <w:r>
              <w:rPr>
                <w:rFonts w:ascii="Arial" w:eastAsia="Arial" w:hAnsi="Arial" w:cs="Arial"/>
                <w:color w:val="CF0A2C"/>
                <w:sz w:val="14"/>
                <w:szCs w:val="14"/>
              </w:rPr>
              <w:t>November</w:t>
            </w:r>
          </w:p>
        </w:tc>
        <w:tc>
          <w:tcPr>
            <w:tcW w:w="2160" w:type="dxa"/>
            <w:vAlign w:val="bottom"/>
          </w:tcPr>
          <w:p w:rsidR="00A621E3" w:rsidRDefault="00EC630E">
            <w:pPr>
              <w:ind w:right="208"/>
              <w:jc w:val="right"/>
              <w:rPr>
                <w:sz w:val="20"/>
                <w:szCs w:val="20"/>
              </w:rPr>
            </w:pPr>
            <w:r>
              <w:rPr>
                <w:rFonts w:ascii="Arial" w:eastAsia="Arial" w:hAnsi="Arial" w:cs="Arial"/>
                <w:color w:val="CF0A2C"/>
                <w:sz w:val="14"/>
                <w:szCs w:val="14"/>
              </w:rPr>
              <w:t>223</w:t>
            </w:r>
          </w:p>
        </w:tc>
        <w:tc>
          <w:tcPr>
            <w:tcW w:w="1100" w:type="dxa"/>
            <w:vAlign w:val="bottom"/>
          </w:tcPr>
          <w:p w:rsidR="00A621E3" w:rsidRDefault="00EC630E">
            <w:pPr>
              <w:ind w:right="208"/>
              <w:jc w:val="right"/>
              <w:rPr>
                <w:sz w:val="20"/>
                <w:szCs w:val="20"/>
              </w:rPr>
            </w:pPr>
            <w:r>
              <w:rPr>
                <w:rFonts w:ascii="Arial" w:eastAsia="Arial" w:hAnsi="Arial" w:cs="Arial"/>
                <w:color w:val="CF0A2C"/>
                <w:sz w:val="14"/>
                <w:szCs w:val="14"/>
              </w:rPr>
              <w:t>50.00</w:t>
            </w:r>
          </w:p>
        </w:tc>
        <w:tc>
          <w:tcPr>
            <w:tcW w:w="760" w:type="dxa"/>
            <w:vAlign w:val="bottom"/>
          </w:tcPr>
          <w:p w:rsidR="00A621E3" w:rsidRDefault="00EC630E">
            <w:pPr>
              <w:jc w:val="right"/>
              <w:rPr>
                <w:sz w:val="20"/>
                <w:szCs w:val="20"/>
              </w:rPr>
            </w:pPr>
            <w:r>
              <w:rPr>
                <w:rFonts w:ascii="Arial" w:eastAsia="Arial" w:hAnsi="Arial" w:cs="Arial"/>
                <w:color w:val="CF0A2C"/>
                <w:sz w:val="14"/>
                <w:szCs w:val="14"/>
              </w:rPr>
              <w:t>42.48</w:t>
            </w:r>
          </w:p>
        </w:tc>
        <w:tc>
          <w:tcPr>
            <w:tcW w:w="0" w:type="dxa"/>
            <w:vAlign w:val="bottom"/>
          </w:tcPr>
          <w:p w:rsidR="00A621E3" w:rsidRDefault="00A621E3">
            <w:pPr>
              <w:rPr>
                <w:sz w:val="1"/>
                <w:szCs w:val="1"/>
              </w:rPr>
            </w:pPr>
          </w:p>
        </w:tc>
      </w:tr>
      <w:tr w:rsidR="00A621E3">
        <w:trPr>
          <w:trHeight w:val="172"/>
        </w:trPr>
        <w:tc>
          <w:tcPr>
            <w:tcW w:w="1320" w:type="dxa"/>
            <w:vAlign w:val="bottom"/>
          </w:tcPr>
          <w:p w:rsidR="00A621E3" w:rsidRDefault="00EC630E">
            <w:pPr>
              <w:rPr>
                <w:sz w:val="20"/>
                <w:szCs w:val="20"/>
              </w:rPr>
            </w:pPr>
            <w:r>
              <w:rPr>
                <w:rFonts w:ascii="Arial" w:eastAsia="Arial" w:hAnsi="Arial" w:cs="Arial"/>
                <w:color w:val="CF0A2C"/>
                <w:sz w:val="14"/>
                <w:szCs w:val="14"/>
              </w:rPr>
              <w:t>December</w:t>
            </w:r>
          </w:p>
        </w:tc>
        <w:tc>
          <w:tcPr>
            <w:tcW w:w="2160" w:type="dxa"/>
            <w:vAlign w:val="bottom"/>
          </w:tcPr>
          <w:p w:rsidR="00A621E3" w:rsidRDefault="00EC630E">
            <w:pPr>
              <w:ind w:right="208"/>
              <w:jc w:val="right"/>
              <w:rPr>
                <w:sz w:val="20"/>
                <w:szCs w:val="20"/>
              </w:rPr>
            </w:pPr>
            <w:r>
              <w:rPr>
                <w:rFonts w:ascii="Arial" w:eastAsia="Arial" w:hAnsi="Arial" w:cs="Arial"/>
                <w:color w:val="CF0A2C"/>
                <w:sz w:val="14"/>
                <w:szCs w:val="14"/>
              </w:rPr>
              <w:t>Nil</w:t>
            </w:r>
          </w:p>
        </w:tc>
        <w:tc>
          <w:tcPr>
            <w:tcW w:w="1100" w:type="dxa"/>
            <w:vAlign w:val="bottom"/>
          </w:tcPr>
          <w:p w:rsidR="00A621E3" w:rsidRDefault="00EC630E">
            <w:pPr>
              <w:ind w:right="208"/>
              <w:jc w:val="right"/>
              <w:rPr>
                <w:sz w:val="20"/>
                <w:szCs w:val="20"/>
              </w:rPr>
            </w:pPr>
            <w:r>
              <w:rPr>
                <w:rFonts w:ascii="Arial" w:eastAsia="Arial" w:hAnsi="Arial" w:cs="Arial"/>
                <w:color w:val="CF0A2C"/>
                <w:sz w:val="14"/>
                <w:szCs w:val="14"/>
              </w:rPr>
              <w:t>–</w:t>
            </w:r>
          </w:p>
        </w:tc>
        <w:tc>
          <w:tcPr>
            <w:tcW w:w="760" w:type="dxa"/>
            <w:vAlign w:val="bottom"/>
          </w:tcPr>
          <w:p w:rsidR="00A621E3" w:rsidRDefault="00EC630E">
            <w:pPr>
              <w:jc w:val="right"/>
              <w:rPr>
                <w:sz w:val="20"/>
                <w:szCs w:val="20"/>
              </w:rPr>
            </w:pPr>
            <w:r>
              <w:rPr>
                <w:rFonts w:ascii="Arial" w:eastAsia="Arial" w:hAnsi="Arial" w:cs="Arial"/>
                <w:color w:val="CF0A2C"/>
                <w:sz w:val="14"/>
                <w:szCs w:val="14"/>
              </w:rPr>
              <w:t>–</w:t>
            </w:r>
          </w:p>
        </w:tc>
        <w:tc>
          <w:tcPr>
            <w:tcW w:w="0" w:type="dxa"/>
            <w:vAlign w:val="bottom"/>
          </w:tcPr>
          <w:p w:rsidR="00A621E3" w:rsidRDefault="00A621E3">
            <w:pPr>
              <w:rPr>
                <w:sz w:val="1"/>
                <w:szCs w:val="1"/>
              </w:rPr>
            </w:pPr>
          </w:p>
        </w:tc>
      </w:tr>
      <w:tr w:rsidR="00A621E3">
        <w:trPr>
          <w:trHeight w:val="287"/>
        </w:trPr>
        <w:tc>
          <w:tcPr>
            <w:tcW w:w="1320" w:type="dxa"/>
            <w:vAlign w:val="bottom"/>
          </w:tcPr>
          <w:p w:rsidR="00A621E3" w:rsidRDefault="00EC630E">
            <w:pPr>
              <w:rPr>
                <w:sz w:val="20"/>
                <w:szCs w:val="20"/>
              </w:rPr>
            </w:pPr>
            <w:r>
              <w:rPr>
                <w:rFonts w:ascii="Arial" w:eastAsia="Arial" w:hAnsi="Arial" w:cs="Arial"/>
                <w:b/>
                <w:bCs/>
                <w:color w:val="CF0A2C"/>
                <w:sz w:val="14"/>
                <w:szCs w:val="14"/>
              </w:rPr>
              <w:t>2023</w:t>
            </w:r>
          </w:p>
        </w:tc>
        <w:tc>
          <w:tcPr>
            <w:tcW w:w="2160" w:type="dxa"/>
            <w:vAlign w:val="bottom"/>
          </w:tcPr>
          <w:p w:rsidR="00A621E3" w:rsidRDefault="00A621E3">
            <w:pPr>
              <w:rPr>
                <w:sz w:val="24"/>
                <w:szCs w:val="24"/>
              </w:rPr>
            </w:pPr>
          </w:p>
        </w:tc>
        <w:tc>
          <w:tcPr>
            <w:tcW w:w="1100" w:type="dxa"/>
            <w:vAlign w:val="bottom"/>
          </w:tcPr>
          <w:p w:rsidR="00A621E3" w:rsidRDefault="00A621E3">
            <w:pPr>
              <w:rPr>
                <w:sz w:val="24"/>
                <w:szCs w:val="24"/>
              </w:rPr>
            </w:pPr>
          </w:p>
        </w:tc>
        <w:tc>
          <w:tcPr>
            <w:tcW w:w="760" w:type="dxa"/>
            <w:vAlign w:val="bottom"/>
          </w:tcPr>
          <w:p w:rsidR="00A621E3" w:rsidRDefault="00A621E3">
            <w:pPr>
              <w:rPr>
                <w:sz w:val="24"/>
                <w:szCs w:val="24"/>
              </w:rPr>
            </w:pPr>
          </w:p>
        </w:tc>
        <w:tc>
          <w:tcPr>
            <w:tcW w:w="0" w:type="dxa"/>
            <w:vAlign w:val="bottom"/>
          </w:tcPr>
          <w:p w:rsidR="00A621E3" w:rsidRDefault="00A621E3">
            <w:pPr>
              <w:rPr>
                <w:sz w:val="1"/>
                <w:szCs w:val="1"/>
              </w:rPr>
            </w:pPr>
          </w:p>
        </w:tc>
      </w:tr>
      <w:tr w:rsidR="00A621E3">
        <w:trPr>
          <w:trHeight w:val="162"/>
        </w:trPr>
        <w:tc>
          <w:tcPr>
            <w:tcW w:w="1320" w:type="dxa"/>
            <w:vAlign w:val="bottom"/>
          </w:tcPr>
          <w:p w:rsidR="00A621E3" w:rsidRDefault="00EC630E">
            <w:pPr>
              <w:rPr>
                <w:sz w:val="20"/>
                <w:szCs w:val="20"/>
              </w:rPr>
            </w:pPr>
            <w:r>
              <w:rPr>
                <w:rFonts w:ascii="Arial" w:eastAsia="Arial" w:hAnsi="Arial" w:cs="Arial"/>
                <w:color w:val="CF0A2C"/>
                <w:sz w:val="14"/>
                <w:szCs w:val="14"/>
              </w:rPr>
              <w:t>January</w:t>
            </w:r>
          </w:p>
        </w:tc>
        <w:tc>
          <w:tcPr>
            <w:tcW w:w="2160" w:type="dxa"/>
            <w:vAlign w:val="bottom"/>
          </w:tcPr>
          <w:p w:rsidR="00A621E3" w:rsidRDefault="00EC630E">
            <w:pPr>
              <w:ind w:right="208"/>
              <w:jc w:val="right"/>
              <w:rPr>
                <w:sz w:val="20"/>
                <w:szCs w:val="20"/>
              </w:rPr>
            </w:pPr>
            <w:r>
              <w:rPr>
                <w:rFonts w:ascii="Arial" w:eastAsia="Arial" w:hAnsi="Arial" w:cs="Arial"/>
                <w:color w:val="CF0A2C"/>
                <w:sz w:val="14"/>
                <w:szCs w:val="14"/>
              </w:rPr>
              <w:t>337</w:t>
            </w:r>
          </w:p>
        </w:tc>
        <w:tc>
          <w:tcPr>
            <w:tcW w:w="1100" w:type="dxa"/>
            <w:vAlign w:val="bottom"/>
          </w:tcPr>
          <w:p w:rsidR="00A621E3" w:rsidRDefault="00EC630E">
            <w:pPr>
              <w:ind w:right="208"/>
              <w:jc w:val="right"/>
              <w:rPr>
                <w:sz w:val="20"/>
                <w:szCs w:val="20"/>
              </w:rPr>
            </w:pPr>
            <w:r>
              <w:rPr>
                <w:rFonts w:ascii="Arial" w:eastAsia="Arial" w:hAnsi="Arial" w:cs="Arial"/>
                <w:color w:val="CF0A2C"/>
                <w:sz w:val="14"/>
                <w:szCs w:val="14"/>
              </w:rPr>
              <w:t>62.43</w:t>
            </w:r>
          </w:p>
        </w:tc>
        <w:tc>
          <w:tcPr>
            <w:tcW w:w="760" w:type="dxa"/>
            <w:vAlign w:val="bottom"/>
          </w:tcPr>
          <w:p w:rsidR="00A621E3" w:rsidRDefault="00EC630E">
            <w:pPr>
              <w:jc w:val="right"/>
              <w:rPr>
                <w:sz w:val="20"/>
                <w:szCs w:val="20"/>
              </w:rPr>
            </w:pPr>
            <w:r>
              <w:rPr>
                <w:rFonts w:ascii="Arial" w:eastAsia="Arial" w:hAnsi="Arial" w:cs="Arial"/>
                <w:color w:val="CF0A2C"/>
                <w:sz w:val="14"/>
                <w:szCs w:val="14"/>
              </w:rPr>
              <w:t>55.81</w:t>
            </w:r>
          </w:p>
        </w:tc>
        <w:tc>
          <w:tcPr>
            <w:tcW w:w="0" w:type="dxa"/>
            <w:vAlign w:val="bottom"/>
          </w:tcPr>
          <w:p w:rsidR="00A621E3" w:rsidRDefault="00A621E3">
            <w:pPr>
              <w:rPr>
                <w:sz w:val="1"/>
                <w:szCs w:val="1"/>
              </w:rPr>
            </w:pPr>
          </w:p>
        </w:tc>
      </w:tr>
      <w:tr w:rsidR="00A621E3">
        <w:trPr>
          <w:trHeight w:val="162"/>
        </w:trPr>
        <w:tc>
          <w:tcPr>
            <w:tcW w:w="1320" w:type="dxa"/>
            <w:vAlign w:val="bottom"/>
          </w:tcPr>
          <w:p w:rsidR="00A621E3" w:rsidRDefault="00EC630E">
            <w:pPr>
              <w:rPr>
                <w:sz w:val="20"/>
                <w:szCs w:val="20"/>
              </w:rPr>
            </w:pPr>
            <w:r>
              <w:rPr>
                <w:rFonts w:ascii="Arial" w:eastAsia="Arial" w:hAnsi="Arial" w:cs="Arial"/>
                <w:color w:val="CF0A2C"/>
                <w:sz w:val="14"/>
                <w:szCs w:val="14"/>
              </w:rPr>
              <w:t>February</w:t>
            </w:r>
          </w:p>
        </w:tc>
        <w:tc>
          <w:tcPr>
            <w:tcW w:w="2160" w:type="dxa"/>
            <w:vAlign w:val="bottom"/>
          </w:tcPr>
          <w:p w:rsidR="00A621E3" w:rsidRDefault="00EC630E">
            <w:pPr>
              <w:ind w:right="208"/>
              <w:jc w:val="right"/>
              <w:rPr>
                <w:sz w:val="20"/>
                <w:szCs w:val="20"/>
              </w:rPr>
            </w:pPr>
            <w:r>
              <w:rPr>
                <w:rFonts w:ascii="Arial" w:eastAsia="Arial" w:hAnsi="Arial" w:cs="Arial"/>
                <w:color w:val="CF0A2C"/>
                <w:sz w:val="14"/>
                <w:szCs w:val="14"/>
              </w:rPr>
              <w:t>316</w:t>
            </w:r>
          </w:p>
        </w:tc>
        <w:tc>
          <w:tcPr>
            <w:tcW w:w="1100" w:type="dxa"/>
            <w:vAlign w:val="bottom"/>
          </w:tcPr>
          <w:p w:rsidR="00A621E3" w:rsidRDefault="00EC630E">
            <w:pPr>
              <w:ind w:right="208"/>
              <w:jc w:val="right"/>
              <w:rPr>
                <w:sz w:val="20"/>
                <w:szCs w:val="20"/>
              </w:rPr>
            </w:pPr>
            <w:r>
              <w:rPr>
                <w:rFonts w:ascii="Arial" w:eastAsia="Arial" w:hAnsi="Arial" w:cs="Arial"/>
                <w:color w:val="CF0A2C"/>
                <w:sz w:val="14"/>
                <w:szCs w:val="14"/>
              </w:rPr>
              <w:t>63.01</w:t>
            </w:r>
          </w:p>
        </w:tc>
        <w:tc>
          <w:tcPr>
            <w:tcW w:w="760" w:type="dxa"/>
            <w:vAlign w:val="bottom"/>
          </w:tcPr>
          <w:p w:rsidR="00A621E3" w:rsidRDefault="00EC630E">
            <w:pPr>
              <w:jc w:val="right"/>
              <w:rPr>
                <w:sz w:val="20"/>
                <w:szCs w:val="20"/>
              </w:rPr>
            </w:pPr>
            <w:r>
              <w:rPr>
                <w:rFonts w:ascii="Arial" w:eastAsia="Arial" w:hAnsi="Arial" w:cs="Arial"/>
                <w:color w:val="CF0A2C"/>
                <w:sz w:val="14"/>
                <w:szCs w:val="14"/>
              </w:rPr>
              <w:t>56.97</w:t>
            </w:r>
          </w:p>
        </w:tc>
        <w:tc>
          <w:tcPr>
            <w:tcW w:w="0" w:type="dxa"/>
            <w:vAlign w:val="bottom"/>
          </w:tcPr>
          <w:p w:rsidR="00A621E3" w:rsidRDefault="00A621E3">
            <w:pPr>
              <w:rPr>
                <w:sz w:val="1"/>
                <w:szCs w:val="1"/>
              </w:rPr>
            </w:pPr>
          </w:p>
        </w:tc>
      </w:tr>
      <w:tr w:rsidR="00A621E3">
        <w:trPr>
          <w:trHeight w:val="172"/>
        </w:trPr>
        <w:tc>
          <w:tcPr>
            <w:tcW w:w="1320" w:type="dxa"/>
            <w:vAlign w:val="bottom"/>
          </w:tcPr>
          <w:p w:rsidR="00A621E3" w:rsidRDefault="00EC630E">
            <w:pPr>
              <w:rPr>
                <w:sz w:val="20"/>
                <w:szCs w:val="20"/>
              </w:rPr>
            </w:pPr>
            <w:r>
              <w:rPr>
                <w:rFonts w:ascii="Arial" w:eastAsia="Arial" w:hAnsi="Arial" w:cs="Arial"/>
                <w:color w:val="CF0A2C"/>
                <w:sz w:val="14"/>
                <w:szCs w:val="14"/>
              </w:rPr>
              <w:t>March</w:t>
            </w:r>
          </w:p>
        </w:tc>
        <w:tc>
          <w:tcPr>
            <w:tcW w:w="2160" w:type="dxa"/>
            <w:vAlign w:val="bottom"/>
          </w:tcPr>
          <w:p w:rsidR="00A621E3" w:rsidRDefault="00EC630E">
            <w:pPr>
              <w:ind w:right="208"/>
              <w:jc w:val="right"/>
              <w:rPr>
                <w:sz w:val="20"/>
                <w:szCs w:val="20"/>
              </w:rPr>
            </w:pPr>
            <w:r>
              <w:rPr>
                <w:rFonts w:ascii="Arial" w:eastAsia="Arial" w:hAnsi="Arial" w:cs="Arial"/>
                <w:color w:val="CF0A2C"/>
                <w:sz w:val="14"/>
                <w:szCs w:val="14"/>
              </w:rPr>
              <w:t>376</w:t>
            </w:r>
          </w:p>
        </w:tc>
        <w:tc>
          <w:tcPr>
            <w:tcW w:w="1100" w:type="dxa"/>
            <w:vAlign w:val="bottom"/>
          </w:tcPr>
          <w:p w:rsidR="00A621E3" w:rsidRDefault="00EC630E">
            <w:pPr>
              <w:ind w:right="208"/>
              <w:jc w:val="right"/>
              <w:rPr>
                <w:sz w:val="20"/>
                <w:szCs w:val="20"/>
              </w:rPr>
            </w:pPr>
            <w:r>
              <w:rPr>
                <w:rFonts w:ascii="Arial" w:eastAsia="Arial" w:hAnsi="Arial" w:cs="Arial"/>
                <w:color w:val="CF0A2C"/>
                <w:sz w:val="14"/>
                <w:szCs w:val="14"/>
              </w:rPr>
              <w:t>64.56</w:t>
            </w:r>
          </w:p>
        </w:tc>
        <w:tc>
          <w:tcPr>
            <w:tcW w:w="760" w:type="dxa"/>
            <w:vAlign w:val="bottom"/>
          </w:tcPr>
          <w:p w:rsidR="00A621E3" w:rsidRDefault="00EC630E">
            <w:pPr>
              <w:jc w:val="right"/>
              <w:rPr>
                <w:sz w:val="20"/>
                <w:szCs w:val="20"/>
              </w:rPr>
            </w:pPr>
            <w:r>
              <w:rPr>
                <w:rFonts w:ascii="Arial" w:eastAsia="Arial" w:hAnsi="Arial" w:cs="Arial"/>
                <w:color w:val="CF0A2C"/>
                <w:sz w:val="14"/>
                <w:szCs w:val="14"/>
              </w:rPr>
              <w:t>57.78</w:t>
            </w:r>
          </w:p>
        </w:tc>
        <w:tc>
          <w:tcPr>
            <w:tcW w:w="0" w:type="dxa"/>
            <w:vAlign w:val="bottom"/>
          </w:tcPr>
          <w:p w:rsidR="00A621E3" w:rsidRDefault="00A621E3">
            <w:pPr>
              <w:rPr>
                <w:sz w:val="1"/>
                <w:szCs w:val="1"/>
              </w:rPr>
            </w:pPr>
          </w:p>
        </w:tc>
      </w:tr>
    </w:tbl>
    <w:p w:rsidR="00A621E3" w:rsidRDefault="00A621E3">
      <w:pPr>
        <w:spacing w:line="211" w:lineRule="exact"/>
        <w:rPr>
          <w:sz w:val="20"/>
          <w:szCs w:val="20"/>
        </w:rPr>
      </w:pPr>
    </w:p>
    <w:p w:rsidR="00A621E3" w:rsidRDefault="00EC630E">
      <w:pPr>
        <w:spacing w:line="260" w:lineRule="auto"/>
        <w:jc w:val="both"/>
        <w:rPr>
          <w:sz w:val="20"/>
          <w:szCs w:val="20"/>
        </w:rPr>
      </w:pPr>
      <w:r>
        <w:rPr>
          <w:rFonts w:ascii="Arial" w:eastAsia="Arial" w:hAnsi="Arial" w:cs="Arial"/>
          <w:sz w:val="20"/>
          <w:szCs w:val="20"/>
        </w:rPr>
        <w:t>Accordingly, we ask our stockholders to vote in favor of the following resolution at the Annual Meeting:</w:t>
      </w:r>
    </w:p>
    <w:p w:rsidR="00A621E3" w:rsidRDefault="00A621E3">
      <w:pPr>
        <w:spacing w:line="217" w:lineRule="exact"/>
        <w:rPr>
          <w:sz w:val="20"/>
          <w:szCs w:val="20"/>
        </w:rPr>
      </w:pPr>
    </w:p>
    <w:p w:rsidR="00A621E3" w:rsidRDefault="00EC630E">
      <w:pPr>
        <w:spacing w:line="243" w:lineRule="auto"/>
        <w:jc w:val="both"/>
        <w:rPr>
          <w:sz w:val="20"/>
          <w:szCs w:val="20"/>
        </w:rPr>
      </w:pPr>
      <w:r>
        <w:rPr>
          <w:rFonts w:ascii="Arial" w:eastAsia="Arial" w:hAnsi="Arial" w:cs="Arial"/>
          <w:sz w:val="20"/>
          <w:szCs w:val="20"/>
        </w:rPr>
        <w:t xml:space="preserve">“RESOLVED, to approve the </w:t>
      </w:r>
      <w:r>
        <w:rPr>
          <w:rFonts w:ascii="Arial" w:eastAsia="Arial" w:hAnsi="Arial" w:cs="Arial"/>
          <w:sz w:val="20"/>
          <w:szCs w:val="20"/>
        </w:rPr>
        <w:t>Board’s continuing authority to approve the Company’s repurchase of shares of its common stock in an amount not to exceed 10% of the total number of outstanding shares of common stock of the Company as of the date of the Annual Meeting, effective from date</w:t>
      </w:r>
      <w:r>
        <w:rPr>
          <w:rFonts w:ascii="Arial" w:eastAsia="Arial" w:hAnsi="Arial" w:cs="Arial"/>
          <w:sz w:val="20"/>
          <w:szCs w:val="20"/>
        </w:rPr>
        <w:t xml:space="preserve"> of the Annual Meeting until the earlier of the date the next annual meeting is held or June 25, 2024.”</w:t>
      </w:r>
    </w:p>
    <w:p w:rsidR="00A621E3" w:rsidRDefault="00A621E3">
      <w:pPr>
        <w:spacing w:line="227" w:lineRule="exact"/>
        <w:rPr>
          <w:sz w:val="20"/>
          <w:szCs w:val="20"/>
        </w:rPr>
      </w:pPr>
    </w:p>
    <w:p w:rsidR="00A621E3" w:rsidRDefault="00EC630E">
      <w:pPr>
        <w:rPr>
          <w:sz w:val="20"/>
          <w:szCs w:val="20"/>
        </w:rPr>
      </w:pPr>
      <w:r>
        <w:rPr>
          <w:rFonts w:ascii="Arial" w:eastAsia="Arial" w:hAnsi="Arial" w:cs="Arial"/>
          <w:b/>
          <w:bCs/>
          <w:color w:val="CF0A2C"/>
          <w:sz w:val="20"/>
          <w:szCs w:val="20"/>
        </w:rPr>
        <w:t>What vote is required to approve this proposal?</w:t>
      </w:r>
    </w:p>
    <w:p w:rsidR="00A621E3" w:rsidRDefault="00A621E3">
      <w:pPr>
        <w:spacing w:line="249" w:lineRule="exact"/>
        <w:rPr>
          <w:sz w:val="20"/>
          <w:szCs w:val="20"/>
        </w:rPr>
      </w:pPr>
    </w:p>
    <w:p w:rsidR="00A621E3" w:rsidRDefault="00EC630E">
      <w:pPr>
        <w:spacing w:line="250" w:lineRule="auto"/>
        <w:jc w:val="both"/>
        <w:rPr>
          <w:sz w:val="20"/>
          <w:szCs w:val="20"/>
        </w:rPr>
      </w:pPr>
      <w:r>
        <w:rPr>
          <w:rFonts w:ascii="Arial" w:eastAsia="Arial" w:hAnsi="Arial" w:cs="Arial"/>
          <w:sz w:val="20"/>
          <w:szCs w:val="20"/>
        </w:rPr>
        <w:t xml:space="preserve">Approval of this proposal requires the affirmative vote of a majority of shares present in person or </w:t>
      </w:r>
      <w:r>
        <w:rPr>
          <w:rFonts w:ascii="Arial" w:eastAsia="Arial" w:hAnsi="Arial" w:cs="Arial"/>
          <w:sz w:val="20"/>
          <w:szCs w:val="20"/>
        </w:rPr>
        <w:t>represented by proxy and entitled to vote at the Annual Meeting.</w:t>
      </w:r>
    </w:p>
    <w:p w:rsidR="00A621E3" w:rsidRDefault="00A621E3">
      <w:pPr>
        <w:spacing w:line="220" w:lineRule="exact"/>
        <w:rPr>
          <w:sz w:val="20"/>
          <w:szCs w:val="20"/>
        </w:rPr>
      </w:pPr>
    </w:p>
    <w:p w:rsidR="00A621E3" w:rsidRDefault="00EC630E">
      <w:pPr>
        <w:spacing w:line="267" w:lineRule="auto"/>
        <w:jc w:val="both"/>
        <w:rPr>
          <w:sz w:val="20"/>
          <w:szCs w:val="20"/>
        </w:rPr>
      </w:pPr>
      <w:r>
        <w:rPr>
          <w:rFonts w:ascii="Arial" w:eastAsia="Arial" w:hAnsi="Arial" w:cs="Arial"/>
          <w:b/>
          <w:bCs/>
          <w:color w:val="CF0A2C"/>
          <w:sz w:val="20"/>
          <w:szCs w:val="20"/>
        </w:rPr>
        <w:t>The Board of Directors recommends that you vote FOR the approval of this proposal.</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34" w:lineRule="exact"/>
        <w:rPr>
          <w:sz w:val="20"/>
          <w:szCs w:val="20"/>
        </w:rPr>
      </w:pPr>
    </w:p>
    <w:p w:rsidR="00A621E3" w:rsidRDefault="00EC630E">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39</w:t>
      </w:r>
    </w:p>
    <w:p w:rsidR="00A621E3" w:rsidRDefault="00EC630E">
      <w:pPr>
        <w:spacing w:line="20" w:lineRule="exact"/>
        <w:rPr>
          <w:sz w:val="20"/>
          <w:szCs w:val="20"/>
        </w:rPr>
      </w:pPr>
      <w:r>
        <w:rPr>
          <w:noProof/>
          <w:sz w:val="20"/>
          <w:szCs w:val="20"/>
        </w:rPr>
        <w:drawing>
          <wp:anchor distT="0" distB="0" distL="114300" distR="114300" simplePos="0" relativeHeight="251849728" behindDoc="1" locked="0" layoutInCell="0" allowOverlap="1">
            <wp:simplePos x="0" y="0"/>
            <wp:positionH relativeFrom="column">
              <wp:posOffset>3149600</wp:posOffset>
            </wp:positionH>
            <wp:positionV relativeFrom="paragraph">
              <wp:posOffset>-93345</wp:posOffset>
            </wp:positionV>
            <wp:extent cx="8255" cy="102870"/>
            <wp:effectExtent l="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59" w:bottom="1440" w:left="320" w:header="0" w:footer="0" w:gutter="0"/>
          <w:cols w:num="2" w:space="720" w:equalWidth="0">
            <w:col w:w="5400" w:space="340"/>
            <w:col w:w="5380"/>
          </w:cols>
        </w:sectPr>
      </w:pPr>
    </w:p>
    <w:p w:rsidR="00A621E3" w:rsidRDefault="00EC630E">
      <w:pPr>
        <w:rPr>
          <w:sz w:val="20"/>
          <w:szCs w:val="20"/>
        </w:rPr>
      </w:pPr>
      <w:bookmarkStart w:id="45" w:name="page45"/>
      <w:bookmarkEnd w:id="45"/>
      <w:r>
        <w:rPr>
          <w:rFonts w:ascii="Arial" w:eastAsia="Arial" w:hAnsi="Arial" w:cs="Arial"/>
          <w:b/>
          <w:bCs/>
          <w:noProof/>
          <w:color w:val="0000EE"/>
          <w:sz w:val="18"/>
          <w:szCs w:val="18"/>
          <w:u w:val="single"/>
        </w:rPr>
        <w:lastRenderedPageBreak/>
        <w:drawing>
          <wp:anchor distT="0" distB="0" distL="114300" distR="114300" simplePos="0" relativeHeight="25185075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51776" behindDoc="1" locked="0" layoutInCell="0" allowOverlap="1">
            <wp:simplePos x="0" y="0"/>
            <wp:positionH relativeFrom="column">
              <wp:posOffset>73660</wp:posOffset>
            </wp:positionH>
            <wp:positionV relativeFrom="paragraph">
              <wp:posOffset>205740</wp:posOffset>
            </wp:positionV>
            <wp:extent cx="6995160" cy="506095"/>
            <wp:effectExtent l="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2">
                      <a:extLst/>
                    </a:blip>
                    <a:srcRect/>
                    <a:stretch>
                      <a:fillRect/>
                    </a:stretch>
                  </pic:blipFill>
                  <pic:spPr bwMode="auto">
                    <a:xfrm>
                      <a:off x="0" y="0"/>
                      <a:ext cx="6995160" cy="50609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11" w:lineRule="exact"/>
        <w:rPr>
          <w:sz w:val="20"/>
          <w:szCs w:val="20"/>
        </w:rPr>
      </w:pPr>
    </w:p>
    <w:p w:rsidR="00A621E3" w:rsidRDefault="00EC630E">
      <w:pPr>
        <w:ind w:left="200"/>
        <w:rPr>
          <w:sz w:val="20"/>
          <w:szCs w:val="20"/>
        </w:rPr>
      </w:pPr>
      <w:r>
        <w:rPr>
          <w:rFonts w:ascii="Arial" w:eastAsia="Arial" w:hAnsi="Arial" w:cs="Arial"/>
          <w:b/>
          <w:bCs/>
          <w:color w:val="FFFFFF"/>
          <w:sz w:val="32"/>
          <w:szCs w:val="32"/>
        </w:rPr>
        <w:t xml:space="preserve">STOCK </w:t>
      </w:r>
      <w:r>
        <w:rPr>
          <w:rFonts w:ascii="Arial" w:eastAsia="Arial" w:hAnsi="Arial" w:cs="Arial"/>
          <w:b/>
          <w:bCs/>
          <w:color w:val="FFFFFF"/>
          <w:sz w:val="32"/>
          <w:szCs w:val="32"/>
        </w:rPr>
        <w:t>OWNERSHIP INFORMATION</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26" w:lineRule="exact"/>
        <w:rPr>
          <w:sz w:val="20"/>
          <w:szCs w:val="20"/>
        </w:rPr>
      </w:pPr>
    </w:p>
    <w:p w:rsidR="00A621E3" w:rsidRDefault="00EC630E">
      <w:pPr>
        <w:ind w:left="120"/>
        <w:rPr>
          <w:sz w:val="20"/>
          <w:szCs w:val="20"/>
        </w:rPr>
      </w:pPr>
      <w:r>
        <w:rPr>
          <w:rFonts w:ascii="Arial" w:eastAsia="Arial" w:hAnsi="Arial" w:cs="Arial"/>
          <w:b/>
          <w:bCs/>
          <w:color w:val="CF0A2C"/>
          <w:sz w:val="32"/>
          <w:szCs w:val="32"/>
        </w:rPr>
        <w:t>Who are our largest stockholders?</w:t>
      </w:r>
    </w:p>
    <w:p w:rsidR="00A621E3" w:rsidRDefault="00EC630E">
      <w:pPr>
        <w:spacing w:line="20" w:lineRule="exact"/>
        <w:rPr>
          <w:sz w:val="20"/>
          <w:szCs w:val="20"/>
        </w:rPr>
      </w:pPr>
      <w:r>
        <w:rPr>
          <w:noProof/>
          <w:sz w:val="20"/>
          <w:szCs w:val="20"/>
        </w:rPr>
        <w:drawing>
          <wp:anchor distT="0" distB="0" distL="114300" distR="114300" simplePos="0" relativeHeight="251852800"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0" w:lineRule="exact"/>
        <w:rPr>
          <w:sz w:val="20"/>
          <w:szCs w:val="20"/>
        </w:rPr>
      </w:pPr>
    </w:p>
    <w:p w:rsidR="00A621E3" w:rsidRDefault="00EC630E">
      <w:pPr>
        <w:spacing w:line="274" w:lineRule="auto"/>
        <w:ind w:left="120"/>
        <w:jc w:val="both"/>
        <w:rPr>
          <w:sz w:val="20"/>
          <w:szCs w:val="20"/>
        </w:rPr>
      </w:pPr>
      <w:r>
        <w:rPr>
          <w:rFonts w:ascii="Arial" w:eastAsia="Arial" w:hAnsi="Arial" w:cs="Arial"/>
          <w:sz w:val="18"/>
          <w:szCs w:val="18"/>
        </w:rPr>
        <w:t xml:space="preserve">The following table sets forth the number of shares of Company common stock beneficially owned as of March 27, 2023, except as otherwise noted, by (i) beneficial owners of </w:t>
      </w:r>
      <w:r>
        <w:rPr>
          <w:rFonts w:ascii="Arial" w:eastAsia="Arial" w:hAnsi="Arial" w:cs="Arial"/>
          <w:sz w:val="18"/>
          <w:szCs w:val="18"/>
        </w:rPr>
        <w:t>more than 5% of the outstanding shares of Company common stock, (ii) each of the Company’s named executive officers, (iii) each of the Company’s directors and director nominees and (iv) all of the Company’s directors and executive officers as a group.</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spacing w:line="257" w:lineRule="auto"/>
        <w:jc w:val="both"/>
        <w:rPr>
          <w:sz w:val="20"/>
          <w:szCs w:val="20"/>
        </w:rPr>
      </w:pPr>
      <w:r>
        <w:rPr>
          <w:rFonts w:ascii="Arial" w:eastAsia="Arial" w:hAnsi="Arial" w:cs="Arial"/>
          <w:sz w:val="19"/>
          <w:szCs w:val="19"/>
        </w:rPr>
        <w:t>In accordance with SEC rules, beneficial ownership includes all shares the stockholder actually owns beneficially or of record, all shares over which the stockholder has or shares voting or dispositive control and all shares the stockholder has the right t</w:t>
      </w:r>
      <w:r>
        <w:rPr>
          <w:rFonts w:ascii="Arial" w:eastAsia="Arial" w:hAnsi="Arial" w:cs="Arial"/>
          <w:sz w:val="19"/>
          <w:szCs w:val="19"/>
        </w:rPr>
        <w:t>o acquire within 60 days of March 27, 2023. Except as indicated in the footnotes to the table, the Company believes that the persons named in the table have sole voting and investment power with respect to all shares owned beneficially by them.</w:t>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153"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80"/>
        <w:gridCol w:w="20"/>
        <w:gridCol w:w="5680"/>
        <w:gridCol w:w="3360"/>
        <w:gridCol w:w="1400"/>
        <w:gridCol w:w="20"/>
        <w:gridCol w:w="160"/>
        <w:gridCol w:w="20"/>
      </w:tblGrid>
      <w:tr w:rsidR="00A621E3">
        <w:trPr>
          <w:trHeight w:val="162"/>
        </w:trPr>
        <w:tc>
          <w:tcPr>
            <w:tcW w:w="380" w:type="dxa"/>
            <w:tcBorders>
              <w:top w:val="single" w:sz="8" w:space="0" w:color="CF0A2C"/>
            </w:tcBorders>
            <w:shd w:val="clear" w:color="auto" w:fill="FAE6E9"/>
            <w:vAlign w:val="bottom"/>
          </w:tcPr>
          <w:p w:rsidR="00A621E3" w:rsidRDefault="00A621E3">
            <w:pPr>
              <w:rPr>
                <w:sz w:val="14"/>
                <w:szCs w:val="14"/>
              </w:rPr>
            </w:pPr>
          </w:p>
        </w:tc>
        <w:tc>
          <w:tcPr>
            <w:tcW w:w="20" w:type="dxa"/>
            <w:tcBorders>
              <w:top w:val="single" w:sz="8" w:space="0" w:color="CF0A2C"/>
            </w:tcBorders>
            <w:shd w:val="clear" w:color="auto" w:fill="FAE6E9"/>
            <w:vAlign w:val="bottom"/>
          </w:tcPr>
          <w:p w:rsidR="00A621E3" w:rsidRDefault="00A621E3">
            <w:pPr>
              <w:rPr>
                <w:sz w:val="14"/>
                <w:szCs w:val="14"/>
              </w:rPr>
            </w:pPr>
          </w:p>
        </w:tc>
        <w:tc>
          <w:tcPr>
            <w:tcW w:w="5680" w:type="dxa"/>
            <w:tcBorders>
              <w:top w:val="single" w:sz="8" w:space="0" w:color="CF0A2C"/>
            </w:tcBorders>
            <w:shd w:val="clear" w:color="auto" w:fill="FAE6E9"/>
            <w:vAlign w:val="bottom"/>
          </w:tcPr>
          <w:p w:rsidR="00A621E3" w:rsidRDefault="00A621E3">
            <w:pPr>
              <w:rPr>
                <w:sz w:val="14"/>
                <w:szCs w:val="14"/>
              </w:rPr>
            </w:pPr>
          </w:p>
        </w:tc>
        <w:tc>
          <w:tcPr>
            <w:tcW w:w="3360" w:type="dxa"/>
            <w:tcBorders>
              <w:top w:val="single" w:sz="8" w:space="0" w:color="CF0A2C"/>
            </w:tcBorders>
            <w:shd w:val="clear" w:color="auto" w:fill="FAE6E9"/>
            <w:vAlign w:val="bottom"/>
          </w:tcPr>
          <w:p w:rsidR="00A621E3" w:rsidRDefault="00EC630E">
            <w:pPr>
              <w:ind w:right="634"/>
              <w:jc w:val="right"/>
              <w:rPr>
                <w:sz w:val="20"/>
                <w:szCs w:val="20"/>
              </w:rPr>
            </w:pPr>
            <w:r>
              <w:rPr>
                <w:rFonts w:ascii="Arial" w:eastAsia="Arial" w:hAnsi="Arial" w:cs="Arial"/>
                <w:b/>
                <w:bCs/>
                <w:color w:val="CF0A2C"/>
                <w:sz w:val="14"/>
                <w:szCs w:val="14"/>
              </w:rPr>
              <w:t>Number of Shares</w:t>
            </w:r>
          </w:p>
        </w:tc>
        <w:tc>
          <w:tcPr>
            <w:tcW w:w="1580" w:type="dxa"/>
            <w:gridSpan w:val="3"/>
            <w:tcBorders>
              <w:top w:val="single" w:sz="8" w:space="0" w:color="CF0A2C"/>
            </w:tcBorders>
            <w:shd w:val="clear" w:color="auto" w:fill="FAE6E9"/>
            <w:vAlign w:val="bottom"/>
          </w:tcPr>
          <w:p w:rsidR="00A621E3" w:rsidRDefault="00EC630E">
            <w:pPr>
              <w:ind w:right="320"/>
              <w:jc w:val="right"/>
              <w:rPr>
                <w:sz w:val="20"/>
                <w:szCs w:val="20"/>
              </w:rPr>
            </w:pPr>
            <w:r>
              <w:rPr>
                <w:rFonts w:ascii="Arial" w:eastAsia="Arial" w:hAnsi="Arial" w:cs="Arial"/>
                <w:b/>
                <w:bCs/>
                <w:color w:val="CF0A2C"/>
                <w:sz w:val="14"/>
                <w:szCs w:val="14"/>
              </w:rPr>
              <w:t>Percent of</w:t>
            </w:r>
          </w:p>
        </w:tc>
        <w:tc>
          <w:tcPr>
            <w:tcW w:w="0" w:type="dxa"/>
            <w:vAlign w:val="bottom"/>
          </w:tcPr>
          <w:p w:rsidR="00A621E3" w:rsidRDefault="00A621E3">
            <w:pPr>
              <w:rPr>
                <w:sz w:val="1"/>
                <w:szCs w:val="1"/>
              </w:rPr>
            </w:pPr>
          </w:p>
        </w:tc>
      </w:tr>
      <w:tr w:rsidR="00A621E3">
        <w:trPr>
          <w:trHeight w:val="189"/>
        </w:trPr>
        <w:tc>
          <w:tcPr>
            <w:tcW w:w="6080" w:type="dxa"/>
            <w:gridSpan w:val="3"/>
            <w:tcBorders>
              <w:bottom w:val="single" w:sz="8" w:space="0" w:color="CF0A2C"/>
            </w:tcBorders>
            <w:shd w:val="clear" w:color="auto" w:fill="FAE6E9"/>
            <w:vAlign w:val="bottom"/>
          </w:tcPr>
          <w:p w:rsidR="00A621E3" w:rsidRDefault="00EC630E">
            <w:pPr>
              <w:rPr>
                <w:sz w:val="20"/>
                <w:szCs w:val="20"/>
              </w:rPr>
            </w:pPr>
            <w:r>
              <w:rPr>
                <w:rFonts w:ascii="Arial" w:eastAsia="Arial" w:hAnsi="Arial" w:cs="Arial"/>
                <w:b/>
                <w:bCs/>
                <w:color w:val="CF0A2C"/>
                <w:sz w:val="14"/>
                <w:szCs w:val="14"/>
              </w:rPr>
              <w:t>Name of Beneficial Owner</w:t>
            </w:r>
          </w:p>
        </w:tc>
        <w:tc>
          <w:tcPr>
            <w:tcW w:w="3360" w:type="dxa"/>
            <w:tcBorders>
              <w:bottom w:val="single" w:sz="8" w:space="0" w:color="CF0A2C"/>
            </w:tcBorders>
            <w:shd w:val="clear" w:color="auto" w:fill="FAE6E9"/>
            <w:vAlign w:val="bottom"/>
          </w:tcPr>
          <w:p w:rsidR="00A621E3" w:rsidRDefault="00EC630E">
            <w:pPr>
              <w:ind w:right="634"/>
              <w:jc w:val="right"/>
              <w:rPr>
                <w:sz w:val="20"/>
                <w:szCs w:val="20"/>
              </w:rPr>
            </w:pPr>
            <w:r>
              <w:rPr>
                <w:rFonts w:ascii="Arial" w:eastAsia="Arial" w:hAnsi="Arial" w:cs="Arial"/>
                <w:b/>
                <w:bCs/>
                <w:color w:val="CF0A2C"/>
                <w:sz w:val="14"/>
                <w:szCs w:val="14"/>
              </w:rPr>
              <w:t>Beneficially Owned</w:t>
            </w:r>
          </w:p>
        </w:tc>
        <w:tc>
          <w:tcPr>
            <w:tcW w:w="1580" w:type="dxa"/>
            <w:gridSpan w:val="3"/>
            <w:tcBorders>
              <w:bottom w:val="single" w:sz="8" w:space="0" w:color="CF0A2C"/>
            </w:tcBorders>
            <w:shd w:val="clear" w:color="auto" w:fill="FAE6E9"/>
            <w:vAlign w:val="bottom"/>
          </w:tcPr>
          <w:p w:rsidR="00A621E3" w:rsidRDefault="00EC630E">
            <w:pPr>
              <w:spacing w:line="189" w:lineRule="exact"/>
              <w:ind w:right="320"/>
              <w:jc w:val="right"/>
              <w:rPr>
                <w:sz w:val="20"/>
                <w:szCs w:val="20"/>
              </w:rPr>
            </w:pPr>
            <w:r>
              <w:rPr>
                <w:rFonts w:ascii="Arial" w:eastAsia="Arial" w:hAnsi="Arial" w:cs="Arial"/>
                <w:b/>
                <w:bCs/>
                <w:color w:val="CF0A2C"/>
                <w:sz w:val="14"/>
                <w:szCs w:val="14"/>
              </w:rPr>
              <w:t>Shares</w:t>
            </w:r>
            <w:r>
              <w:rPr>
                <w:rFonts w:ascii="Arial" w:eastAsia="Arial" w:hAnsi="Arial" w:cs="Arial"/>
                <w:b/>
                <w:bCs/>
                <w:color w:val="CF0A2C"/>
                <w:sz w:val="21"/>
                <w:szCs w:val="21"/>
                <w:vertAlign w:val="superscript"/>
              </w:rPr>
              <w:t>(1)</w:t>
            </w:r>
          </w:p>
        </w:tc>
        <w:tc>
          <w:tcPr>
            <w:tcW w:w="0" w:type="dxa"/>
            <w:vAlign w:val="bottom"/>
          </w:tcPr>
          <w:p w:rsidR="00A621E3" w:rsidRDefault="00A621E3">
            <w:pPr>
              <w:rPr>
                <w:sz w:val="1"/>
                <w:szCs w:val="1"/>
              </w:rPr>
            </w:pPr>
          </w:p>
        </w:tc>
      </w:tr>
      <w:tr w:rsidR="00A621E3">
        <w:trPr>
          <w:trHeight w:val="183"/>
        </w:trPr>
        <w:tc>
          <w:tcPr>
            <w:tcW w:w="6080" w:type="dxa"/>
            <w:gridSpan w:val="3"/>
            <w:vAlign w:val="bottom"/>
          </w:tcPr>
          <w:p w:rsidR="00A621E3" w:rsidRDefault="00EC630E">
            <w:pPr>
              <w:rPr>
                <w:sz w:val="20"/>
                <w:szCs w:val="20"/>
              </w:rPr>
            </w:pPr>
            <w:r>
              <w:rPr>
                <w:rFonts w:ascii="Arial" w:eastAsia="Arial" w:hAnsi="Arial" w:cs="Arial"/>
                <w:b/>
                <w:bCs/>
                <w:i/>
                <w:iCs/>
                <w:color w:val="CF0A2C"/>
                <w:sz w:val="14"/>
                <w:szCs w:val="14"/>
              </w:rPr>
              <w:t>More Than 5% Owners</w:t>
            </w:r>
          </w:p>
        </w:tc>
        <w:tc>
          <w:tcPr>
            <w:tcW w:w="3360" w:type="dxa"/>
            <w:vAlign w:val="bottom"/>
          </w:tcPr>
          <w:p w:rsidR="00A621E3" w:rsidRDefault="00A621E3">
            <w:pPr>
              <w:rPr>
                <w:sz w:val="15"/>
                <w:szCs w:val="15"/>
              </w:rPr>
            </w:pPr>
          </w:p>
        </w:tc>
        <w:tc>
          <w:tcPr>
            <w:tcW w:w="1400" w:type="dxa"/>
            <w:vAlign w:val="bottom"/>
          </w:tcPr>
          <w:p w:rsidR="00A621E3" w:rsidRDefault="00A621E3">
            <w:pPr>
              <w:rPr>
                <w:sz w:val="15"/>
                <w:szCs w:val="15"/>
              </w:rPr>
            </w:pPr>
          </w:p>
        </w:tc>
        <w:tc>
          <w:tcPr>
            <w:tcW w:w="20" w:type="dxa"/>
            <w:vAlign w:val="bottom"/>
          </w:tcPr>
          <w:p w:rsidR="00A621E3" w:rsidRDefault="00A621E3">
            <w:pPr>
              <w:rPr>
                <w:sz w:val="15"/>
                <w:szCs w:val="15"/>
              </w:rPr>
            </w:pPr>
          </w:p>
        </w:tc>
        <w:tc>
          <w:tcPr>
            <w:tcW w:w="160" w:type="dxa"/>
            <w:vAlign w:val="bottom"/>
          </w:tcPr>
          <w:p w:rsidR="00A621E3" w:rsidRDefault="00A621E3">
            <w:pPr>
              <w:rPr>
                <w:sz w:val="15"/>
                <w:szCs w:val="15"/>
              </w:rPr>
            </w:pPr>
          </w:p>
        </w:tc>
        <w:tc>
          <w:tcPr>
            <w:tcW w:w="0" w:type="dxa"/>
            <w:vAlign w:val="bottom"/>
          </w:tcPr>
          <w:p w:rsidR="00A621E3" w:rsidRDefault="00A621E3">
            <w:pPr>
              <w:rPr>
                <w:sz w:val="1"/>
                <w:szCs w:val="1"/>
              </w:rPr>
            </w:pPr>
          </w:p>
        </w:tc>
      </w:tr>
      <w:tr w:rsidR="00A621E3">
        <w:trPr>
          <w:trHeight w:val="175"/>
        </w:trPr>
        <w:tc>
          <w:tcPr>
            <w:tcW w:w="6080" w:type="dxa"/>
            <w:gridSpan w:val="3"/>
            <w:vAlign w:val="bottom"/>
          </w:tcPr>
          <w:p w:rsidR="00A621E3" w:rsidRDefault="00EC630E">
            <w:pPr>
              <w:rPr>
                <w:sz w:val="20"/>
                <w:szCs w:val="20"/>
              </w:rPr>
            </w:pPr>
            <w:r>
              <w:rPr>
                <w:rFonts w:ascii="Arial" w:eastAsia="Arial" w:hAnsi="Arial" w:cs="Arial"/>
                <w:b/>
                <w:bCs/>
                <w:color w:val="CF0A2C"/>
                <w:sz w:val="14"/>
                <w:szCs w:val="14"/>
              </w:rPr>
              <w:t>Invesco Ltd.</w:t>
            </w:r>
          </w:p>
        </w:tc>
        <w:tc>
          <w:tcPr>
            <w:tcW w:w="3360" w:type="dxa"/>
            <w:vAlign w:val="bottom"/>
          </w:tcPr>
          <w:p w:rsidR="00A621E3" w:rsidRDefault="00EC630E">
            <w:pPr>
              <w:spacing w:line="175" w:lineRule="exact"/>
              <w:ind w:right="514"/>
              <w:jc w:val="right"/>
              <w:rPr>
                <w:sz w:val="20"/>
                <w:szCs w:val="20"/>
              </w:rPr>
            </w:pPr>
            <w:r>
              <w:rPr>
                <w:rFonts w:ascii="Arial" w:eastAsia="Arial" w:hAnsi="Arial" w:cs="Arial"/>
                <w:sz w:val="13"/>
                <w:szCs w:val="13"/>
              </w:rPr>
              <w:t>39,956,938</w:t>
            </w:r>
            <w:r>
              <w:rPr>
                <w:rFonts w:ascii="Arial" w:eastAsia="Arial" w:hAnsi="Arial" w:cs="Arial"/>
                <w:sz w:val="20"/>
                <w:szCs w:val="20"/>
                <w:vertAlign w:val="superscript"/>
              </w:rPr>
              <w:t>(2)</w:t>
            </w:r>
          </w:p>
        </w:tc>
        <w:tc>
          <w:tcPr>
            <w:tcW w:w="1580" w:type="dxa"/>
            <w:gridSpan w:val="3"/>
            <w:vAlign w:val="bottom"/>
          </w:tcPr>
          <w:p w:rsidR="00A621E3" w:rsidRDefault="00EC630E">
            <w:pPr>
              <w:ind w:right="40"/>
              <w:jc w:val="right"/>
              <w:rPr>
                <w:sz w:val="20"/>
                <w:szCs w:val="20"/>
              </w:rPr>
            </w:pPr>
            <w:r>
              <w:rPr>
                <w:rFonts w:ascii="Arial" w:eastAsia="Arial" w:hAnsi="Arial" w:cs="Arial"/>
                <w:sz w:val="13"/>
                <w:szCs w:val="13"/>
              </w:rPr>
              <w:t>9.6%</w:t>
            </w:r>
          </w:p>
        </w:tc>
        <w:tc>
          <w:tcPr>
            <w:tcW w:w="0" w:type="dxa"/>
            <w:vAlign w:val="bottom"/>
          </w:tcPr>
          <w:p w:rsidR="00A621E3" w:rsidRDefault="00A621E3">
            <w:pPr>
              <w:rPr>
                <w:sz w:val="1"/>
                <w:szCs w:val="1"/>
              </w:rPr>
            </w:pPr>
          </w:p>
        </w:tc>
      </w:tr>
      <w:tr w:rsidR="00A621E3">
        <w:trPr>
          <w:trHeight w:val="148"/>
        </w:trPr>
        <w:tc>
          <w:tcPr>
            <w:tcW w:w="6080" w:type="dxa"/>
            <w:gridSpan w:val="3"/>
            <w:vAlign w:val="bottom"/>
          </w:tcPr>
          <w:p w:rsidR="00A621E3" w:rsidRDefault="00EC630E">
            <w:pPr>
              <w:ind w:left="240"/>
              <w:rPr>
                <w:sz w:val="20"/>
                <w:szCs w:val="20"/>
              </w:rPr>
            </w:pPr>
            <w:r>
              <w:rPr>
                <w:rFonts w:ascii="Arial" w:eastAsia="Arial" w:hAnsi="Arial" w:cs="Arial"/>
                <w:sz w:val="13"/>
                <w:szCs w:val="13"/>
              </w:rPr>
              <w:t>1555 Peachtree Street NE, Suite 1800</w:t>
            </w:r>
          </w:p>
        </w:tc>
        <w:tc>
          <w:tcPr>
            <w:tcW w:w="3360" w:type="dxa"/>
            <w:vAlign w:val="bottom"/>
          </w:tcPr>
          <w:p w:rsidR="00A621E3" w:rsidRDefault="00A621E3">
            <w:pPr>
              <w:rPr>
                <w:sz w:val="12"/>
                <w:szCs w:val="12"/>
              </w:rPr>
            </w:pPr>
          </w:p>
        </w:tc>
        <w:tc>
          <w:tcPr>
            <w:tcW w:w="1400" w:type="dxa"/>
            <w:vAlign w:val="bottom"/>
          </w:tcPr>
          <w:p w:rsidR="00A621E3" w:rsidRDefault="00A621E3">
            <w:pPr>
              <w:rPr>
                <w:sz w:val="12"/>
                <w:szCs w:val="12"/>
              </w:rPr>
            </w:pPr>
          </w:p>
        </w:tc>
        <w:tc>
          <w:tcPr>
            <w:tcW w:w="20" w:type="dxa"/>
            <w:vAlign w:val="bottom"/>
          </w:tcPr>
          <w:p w:rsidR="00A621E3" w:rsidRDefault="00A621E3">
            <w:pPr>
              <w:rPr>
                <w:sz w:val="12"/>
                <w:szCs w:val="12"/>
              </w:rPr>
            </w:pPr>
          </w:p>
        </w:tc>
        <w:tc>
          <w:tcPr>
            <w:tcW w:w="160" w:type="dxa"/>
            <w:vAlign w:val="bottom"/>
          </w:tcPr>
          <w:p w:rsidR="00A621E3" w:rsidRDefault="00A621E3">
            <w:pPr>
              <w:rPr>
                <w:sz w:val="12"/>
                <w:szCs w:val="12"/>
              </w:rPr>
            </w:pPr>
          </w:p>
        </w:tc>
        <w:tc>
          <w:tcPr>
            <w:tcW w:w="0" w:type="dxa"/>
            <w:vAlign w:val="bottom"/>
          </w:tcPr>
          <w:p w:rsidR="00A621E3" w:rsidRDefault="00A621E3">
            <w:pPr>
              <w:rPr>
                <w:sz w:val="1"/>
                <w:szCs w:val="1"/>
              </w:rPr>
            </w:pPr>
          </w:p>
        </w:tc>
      </w:tr>
      <w:tr w:rsidR="00A621E3">
        <w:trPr>
          <w:trHeight w:val="162"/>
        </w:trPr>
        <w:tc>
          <w:tcPr>
            <w:tcW w:w="6080" w:type="dxa"/>
            <w:gridSpan w:val="3"/>
            <w:vAlign w:val="bottom"/>
          </w:tcPr>
          <w:p w:rsidR="00A621E3" w:rsidRDefault="00EC630E">
            <w:pPr>
              <w:ind w:left="240"/>
              <w:rPr>
                <w:sz w:val="20"/>
                <w:szCs w:val="20"/>
              </w:rPr>
            </w:pPr>
            <w:r>
              <w:rPr>
                <w:rFonts w:ascii="Arial" w:eastAsia="Arial" w:hAnsi="Arial" w:cs="Arial"/>
                <w:sz w:val="13"/>
                <w:szCs w:val="13"/>
              </w:rPr>
              <w:t>Atlanta, GA 30309</w:t>
            </w:r>
          </w:p>
        </w:tc>
        <w:tc>
          <w:tcPr>
            <w:tcW w:w="3360" w:type="dxa"/>
            <w:vAlign w:val="bottom"/>
          </w:tcPr>
          <w:p w:rsidR="00A621E3" w:rsidRDefault="00A621E3">
            <w:pPr>
              <w:rPr>
                <w:sz w:val="14"/>
                <w:szCs w:val="14"/>
              </w:rPr>
            </w:pPr>
          </w:p>
        </w:tc>
        <w:tc>
          <w:tcPr>
            <w:tcW w:w="1400" w:type="dxa"/>
            <w:vAlign w:val="bottom"/>
          </w:tcPr>
          <w:p w:rsidR="00A621E3" w:rsidRDefault="00A621E3">
            <w:pPr>
              <w:rPr>
                <w:sz w:val="14"/>
                <w:szCs w:val="14"/>
              </w:rPr>
            </w:pPr>
          </w:p>
        </w:tc>
        <w:tc>
          <w:tcPr>
            <w:tcW w:w="20" w:type="dxa"/>
            <w:vAlign w:val="bottom"/>
          </w:tcPr>
          <w:p w:rsidR="00A621E3" w:rsidRDefault="00A621E3">
            <w:pPr>
              <w:rPr>
                <w:sz w:val="14"/>
                <w:szCs w:val="14"/>
              </w:rPr>
            </w:pPr>
          </w:p>
        </w:tc>
        <w:tc>
          <w:tcPr>
            <w:tcW w:w="16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75"/>
        </w:trPr>
        <w:tc>
          <w:tcPr>
            <w:tcW w:w="6080" w:type="dxa"/>
            <w:gridSpan w:val="3"/>
            <w:vAlign w:val="bottom"/>
          </w:tcPr>
          <w:p w:rsidR="00A621E3" w:rsidRDefault="00EC630E">
            <w:pPr>
              <w:rPr>
                <w:sz w:val="20"/>
                <w:szCs w:val="20"/>
              </w:rPr>
            </w:pPr>
            <w:r>
              <w:rPr>
                <w:rFonts w:ascii="Arial" w:eastAsia="Arial" w:hAnsi="Arial" w:cs="Arial"/>
                <w:b/>
                <w:bCs/>
                <w:color w:val="CF0A2C"/>
                <w:sz w:val="14"/>
                <w:szCs w:val="14"/>
              </w:rPr>
              <w:t>BlackRock, Inc.</w:t>
            </w:r>
          </w:p>
        </w:tc>
        <w:tc>
          <w:tcPr>
            <w:tcW w:w="3360" w:type="dxa"/>
            <w:vAlign w:val="bottom"/>
          </w:tcPr>
          <w:p w:rsidR="00A621E3" w:rsidRDefault="00EC630E">
            <w:pPr>
              <w:spacing w:line="175" w:lineRule="exact"/>
              <w:ind w:right="514"/>
              <w:jc w:val="right"/>
              <w:rPr>
                <w:sz w:val="20"/>
                <w:szCs w:val="20"/>
              </w:rPr>
            </w:pPr>
            <w:r>
              <w:rPr>
                <w:rFonts w:ascii="Arial" w:eastAsia="Arial" w:hAnsi="Arial" w:cs="Arial"/>
                <w:sz w:val="13"/>
                <w:szCs w:val="13"/>
              </w:rPr>
              <w:t>28,737,537</w:t>
            </w:r>
            <w:r>
              <w:rPr>
                <w:rFonts w:ascii="Arial" w:eastAsia="Arial" w:hAnsi="Arial" w:cs="Arial"/>
                <w:sz w:val="20"/>
                <w:szCs w:val="20"/>
                <w:vertAlign w:val="superscript"/>
              </w:rPr>
              <w:t>(3)</w:t>
            </w:r>
          </w:p>
        </w:tc>
        <w:tc>
          <w:tcPr>
            <w:tcW w:w="1580" w:type="dxa"/>
            <w:gridSpan w:val="3"/>
            <w:vAlign w:val="bottom"/>
          </w:tcPr>
          <w:p w:rsidR="00A621E3" w:rsidRDefault="00EC630E">
            <w:pPr>
              <w:ind w:right="40"/>
              <w:jc w:val="right"/>
              <w:rPr>
                <w:sz w:val="20"/>
                <w:szCs w:val="20"/>
              </w:rPr>
            </w:pPr>
            <w:r>
              <w:rPr>
                <w:rFonts w:ascii="Arial" w:eastAsia="Arial" w:hAnsi="Arial" w:cs="Arial"/>
                <w:sz w:val="13"/>
                <w:szCs w:val="13"/>
              </w:rPr>
              <w:t>6.9%</w:t>
            </w:r>
          </w:p>
        </w:tc>
        <w:tc>
          <w:tcPr>
            <w:tcW w:w="0" w:type="dxa"/>
            <w:vAlign w:val="bottom"/>
          </w:tcPr>
          <w:p w:rsidR="00A621E3" w:rsidRDefault="00A621E3">
            <w:pPr>
              <w:rPr>
                <w:sz w:val="1"/>
                <w:szCs w:val="1"/>
              </w:rPr>
            </w:pPr>
          </w:p>
        </w:tc>
      </w:tr>
      <w:tr w:rsidR="00A621E3">
        <w:trPr>
          <w:trHeight w:val="148"/>
        </w:trPr>
        <w:tc>
          <w:tcPr>
            <w:tcW w:w="6080" w:type="dxa"/>
            <w:gridSpan w:val="3"/>
            <w:vAlign w:val="bottom"/>
          </w:tcPr>
          <w:p w:rsidR="00A621E3" w:rsidRDefault="00EC630E">
            <w:pPr>
              <w:spacing w:line="149" w:lineRule="exact"/>
              <w:ind w:left="240"/>
              <w:rPr>
                <w:sz w:val="20"/>
                <w:szCs w:val="20"/>
              </w:rPr>
            </w:pPr>
            <w:r>
              <w:rPr>
                <w:rFonts w:ascii="Arial" w:eastAsia="Arial" w:hAnsi="Arial" w:cs="Arial"/>
                <w:sz w:val="12"/>
                <w:szCs w:val="12"/>
              </w:rPr>
              <w:t>55 East 52</w:t>
            </w:r>
            <w:r>
              <w:rPr>
                <w:rFonts w:ascii="Arial" w:eastAsia="Arial" w:hAnsi="Arial" w:cs="Arial"/>
                <w:sz w:val="17"/>
                <w:szCs w:val="17"/>
                <w:vertAlign w:val="superscript"/>
              </w:rPr>
              <w:t>nd</w:t>
            </w:r>
            <w:r>
              <w:rPr>
                <w:rFonts w:ascii="Arial" w:eastAsia="Arial" w:hAnsi="Arial" w:cs="Arial"/>
                <w:sz w:val="12"/>
                <w:szCs w:val="12"/>
              </w:rPr>
              <w:t xml:space="preserve"> Street</w:t>
            </w:r>
          </w:p>
        </w:tc>
        <w:tc>
          <w:tcPr>
            <w:tcW w:w="3360" w:type="dxa"/>
            <w:vAlign w:val="bottom"/>
          </w:tcPr>
          <w:p w:rsidR="00A621E3" w:rsidRDefault="00A621E3">
            <w:pPr>
              <w:rPr>
                <w:sz w:val="12"/>
                <w:szCs w:val="12"/>
              </w:rPr>
            </w:pPr>
          </w:p>
        </w:tc>
        <w:tc>
          <w:tcPr>
            <w:tcW w:w="1400" w:type="dxa"/>
            <w:vAlign w:val="bottom"/>
          </w:tcPr>
          <w:p w:rsidR="00A621E3" w:rsidRDefault="00A621E3">
            <w:pPr>
              <w:rPr>
                <w:sz w:val="12"/>
                <w:szCs w:val="12"/>
              </w:rPr>
            </w:pPr>
          </w:p>
        </w:tc>
        <w:tc>
          <w:tcPr>
            <w:tcW w:w="20" w:type="dxa"/>
            <w:vAlign w:val="bottom"/>
          </w:tcPr>
          <w:p w:rsidR="00A621E3" w:rsidRDefault="00A621E3">
            <w:pPr>
              <w:rPr>
                <w:sz w:val="12"/>
                <w:szCs w:val="12"/>
              </w:rPr>
            </w:pPr>
          </w:p>
        </w:tc>
        <w:tc>
          <w:tcPr>
            <w:tcW w:w="160" w:type="dxa"/>
            <w:vAlign w:val="bottom"/>
          </w:tcPr>
          <w:p w:rsidR="00A621E3" w:rsidRDefault="00A621E3">
            <w:pPr>
              <w:rPr>
                <w:sz w:val="12"/>
                <w:szCs w:val="12"/>
              </w:rPr>
            </w:pPr>
          </w:p>
        </w:tc>
        <w:tc>
          <w:tcPr>
            <w:tcW w:w="0" w:type="dxa"/>
            <w:vAlign w:val="bottom"/>
          </w:tcPr>
          <w:p w:rsidR="00A621E3" w:rsidRDefault="00A621E3">
            <w:pPr>
              <w:rPr>
                <w:sz w:val="1"/>
                <w:szCs w:val="1"/>
              </w:rPr>
            </w:pPr>
          </w:p>
        </w:tc>
      </w:tr>
      <w:tr w:rsidR="00A621E3">
        <w:trPr>
          <w:trHeight w:val="149"/>
        </w:trPr>
        <w:tc>
          <w:tcPr>
            <w:tcW w:w="6080" w:type="dxa"/>
            <w:gridSpan w:val="3"/>
            <w:tcBorders>
              <w:bottom w:val="single" w:sz="8" w:space="0" w:color="CF0A2C"/>
            </w:tcBorders>
            <w:vAlign w:val="bottom"/>
          </w:tcPr>
          <w:p w:rsidR="00A621E3" w:rsidRDefault="00EC630E">
            <w:pPr>
              <w:ind w:left="240"/>
              <w:rPr>
                <w:sz w:val="20"/>
                <w:szCs w:val="20"/>
              </w:rPr>
            </w:pPr>
            <w:r>
              <w:rPr>
                <w:rFonts w:ascii="Arial" w:eastAsia="Arial" w:hAnsi="Arial" w:cs="Arial"/>
                <w:sz w:val="13"/>
                <w:szCs w:val="13"/>
              </w:rPr>
              <w:t>New York, NY 10055</w:t>
            </w:r>
          </w:p>
        </w:tc>
        <w:tc>
          <w:tcPr>
            <w:tcW w:w="3360" w:type="dxa"/>
            <w:tcBorders>
              <w:bottom w:val="single" w:sz="8" w:space="0" w:color="CF0A2C"/>
            </w:tcBorders>
            <w:vAlign w:val="bottom"/>
          </w:tcPr>
          <w:p w:rsidR="00A621E3" w:rsidRDefault="00A621E3">
            <w:pPr>
              <w:rPr>
                <w:sz w:val="12"/>
                <w:szCs w:val="12"/>
              </w:rPr>
            </w:pPr>
          </w:p>
        </w:tc>
        <w:tc>
          <w:tcPr>
            <w:tcW w:w="1400" w:type="dxa"/>
            <w:tcBorders>
              <w:bottom w:val="single" w:sz="8" w:space="0" w:color="CF0A2C"/>
            </w:tcBorders>
            <w:vAlign w:val="bottom"/>
          </w:tcPr>
          <w:p w:rsidR="00A621E3" w:rsidRDefault="00A621E3">
            <w:pPr>
              <w:rPr>
                <w:sz w:val="12"/>
                <w:szCs w:val="12"/>
              </w:rPr>
            </w:pPr>
          </w:p>
        </w:tc>
        <w:tc>
          <w:tcPr>
            <w:tcW w:w="20" w:type="dxa"/>
            <w:vAlign w:val="bottom"/>
          </w:tcPr>
          <w:p w:rsidR="00A621E3" w:rsidRDefault="00A621E3">
            <w:pPr>
              <w:rPr>
                <w:sz w:val="12"/>
                <w:szCs w:val="12"/>
              </w:rPr>
            </w:pPr>
          </w:p>
        </w:tc>
        <w:tc>
          <w:tcPr>
            <w:tcW w:w="160" w:type="dxa"/>
            <w:vAlign w:val="bottom"/>
          </w:tcPr>
          <w:p w:rsidR="00A621E3" w:rsidRDefault="00A621E3">
            <w:pPr>
              <w:rPr>
                <w:sz w:val="12"/>
                <w:szCs w:val="12"/>
              </w:rPr>
            </w:pPr>
          </w:p>
        </w:tc>
        <w:tc>
          <w:tcPr>
            <w:tcW w:w="0" w:type="dxa"/>
            <w:vAlign w:val="bottom"/>
          </w:tcPr>
          <w:p w:rsidR="00A621E3" w:rsidRDefault="00A621E3">
            <w:pPr>
              <w:rPr>
                <w:sz w:val="1"/>
                <w:szCs w:val="1"/>
              </w:rPr>
            </w:pPr>
          </w:p>
        </w:tc>
      </w:tr>
      <w:tr w:rsidR="00A621E3">
        <w:trPr>
          <w:trHeight w:val="344"/>
        </w:trPr>
        <w:tc>
          <w:tcPr>
            <w:tcW w:w="6080" w:type="dxa"/>
            <w:gridSpan w:val="3"/>
            <w:vAlign w:val="bottom"/>
          </w:tcPr>
          <w:p w:rsidR="00A621E3" w:rsidRDefault="00EC630E">
            <w:pPr>
              <w:rPr>
                <w:sz w:val="20"/>
                <w:szCs w:val="20"/>
              </w:rPr>
            </w:pPr>
            <w:r>
              <w:rPr>
                <w:rFonts w:ascii="Arial" w:eastAsia="Arial" w:hAnsi="Arial" w:cs="Arial"/>
                <w:b/>
                <w:bCs/>
                <w:i/>
                <w:iCs/>
                <w:color w:val="CF0A2C"/>
                <w:sz w:val="14"/>
                <w:szCs w:val="14"/>
              </w:rPr>
              <w:t>Named Executive Officers</w:t>
            </w:r>
          </w:p>
        </w:tc>
        <w:tc>
          <w:tcPr>
            <w:tcW w:w="3360" w:type="dxa"/>
            <w:vAlign w:val="bottom"/>
          </w:tcPr>
          <w:p w:rsidR="00A621E3" w:rsidRDefault="00A621E3">
            <w:pPr>
              <w:rPr>
                <w:sz w:val="24"/>
                <w:szCs w:val="24"/>
              </w:rPr>
            </w:pPr>
          </w:p>
        </w:tc>
        <w:tc>
          <w:tcPr>
            <w:tcW w:w="1400" w:type="dxa"/>
            <w:vAlign w:val="bottom"/>
          </w:tcPr>
          <w:p w:rsidR="00A621E3" w:rsidRDefault="00A621E3">
            <w:pPr>
              <w:rPr>
                <w:sz w:val="24"/>
                <w:szCs w:val="24"/>
              </w:rPr>
            </w:pPr>
          </w:p>
        </w:tc>
        <w:tc>
          <w:tcPr>
            <w:tcW w:w="20" w:type="dxa"/>
            <w:vAlign w:val="bottom"/>
          </w:tcPr>
          <w:p w:rsidR="00A621E3" w:rsidRDefault="00A621E3">
            <w:pPr>
              <w:rPr>
                <w:sz w:val="24"/>
                <w:szCs w:val="24"/>
              </w:rPr>
            </w:pPr>
          </w:p>
        </w:tc>
        <w:tc>
          <w:tcPr>
            <w:tcW w:w="160" w:type="dxa"/>
            <w:vAlign w:val="bottom"/>
          </w:tcPr>
          <w:p w:rsidR="00A621E3" w:rsidRDefault="00A621E3">
            <w:pPr>
              <w:rPr>
                <w:sz w:val="24"/>
                <w:szCs w:val="24"/>
              </w:rPr>
            </w:pPr>
          </w:p>
        </w:tc>
        <w:tc>
          <w:tcPr>
            <w:tcW w:w="0" w:type="dxa"/>
            <w:vAlign w:val="bottom"/>
          </w:tcPr>
          <w:p w:rsidR="00A621E3" w:rsidRDefault="00A621E3">
            <w:pPr>
              <w:rPr>
                <w:sz w:val="1"/>
                <w:szCs w:val="1"/>
              </w:rPr>
            </w:pPr>
          </w:p>
        </w:tc>
      </w:tr>
      <w:tr w:rsidR="00A621E3">
        <w:trPr>
          <w:trHeight w:val="149"/>
        </w:trPr>
        <w:tc>
          <w:tcPr>
            <w:tcW w:w="6080" w:type="dxa"/>
            <w:gridSpan w:val="3"/>
            <w:vAlign w:val="bottom"/>
          </w:tcPr>
          <w:p w:rsidR="00A621E3" w:rsidRDefault="00EC630E">
            <w:pPr>
              <w:rPr>
                <w:sz w:val="20"/>
                <w:szCs w:val="20"/>
              </w:rPr>
            </w:pPr>
            <w:r>
              <w:rPr>
                <w:rFonts w:ascii="Arial" w:eastAsia="Arial" w:hAnsi="Arial" w:cs="Arial"/>
                <w:sz w:val="13"/>
                <w:szCs w:val="13"/>
              </w:rPr>
              <w:t>Joey Wat</w:t>
            </w:r>
          </w:p>
        </w:tc>
        <w:tc>
          <w:tcPr>
            <w:tcW w:w="3360" w:type="dxa"/>
            <w:vAlign w:val="bottom"/>
          </w:tcPr>
          <w:p w:rsidR="00A621E3" w:rsidRDefault="00EC630E">
            <w:pPr>
              <w:spacing w:line="149" w:lineRule="exact"/>
              <w:ind w:right="514"/>
              <w:jc w:val="right"/>
              <w:rPr>
                <w:sz w:val="20"/>
                <w:szCs w:val="20"/>
              </w:rPr>
            </w:pPr>
            <w:r>
              <w:rPr>
                <w:rFonts w:ascii="Arial" w:eastAsia="Arial" w:hAnsi="Arial" w:cs="Arial"/>
                <w:sz w:val="12"/>
                <w:szCs w:val="12"/>
              </w:rPr>
              <w:t>581,567</w:t>
            </w:r>
            <w:r>
              <w:rPr>
                <w:rFonts w:ascii="Arial" w:eastAsia="Arial" w:hAnsi="Arial" w:cs="Arial"/>
                <w:sz w:val="17"/>
                <w:szCs w:val="17"/>
                <w:vertAlign w:val="superscript"/>
              </w:rPr>
              <w:t>(4)</w:t>
            </w:r>
          </w:p>
        </w:tc>
        <w:tc>
          <w:tcPr>
            <w:tcW w:w="1420" w:type="dxa"/>
            <w:gridSpan w:val="2"/>
            <w:vAlign w:val="bottom"/>
          </w:tcPr>
          <w:p w:rsidR="00A621E3" w:rsidRDefault="00EC630E">
            <w:pPr>
              <w:jc w:val="right"/>
              <w:rPr>
                <w:sz w:val="20"/>
                <w:szCs w:val="20"/>
              </w:rPr>
            </w:pPr>
            <w:r>
              <w:rPr>
                <w:rFonts w:ascii="Arial" w:eastAsia="Arial" w:hAnsi="Arial" w:cs="Arial"/>
                <w:sz w:val="13"/>
                <w:szCs w:val="13"/>
              </w:rPr>
              <w:t>*</w:t>
            </w:r>
          </w:p>
        </w:tc>
        <w:tc>
          <w:tcPr>
            <w:tcW w:w="160" w:type="dxa"/>
            <w:vAlign w:val="bottom"/>
          </w:tcPr>
          <w:p w:rsidR="00A621E3" w:rsidRDefault="00A621E3">
            <w:pPr>
              <w:rPr>
                <w:sz w:val="12"/>
                <w:szCs w:val="12"/>
              </w:rPr>
            </w:pPr>
          </w:p>
        </w:tc>
        <w:tc>
          <w:tcPr>
            <w:tcW w:w="0" w:type="dxa"/>
            <w:vAlign w:val="bottom"/>
          </w:tcPr>
          <w:p w:rsidR="00A621E3" w:rsidRDefault="00A621E3">
            <w:pPr>
              <w:rPr>
                <w:sz w:val="1"/>
                <w:szCs w:val="1"/>
              </w:rPr>
            </w:pPr>
          </w:p>
        </w:tc>
      </w:tr>
      <w:tr w:rsidR="00A621E3">
        <w:trPr>
          <w:trHeight w:val="148"/>
        </w:trPr>
        <w:tc>
          <w:tcPr>
            <w:tcW w:w="6080" w:type="dxa"/>
            <w:gridSpan w:val="3"/>
            <w:vAlign w:val="bottom"/>
          </w:tcPr>
          <w:p w:rsidR="00A621E3" w:rsidRDefault="00EC630E">
            <w:pPr>
              <w:rPr>
                <w:sz w:val="20"/>
                <w:szCs w:val="20"/>
              </w:rPr>
            </w:pPr>
            <w:r>
              <w:rPr>
                <w:rFonts w:ascii="Arial" w:eastAsia="Arial" w:hAnsi="Arial" w:cs="Arial"/>
                <w:sz w:val="13"/>
                <w:szCs w:val="13"/>
              </w:rPr>
              <w:t>Andy Yeung</w:t>
            </w:r>
          </w:p>
        </w:tc>
        <w:tc>
          <w:tcPr>
            <w:tcW w:w="3360" w:type="dxa"/>
            <w:vAlign w:val="bottom"/>
          </w:tcPr>
          <w:p w:rsidR="00A621E3" w:rsidRDefault="00EC630E">
            <w:pPr>
              <w:spacing w:line="149" w:lineRule="exact"/>
              <w:ind w:right="514"/>
              <w:jc w:val="right"/>
              <w:rPr>
                <w:sz w:val="20"/>
                <w:szCs w:val="20"/>
              </w:rPr>
            </w:pPr>
            <w:r>
              <w:rPr>
                <w:rFonts w:ascii="Arial" w:eastAsia="Arial" w:hAnsi="Arial" w:cs="Arial"/>
                <w:sz w:val="12"/>
                <w:szCs w:val="12"/>
              </w:rPr>
              <w:t>37,891</w:t>
            </w:r>
            <w:r>
              <w:rPr>
                <w:rFonts w:ascii="Arial" w:eastAsia="Arial" w:hAnsi="Arial" w:cs="Arial"/>
                <w:sz w:val="17"/>
                <w:szCs w:val="17"/>
                <w:vertAlign w:val="superscript"/>
              </w:rPr>
              <w:t>(5)</w:t>
            </w:r>
          </w:p>
        </w:tc>
        <w:tc>
          <w:tcPr>
            <w:tcW w:w="1420" w:type="dxa"/>
            <w:gridSpan w:val="2"/>
            <w:vAlign w:val="bottom"/>
          </w:tcPr>
          <w:p w:rsidR="00A621E3" w:rsidRDefault="00EC630E">
            <w:pPr>
              <w:jc w:val="right"/>
              <w:rPr>
                <w:sz w:val="20"/>
                <w:szCs w:val="20"/>
              </w:rPr>
            </w:pPr>
            <w:r>
              <w:rPr>
                <w:rFonts w:ascii="Arial" w:eastAsia="Arial" w:hAnsi="Arial" w:cs="Arial"/>
                <w:sz w:val="13"/>
                <w:szCs w:val="13"/>
              </w:rPr>
              <w:t>*</w:t>
            </w:r>
          </w:p>
        </w:tc>
        <w:tc>
          <w:tcPr>
            <w:tcW w:w="160" w:type="dxa"/>
            <w:vAlign w:val="bottom"/>
          </w:tcPr>
          <w:p w:rsidR="00A621E3" w:rsidRDefault="00A621E3">
            <w:pPr>
              <w:rPr>
                <w:sz w:val="12"/>
                <w:szCs w:val="12"/>
              </w:rPr>
            </w:pPr>
          </w:p>
        </w:tc>
        <w:tc>
          <w:tcPr>
            <w:tcW w:w="0" w:type="dxa"/>
            <w:vAlign w:val="bottom"/>
          </w:tcPr>
          <w:p w:rsidR="00A621E3" w:rsidRDefault="00A621E3">
            <w:pPr>
              <w:rPr>
                <w:sz w:val="1"/>
                <w:szCs w:val="1"/>
              </w:rPr>
            </w:pPr>
          </w:p>
        </w:tc>
      </w:tr>
      <w:tr w:rsidR="00A621E3">
        <w:trPr>
          <w:trHeight w:val="148"/>
        </w:trPr>
        <w:tc>
          <w:tcPr>
            <w:tcW w:w="6080" w:type="dxa"/>
            <w:gridSpan w:val="3"/>
            <w:vAlign w:val="bottom"/>
          </w:tcPr>
          <w:p w:rsidR="00A621E3" w:rsidRDefault="00EC630E">
            <w:pPr>
              <w:rPr>
                <w:sz w:val="20"/>
                <w:szCs w:val="20"/>
              </w:rPr>
            </w:pPr>
            <w:r>
              <w:rPr>
                <w:rFonts w:ascii="Arial" w:eastAsia="Arial" w:hAnsi="Arial" w:cs="Arial"/>
                <w:sz w:val="13"/>
                <w:szCs w:val="13"/>
              </w:rPr>
              <w:t>Joseph Chan</w:t>
            </w:r>
          </w:p>
        </w:tc>
        <w:tc>
          <w:tcPr>
            <w:tcW w:w="3360" w:type="dxa"/>
            <w:vAlign w:val="bottom"/>
          </w:tcPr>
          <w:p w:rsidR="00A621E3" w:rsidRDefault="00EC630E">
            <w:pPr>
              <w:spacing w:line="149" w:lineRule="exact"/>
              <w:ind w:right="514"/>
              <w:jc w:val="right"/>
              <w:rPr>
                <w:sz w:val="20"/>
                <w:szCs w:val="20"/>
              </w:rPr>
            </w:pPr>
            <w:r>
              <w:rPr>
                <w:rFonts w:ascii="Arial" w:eastAsia="Arial" w:hAnsi="Arial" w:cs="Arial"/>
                <w:sz w:val="12"/>
                <w:szCs w:val="12"/>
              </w:rPr>
              <w:t>23,036</w:t>
            </w:r>
            <w:r>
              <w:rPr>
                <w:rFonts w:ascii="Arial" w:eastAsia="Arial" w:hAnsi="Arial" w:cs="Arial"/>
                <w:sz w:val="17"/>
                <w:szCs w:val="17"/>
                <w:vertAlign w:val="superscript"/>
              </w:rPr>
              <w:t>(6)</w:t>
            </w:r>
          </w:p>
        </w:tc>
        <w:tc>
          <w:tcPr>
            <w:tcW w:w="1420" w:type="dxa"/>
            <w:gridSpan w:val="2"/>
            <w:vAlign w:val="bottom"/>
          </w:tcPr>
          <w:p w:rsidR="00A621E3" w:rsidRDefault="00EC630E">
            <w:pPr>
              <w:jc w:val="right"/>
              <w:rPr>
                <w:sz w:val="20"/>
                <w:szCs w:val="20"/>
              </w:rPr>
            </w:pPr>
            <w:r>
              <w:rPr>
                <w:rFonts w:ascii="Arial" w:eastAsia="Arial" w:hAnsi="Arial" w:cs="Arial"/>
                <w:sz w:val="13"/>
                <w:szCs w:val="13"/>
              </w:rPr>
              <w:t>*</w:t>
            </w:r>
          </w:p>
        </w:tc>
        <w:tc>
          <w:tcPr>
            <w:tcW w:w="160" w:type="dxa"/>
            <w:vAlign w:val="bottom"/>
          </w:tcPr>
          <w:p w:rsidR="00A621E3" w:rsidRDefault="00A621E3">
            <w:pPr>
              <w:rPr>
                <w:sz w:val="12"/>
                <w:szCs w:val="12"/>
              </w:rPr>
            </w:pPr>
          </w:p>
        </w:tc>
        <w:tc>
          <w:tcPr>
            <w:tcW w:w="0" w:type="dxa"/>
            <w:vAlign w:val="bottom"/>
          </w:tcPr>
          <w:p w:rsidR="00A621E3" w:rsidRDefault="00A621E3">
            <w:pPr>
              <w:rPr>
                <w:sz w:val="1"/>
                <w:szCs w:val="1"/>
              </w:rPr>
            </w:pPr>
          </w:p>
        </w:tc>
      </w:tr>
      <w:tr w:rsidR="00A621E3">
        <w:trPr>
          <w:trHeight w:val="149"/>
        </w:trPr>
        <w:tc>
          <w:tcPr>
            <w:tcW w:w="6080" w:type="dxa"/>
            <w:gridSpan w:val="3"/>
            <w:vAlign w:val="bottom"/>
          </w:tcPr>
          <w:p w:rsidR="00A621E3" w:rsidRDefault="00EC630E">
            <w:pPr>
              <w:rPr>
                <w:sz w:val="20"/>
                <w:szCs w:val="20"/>
              </w:rPr>
            </w:pPr>
            <w:r>
              <w:rPr>
                <w:rFonts w:ascii="Arial" w:eastAsia="Arial" w:hAnsi="Arial" w:cs="Arial"/>
                <w:sz w:val="13"/>
                <w:szCs w:val="13"/>
              </w:rPr>
              <w:t>Johnson Huang</w:t>
            </w:r>
          </w:p>
        </w:tc>
        <w:tc>
          <w:tcPr>
            <w:tcW w:w="3360" w:type="dxa"/>
            <w:vAlign w:val="bottom"/>
          </w:tcPr>
          <w:p w:rsidR="00A621E3" w:rsidRDefault="00EC630E">
            <w:pPr>
              <w:spacing w:line="149" w:lineRule="exact"/>
              <w:ind w:right="514"/>
              <w:jc w:val="right"/>
              <w:rPr>
                <w:sz w:val="20"/>
                <w:szCs w:val="20"/>
              </w:rPr>
            </w:pPr>
            <w:r>
              <w:rPr>
                <w:rFonts w:ascii="Arial" w:eastAsia="Arial" w:hAnsi="Arial" w:cs="Arial"/>
                <w:sz w:val="12"/>
                <w:szCs w:val="12"/>
              </w:rPr>
              <w:t>136,756</w:t>
            </w:r>
            <w:r>
              <w:rPr>
                <w:rFonts w:ascii="Arial" w:eastAsia="Arial" w:hAnsi="Arial" w:cs="Arial"/>
                <w:sz w:val="17"/>
                <w:szCs w:val="17"/>
                <w:vertAlign w:val="superscript"/>
              </w:rPr>
              <w:t>(7)</w:t>
            </w:r>
          </w:p>
        </w:tc>
        <w:tc>
          <w:tcPr>
            <w:tcW w:w="1420" w:type="dxa"/>
            <w:gridSpan w:val="2"/>
            <w:vAlign w:val="bottom"/>
          </w:tcPr>
          <w:p w:rsidR="00A621E3" w:rsidRDefault="00EC630E">
            <w:pPr>
              <w:jc w:val="right"/>
              <w:rPr>
                <w:sz w:val="20"/>
                <w:szCs w:val="20"/>
              </w:rPr>
            </w:pPr>
            <w:r>
              <w:rPr>
                <w:rFonts w:ascii="Arial" w:eastAsia="Arial" w:hAnsi="Arial" w:cs="Arial"/>
                <w:sz w:val="13"/>
                <w:szCs w:val="13"/>
              </w:rPr>
              <w:t>*</w:t>
            </w:r>
          </w:p>
        </w:tc>
        <w:tc>
          <w:tcPr>
            <w:tcW w:w="160" w:type="dxa"/>
            <w:vAlign w:val="bottom"/>
          </w:tcPr>
          <w:p w:rsidR="00A621E3" w:rsidRDefault="00A621E3">
            <w:pPr>
              <w:rPr>
                <w:sz w:val="12"/>
                <w:szCs w:val="12"/>
              </w:rPr>
            </w:pPr>
          </w:p>
        </w:tc>
        <w:tc>
          <w:tcPr>
            <w:tcW w:w="0" w:type="dxa"/>
            <w:vAlign w:val="bottom"/>
          </w:tcPr>
          <w:p w:rsidR="00A621E3" w:rsidRDefault="00A621E3">
            <w:pPr>
              <w:rPr>
                <w:sz w:val="1"/>
                <w:szCs w:val="1"/>
              </w:rPr>
            </w:pPr>
          </w:p>
        </w:tc>
      </w:tr>
      <w:tr w:rsidR="00A621E3">
        <w:trPr>
          <w:trHeight w:val="149"/>
        </w:trPr>
        <w:tc>
          <w:tcPr>
            <w:tcW w:w="6080" w:type="dxa"/>
            <w:gridSpan w:val="3"/>
            <w:vAlign w:val="bottom"/>
          </w:tcPr>
          <w:p w:rsidR="00A621E3" w:rsidRDefault="00EC630E">
            <w:pPr>
              <w:rPr>
                <w:sz w:val="20"/>
                <w:szCs w:val="20"/>
              </w:rPr>
            </w:pPr>
            <w:r>
              <w:rPr>
                <w:rFonts w:ascii="Arial" w:eastAsia="Arial" w:hAnsi="Arial" w:cs="Arial"/>
                <w:sz w:val="13"/>
                <w:szCs w:val="13"/>
              </w:rPr>
              <w:t>Aiken Yuen</w:t>
            </w:r>
          </w:p>
        </w:tc>
        <w:tc>
          <w:tcPr>
            <w:tcW w:w="3360" w:type="dxa"/>
            <w:vAlign w:val="bottom"/>
          </w:tcPr>
          <w:p w:rsidR="00A621E3" w:rsidRDefault="00EC630E">
            <w:pPr>
              <w:spacing w:line="150" w:lineRule="exact"/>
              <w:ind w:right="514"/>
              <w:jc w:val="right"/>
              <w:rPr>
                <w:sz w:val="20"/>
                <w:szCs w:val="20"/>
              </w:rPr>
            </w:pPr>
            <w:r>
              <w:rPr>
                <w:rFonts w:ascii="Arial" w:eastAsia="Arial" w:hAnsi="Arial" w:cs="Arial"/>
                <w:sz w:val="12"/>
                <w:szCs w:val="12"/>
              </w:rPr>
              <w:t>48,160</w:t>
            </w:r>
            <w:r>
              <w:rPr>
                <w:rFonts w:ascii="Arial" w:eastAsia="Arial" w:hAnsi="Arial" w:cs="Arial"/>
                <w:sz w:val="17"/>
                <w:szCs w:val="17"/>
                <w:vertAlign w:val="superscript"/>
              </w:rPr>
              <w:t>(8)</w:t>
            </w:r>
          </w:p>
        </w:tc>
        <w:tc>
          <w:tcPr>
            <w:tcW w:w="1420" w:type="dxa"/>
            <w:gridSpan w:val="2"/>
            <w:vAlign w:val="bottom"/>
          </w:tcPr>
          <w:p w:rsidR="00A621E3" w:rsidRDefault="00EC630E">
            <w:pPr>
              <w:jc w:val="right"/>
              <w:rPr>
                <w:sz w:val="20"/>
                <w:szCs w:val="20"/>
              </w:rPr>
            </w:pPr>
            <w:r>
              <w:rPr>
                <w:rFonts w:ascii="Arial" w:eastAsia="Arial" w:hAnsi="Arial" w:cs="Arial"/>
                <w:sz w:val="13"/>
                <w:szCs w:val="13"/>
              </w:rPr>
              <w:t>*</w:t>
            </w:r>
          </w:p>
        </w:tc>
        <w:tc>
          <w:tcPr>
            <w:tcW w:w="160" w:type="dxa"/>
            <w:vAlign w:val="bottom"/>
          </w:tcPr>
          <w:p w:rsidR="00A621E3" w:rsidRDefault="00A621E3">
            <w:pPr>
              <w:rPr>
                <w:sz w:val="12"/>
                <w:szCs w:val="12"/>
              </w:rPr>
            </w:pPr>
          </w:p>
        </w:tc>
        <w:tc>
          <w:tcPr>
            <w:tcW w:w="0" w:type="dxa"/>
            <w:vAlign w:val="bottom"/>
          </w:tcPr>
          <w:p w:rsidR="00A621E3" w:rsidRDefault="00A621E3">
            <w:pPr>
              <w:rPr>
                <w:sz w:val="1"/>
                <w:szCs w:val="1"/>
              </w:rPr>
            </w:pPr>
          </w:p>
        </w:tc>
      </w:tr>
      <w:tr w:rsidR="00A621E3">
        <w:trPr>
          <w:trHeight w:val="360"/>
        </w:trPr>
        <w:tc>
          <w:tcPr>
            <w:tcW w:w="6080" w:type="dxa"/>
            <w:gridSpan w:val="3"/>
            <w:tcBorders>
              <w:top w:val="single" w:sz="8" w:space="0" w:color="CF0A2C"/>
            </w:tcBorders>
            <w:vAlign w:val="bottom"/>
          </w:tcPr>
          <w:p w:rsidR="00A621E3" w:rsidRDefault="00EC630E">
            <w:pPr>
              <w:rPr>
                <w:sz w:val="20"/>
                <w:szCs w:val="20"/>
              </w:rPr>
            </w:pPr>
            <w:r>
              <w:rPr>
                <w:rFonts w:ascii="Arial" w:eastAsia="Arial" w:hAnsi="Arial" w:cs="Arial"/>
                <w:b/>
                <w:bCs/>
                <w:i/>
                <w:iCs/>
                <w:color w:val="CF0A2C"/>
                <w:sz w:val="14"/>
                <w:szCs w:val="14"/>
              </w:rPr>
              <w:t>Non-Employee Directors</w:t>
            </w:r>
          </w:p>
        </w:tc>
        <w:tc>
          <w:tcPr>
            <w:tcW w:w="3360" w:type="dxa"/>
            <w:tcBorders>
              <w:top w:val="single" w:sz="8" w:space="0" w:color="CF0A2C"/>
            </w:tcBorders>
            <w:vAlign w:val="bottom"/>
          </w:tcPr>
          <w:p w:rsidR="00A621E3" w:rsidRDefault="00A621E3">
            <w:pPr>
              <w:rPr>
                <w:sz w:val="24"/>
                <w:szCs w:val="24"/>
              </w:rPr>
            </w:pPr>
          </w:p>
        </w:tc>
        <w:tc>
          <w:tcPr>
            <w:tcW w:w="1400" w:type="dxa"/>
            <w:tcBorders>
              <w:top w:val="single" w:sz="8" w:space="0" w:color="CF0A2C"/>
            </w:tcBorders>
            <w:vAlign w:val="bottom"/>
          </w:tcPr>
          <w:p w:rsidR="00A621E3" w:rsidRDefault="00A621E3">
            <w:pPr>
              <w:rPr>
                <w:sz w:val="24"/>
                <w:szCs w:val="24"/>
              </w:rPr>
            </w:pPr>
          </w:p>
        </w:tc>
        <w:tc>
          <w:tcPr>
            <w:tcW w:w="20" w:type="dxa"/>
            <w:vAlign w:val="bottom"/>
          </w:tcPr>
          <w:p w:rsidR="00A621E3" w:rsidRDefault="00A621E3">
            <w:pPr>
              <w:rPr>
                <w:sz w:val="24"/>
                <w:szCs w:val="24"/>
              </w:rPr>
            </w:pPr>
          </w:p>
        </w:tc>
        <w:tc>
          <w:tcPr>
            <w:tcW w:w="160" w:type="dxa"/>
            <w:vAlign w:val="bottom"/>
          </w:tcPr>
          <w:p w:rsidR="00A621E3" w:rsidRDefault="00A621E3">
            <w:pPr>
              <w:rPr>
                <w:sz w:val="24"/>
                <w:szCs w:val="24"/>
              </w:rPr>
            </w:pPr>
          </w:p>
        </w:tc>
        <w:tc>
          <w:tcPr>
            <w:tcW w:w="0" w:type="dxa"/>
            <w:vAlign w:val="bottom"/>
          </w:tcPr>
          <w:p w:rsidR="00A621E3" w:rsidRDefault="00A621E3">
            <w:pPr>
              <w:rPr>
                <w:sz w:val="1"/>
                <w:szCs w:val="1"/>
              </w:rPr>
            </w:pPr>
          </w:p>
        </w:tc>
      </w:tr>
      <w:tr w:rsidR="00A621E3">
        <w:trPr>
          <w:trHeight w:val="173"/>
        </w:trPr>
        <w:tc>
          <w:tcPr>
            <w:tcW w:w="6080" w:type="dxa"/>
            <w:gridSpan w:val="3"/>
            <w:vAlign w:val="bottom"/>
          </w:tcPr>
          <w:p w:rsidR="00A621E3" w:rsidRDefault="00EC630E">
            <w:pPr>
              <w:rPr>
                <w:sz w:val="20"/>
                <w:szCs w:val="20"/>
              </w:rPr>
            </w:pPr>
            <w:r>
              <w:rPr>
                <w:rFonts w:ascii="Arial" w:eastAsia="Arial" w:hAnsi="Arial" w:cs="Arial"/>
                <w:sz w:val="13"/>
                <w:szCs w:val="13"/>
              </w:rPr>
              <w:t>Peter A. Bassi</w:t>
            </w:r>
          </w:p>
        </w:tc>
        <w:tc>
          <w:tcPr>
            <w:tcW w:w="3360" w:type="dxa"/>
            <w:vAlign w:val="bottom"/>
          </w:tcPr>
          <w:p w:rsidR="00A621E3" w:rsidRDefault="00EC630E">
            <w:pPr>
              <w:ind w:right="634"/>
              <w:jc w:val="right"/>
              <w:rPr>
                <w:sz w:val="20"/>
                <w:szCs w:val="20"/>
              </w:rPr>
            </w:pPr>
            <w:r>
              <w:rPr>
                <w:rFonts w:ascii="Arial" w:eastAsia="Arial" w:hAnsi="Arial" w:cs="Arial"/>
                <w:sz w:val="13"/>
                <w:szCs w:val="13"/>
              </w:rPr>
              <w:t>63,764</w:t>
            </w:r>
          </w:p>
        </w:tc>
        <w:tc>
          <w:tcPr>
            <w:tcW w:w="1420" w:type="dxa"/>
            <w:gridSpan w:val="2"/>
            <w:vAlign w:val="bottom"/>
          </w:tcPr>
          <w:p w:rsidR="00A621E3" w:rsidRDefault="00EC630E">
            <w:pPr>
              <w:jc w:val="right"/>
              <w:rPr>
                <w:sz w:val="20"/>
                <w:szCs w:val="20"/>
              </w:rPr>
            </w:pPr>
            <w:r>
              <w:rPr>
                <w:rFonts w:ascii="Arial" w:eastAsia="Arial" w:hAnsi="Arial" w:cs="Arial"/>
                <w:sz w:val="13"/>
                <w:szCs w:val="13"/>
              </w:rPr>
              <w:t>*</w:t>
            </w:r>
          </w:p>
        </w:tc>
        <w:tc>
          <w:tcPr>
            <w:tcW w:w="160" w:type="dxa"/>
            <w:vAlign w:val="bottom"/>
          </w:tcPr>
          <w:p w:rsidR="00A621E3" w:rsidRDefault="00A621E3">
            <w:pPr>
              <w:rPr>
                <w:sz w:val="15"/>
                <w:szCs w:val="15"/>
              </w:rPr>
            </w:pPr>
          </w:p>
        </w:tc>
        <w:tc>
          <w:tcPr>
            <w:tcW w:w="0" w:type="dxa"/>
            <w:vAlign w:val="bottom"/>
          </w:tcPr>
          <w:p w:rsidR="00A621E3" w:rsidRDefault="00A621E3">
            <w:pPr>
              <w:rPr>
                <w:sz w:val="1"/>
                <w:szCs w:val="1"/>
              </w:rPr>
            </w:pPr>
          </w:p>
        </w:tc>
      </w:tr>
      <w:tr w:rsidR="00A621E3">
        <w:trPr>
          <w:trHeight w:val="175"/>
        </w:trPr>
        <w:tc>
          <w:tcPr>
            <w:tcW w:w="6080" w:type="dxa"/>
            <w:gridSpan w:val="3"/>
            <w:vAlign w:val="bottom"/>
          </w:tcPr>
          <w:p w:rsidR="00A621E3" w:rsidRDefault="00EC630E">
            <w:pPr>
              <w:rPr>
                <w:sz w:val="20"/>
                <w:szCs w:val="20"/>
              </w:rPr>
            </w:pPr>
            <w:r>
              <w:rPr>
                <w:rFonts w:ascii="Arial" w:eastAsia="Arial" w:hAnsi="Arial" w:cs="Arial"/>
                <w:sz w:val="13"/>
                <w:szCs w:val="13"/>
              </w:rPr>
              <w:t>Edouard Ettedgui</w:t>
            </w:r>
          </w:p>
        </w:tc>
        <w:tc>
          <w:tcPr>
            <w:tcW w:w="3360" w:type="dxa"/>
            <w:vAlign w:val="bottom"/>
          </w:tcPr>
          <w:p w:rsidR="00A621E3" w:rsidRDefault="00EC630E">
            <w:pPr>
              <w:ind w:right="634"/>
              <w:jc w:val="right"/>
              <w:rPr>
                <w:sz w:val="20"/>
                <w:szCs w:val="20"/>
              </w:rPr>
            </w:pPr>
            <w:r>
              <w:rPr>
                <w:rFonts w:ascii="Arial" w:eastAsia="Arial" w:hAnsi="Arial" w:cs="Arial"/>
                <w:sz w:val="13"/>
                <w:szCs w:val="13"/>
              </w:rPr>
              <w:t>38,223</w:t>
            </w:r>
          </w:p>
        </w:tc>
        <w:tc>
          <w:tcPr>
            <w:tcW w:w="1420" w:type="dxa"/>
            <w:gridSpan w:val="2"/>
            <w:vAlign w:val="bottom"/>
          </w:tcPr>
          <w:p w:rsidR="00A621E3" w:rsidRDefault="00EC630E">
            <w:pPr>
              <w:jc w:val="right"/>
              <w:rPr>
                <w:sz w:val="20"/>
                <w:szCs w:val="20"/>
              </w:rPr>
            </w:pPr>
            <w:r>
              <w:rPr>
                <w:rFonts w:ascii="Arial" w:eastAsia="Arial" w:hAnsi="Arial" w:cs="Arial"/>
                <w:sz w:val="13"/>
                <w:szCs w:val="13"/>
              </w:rPr>
              <w:t>*</w:t>
            </w:r>
          </w:p>
        </w:tc>
        <w:tc>
          <w:tcPr>
            <w:tcW w:w="160" w:type="dxa"/>
            <w:vAlign w:val="bottom"/>
          </w:tcPr>
          <w:p w:rsidR="00A621E3" w:rsidRDefault="00A621E3">
            <w:pPr>
              <w:rPr>
                <w:sz w:val="15"/>
                <w:szCs w:val="15"/>
              </w:rPr>
            </w:pPr>
          </w:p>
        </w:tc>
        <w:tc>
          <w:tcPr>
            <w:tcW w:w="0" w:type="dxa"/>
            <w:vAlign w:val="bottom"/>
          </w:tcPr>
          <w:p w:rsidR="00A621E3" w:rsidRDefault="00A621E3">
            <w:pPr>
              <w:rPr>
                <w:sz w:val="1"/>
                <w:szCs w:val="1"/>
              </w:rPr>
            </w:pPr>
          </w:p>
        </w:tc>
      </w:tr>
      <w:tr w:rsidR="00A621E3">
        <w:trPr>
          <w:trHeight w:val="176"/>
        </w:trPr>
        <w:tc>
          <w:tcPr>
            <w:tcW w:w="6080" w:type="dxa"/>
            <w:gridSpan w:val="3"/>
            <w:vAlign w:val="bottom"/>
          </w:tcPr>
          <w:p w:rsidR="00A621E3" w:rsidRDefault="00EC630E">
            <w:pPr>
              <w:rPr>
                <w:sz w:val="20"/>
                <w:szCs w:val="20"/>
              </w:rPr>
            </w:pPr>
            <w:r>
              <w:rPr>
                <w:rFonts w:ascii="Arial" w:eastAsia="Arial" w:hAnsi="Arial" w:cs="Arial"/>
                <w:sz w:val="13"/>
                <w:szCs w:val="13"/>
              </w:rPr>
              <w:t>Cyril Han</w:t>
            </w:r>
          </w:p>
        </w:tc>
        <w:tc>
          <w:tcPr>
            <w:tcW w:w="3360" w:type="dxa"/>
            <w:vAlign w:val="bottom"/>
          </w:tcPr>
          <w:p w:rsidR="00A621E3" w:rsidRDefault="00EC630E">
            <w:pPr>
              <w:ind w:right="634"/>
              <w:jc w:val="right"/>
              <w:rPr>
                <w:sz w:val="20"/>
                <w:szCs w:val="20"/>
              </w:rPr>
            </w:pPr>
            <w:r>
              <w:rPr>
                <w:rFonts w:ascii="Arial" w:eastAsia="Arial" w:hAnsi="Arial" w:cs="Arial"/>
                <w:sz w:val="13"/>
                <w:szCs w:val="13"/>
              </w:rPr>
              <w:t>22,526</w:t>
            </w:r>
          </w:p>
        </w:tc>
        <w:tc>
          <w:tcPr>
            <w:tcW w:w="1420" w:type="dxa"/>
            <w:gridSpan w:val="2"/>
            <w:vAlign w:val="bottom"/>
          </w:tcPr>
          <w:p w:rsidR="00A621E3" w:rsidRDefault="00EC630E">
            <w:pPr>
              <w:jc w:val="right"/>
              <w:rPr>
                <w:sz w:val="20"/>
                <w:szCs w:val="20"/>
              </w:rPr>
            </w:pPr>
            <w:r>
              <w:rPr>
                <w:rFonts w:ascii="Arial" w:eastAsia="Arial" w:hAnsi="Arial" w:cs="Arial"/>
                <w:sz w:val="13"/>
                <w:szCs w:val="13"/>
              </w:rPr>
              <w:t>*</w:t>
            </w:r>
          </w:p>
        </w:tc>
        <w:tc>
          <w:tcPr>
            <w:tcW w:w="160" w:type="dxa"/>
            <w:vAlign w:val="bottom"/>
          </w:tcPr>
          <w:p w:rsidR="00A621E3" w:rsidRDefault="00A621E3">
            <w:pPr>
              <w:rPr>
                <w:sz w:val="15"/>
                <w:szCs w:val="15"/>
              </w:rPr>
            </w:pPr>
          </w:p>
        </w:tc>
        <w:tc>
          <w:tcPr>
            <w:tcW w:w="0" w:type="dxa"/>
            <w:vAlign w:val="bottom"/>
          </w:tcPr>
          <w:p w:rsidR="00A621E3" w:rsidRDefault="00A621E3">
            <w:pPr>
              <w:rPr>
                <w:sz w:val="1"/>
                <w:szCs w:val="1"/>
              </w:rPr>
            </w:pPr>
          </w:p>
        </w:tc>
      </w:tr>
      <w:tr w:rsidR="00A621E3">
        <w:trPr>
          <w:trHeight w:val="175"/>
        </w:trPr>
        <w:tc>
          <w:tcPr>
            <w:tcW w:w="6080" w:type="dxa"/>
            <w:gridSpan w:val="3"/>
            <w:vAlign w:val="bottom"/>
          </w:tcPr>
          <w:p w:rsidR="00A621E3" w:rsidRDefault="00EC630E">
            <w:pPr>
              <w:rPr>
                <w:sz w:val="20"/>
                <w:szCs w:val="20"/>
              </w:rPr>
            </w:pPr>
            <w:r>
              <w:rPr>
                <w:rFonts w:ascii="Arial" w:eastAsia="Arial" w:hAnsi="Arial" w:cs="Arial"/>
                <w:sz w:val="13"/>
                <w:szCs w:val="13"/>
              </w:rPr>
              <w:t>Louis T. Hsieh</w:t>
            </w:r>
          </w:p>
        </w:tc>
        <w:tc>
          <w:tcPr>
            <w:tcW w:w="3360" w:type="dxa"/>
            <w:vAlign w:val="bottom"/>
          </w:tcPr>
          <w:p w:rsidR="00A621E3" w:rsidRDefault="00EC630E">
            <w:pPr>
              <w:ind w:right="634"/>
              <w:jc w:val="right"/>
              <w:rPr>
                <w:sz w:val="20"/>
                <w:szCs w:val="20"/>
              </w:rPr>
            </w:pPr>
            <w:r>
              <w:rPr>
                <w:rFonts w:ascii="Arial" w:eastAsia="Arial" w:hAnsi="Arial" w:cs="Arial"/>
                <w:sz w:val="13"/>
                <w:szCs w:val="13"/>
              </w:rPr>
              <w:t>64,739</w:t>
            </w:r>
          </w:p>
        </w:tc>
        <w:tc>
          <w:tcPr>
            <w:tcW w:w="1420" w:type="dxa"/>
            <w:gridSpan w:val="2"/>
            <w:vAlign w:val="bottom"/>
          </w:tcPr>
          <w:p w:rsidR="00A621E3" w:rsidRDefault="00EC630E">
            <w:pPr>
              <w:jc w:val="right"/>
              <w:rPr>
                <w:sz w:val="20"/>
                <w:szCs w:val="20"/>
              </w:rPr>
            </w:pPr>
            <w:r>
              <w:rPr>
                <w:rFonts w:ascii="Arial" w:eastAsia="Arial" w:hAnsi="Arial" w:cs="Arial"/>
                <w:sz w:val="13"/>
                <w:szCs w:val="13"/>
              </w:rPr>
              <w:t>*</w:t>
            </w:r>
          </w:p>
        </w:tc>
        <w:tc>
          <w:tcPr>
            <w:tcW w:w="160" w:type="dxa"/>
            <w:vAlign w:val="bottom"/>
          </w:tcPr>
          <w:p w:rsidR="00A621E3" w:rsidRDefault="00A621E3">
            <w:pPr>
              <w:rPr>
                <w:sz w:val="15"/>
                <w:szCs w:val="15"/>
              </w:rPr>
            </w:pPr>
          </w:p>
        </w:tc>
        <w:tc>
          <w:tcPr>
            <w:tcW w:w="0" w:type="dxa"/>
            <w:vAlign w:val="bottom"/>
          </w:tcPr>
          <w:p w:rsidR="00A621E3" w:rsidRDefault="00A621E3">
            <w:pPr>
              <w:rPr>
                <w:sz w:val="1"/>
                <w:szCs w:val="1"/>
              </w:rPr>
            </w:pPr>
          </w:p>
        </w:tc>
      </w:tr>
      <w:tr w:rsidR="00A621E3">
        <w:trPr>
          <w:trHeight w:val="175"/>
        </w:trPr>
        <w:tc>
          <w:tcPr>
            <w:tcW w:w="6080" w:type="dxa"/>
            <w:gridSpan w:val="3"/>
            <w:vAlign w:val="bottom"/>
          </w:tcPr>
          <w:p w:rsidR="00A621E3" w:rsidRDefault="00EC630E">
            <w:pPr>
              <w:rPr>
                <w:sz w:val="20"/>
                <w:szCs w:val="20"/>
              </w:rPr>
            </w:pPr>
            <w:r>
              <w:rPr>
                <w:rFonts w:ascii="Arial" w:eastAsia="Arial" w:hAnsi="Arial" w:cs="Arial"/>
                <w:sz w:val="13"/>
                <w:szCs w:val="13"/>
              </w:rPr>
              <w:t>Fred Hu</w:t>
            </w:r>
          </w:p>
        </w:tc>
        <w:tc>
          <w:tcPr>
            <w:tcW w:w="3360" w:type="dxa"/>
            <w:vAlign w:val="bottom"/>
          </w:tcPr>
          <w:p w:rsidR="00A621E3" w:rsidRDefault="00EC630E">
            <w:pPr>
              <w:ind w:right="634"/>
              <w:jc w:val="right"/>
              <w:rPr>
                <w:sz w:val="20"/>
                <w:szCs w:val="20"/>
              </w:rPr>
            </w:pPr>
            <w:r>
              <w:rPr>
                <w:rFonts w:ascii="Arial" w:eastAsia="Arial" w:hAnsi="Arial" w:cs="Arial"/>
                <w:sz w:val="13"/>
                <w:szCs w:val="13"/>
              </w:rPr>
              <w:t>43,737</w:t>
            </w:r>
          </w:p>
        </w:tc>
        <w:tc>
          <w:tcPr>
            <w:tcW w:w="1420" w:type="dxa"/>
            <w:gridSpan w:val="2"/>
            <w:vAlign w:val="bottom"/>
          </w:tcPr>
          <w:p w:rsidR="00A621E3" w:rsidRDefault="00EC630E">
            <w:pPr>
              <w:jc w:val="right"/>
              <w:rPr>
                <w:sz w:val="20"/>
                <w:szCs w:val="20"/>
              </w:rPr>
            </w:pPr>
            <w:r>
              <w:rPr>
                <w:rFonts w:ascii="Arial" w:eastAsia="Arial" w:hAnsi="Arial" w:cs="Arial"/>
                <w:sz w:val="13"/>
                <w:szCs w:val="13"/>
              </w:rPr>
              <w:t>*</w:t>
            </w:r>
          </w:p>
        </w:tc>
        <w:tc>
          <w:tcPr>
            <w:tcW w:w="160" w:type="dxa"/>
            <w:vAlign w:val="bottom"/>
          </w:tcPr>
          <w:p w:rsidR="00A621E3" w:rsidRDefault="00A621E3">
            <w:pPr>
              <w:rPr>
                <w:sz w:val="15"/>
                <w:szCs w:val="15"/>
              </w:rPr>
            </w:pPr>
          </w:p>
        </w:tc>
        <w:tc>
          <w:tcPr>
            <w:tcW w:w="0" w:type="dxa"/>
            <w:vAlign w:val="bottom"/>
          </w:tcPr>
          <w:p w:rsidR="00A621E3" w:rsidRDefault="00A621E3">
            <w:pPr>
              <w:rPr>
                <w:sz w:val="1"/>
                <w:szCs w:val="1"/>
              </w:rPr>
            </w:pPr>
          </w:p>
        </w:tc>
      </w:tr>
      <w:tr w:rsidR="00A621E3">
        <w:trPr>
          <w:trHeight w:val="175"/>
        </w:trPr>
        <w:tc>
          <w:tcPr>
            <w:tcW w:w="6080" w:type="dxa"/>
            <w:gridSpan w:val="3"/>
            <w:vAlign w:val="bottom"/>
          </w:tcPr>
          <w:p w:rsidR="00A621E3" w:rsidRDefault="00EC630E">
            <w:pPr>
              <w:rPr>
                <w:sz w:val="20"/>
                <w:szCs w:val="20"/>
              </w:rPr>
            </w:pPr>
            <w:r>
              <w:rPr>
                <w:rFonts w:ascii="Arial" w:eastAsia="Arial" w:hAnsi="Arial" w:cs="Arial"/>
                <w:sz w:val="13"/>
                <w:szCs w:val="13"/>
              </w:rPr>
              <w:t>Ruby Lu</w:t>
            </w:r>
          </w:p>
        </w:tc>
        <w:tc>
          <w:tcPr>
            <w:tcW w:w="3360" w:type="dxa"/>
            <w:vAlign w:val="bottom"/>
          </w:tcPr>
          <w:p w:rsidR="00A621E3" w:rsidRDefault="00EC630E">
            <w:pPr>
              <w:ind w:right="634"/>
              <w:jc w:val="right"/>
              <w:rPr>
                <w:sz w:val="20"/>
                <w:szCs w:val="20"/>
              </w:rPr>
            </w:pPr>
            <w:r>
              <w:rPr>
                <w:rFonts w:ascii="Arial" w:eastAsia="Arial" w:hAnsi="Arial" w:cs="Arial"/>
                <w:sz w:val="13"/>
                <w:szCs w:val="13"/>
              </w:rPr>
              <w:t>42,776</w:t>
            </w:r>
          </w:p>
        </w:tc>
        <w:tc>
          <w:tcPr>
            <w:tcW w:w="1420" w:type="dxa"/>
            <w:gridSpan w:val="2"/>
            <w:vAlign w:val="bottom"/>
          </w:tcPr>
          <w:p w:rsidR="00A621E3" w:rsidRDefault="00EC630E">
            <w:pPr>
              <w:jc w:val="right"/>
              <w:rPr>
                <w:sz w:val="20"/>
                <w:szCs w:val="20"/>
              </w:rPr>
            </w:pPr>
            <w:r>
              <w:rPr>
                <w:rFonts w:ascii="Arial" w:eastAsia="Arial" w:hAnsi="Arial" w:cs="Arial"/>
                <w:sz w:val="13"/>
                <w:szCs w:val="13"/>
              </w:rPr>
              <w:t>*</w:t>
            </w:r>
          </w:p>
        </w:tc>
        <w:tc>
          <w:tcPr>
            <w:tcW w:w="160" w:type="dxa"/>
            <w:vAlign w:val="bottom"/>
          </w:tcPr>
          <w:p w:rsidR="00A621E3" w:rsidRDefault="00A621E3">
            <w:pPr>
              <w:rPr>
                <w:sz w:val="15"/>
                <w:szCs w:val="15"/>
              </w:rPr>
            </w:pPr>
          </w:p>
        </w:tc>
        <w:tc>
          <w:tcPr>
            <w:tcW w:w="0" w:type="dxa"/>
            <w:vAlign w:val="bottom"/>
          </w:tcPr>
          <w:p w:rsidR="00A621E3" w:rsidRDefault="00A621E3">
            <w:pPr>
              <w:rPr>
                <w:sz w:val="1"/>
                <w:szCs w:val="1"/>
              </w:rPr>
            </w:pPr>
          </w:p>
        </w:tc>
      </w:tr>
      <w:tr w:rsidR="00A621E3">
        <w:trPr>
          <w:trHeight w:val="175"/>
        </w:trPr>
        <w:tc>
          <w:tcPr>
            <w:tcW w:w="6080" w:type="dxa"/>
            <w:gridSpan w:val="3"/>
            <w:vAlign w:val="bottom"/>
          </w:tcPr>
          <w:p w:rsidR="00A621E3" w:rsidRDefault="00EC630E">
            <w:pPr>
              <w:rPr>
                <w:sz w:val="20"/>
                <w:szCs w:val="20"/>
              </w:rPr>
            </w:pPr>
            <w:r>
              <w:rPr>
                <w:rFonts w:ascii="Arial" w:eastAsia="Arial" w:hAnsi="Arial" w:cs="Arial"/>
                <w:sz w:val="13"/>
                <w:szCs w:val="13"/>
              </w:rPr>
              <w:t>Zili Shao</w:t>
            </w:r>
          </w:p>
        </w:tc>
        <w:tc>
          <w:tcPr>
            <w:tcW w:w="3360" w:type="dxa"/>
            <w:vAlign w:val="bottom"/>
          </w:tcPr>
          <w:p w:rsidR="00A621E3" w:rsidRDefault="00EC630E">
            <w:pPr>
              <w:ind w:right="634"/>
              <w:jc w:val="right"/>
              <w:rPr>
                <w:sz w:val="20"/>
                <w:szCs w:val="20"/>
              </w:rPr>
            </w:pPr>
            <w:r>
              <w:rPr>
                <w:rFonts w:ascii="Arial" w:eastAsia="Arial" w:hAnsi="Arial" w:cs="Arial"/>
                <w:sz w:val="13"/>
                <w:szCs w:val="13"/>
              </w:rPr>
              <w:t>38,674</w:t>
            </w:r>
          </w:p>
        </w:tc>
        <w:tc>
          <w:tcPr>
            <w:tcW w:w="1420" w:type="dxa"/>
            <w:gridSpan w:val="2"/>
            <w:vAlign w:val="bottom"/>
          </w:tcPr>
          <w:p w:rsidR="00A621E3" w:rsidRDefault="00EC630E">
            <w:pPr>
              <w:jc w:val="right"/>
              <w:rPr>
                <w:sz w:val="20"/>
                <w:szCs w:val="20"/>
              </w:rPr>
            </w:pPr>
            <w:r>
              <w:rPr>
                <w:rFonts w:ascii="Arial" w:eastAsia="Arial" w:hAnsi="Arial" w:cs="Arial"/>
                <w:sz w:val="13"/>
                <w:szCs w:val="13"/>
              </w:rPr>
              <w:t>*</w:t>
            </w:r>
          </w:p>
        </w:tc>
        <w:tc>
          <w:tcPr>
            <w:tcW w:w="160" w:type="dxa"/>
            <w:vAlign w:val="bottom"/>
          </w:tcPr>
          <w:p w:rsidR="00A621E3" w:rsidRDefault="00A621E3">
            <w:pPr>
              <w:rPr>
                <w:sz w:val="15"/>
                <w:szCs w:val="15"/>
              </w:rPr>
            </w:pPr>
          </w:p>
        </w:tc>
        <w:tc>
          <w:tcPr>
            <w:tcW w:w="0" w:type="dxa"/>
            <w:vAlign w:val="bottom"/>
          </w:tcPr>
          <w:p w:rsidR="00A621E3" w:rsidRDefault="00A621E3">
            <w:pPr>
              <w:rPr>
                <w:sz w:val="1"/>
                <w:szCs w:val="1"/>
              </w:rPr>
            </w:pPr>
          </w:p>
        </w:tc>
      </w:tr>
      <w:tr w:rsidR="00A621E3">
        <w:trPr>
          <w:trHeight w:val="175"/>
        </w:trPr>
        <w:tc>
          <w:tcPr>
            <w:tcW w:w="6080" w:type="dxa"/>
            <w:gridSpan w:val="3"/>
            <w:vAlign w:val="bottom"/>
          </w:tcPr>
          <w:p w:rsidR="00A621E3" w:rsidRDefault="00EC630E">
            <w:pPr>
              <w:rPr>
                <w:sz w:val="20"/>
                <w:szCs w:val="20"/>
              </w:rPr>
            </w:pPr>
            <w:r>
              <w:rPr>
                <w:rFonts w:ascii="Arial" w:eastAsia="Arial" w:hAnsi="Arial" w:cs="Arial"/>
                <w:sz w:val="13"/>
                <w:szCs w:val="13"/>
              </w:rPr>
              <w:t>William Wang</w:t>
            </w:r>
          </w:p>
        </w:tc>
        <w:tc>
          <w:tcPr>
            <w:tcW w:w="3360" w:type="dxa"/>
            <w:vAlign w:val="bottom"/>
          </w:tcPr>
          <w:p w:rsidR="00A621E3" w:rsidRDefault="00EC630E">
            <w:pPr>
              <w:ind w:right="634"/>
              <w:jc w:val="right"/>
              <w:rPr>
                <w:sz w:val="20"/>
                <w:szCs w:val="20"/>
              </w:rPr>
            </w:pPr>
            <w:r>
              <w:rPr>
                <w:rFonts w:ascii="Arial" w:eastAsia="Arial" w:hAnsi="Arial" w:cs="Arial"/>
                <w:sz w:val="13"/>
                <w:szCs w:val="13"/>
              </w:rPr>
              <w:t>34,828</w:t>
            </w:r>
          </w:p>
        </w:tc>
        <w:tc>
          <w:tcPr>
            <w:tcW w:w="1420" w:type="dxa"/>
            <w:gridSpan w:val="2"/>
            <w:vAlign w:val="bottom"/>
          </w:tcPr>
          <w:p w:rsidR="00A621E3" w:rsidRDefault="00EC630E">
            <w:pPr>
              <w:jc w:val="right"/>
              <w:rPr>
                <w:sz w:val="20"/>
                <w:szCs w:val="20"/>
              </w:rPr>
            </w:pPr>
            <w:r>
              <w:rPr>
                <w:rFonts w:ascii="Arial" w:eastAsia="Arial" w:hAnsi="Arial" w:cs="Arial"/>
                <w:sz w:val="13"/>
                <w:szCs w:val="13"/>
              </w:rPr>
              <w:t>*</w:t>
            </w:r>
          </w:p>
        </w:tc>
        <w:tc>
          <w:tcPr>
            <w:tcW w:w="160" w:type="dxa"/>
            <w:vAlign w:val="bottom"/>
          </w:tcPr>
          <w:p w:rsidR="00A621E3" w:rsidRDefault="00A621E3">
            <w:pPr>
              <w:rPr>
                <w:sz w:val="15"/>
                <w:szCs w:val="15"/>
              </w:rPr>
            </w:pPr>
          </w:p>
        </w:tc>
        <w:tc>
          <w:tcPr>
            <w:tcW w:w="0" w:type="dxa"/>
            <w:vAlign w:val="bottom"/>
          </w:tcPr>
          <w:p w:rsidR="00A621E3" w:rsidRDefault="00A621E3">
            <w:pPr>
              <w:rPr>
                <w:sz w:val="1"/>
                <w:szCs w:val="1"/>
              </w:rPr>
            </w:pPr>
          </w:p>
        </w:tc>
      </w:tr>
      <w:tr w:rsidR="00A621E3">
        <w:trPr>
          <w:trHeight w:val="163"/>
        </w:trPr>
        <w:tc>
          <w:tcPr>
            <w:tcW w:w="6080" w:type="dxa"/>
            <w:gridSpan w:val="3"/>
            <w:tcBorders>
              <w:bottom w:val="single" w:sz="8" w:space="0" w:color="CF0A2C"/>
            </w:tcBorders>
            <w:vAlign w:val="bottom"/>
          </w:tcPr>
          <w:p w:rsidR="00A621E3" w:rsidRDefault="00EC630E">
            <w:pPr>
              <w:rPr>
                <w:sz w:val="20"/>
                <w:szCs w:val="20"/>
              </w:rPr>
            </w:pPr>
            <w:r>
              <w:rPr>
                <w:rFonts w:ascii="Arial" w:eastAsia="Arial" w:hAnsi="Arial" w:cs="Arial"/>
                <w:sz w:val="13"/>
                <w:szCs w:val="13"/>
              </w:rPr>
              <w:t>Min (Jenny) Zhang</w:t>
            </w:r>
          </w:p>
        </w:tc>
        <w:tc>
          <w:tcPr>
            <w:tcW w:w="3360" w:type="dxa"/>
            <w:tcBorders>
              <w:bottom w:val="single" w:sz="8" w:space="0" w:color="CF0A2C"/>
            </w:tcBorders>
            <w:vAlign w:val="bottom"/>
          </w:tcPr>
          <w:p w:rsidR="00A621E3" w:rsidRDefault="00EC630E">
            <w:pPr>
              <w:ind w:right="634"/>
              <w:jc w:val="right"/>
              <w:rPr>
                <w:sz w:val="20"/>
                <w:szCs w:val="20"/>
              </w:rPr>
            </w:pPr>
            <w:r>
              <w:rPr>
                <w:rFonts w:ascii="Arial" w:eastAsia="Arial" w:hAnsi="Arial" w:cs="Arial"/>
                <w:sz w:val="13"/>
                <w:szCs w:val="13"/>
              </w:rPr>
              <w:t>5,070</w:t>
            </w:r>
          </w:p>
        </w:tc>
        <w:tc>
          <w:tcPr>
            <w:tcW w:w="1420" w:type="dxa"/>
            <w:gridSpan w:val="2"/>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16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345"/>
        </w:trPr>
        <w:tc>
          <w:tcPr>
            <w:tcW w:w="6080" w:type="dxa"/>
            <w:gridSpan w:val="3"/>
            <w:vAlign w:val="bottom"/>
          </w:tcPr>
          <w:p w:rsidR="00A621E3" w:rsidRDefault="00EC630E">
            <w:pPr>
              <w:rPr>
                <w:sz w:val="20"/>
                <w:szCs w:val="20"/>
              </w:rPr>
            </w:pPr>
            <w:r>
              <w:rPr>
                <w:rFonts w:ascii="Arial" w:eastAsia="Arial" w:hAnsi="Arial" w:cs="Arial"/>
                <w:b/>
                <w:bCs/>
                <w:i/>
                <w:iCs/>
                <w:color w:val="CF0A2C"/>
                <w:sz w:val="14"/>
                <w:szCs w:val="14"/>
              </w:rPr>
              <w:t>Ownership of all directors and executive officers as a group (19 total)</w:t>
            </w:r>
          </w:p>
        </w:tc>
        <w:tc>
          <w:tcPr>
            <w:tcW w:w="3360" w:type="dxa"/>
            <w:vAlign w:val="bottom"/>
          </w:tcPr>
          <w:p w:rsidR="00A621E3" w:rsidRDefault="00EC630E">
            <w:pPr>
              <w:ind w:right="494"/>
              <w:jc w:val="right"/>
              <w:rPr>
                <w:sz w:val="20"/>
                <w:szCs w:val="20"/>
              </w:rPr>
            </w:pPr>
            <w:r>
              <w:rPr>
                <w:rFonts w:ascii="Arial" w:eastAsia="Arial" w:hAnsi="Arial" w:cs="Arial"/>
                <w:sz w:val="14"/>
                <w:szCs w:val="14"/>
              </w:rPr>
              <w:t>1,383,666</w:t>
            </w:r>
            <w:r>
              <w:rPr>
                <w:rFonts w:ascii="Arial" w:eastAsia="Arial" w:hAnsi="Arial" w:cs="Arial"/>
                <w:sz w:val="21"/>
                <w:szCs w:val="21"/>
                <w:vertAlign w:val="superscript"/>
              </w:rPr>
              <w:t>(9)</w:t>
            </w:r>
          </w:p>
        </w:tc>
        <w:tc>
          <w:tcPr>
            <w:tcW w:w="1420" w:type="dxa"/>
            <w:gridSpan w:val="2"/>
            <w:vAlign w:val="bottom"/>
          </w:tcPr>
          <w:p w:rsidR="00A621E3" w:rsidRDefault="00EC630E">
            <w:pPr>
              <w:jc w:val="right"/>
              <w:rPr>
                <w:sz w:val="20"/>
                <w:szCs w:val="20"/>
              </w:rPr>
            </w:pPr>
            <w:r>
              <w:rPr>
                <w:rFonts w:ascii="Arial" w:eastAsia="Arial" w:hAnsi="Arial" w:cs="Arial"/>
                <w:sz w:val="14"/>
                <w:szCs w:val="14"/>
              </w:rPr>
              <w:t>*</w:t>
            </w:r>
          </w:p>
        </w:tc>
        <w:tc>
          <w:tcPr>
            <w:tcW w:w="160" w:type="dxa"/>
            <w:vAlign w:val="bottom"/>
          </w:tcPr>
          <w:p w:rsidR="00A621E3" w:rsidRDefault="00A621E3">
            <w:pPr>
              <w:rPr>
                <w:sz w:val="24"/>
                <w:szCs w:val="24"/>
              </w:rPr>
            </w:pPr>
          </w:p>
        </w:tc>
        <w:tc>
          <w:tcPr>
            <w:tcW w:w="0" w:type="dxa"/>
            <w:vAlign w:val="bottom"/>
          </w:tcPr>
          <w:p w:rsidR="00A621E3" w:rsidRDefault="00A621E3">
            <w:pPr>
              <w:rPr>
                <w:sz w:val="1"/>
                <w:szCs w:val="1"/>
              </w:rPr>
            </w:pPr>
          </w:p>
        </w:tc>
      </w:tr>
      <w:tr w:rsidR="00A621E3">
        <w:trPr>
          <w:trHeight w:val="155"/>
        </w:trPr>
        <w:tc>
          <w:tcPr>
            <w:tcW w:w="380" w:type="dxa"/>
            <w:vMerge w:val="restart"/>
            <w:tcBorders>
              <w:top w:val="single" w:sz="8" w:space="0" w:color="CF0A2C"/>
            </w:tcBorders>
            <w:vAlign w:val="bottom"/>
          </w:tcPr>
          <w:p w:rsidR="00A621E3" w:rsidRDefault="00EC630E">
            <w:pPr>
              <w:ind w:left="140"/>
              <w:rPr>
                <w:sz w:val="20"/>
                <w:szCs w:val="20"/>
              </w:rPr>
            </w:pPr>
            <w:r>
              <w:rPr>
                <w:rFonts w:ascii="Arial" w:eastAsia="Arial" w:hAnsi="Arial" w:cs="Arial"/>
                <w:color w:val="CF0A2C"/>
                <w:sz w:val="14"/>
                <w:szCs w:val="14"/>
              </w:rPr>
              <w:t>40</w:t>
            </w:r>
          </w:p>
        </w:tc>
        <w:tc>
          <w:tcPr>
            <w:tcW w:w="20" w:type="dxa"/>
            <w:tcBorders>
              <w:top w:val="single" w:sz="8" w:space="0" w:color="CF0A2C"/>
            </w:tcBorders>
            <w:vAlign w:val="bottom"/>
          </w:tcPr>
          <w:p w:rsidR="00A621E3" w:rsidRDefault="00A621E3">
            <w:pPr>
              <w:rPr>
                <w:sz w:val="13"/>
                <w:szCs w:val="13"/>
              </w:rPr>
            </w:pPr>
          </w:p>
        </w:tc>
        <w:tc>
          <w:tcPr>
            <w:tcW w:w="5680" w:type="dxa"/>
            <w:vMerge w:val="restart"/>
            <w:tcBorders>
              <w:top w:val="single" w:sz="8" w:space="0" w:color="CF0A2C"/>
            </w:tcBorders>
            <w:vAlign w:val="bottom"/>
          </w:tcPr>
          <w:p w:rsidR="00A621E3" w:rsidRDefault="00EC630E">
            <w:pPr>
              <w:ind w:left="160"/>
              <w:rPr>
                <w:sz w:val="20"/>
                <w:szCs w:val="20"/>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tc>
        <w:tc>
          <w:tcPr>
            <w:tcW w:w="3360" w:type="dxa"/>
            <w:tcBorders>
              <w:top w:val="single" w:sz="8" w:space="0" w:color="CF0A2C"/>
            </w:tcBorders>
            <w:vAlign w:val="bottom"/>
          </w:tcPr>
          <w:p w:rsidR="00A621E3" w:rsidRDefault="00A621E3">
            <w:pPr>
              <w:rPr>
                <w:sz w:val="13"/>
                <w:szCs w:val="13"/>
              </w:rPr>
            </w:pPr>
          </w:p>
        </w:tc>
        <w:tc>
          <w:tcPr>
            <w:tcW w:w="1400" w:type="dxa"/>
            <w:tcBorders>
              <w:top w:val="single" w:sz="8" w:space="0" w:color="CF0A2C"/>
            </w:tcBorders>
            <w:vAlign w:val="bottom"/>
          </w:tcPr>
          <w:p w:rsidR="00A621E3" w:rsidRDefault="00A621E3">
            <w:pPr>
              <w:rPr>
                <w:sz w:val="13"/>
                <w:szCs w:val="13"/>
              </w:rPr>
            </w:pPr>
          </w:p>
        </w:tc>
        <w:tc>
          <w:tcPr>
            <w:tcW w:w="20" w:type="dxa"/>
            <w:vAlign w:val="bottom"/>
          </w:tcPr>
          <w:p w:rsidR="00A621E3" w:rsidRDefault="00A621E3">
            <w:pPr>
              <w:rPr>
                <w:sz w:val="13"/>
                <w:szCs w:val="13"/>
              </w:rPr>
            </w:pPr>
          </w:p>
        </w:tc>
        <w:tc>
          <w:tcPr>
            <w:tcW w:w="160" w:type="dxa"/>
            <w:vAlign w:val="bottom"/>
          </w:tcPr>
          <w:p w:rsidR="00A621E3" w:rsidRDefault="00A621E3">
            <w:pPr>
              <w:rPr>
                <w:sz w:val="13"/>
                <w:szCs w:val="13"/>
              </w:rPr>
            </w:pPr>
          </w:p>
        </w:tc>
        <w:tc>
          <w:tcPr>
            <w:tcW w:w="0" w:type="dxa"/>
            <w:vAlign w:val="bottom"/>
          </w:tcPr>
          <w:p w:rsidR="00A621E3" w:rsidRDefault="00A621E3">
            <w:pPr>
              <w:rPr>
                <w:sz w:val="1"/>
                <w:szCs w:val="1"/>
              </w:rPr>
            </w:pPr>
          </w:p>
        </w:tc>
      </w:tr>
      <w:tr w:rsidR="00A621E3">
        <w:trPr>
          <w:trHeight w:val="162"/>
        </w:trPr>
        <w:tc>
          <w:tcPr>
            <w:tcW w:w="380" w:type="dxa"/>
            <w:vMerge/>
            <w:vAlign w:val="bottom"/>
          </w:tcPr>
          <w:p w:rsidR="00A621E3" w:rsidRDefault="00A621E3">
            <w:pPr>
              <w:rPr>
                <w:sz w:val="14"/>
                <w:szCs w:val="14"/>
              </w:rPr>
            </w:pPr>
          </w:p>
        </w:tc>
        <w:tc>
          <w:tcPr>
            <w:tcW w:w="20" w:type="dxa"/>
            <w:shd w:val="clear" w:color="auto" w:fill="CF0A2C"/>
            <w:vAlign w:val="bottom"/>
          </w:tcPr>
          <w:p w:rsidR="00A621E3" w:rsidRDefault="00A621E3">
            <w:pPr>
              <w:rPr>
                <w:sz w:val="14"/>
                <w:szCs w:val="14"/>
              </w:rPr>
            </w:pPr>
          </w:p>
        </w:tc>
        <w:tc>
          <w:tcPr>
            <w:tcW w:w="5680" w:type="dxa"/>
            <w:vMerge/>
            <w:vAlign w:val="bottom"/>
          </w:tcPr>
          <w:p w:rsidR="00A621E3" w:rsidRDefault="00A621E3">
            <w:pPr>
              <w:rPr>
                <w:sz w:val="14"/>
                <w:szCs w:val="14"/>
              </w:rPr>
            </w:pPr>
          </w:p>
        </w:tc>
        <w:tc>
          <w:tcPr>
            <w:tcW w:w="3360" w:type="dxa"/>
            <w:vAlign w:val="bottom"/>
          </w:tcPr>
          <w:p w:rsidR="00A621E3" w:rsidRDefault="00A621E3">
            <w:pPr>
              <w:rPr>
                <w:sz w:val="14"/>
                <w:szCs w:val="14"/>
              </w:rPr>
            </w:pPr>
          </w:p>
        </w:tc>
        <w:tc>
          <w:tcPr>
            <w:tcW w:w="1400" w:type="dxa"/>
            <w:vAlign w:val="bottom"/>
          </w:tcPr>
          <w:p w:rsidR="00A621E3" w:rsidRDefault="00A621E3">
            <w:pPr>
              <w:rPr>
                <w:sz w:val="14"/>
                <w:szCs w:val="14"/>
              </w:rPr>
            </w:pPr>
          </w:p>
        </w:tc>
        <w:tc>
          <w:tcPr>
            <w:tcW w:w="20" w:type="dxa"/>
            <w:vAlign w:val="bottom"/>
          </w:tcPr>
          <w:p w:rsidR="00A621E3" w:rsidRDefault="00A621E3">
            <w:pPr>
              <w:rPr>
                <w:sz w:val="14"/>
                <w:szCs w:val="14"/>
              </w:rPr>
            </w:pPr>
          </w:p>
        </w:tc>
        <w:tc>
          <w:tcPr>
            <w:tcW w:w="160" w:type="dxa"/>
            <w:vAlign w:val="bottom"/>
          </w:tcPr>
          <w:p w:rsidR="00A621E3" w:rsidRDefault="00A621E3">
            <w:pPr>
              <w:rPr>
                <w:sz w:val="14"/>
                <w:szCs w:val="14"/>
              </w:rPr>
            </w:pPr>
          </w:p>
        </w:tc>
        <w:tc>
          <w:tcPr>
            <w:tcW w:w="0" w:type="dxa"/>
            <w:vAlign w:val="bottom"/>
          </w:tcPr>
          <w:p w:rsidR="00A621E3" w:rsidRDefault="00A621E3">
            <w:pPr>
              <w:rPr>
                <w:sz w:val="1"/>
                <w:szCs w:val="1"/>
              </w:rPr>
            </w:pPr>
          </w:p>
        </w:tc>
      </w:tr>
    </w:tbl>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46" w:name="page46"/>
      <w:bookmarkEnd w:id="46"/>
      <w:r>
        <w:rPr>
          <w:rFonts w:ascii="Arial" w:eastAsia="Arial" w:hAnsi="Arial" w:cs="Arial"/>
          <w:b/>
          <w:bCs/>
          <w:noProof/>
          <w:color w:val="0000EE"/>
          <w:sz w:val="18"/>
          <w:szCs w:val="18"/>
          <w:u w:val="single"/>
        </w:rPr>
        <w:lastRenderedPageBreak/>
        <w:drawing>
          <wp:anchor distT="0" distB="0" distL="114300" distR="114300" simplePos="0" relativeHeight="25185382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54848" behindDoc="1" locked="0" layoutInCell="0" allowOverlap="1">
            <wp:simplePos x="0" y="0"/>
            <wp:positionH relativeFrom="column">
              <wp:posOffset>5045710</wp:posOffset>
            </wp:positionH>
            <wp:positionV relativeFrom="paragraph">
              <wp:posOffset>205740</wp:posOffset>
            </wp:positionV>
            <wp:extent cx="2023110" cy="205740"/>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8">
                      <a:extLst/>
                    </a:blip>
                    <a:srcRect/>
                    <a:stretch>
                      <a:fillRect/>
                    </a:stretch>
                  </pic:blipFill>
                  <pic:spPr bwMode="auto">
                    <a:xfrm>
                      <a:off x="0" y="0"/>
                      <a:ext cx="20231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180"/>
        <w:rPr>
          <w:sz w:val="20"/>
          <w:szCs w:val="20"/>
        </w:rPr>
      </w:pPr>
      <w:r>
        <w:rPr>
          <w:rFonts w:ascii="Arial" w:eastAsia="Arial" w:hAnsi="Arial" w:cs="Arial"/>
          <w:b/>
          <w:bCs/>
          <w:color w:val="FFFFFF"/>
          <w:sz w:val="16"/>
          <w:szCs w:val="16"/>
        </w:rPr>
        <w:t>STOCK OWNERSHIP INFORMATION</w:t>
      </w:r>
    </w:p>
    <w:p w:rsidR="00A621E3" w:rsidRDefault="00A621E3">
      <w:pPr>
        <w:spacing w:line="209" w:lineRule="exact"/>
        <w:rPr>
          <w:sz w:val="20"/>
          <w:szCs w:val="20"/>
        </w:rPr>
      </w:pPr>
    </w:p>
    <w:p w:rsidR="00A621E3" w:rsidRDefault="00EC630E">
      <w:pPr>
        <w:numPr>
          <w:ilvl w:val="0"/>
          <w:numId w:val="47"/>
        </w:numPr>
        <w:tabs>
          <w:tab w:val="left" w:pos="760"/>
        </w:tabs>
        <w:ind w:left="760" w:hanging="644"/>
        <w:rPr>
          <w:rFonts w:ascii="Arial" w:eastAsia="Arial" w:hAnsi="Arial" w:cs="Arial"/>
          <w:sz w:val="20"/>
          <w:szCs w:val="20"/>
        </w:rPr>
      </w:pPr>
      <w:r>
        <w:rPr>
          <w:rFonts w:ascii="Arial" w:eastAsia="Arial" w:hAnsi="Arial" w:cs="Arial"/>
          <w:sz w:val="20"/>
          <w:szCs w:val="20"/>
        </w:rPr>
        <w:t>Represents less than one percent</w:t>
      </w:r>
    </w:p>
    <w:p w:rsidR="00A621E3" w:rsidRDefault="00A621E3">
      <w:pPr>
        <w:spacing w:line="297" w:lineRule="exact"/>
        <w:rPr>
          <w:sz w:val="20"/>
          <w:szCs w:val="20"/>
        </w:rPr>
      </w:pPr>
    </w:p>
    <w:p w:rsidR="00A621E3" w:rsidRDefault="00EC630E">
      <w:pPr>
        <w:numPr>
          <w:ilvl w:val="0"/>
          <w:numId w:val="48"/>
        </w:numPr>
        <w:tabs>
          <w:tab w:val="left" w:pos="760"/>
        </w:tabs>
        <w:spacing w:line="260" w:lineRule="auto"/>
        <w:ind w:left="760" w:right="20" w:hanging="644"/>
        <w:rPr>
          <w:rFonts w:ascii="Arial" w:eastAsia="Arial" w:hAnsi="Arial" w:cs="Arial"/>
          <w:sz w:val="20"/>
          <w:szCs w:val="20"/>
        </w:rPr>
      </w:pPr>
      <w:r>
        <w:rPr>
          <w:rFonts w:ascii="Arial" w:eastAsia="Arial" w:hAnsi="Arial" w:cs="Arial"/>
          <w:sz w:val="20"/>
          <w:szCs w:val="20"/>
        </w:rPr>
        <w:t>Percentage ownership is determined based on a total of 418,247,486 shares of Company common stock outstanding as of March 27, 2023.</w:t>
      </w:r>
    </w:p>
    <w:p w:rsidR="00A621E3" w:rsidRDefault="00A621E3">
      <w:pPr>
        <w:spacing w:line="257" w:lineRule="exact"/>
        <w:rPr>
          <w:rFonts w:ascii="Arial" w:eastAsia="Arial" w:hAnsi="Arial" w:cs="Arial"/>
          <w:sz w:val="20"/>
          <w:szCs w:val="20"/>
        </w:rPr>
      </w:pPr>
    </w:p>
    <w:p w:rsidR="00A621E3" w:rsidRDefault="00EC630E">
      <w:pPr>
        <w:numPr>
          <w:ilvl w:val="0"/>
          <w:numId w:val="48"/>
        </w:numPr>
        <w:tabs>
          <w:tab w:val="left" w:pos="760"/>
        </w:tabs>
        <w:spacing w:line="250" w:lineRule="auto"/>
        <w:ind w:left="760" w:right="20" w:hanging="644"/>
        <w:jc w:val="both"/>
        <w:rPr>
          <w:rFonts w:ascii="Arial" w:eastAsia="Arial" w:hAnsi="Arial" w:cs="Arial"/>
          <w:sz w:val="20"/>
          <w:szCs w:val="20"/>
        </w:rPr>
      </w:pPr>
      <w:r>
        <w:rPr>
          <w:rFonts w:ascii="Arial" w:eastAsia="Arial" w:hAnsi="Arial" w:cs="Arial"/>
          <w:sz w:val="20"/>
          <w:szCs w:val="20"/>
        </w:rPr>
        <w:t xml:space="preserve">Based on Amendment No. 4 to the Schedule 13G filed by Invesco Ltd. on February 10, 2023, which indicated that, as of </w:t>
      </w:r>
      <w:r>
        <w:rPr>
          <w:rFonts w:ascii="Arial" w:eastAsia="Arial" w:hAnsi="Arial" w:cs="Arial"/>
          <w:sz w:val="20"/>
          <w:szCs w:val="20"/>
        </w:rPr>
        <w:t>December 30, 2022, Invesco Ltd. had sole voting power over 39,956,938 shares of Company common stock and sole dispositive power over 39,956,938 shares of Company common stock.</w:t>
      </w:r>
    </w:p>
    <w:p w:rsidR="00A621E3" w:rsidRDefault="00A621E3">
      <w:pPr>
        <w:spacing w:line="266" w:lineRule="exact"/>
        <w:rPr>
          <w:rFonts w:ascii="Arial" w:eastAsia="Arial" w:hAnsi="Arial" w:cs="Arial"/>
          <w:sz w:val="20"/>
          <w:szCs w:val="20"/>
        </w:rPr>
      </w:pPr>
    </w:p>
    <w:p w:rsidR="00A621E3" w:rsidRDefault="00EC630E">
      <w:pPr>
        <w:numPr>
          <w:ilvl w:val="0"/>
          <w:numId w:val="48"/>
        </w:numPr>
        <w:tabs>
          <w:tab w:val="left" w:pos="760"/>
        </w:tabs>
        <w:spacing w:line="250" w:lineRule="auto"/>
        <w:ind w:left="760" w:hanging="644"/>
        <w:jc w:val="both"/>
        <w:rPr>
          <w:rFonts w:ascii="Arial" w:eastAsia="Arial" w:hAnsi="Arial" w:cs="Arial"/>
          <w:sz w:val="20"/>
          <w:szCs w:val="20"/>
        </w:rPr>
      </w:pPr>
      <w:r>
        <w:rPr>
          <w:rFonts w:ascii="Arial" w:eastAsia="Arial" w:hAnsi="Arial" w:cs="Arial"/>
          <w:sz w:val="20"/>
          <w:szCs w:val="20"/>
        </w:rPr>
        <w:t>Based on Amendment No. 7 to the Schedule 13G filed by BlackRock, Inc. on Februa</w:t>
      </w:r>
      <w:r>
        <w:rPr>
          <w:rFonts w:ascii="Arial" w:eastAsia="Arial" w:hAnsi="Arial" w:cs="Arial"/>
          <w:sz w:val="20"/>
          <w:szCs w:val="20"/>
        </w:rPr>
        <w:t>ry 1, 2023, which indicated that, as of December 31, 2022, BlackRock, Inc. had sole voting power over 26,054,315 shares of Company common stock and sole dispositive power over 28,737,537 shares of Company common stock.</w:t>
      </w:r>
    </w:p>
    <w:p w:rsidR="00A621E3" w:rsidRDefault="00A621E3">
      <w:pPr>
        <w:spacing w:line="266" w:lineRule="exact"/>
        <w:rPr>
          <w:rFonts w:ascii="Arial" w:eastAsia="Arial" w:hAnsi="Arial" w:cs="Arial"/>
          <w:sz w:val="20"/>
          <w:szCs w:val="20"/>
        </w:rPr>
      </w:pPr>
    </w:p>
    <w:p w:rsidR="00A621E3" w:rsidRDefault="00EC630E">
      <w:pPr>
        <w:numPr>
          <w:ilvl w:val="0"/>
          <w:numId w:val="48"/>
        </w:numPr>
        <w:tabs>
          <w:tab w:val="left" w:pos="760"/>
        </w:tabs>
        <w:ind w:left="760" w:hanging="644"/>
        <w:rPr>
          <w:rFonts w:ascii="Arial" w:eastAsia="Arial" w:hAnsi="Arial" w:cs="Arial"/>
          <w:sz w:val="20"/>
          <w:szCs w:val="20"/>
        </w:rPr>
      </w:pPr>
      <w:r>
        <w:rPr>
          <w:rFonts w:ascii="Arial" w:eastAsia="Arial" w:hAnsi="Arial" w:cs="Arial"/>
          <w:sz w:val="20"/>
          <w:szCs w:val="20"/>
        </w:rPr>
        <w:t>Includes 326,423 shares issuable upo</w:t>
      </w:r>
      <w:r>
        <w:rPr>
          <w:rFonts w:ascii="Arial" w:eastAsia="Arial" w:hAnsi="Arial" w:cs="Arial"/>
          <w:sz w:val="20"/>
          <w:szCs w:val="20"/>
        </w:rPr>
        <w:t>n the exercise of vested stock appreciation rights (“</w:t>
      </w:r>
      <w:r>
        <w:rPr>
          <w:rFonts w:ascii="Arial" w:eastAsia="Arial" w:hAnsi="Arial" w:cs="Arial"/>
          <w:b/>
          <w:bCs/>
          <w:i/>
          <w:iCs/>
          <w:sz w:val="20"/>
          <w:szCs w:val="20"/>
        </w:rPr>
        <w:t>SARs</w:t>
      </w:r>
      <w:r>
        <w:rPr>
          <w:rFonts w:ascii="Arial" w:eastAsia="Arial" w:hAnsi="Arial" w:cs="Arial"/>
          <w:sz w:val="20"/>
          <w:szCs w:val="20"/>
        </w:rPr>
        <w:t>”).</w:t>
      </w:r>
    </w:p>
    <w:p w:rsidR="00A621E3" w:rsidRDefault="00A621E3">
      <w:pPr>
        <w:spacing w:line="296" w:lineRule="exact"/>
        <w:rPr>
          <w:rFonts w:ascii="Arial" w:eastAsia="Arial" w:hAnsi="Arial" w:cs="Arial"/>
          <w:sz w:val="20"/>
          <w:szCs w:val="20"/>
        </w:rPr>
      </w:pPr>
    </w:p>
    <w:p w:rsidR="00A621E3" w:rsidRDefault="00EC630E">
      <w:pPr>
        <w:numPr>
          <w:ilvl w:val="0"/>
          <w:numId w:val="48"/>
        </w:numPr>
        <w:tabs>
          <w:tab w:val="left" w:pos="760"/>
        </w:tabs>
        <w:ind w:left="760" w:hanging="644"/>
        <w:rPr>
          <w:rFonts w:ascii="Arial" w:eastAsia="Arial" w:hAnsi="Arial" w:cs="Arial"/>
          <w:sz w:val="20"/>
          <w:szCs w:val="20"/>
        </w:rPr>
      </w:pPr>
      <w:r>
        <w:rPr>
          <w:rFonts w:ascii="Arial" w:eastAsia="Arial" w:hAnsi="Arial" w:cs="Arial"/>
          <w:sz w:val="20"/>
          <w:szCs w:val="20"/>
        </w:rPr>
        <w:t>Includes 14,143 shares issuable upon the exercise of vested SARs.</w:t>
      </w:r>
    </w:p>
    <w:p w:rsidR="00A621E3" w:rsidRDefault="00A621E3">
      <w:pPr>
        <w:spacing w:line="296" w:lineRule="exact"/>
        <w:rPr>
          <w:rFonts w:ascii="Arial" w:eastAsia="Arial" w:hAnsi="Arial" w:cs="Arial"/>
          <w:sz w:val="20"/>
          <w:szCs w:val="20"/>
        </w:rPr>
      </w:pPr>
    </w:p>
    <w:p w:rsidR="00A621E3" w:rsidRDefault="00EC630E">
      <w:pPr>
        <w:numPr>
          <w:ilvl w:val="0"/>
          <w:numId w:val="48"/>
        </w:numPr>
        <w:tabs>
          <w:tab w:val="left" w:pos="760"/>
        </w:tabs>
        <w:ind w:left="760" w:hanging="644"/>
        <w:rPr>
          <w:rFonts w:ascii="Arial" w:eastAsia="Arial" w:hAnsi="Arial" w:cs="Arial"/>
          <w:sz w:val="20"/>
          <w:szCs w:val="20"/>
        </w:rPr>
      </w:pPr>
      <w:r>
        <w:rPr>
          <w:rFonts w:ascii="Arial" w:eastAsia="Arial" w:hAnsi="Arial" w:cs="Arial"/>
          <w:sz w:val="20"/>
          <w:szCs w:val="20"/>
        </w:rPr>
        <w:t>Includes 9,769 shares issuable upon the exercise of vested SARs.</w:t>
      </w:r>
    </w:p>
    <w:p w:rsidR="00A621E3" w:rsidRDefault="00A621E3">
      <w:pPr>
        <w:spacing w:line="296" w:lineRule="exact"/>
        <w:rPr>
          <w:rFonts w:ascii="Arial" w:eastAsia="Arial" w:hAnsi="Arial" w:cs="Arial"/>
          <w:sz w:val="20"/>
          <w:szCs w:val="20"/>
        </w:rPr>
      </w:pPr>
    </w:p>
    <w:p w:rsidR="00A621E3" w:rsidRDefault="00EC630E">
      <w:pPr>
        <w:numPr>
          <w:ilvl w:val="0"/>
          <w:numId w:val="48"/>
        </w:numPr>
        <w:tabs>
          <w:tab w:val="left" w:pos="760"/>
        </w:tabs>
        <w:ind w:left="760" w:hanging="644"/>
        <w:rPr>
          <w:rFonts w:ascii="Arial" w:eastAsia="Arial" w:hAnsi="Arial" w:cs="Arial"/>
          <w:sz w:val="20"/>
          <w:szCs w:val="20"/>
        </w:rPr>
      </w:pPr>
      <w:r>
        <w:rPr>
          <w:rFonts w:ascii="Arial" w:eastAsia="Arial" w:hAnsi="Arial" w:cs="Arial"/>
          <w:sz w:val="20"/>
          <w:szCs w:val="20"/>
        </w:rPr>
        <w:t>Includes 85,824 shares issuable upon the exercise of vested S</w:t>
      </w:r>
      <w:r>
        <w:rPr>
          <w:rFonts w:ascii="Arial" w:eastAsia="Arial" w:hAnsi="Arial" w:cs="Arial"/>
          <w:sz w:val="20"/>
          <w:szCs w:val="20"/>
        </w:rPr>
        <w:t>ARs.</w:t>
      </w:r>
    </w:p>
    <w:p w:rsidR="00A621E3" w:rsidRDefault="00A621E3">
      <w:pPr>
        <w:spacing w:line="296" w:lineRule="exact"/>
        <w:rPr>
          <w:rFonts w:ascii="Arial" w:eastAsia="Arial" w:hAnsi="Arial" w:cs="Arial"/>
          <w:sz w:val="20"/>
          <w:szCs w:val="20"/>
        </w:rPr>
      </w:pPr>
    </w:p>
    <w:p w:rsidR="00A621E3" w:rsidRDefault="00EC630E">
      <w:pPr>
        <w:numPr>
          <w:ilvl w:val="0"/>
          <w:numId w:val="48"/>
        </w:numPr>
        <w:tabs>
          <w:tab w:val="left" w:pos="760"/>
        </w:tabs>
        <w:ind w:left="760" w:hanging="644"/>
        <w:rPr>
          <w:rFonts w:ascii="Arial" w:eastAsia="Arial" w:hAnsi="Arial" w:cs="Arial"/>
          <w:sz w:val="20"/>
          <w:szCs w:val="20"/>
        </w:rPr>
      </w:pPr>
      <w:r>
        <w:rPr>
          <w:rFonts w:ascii="Arial" w:eastAsia="Arial" w:hAnsi="Arial" w:cs="Arial"/>
          <w:sz w:val="20"/>
          <w:szCs w:val="20"/>
        </w:rPr>
        <w:t>Includes 35,747 shares issuable upon the exercise of vested SARs.</w:t>
      </w:r>
    </w:p>
    <w:p w:rsidR="00A621E3" w:rsidRDefault="00A621E3">
      <w:pPr>
        <w:spacing w:line="296" w:lineRule="exact"/>
        <w:rPr>
          <w:rFonts w:ascii="Arial" w:eastAsia="Arial" w:hAnsi="Arial" w:cs="Arial"/>
          <w:sz w:val="20"/>
          <w:szCs w:val="20"/>
        </w:rPr>
      </w:pPr>
    </w:p>
    <w:p w:rsidR="00A621E3" w:rsidRDefault="00EC630E">
      <w:pPr>
        <w:numPr>
          <w:ilvl w:val="0"/>
          <w:numId w:val="48"/>
        </w:numPr>
        <w:tabs>
          <w:tab w:val="left" w:pos="760"/>
        </w:tabs>
        <w:ind w:left="760" w:hanging="644"/>
        <w:rPr>
          <w:rFonts w:ascii="Arial" w:eastAsia="Arial" w:hAnsi="Arial" w:cs="Arial"/>
          <w:sz w:val="20"/>
          <w:szCs w:val="20"/>
        </w:rPr>
      </w:pPr>
      <w:r>
        <w:rPr>
          <w:rFonts w:ascii="Arial" w:eastAsia="Arial" w:hAnsi="Arial" w:cs="Arial"/>
          <w:sz w:val="20"/>
          <w:szCs w:val="20"/>
        </w:rPr>
        <w:t>Includes 635,794 shares issuable upon the exercise of vested SARs.</w:t>
      </w:r>
    </w:p>
    <w:p w:rsidR="00A621E3" w:rsidRDefault="00A621E3">
      <w:pPr>
        <w:spacing w:line="152"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41</w:t>
      </w:r>
    </w:p>
    <w:p w:rsidR="00A621E3" w:rsidRDefault="00EC630E">
      <w:pPr>
        <w:spacing w:line="20" w:lineRule="exact"/>
        <w:rPr>
          <w:sz w:val="20"/>
          <w:szCs w:val="20"/>
        </w:rPr>
      </w:pPr>
      <w:r>
        <w:rPr>
          <w:noProof/>
          <w:sz w:val="20"/>
          <w:szCs w:val="20"/>
        </w:rPr>
        <w:drawing>
          <wp:anchor distT="0" distB="0" distL="114300" distR="114300" simplePos="0" relativeHeight="251855872"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47" w:name="page47"/>
      <w:bookmarkEnd w:id="47"/>
      <w:r>
        <w:rPr>
          <w:rFonts w:ascii="Arial" w:eastAsia="Arial" w:hAnsi="Arial" w:cs="Arial"/>
          <w:b/>
          <w:bCs/>
          <w:noProof/>
          <w:color w:val="0000EE"/>
          <w:sz w:val="18"/>
          <w:szCs w:val="18"/>
          <w:u w:val="single"/>
        </w:rPr>
        <w:lastRenderedPageBreak/>
        <w:drawing>
          <wp:anchor distT="0" distB="0" distL="114300" distR="114300" simplePos="0" relativeHeight="25185689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57920" behindDoc="1" locked="0" layoutInCell="0" allowOverlap="1">
            <wp:simplePos x="0" y="0"/>
            <wp:positionH relativeFrom="column">
              <wp:posOffset>73660</wp:posOffset>
            </wp:positionH>
            <wp:positionV relativeFrom="paragraph">
              <wp:posOffset>205740</wp:posOffset>
            </wp:positionV>
            <wp:extent cx="6995160" cy="506095"/>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2">
                      <a:extLst/>
                    </a:blip>
                    <a:srcRect/>
                    <a:stretch>
                      <a:fillRect/>
                    </a:stretch>
                  </pic:blipFill>
                  <pic:spPr bwMode="auto">
                    <a:xfrm>
                      <a:off x="0" y="0"/>
                      <a:ext cx="6995160" cy="50609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11" w:lineRule="exact"/>
        <w:rPr>
          <w:sz w:val="20"/>
          <w:szCs w:val="20"/>
        </w:rPr>
      </w:pPr>
    </w:p>
    <w:p w:rsidR="00A621E3" w:rsidRDefault="00EC630E">
      <w:pPr>
        <w:ind w:left="200"/>
        <w:rPr>
          <w:sz w:val="20"/>
          <w:szCs w:val="20"/>
        </w:rPr>
      </w:pPr>
      <w:r>
        <w:rPr>
          <w:rFonts w:ascii="Arial" w:eastAsia="Arial" w:hAnsi="Arial" w:cs="Arial"/>
          <w:b/>
          <w:bCs/>
          <w:color w:val="FFFFFF"/>
          <w:sz w:val="32"/>
          <w:szCs w:val="32"/>
        </w:rPr>
        <w:t>EXECUTIVE COMPENSATION</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26" w:lineRule="exact"/>
        <w:rPr>
          <w:sz w:val="20"/>
          <w:szCs w:val="20"/>
        </w:rPr>
      </w:pPr>
    </w:p>
    <w:p w:rsidR="00A621E3" w:rsidRDefault="00EC630E">
      <w:pPr>
        <w:ind w:left="120"/>
        <w:rPr>
          <w:sz w:val="20"/>
          <w:szCs w:val="20"/>
        </w:rPr>
      </w:pPr>
      <w:r>
        <w:rPr>
          <w:rFonts w:ascii="Arial" w:eastAsia="Arial" w:hAnsi="Arial" w:cs="Arial"/>
          <w:b/>
          <w:bCs/>
          <w:color w:val="CF0A2C"/>
          <w:sz w:val="32"/>
          <w:szCs w:val="32"/>
        </w:rPr>
        <w:t>COMPENSATION DISCUSSION AND ANALYSIS</w:t>
      </w:r>
    </w:p>
    <w:p w:rsidR="00A621E3" w:rsidRDefault="00EC630E">
      <w:pPr>
        <w:spacing w:line="20" w:lineRule="exact"/>
        <w:rPr>
          <w:sz w:val="20"/>
          <w:szCs w:val="20"/>
        </w:rPr>
      </w:pPr>
      <w:r>
        <w:rPr>
          <w:noProof/>
          <w:sz w:val="20"/>
          <w:szCs w:val="20"/>
        </w:rPr>
        <w:drawing>
          <wp:anchor distT="0" distB="0" distL="114300" distR="114300" simplePos="0" relativeHeight="251858944"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91" w:lineRule="exact"/>
        <w:rPr>
          <w:sz w:val="20"/>
          <w:szCs w:val="20"/>
        </w:rPr>
      </w:pPr>
    </w:p>
    <w:p w:rsidR="00A621E3" w:rsidRDefault="00EC630E">
      <w:pPr>
        <w:spacing w:line="244" w:lineRule="auto"/>
        <w:ind w:left="120"/>
        <w:jc w:val="both"/>
        <w:rPr>
          <w:sz w:val="20"/>
          <w:szCs w:val="20"/>
        </w:rPr>
      </w:pPr>
      <w:r>
        <w:rPr>
          <w:rFonts w:ascii="Arial" w:eastAsia="Arial" w:hAnsi="Arial" w:cs="Arial"/>
          <w:sz w:val="20"/>
          <w:szCs w:val="20"/>
        </w:rPr>
        <w:t>This Compensation Discussion and Analysis (our “</w:t>
      </w:r>
      <w:r>
        <w:rPr>
          <w:rFonts w:ascii="Arial" w:eastAsia="Arial" w:hAnsi="Arial" w:cs="Arial"/>
          <w:b/>
          <w:bCs/>
          <w:i/>
          <w:iCs/>
          <w:sz w:val="20"/>
          <w:szCs w:val="20"/>
        </w:rPr>
        <w:t>CD&amp;A</w:t>
      </w:r>
      <w:r>
        <w:rPr>
          <w:rFonts w:ascii="Arial" w:eastAsia="Arial" w:hAnsi="Arial" w:cs="Arial"/>
          <w:sz w:val="20"/>
          <w:szCs w:val="20"/>
        </w:rPr>
        <w:t>”) provides an overview of our executive compensation programs for 2022, the context under which our executive compensation decisions were det</w:t>
      </w:r>
      <w:r>
        <w:rPr>
          <w:rFonts w:ascii="Arial" w:eastAsia="Arial" w:hAnsi="Arial" w:cs="Arial"/>
          <w:sz w:val="20"/>
          <w:szCs w:val="20"/>
        </w:rPr>
        <w:t>ermined, and how we performed within that environment.</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71" w:lineRule="exact"/>
        <w:rPr>
          <w:sz w:val="20"/>
          <w:szCs w:val="20"/>
        </w:rPr>
      </w:pPr>
    </w:p>
    <w:p w:rsidR="00A621E3" w:rsidRDefault="00EC630E">
      <w:pPr>
        <w:spacing w:line="250" w:lineRule="auto"/>
        <w:ind w:right="20"/>
        <w:jc w:val="both"/>
        <w:rPr>
          <w:sz w:val="20"/>
          <w:szCs w:val="20"/>
        </w:rPr>
      </w:pPr>
      <w:r>
        <w:rPr>
          <w:rFonts w:ascii="Arial" w:eastAsia="Arial" w:hAnsi="Arial" w:cs="Arial"/>
          <w:sz w:val="20"/>
          <w:szCs w:val="20"/>
        </w:rPr>
        <w:t>Our named executive officers (“</w:t>
      </w:r>
      <w:r>
        <w:rPr>
          <w:rFonts w:ascii="Arial" w:eastAsia="Arial" w:hAnsi="Arial" w:cs="Arial"/>
          <w:b/>
          <w:bCs/>
          <w:i/>
          <w:iCs/>
          <w:sz w:val="20"/>
          <w:szCs w:val="20"/>
        </w:rPr>
        <w:t>NEOs</w:t>
      </w:r>
      <w:r>
        <w:rPr>
          <w:rFonts w:ascii="Arial" w:eastAsia="Arial" w:hAnsi="Arial" w:cs="Arial"/>
          <w:sz w:val="20"/>
          <w:szCs w:val="20"/>
        </w:rPr>
        <w:t>”) consist of our Chief Executive Officer, our Chief Financial Officer, and our three other most highly compensated executive officers for 2022.</w:t>
      </w:r>
    </w:p>
    <w:p w:rsidR="00A621E3" w:rsidRDefault="00A621E3">
      <w:pPr>
        <w:spacing w:line="65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24" w:lineRule="exact"/>
        <w:rPr>
          <w:sz w:val="20"/>
          <w:szCs w:val="20"/>
        </w:rPr>
      </w:pPr>
    </w:p>
    <w:p w:rsidR="00A621E3" w:rsidRDefault="00EC630E">
      <w:pPr>
        <w:ind w:left="120"/>
        <w:rPr>
          <w:sz w:val="20"/>
          <w:szCs w:val="20"/>
        </w:rPr>
      </w:pPr>
      <w:r>
        <w:rPr>
          <w:rFonts w:ascii="Arial" w:eastAsia="Arial" w:hAnsi="Arial" w:cs="Arial"/>
          <w:sz w:val="20"/>
          <w:szCs w:val="20"/>
        </w:rPr>
        <w:t>For 2022, our NEOs were:</w:t>
      </w:r>
    </w:p>
    <w:p w:rsidR="00A621E3" w:rsidRDefault="00A621E3">
      <w:pPr>
        <w:spacing w:line="24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760"/>
        <w:gridCol w:w="9260"/>
      </w:tblGrid>
      <w:tr w:rsidR="00A621E3">
        <w:trPr>
          <w:trHeight w:val="207"/>
        </w:trPr>
        <w:tc>
          <w:tcPr>
            <w:tcW w:w="1760" w:type="dxa"/>
            <w:tcBorders>
              <w:bottom w:val="single" w:sz="8" w:space="0" w:color="CF0A2C"/>
            </w:tcBorders>
            <w:vAlign w:val="bottom"/>
          </w:tcPr>
          <w:p w:rsidR="00A621E3" w:rsidRDefault="00EC630E">
            <w:pPr>
              <w:rPr>
                <w:sz w:val="20"/>
                <w:szCs w:val="20"/>
              </w:rPr>
            </w:pPr>
            <w:r>
              <w:rPr>
                <w:rFonts w:ascii="Arial" w:eastAsia="Arial" w:hAnsi="Arial" w:cs="Arial"/>
                <w:b/>
                <w:bCs/>
                <w:color w:val="CF0A2C"/>
                <w:sz w:val="16"/>
                <w:szCs w:val="16"/>
              </w:rPr>
              <w:t>Name</w:t>
            </w:r>
          </w:p>
        </w:tc>
        <w:tc>
          <w:tcPr>
            <w:tcW w:w="9260" w:type="dxa"/>
            <w:tcBorders>
              <w:bottom w:val="single" w:sz="8" w:space="0" w:color="CF0A2C"/>
            </w:tcBorders>
            <w:vAlign w:val="bottom"/>
          </w:tcPr>
          <w:p w:rsidR="00A621E3" w:rsidRDefault="00EC630E">
            <w:pPr>
              <w:ind w:left="560"/>
              <w:rPr>
                <w:sz w:val="20"/>
                <w:szCs w:val="20"/>
              </w:rPr>
            </w:pPr>
            <w:r>
              <w:rPr>
                <w:rFonts w:ascii="Arial" w:eastAsia="Arial" w:hAnsi="Arial" w:cs="Arial"/>
                <w:b/>
                <w:bCs/>
                <w:color w:val="CF0A2C"/>
                <w:sz w:val="16"/>
                <w:szCs w:val="16"/>
              </w:rPr>
              <w:t>Title</w:t>
            </w:r>
          </w:p>
        </w:tc>
      </w:tr>
      <w:tr w:rsidR="00A621E3">
        <w:trPr>
          <w:trHeight w:val="164"/>
        </w:trPr>
        <w:tc>
          <w:tcPr>
            <w:tcW w:w="1760" w:type="dxa"/>
            <w:vAlign w:val="bottom"/>
          </w:tcPr>
          <w:p w:rsidR="00A621E3" w:rsidRDefault="00EC630E">
            <w:pPr>
              <w:spacing w:line="165" w:lineRule="exact"/>
              <w:rPr>
                <w:sz w:val="20"/>
                <w:szCs w:val="20"/>
              </w:rPr>
            </w:pPr>
            <w:r>
              <w:rPr>
                <w:rFonts w:ascii="Arial" w:eastAsia="Arial" w:hAnsi="Arial" w:cs="Arial"/>
                <w:color w:val="CF0A2C"/>
                <w:sz w:val="16"/>
                <w:szCs w:val="16"/>
              </w:rPr>
              <w:t>Joey Wat</w:t>
            </w:r>
          </w:p>
        </w:tc>
        <w:tc>
          <w:tcPr>
            <w:tcW w:w="9260" w:type="dxa"/>
            <w:vAlign w:val="bottom"/>
          </w:tcPr>
          <w:p w:rsidR="00A621E3" w:rsidRDefault="00EC630E">
            <w:pPr>
              <w:spacing w:line="165" w:lineRule="exact"/>
              <w:ind w:left="560"/>
              <w:rPr>
                <w:sz w:val="20"/>
                <w:szCs w:val="20"/>
              </w:rPr>
            </w:pPr>
            <w:r>
              <w:rPr>
                <w:rFonts w:ascii="Arial" w:eastAsia="Arial" w:hAnsi="Arial" w:cs="Arial"/>
                <w:color w:val="CF0A2C"/>
                <w:sz w:val="16"/>
                <w:szCs w:val="16"/>
              </w:rPr>
              <w:t>Chief Executive Officer (“</w:t>
            </w:r>
            <w:r>
              <w:rPr>
                <w:rFonts w:ascii="Arial" w:eastAsia="Arial" w:hAnsi="Arial" w:cs="Arial"/>
                <w:b/>
                <w:bCs/>
                <w:i/>
                <w:iCs/>
                <w:color w:val="CF0A2C"/>
                <w:sz w:val="16"/>
                <w:szCs w:val="16"/>
              </w:rPr>
              <w:t>CEO</w:t>
            </w:r>
            <w:r>
              <w:rPr>
                <w:rFonts w:ascii="Arial" w:eastAsia="Arial" w:hAnsi="Arial" w:cs="Arial"/>
                <w:color w:val="CF0A2C"/>
                <w:sz w:val="16"/>
                <w:szCs w:val="16"/>
              </w:rPr>
              <w:t>”)</w:t>
            </w:r>
          </w:p>
        </w:tc>
      </w:tr>
      <w:tr w:rsidR="00A621E3">
        <w:trPr>
          <w:trHeight w:val="209"/>
        </w:trPr>
        <w:tc>
          <w:tcPr>
            <w:tcW w:w="1760" w:type="dxa"/>
            <w:vAlign w:val="bottom"/>
          </w:tcPr>
          <w:p w:rsidR="00A621E3" w:rsidRDefault="00EC630E">
            <w:pPr>
              <w:rPr>
                <w:sz w:val="20"/>
                <w:szCs w:val="20"/>
              </w:rPr>
            </w:pPr>
            <w:r>
              <w:rPr>
                <w:rFonts w:ascii="Arial" w:eastAsia="Arial" w:hAnsi="Arial" w:cs="Arial"/>
                <w:color w:val="CF0A2C"/>
                <w:sz w:val="16"/>
                <w:szCs w:val="16"/>
              </w:rPr>
              <w:t>Andy Yeung</w:t>
            </w:r>
          </w:p>
        </w:tc>
        <w:tc>
          <w:tcPr>
            <w:tcW w:w="9260" w:type="dxa"/>
            <w:vAlign w:val="bottom"/>
          </w:tcPr>
          <w:p w:rsidR="00A621E3" w:rsidRDefault="00EC630E">
            <w:pPr>
              <w:ind w:left="560"/>
              <w:rPr>
                <w:sz w:val="20"/>
                <w:szCs w:val="20"/>
              </w:rPr>
            </w:pPr>
            <w:r>
              <w:rPr>
                <w:rFonts w:ascii="Arial" w:eastAsia="Arial" w:hAnsi="Arial" w:cs="Arial"/>
                <w:color w:val="CF0A2C"/>
                <w:sz w:val="16"/>
                <w:szCs w:val="16"/>
              </w:rPr>
              <w:t>Chief Financial Officer (“</w:t>
            </w:r>
            <w:r>
              <w:rPr>
                <w:rFonts w:ascii="Arial" w:eastAsia="Arial" w:hAnsi="Arial" w:cs="Arial"/>
                <w:b/>
                <w:bCs/>
                <w:i/>
                <w:iCs/>
                <w:color w:val="CF0A2C"/>
                <w:sz w:val="16"/>
                <w:szCs w:val="16"/>
              </w:rPr>
              <w:t>CFO</w:t>
            </w:r>
            <w:r>
              <w:rPr>
                <w:rFonts w:ascii="Arial" w:eastAsia="Arial" w:hAnsi="Arial" w:cs="Arial"/>
                <w:color w:val="CF0A2C"/>
                <w:sz w:val="16"/>
                <w:szCs w:val="16"/>
              </w:rPr>
              <w:t>”)</w:t>
            </w:r>
          </w:p>
        </w:tc>
      </w:tr>
      <w:tr w:rsidR="00A621E3">
        <w:trPr>
          <w:trHeight w:val="189"/>
        </w:trPr>
        <w:tc>
          <w:tcPr>
            <w:tcW w:w="1760" w:type="dxa"/>
            <w:vAlign w:val="bottom"/>
          </w:tcPr>
          <w:p w:rsidR="00A621E3" w:rsidRDefault="00EC630E">
            <w:pPr>
              <w:rPr>
                <w:sz w:val="20"/>
                <w:szCs w:val="20"/>
              </w:rPr>
            </w:pPr>
            <w:r>
              <w:rPr>
                <w:rFonts w:ascii="Arial" w:eastAsia="Arial" w:hAnsi="Arial" w:cs="Arial"/>
                <w:color w:val="CF0A2C"/>
                <w:sz w:val="16"/>
                <w:szCs w:val="16"/>
              </w:rPr>
              <w:t>Joseph Chan</w:t>
            </w:r>
          </w:p>
        </w:tc>
        <w:tc>
          <w:tcPr>
            <w:tcW w:w="9260" w:type="dxa"/>
            <w:vAlign w:val="bottom"/>
          </w:tcPr>
          <w:p w:rsidR="00A621E3" w:rsidRDefault="00EC630E">
            <w:pPr>
              <w:ind w:left="560"/>
              <w:rPr>
                <w:sz w:val="20"/>
                <w:szCs w:val="20"/>
              </w:rPr>
            </w:pPr>
            <w:r>
              <w:rPr>
                <w:rFonts w:ascii="Arial" w:eastAsia="Arial" w:hAnsi="Arial" w:cs="Arial"/>
                <w:color w:val="CF0A2C"/>
                <w:sz w:val="16"/>
                <w:szCs w:val="16"/>
              </w:rPr>
              <w:t>Chief Legal Officer</w:t>
            </w:r>
          </w:p>
        </w:tc>
      </w:tr>
      <w:tr w:rsidR="00A621E3">
        <w:trPr>
          <w:trHeight w:val="189"/>
        </w:trPr>
        <w:tc>
          <w:tcPr>
            <w:tcW w:w="1760" w:type="dxa"/>
            <w:vAlign w:val="bottom"/>
          </w:tcPr>
          <w:p w:rsidR="00A621E3" w:rsidRDefault="00EC630E">
            <w:pPr>
              <w:rPr>
                <w:sz w:val="20"/>
                <w:szCs w:val="20"/>
              </w:rPr>
            </w:pPr>
            <w:r>
              <w:rPr>
                <w:rFonts w:ascii="Arial" w:eastAsia="Arial" w:hAnsi="Arial" w:cs="Arial"/>
                <w:color w:val="CF0A2C"/>
                <w:sz w:val="16"/>
                <w:szCs w:val="16"/>
              </w:rPr>
              <w:t>Johnson Huang*</w:t>
            </w:r>
          </w:p>
        </w:tc>
        <w:tc>
          <w:tcPr>
            <w:tcW w:w="9260" w:type="dxa"/>
            <w:vAlign w:val="bottom"/>
          </w:tcPr>
          <w:p w:rsidR="00A621E3" w:rsidRDefault="00EC630E">
            <w:pPr>
              <w:ind w:left="560"/>
              <w:rPr>
                <w:sz w:val="20"/>
                <w:szCs w:val="20"/>
              </w:rPr>
            </w:pPr>
            <w:r>
              <w:rPr>
                <w:rFonts w:ascii="Arial" w:eastAsia="Arial" w:hAnsi="Arial" w:cs="Arial"/>
                <w:color w:val="CF0A2C"/>
                <w:sz w:val="16"/>
                <w:szCs w:val="16"/>
              </w:rPr>
              <w:t>Chief Customer Officer</w:t>
            </w:r>
          </w:p>
        </w:tc>
      </w:tr>
      <w:tr w:rsidR="00A621E3">
        <w:trPr>
          <w:trHeight w:val="187"/>
        </w:trPr>
        <w:tc>
          <w:tcPr>
            <w:tcW w:w="1760" w:type="dxa"/>
            <w:tcBorders>
              <w:bottom w:val="single" w:sz="8" w:space="0" w:color="CF0A2C"/>
            </w:tcBorders>
            <w:vAlign w:val="bottom"/>
          </w:tcPr>
          <w:p w:rsidR="00A621E3" w:rsidRDefault="00EC630E">
            <w:pPr>
              <w:rPr>
                <w:sz w:val="20"/>
                <w:szCs w:val="20"/>
              </w:rPr>
            </w:pPr>
            <w:r>
              <w:rPr>
                <w:rFonts w:ascii="Arial" w:eastAsia="Arial" w:hAnsi="Arial" w:cs="Arial"/>
                <w:color w:val="CF0A2C"/>
                <w:sz w:val="16"/>
                <w:szCs w:val="16"/>
              </w:rPr>
              <w:t>Aiken Yuen</w:t>
            </w:r>
          </w:p>
        </w:tc>
        <w:tc>
          <w:tcPr>
            <w:tcW w:w="9260" w:type="dxa"/>
            <w:tcBorders>
              <w:bottom w:val="single" w:sz="8" w:space="0" w:color="CF0A2C"/>
            </w:tcBorders>
            <w:vAlign w:val="bottom"/>
          </w:tcPr>
          <w:p w:rsidR="00A621E3" w:rsidRDefault="00EC630E">
            <w:pPr>
              <w:ind w:left="560"/>
              <w:rPr>
                <w:sz w:val="20"/>
                <w:szCs w:val="20"/>
              </w:rPr>
            </w:pPr>
            <w:r>
              <w:rPr>
                <w:rFonts w:ascii="Arial" w:eastAsia="Arial" w:hAnsi="Arial" w:cs="Arial"/>
                <w:color w:val="CF0A2C"/>
                <w:sz w:val="16"/>
                <w:szCs w:val="16"/>
              </w:rPr>
              <w:t xml:space="preserve">Chief People </w:t>
            </w:r>
            <w:r>
              <w:rPr>
                <w:rFonts w:ascii="Arial" w:eastAsia="Arial" w:hAnsi="Arial" w:cs="Arial"/>
                <w:color w:val="CF0A2C"/>
                <w:sz w:val="16"/>
                <w:szCs w:val="16"/>
              </w:rPr>
              <w:t>Officer</w:t>
            </w:r>
          </w:p>
        </w:tc>
      </w:tr>
    </w:tbl>
    <w:p w:rsidR="00A621E3" w:rsidRDefault="00A621E3">
      <w:pPr>
        <w:spacing w:line="280" w:lineRule="exact"/>
        <w:rPr>
          <w:sz w:val="20"/>
          <w:szCs w:val="20"/>
        </w:rPr>
      </w:pPr>
    </w:p>
    <w:p w:rsidR="00A621E3" w:rsidRDefault="00EC630E">
      <w:pPr>
        <w:numPr>
          <w:ilvl w:val="0"/>
          <w:numId w:val="49"/>
        </w:numPr>
        <w:tabs>
          <w:tab w:val="left" w:pos="760"/>
        </w:tabs>
        <w:spacing w:line="260" w:lineRule="auto"/>
        <w:ind w:left="760" w:right="20" w:hanging="644"/>
        <w:rPr>
          <w:rFonts w:ascii="Arial" w:eastAsia="Arial" w:hAnsi="Arial" w:cs="Arial"/>
          <w:color w:val="CF0A2C"/>
          <w:sz w:val="20"/>
          <w:szCs w:val="20"/>
        </w:rPr>
      </w:pPr>
      <w:r>
        <w:rPr>
          <w:rFonts w:ascii="Arial" w:eastAsia="Arial" w:hAnsi="Arial" w:cs="Arial"/>
          <w:sz w:val="20"/>
          <w:szCs w:val="20"/>
        </w:rPr>
        <w:t>Having served as General Manager, KFC through April 30, 2022, Mr. Huang was appointed as the Company’s Chief Customer Officer, effective May 1, 2022.</w:t>
      </w:r>
    </w:p>
    <w:p w:rsidR="00A621E3" w:rsidRDefault="00A621E3">
      <w:pPr>
        <w:spacing w:line="204" w:lineRule="exact"/>
        <w:rPr>
          <w:sz w:val="20"/>
          <w:szCs w:val="20"/>
        </w:rPr>
      </w:pPr>
    </w:p>
    <w:p w:rsidR="00A621E3" w:rsidRDefault="00EC630E">
      <w:pPr>
        <w:ind w:left="120"/>
        <w:rPr>
          <w:sz w:val="20"/>
          <w:szCs w:val="20"/>
        </w:rPr>
      </w:pPr>
      <w:r>
        <w:rPr>
          <w:rFonts w:ascii="Arial" w:eastAsia="Arial" w:hAnsi="Arial" w:cs="Arial"/>
          <w:sz w:val="20"/>
          <w:szCs w:val="20"/>
        </w:rPr>
        <w:t>This CD&amp;A is divided into four sections:</w:t>
      </w:r>
    </w:p>
    <w:p w:rsidR="00A621E3" w:rsidRDefault="00A621E3">
      <w:pPr>
        <w:spacing w:line="23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380"/>
        <w:gridCol w:w="8640"/>
      </w:tblGrid>
      <w:tr w:rsidR="00A621E3">
        <w:trPr>
          <w:trHeight w:val="264"/>
        </w:trPr>
        <w:tc>
          <w:tcPr>
            <w:tcW w:w="2380" w:type="dxa"/>
            <w:tcBorders>
              <w:top w:val="single" w:sz="8" w:space="0" w:color="CF0A2C"/>
            </w:tcBorders>
            <w:vAlign w:val="bottom"/>
          </w:tcPr>
          <w:p w:rsidR="00A621E3" w:rsidRDefault="00EC630E">
            <w:pPr>
              <w:rPr>
                <w:sz w:val="20"/>
                <w:szCs w:val="20"/>
              </w:rPr>
            </w:pPr>
            <w:r>
              <w:rPr>
                <w:rFonts w:ascii="Arial" w:eastAsia="Arial" w:hAnsi="Arial" w:cs="Arial"/>
                <w:b/>
                <w:bCs/>
                <w:color w:val="CF0A2C"/>
                <w:sz w:val="18"/>
                <w:szCs w:val="18"/>
              </w:rPr>
              <w:t>Executive Summary</w:t>
            </w:r>
          </w:p>
        </w:tc>
        <w:tc>
          <w:tcPr>
            <w:tcW w:w="8640" w:type="dxa"/>
            <w:tcBorders>
              <w:top w:val="single" w:sz="8" w:space="0" w:color="CF0A2C"/>
            </w:tcBorders>
            <w:vAlign w:val="bottom"/>
          </w:tcPr>
          <w:p w:rsidR="00A621E3" w:rsidRDefault="00EC630E">
            <w:pPr>
              <w:ind w:left="380"/>
              <w:rPr>
                <w:sz w:val="20"/>
                <w:szCs w:val="20"/>
              </w:rPr>
            </w:pPr>
            <w:r>
              <w:rPr>
                <w:rFonts w:ascii="Arial" w:eastAsia="Arial" w:hAnsi="Arial" w:cs="Arial"/>
                <w:color w:val="CF0A2C"/>
                <w:sz w:val="20"/>
                <w:szCs w:val="20"/>
              </w:rPr>
              <w:t xml:space="preserve">•  Context for Determining </w:t>
            </w:r>
            <w:r>
              <w:rPr>
                <w:rFonts w:ascii="Arial" w:eastAsia="Arial" w:hAnsi="Arial" w:cs="Arial"/>
                <w:color w:val="CF0A2C"/>
                <w:sz w:val="20"/>
                <w:szCs w:val="20"/>
              </w:rPr>
              <w:t>Executive Compensation Decisions</w:t>
            </w:r>
          </w:p>
        </w:tc>
      </w:tr>
      <w:tr w:rsidR="00A621E3">
        <w:trPr>
          <w:trHeight w:val="267"/>
        </w:trPr>
        <w:tc>
          <w:tcPr>
            <w:tcW w:w="2380" w:type="dxa"/>
            <w:vAlign w:val="bottom"/>
          </w:tcPr>
          <w:p w:rsidR="00A621E3" w:rsidRDefault="00A621E3">
            <w:pPr>
              <w:rPr>
                <w:sz w:val="23"/>
                <w:szCs w:val="23"/>
              </w:rPr>
            </w:pPr>
          </w:p>
        </w:tc>
        <w:tc>
          <w:tcPr>
            <w:tcW w:w="8640" w:type="dxa"/>
            <w:vAlign w:val="bottom"/>
          </w:tcPr>
          <w:p w:rsidR="00A621E3" w:rsidRDefault="00EC630E">
            <w:pPr>
              <w:ind w:left="380"/>
              <w:rPr>
                <w:sz w:val="20"/>
                <w:szCs w:val="20"/>
              </w:rPr>
            </w:pPr>
            <w:r>
              <w:rPr>
                <w:rFonts w:ascii="Arial" w:eastAsia="Arial" w:hAnsi="Arial" w:cs="Arial"/>
                <w:color w:val="CF0A2C"/>
                <w:sz w:val="20"/>
                <w:szCs w:val="20"/>
              </w:rPr>
              <w:t>•  Business Overview and Performance Highlights</w:t>
            </w:r>
          </w:p>
        </w:tc>
      </w:tr>
      <w:tr w:rsidR="00A621E3">
        <w:trPr>
          <w:trHeight w:val="284"/>
        </w:trPr>
        <w:tc>
          <w:tcPr>
            <w:tcW w:w="2380" w:type="dxa"/>
            <w:vAlign w:val="bottom"/>
          </w:tcPr>
          <w:p w:rsidR="00A621E3" w:rsidRDefault="00A621E3">
            <w:pPr>
              <w:rPr>
                <w:sz w:val="24"/>
                <w:szCs w:val="24"/>
              </w:rPr>
            </w:pPr>
          </w:p>
        </w:tc>
        <w:tc>
          <w:tcPr>
            <w:tcW w:w="8640" w:type="dxa"/>
            <w:vAlign w:val="bottom"/>
          </w:tcPr>
          <w:p w:rsidR="00A621E3" w:rsidRDefault="00EC630E">
            <w:pPr>
              <w:ind w:left="380"/>
              <w:rPr>
                <w:sz w:val="20"/>
                <w:szCs w:val="20"/>
              </w:rPr>
            </w:pPr>
            <w:r>
              <w:rPr>
                <w:rFonts w:ascii="Arial" w:eastAsia="Arial" w:hAnsi="Arial" w:cs="Arial"/>
                <w:color w:val="CF0A2C"/>
                <w:sz w:val="20"/>
                <w:szCs w:val="20"/>
              </w:rPr>
              <w:t>•  Recent Compensation Highlights</w:t>
            </w:r>
          </w:p>
        </w:tc>
      </w:tr>
      <w:tr w:rsidR="00A621E3">
        <w:trPr>
          <w:trHeight w:val="283"/>
        </w:trPr>
        <w:tc>
          <w:tcPr>
            <w:tcW w:w="2380" w:type="dxa"/>
            <w:vAlign w:val="bottom"/>
          </w:tcPr>
          <w:p w:rsidR="00A621E3" w:rsidRDefault="00A621E3">
            <w:pPr>
              <w:rPr>
                <w:sz w:val="24"/>
                <w:szCs w:val="24"/>
              </w:rPr>
            </w:pPr>
          </w:p>
        </w:tc>
        <w:tc>
          <w:tcPr>
            <w:tcW w:w="8640" w:type="dxa"/>
            <w:vAlign w:val="bottom"/>
          </w:tcPr>
          <w:p w:rsidR="00A621E3" w:rsidRDefault="00EC630E">
            <w:pPr>
              <w:ind w:left="380"/>
              <w:rPr>
                <w:sz w:val="20"/>
                <w:szCs w:val="20"/>
              </w:rPr>
            </w:pPr>
            <w:r>
              <w:rPr>
                <w:rFonts w:ascii="Arial" w:eastAsia="Arial" w:hAnsi="Arial" w:cs="Arial"/>
                <w:color w:val="CF0A2C"/>
                <w:sz w:val="20"/>
                <w:szCs w:val="20"/>
              </w:rPr>
              <w:t>•  Alignment of Executive Compensation Program with Business Performance</w:t>
            </w:r>
          </w:p>
        </w:tc>
      </w:tr>
      <w:tr w:rsidR="00A621E3">
        <w:trPr>
          <w:trHeight w:val="283"/>
        </w:trPr>
        <w:tc>
          <w:tcPr>
            <w:tcW w:w="2380" w:type="dxa"/>
            <w:vAlign w:val="bottom"/>
          </w:tcPr>
          <w:p w:rsidR="00A621E3" w:rsidRDefault="00A621E3">
            <w:pPr>
              <w:rPr>
                <w:sz w:val="24"/>
                <w:szCs w:val="24"/>
              </w:rPr>
            </w:pPr>
          </w:p>
        </w:tc>
        <w:tc>
          <w:tcPr>
            <w:tcW w:w="8640" w:type="dxa"/>
            <w:vAlign w:val="bottom"/>
          </w:tcPr>
          <w:p w:rsidR="00A621E3" w:rsidRDefault="00EC630E">
            <w:pPr>
              <w:ind w:left="380"/>
              <w:rPr>
                <w:sz w:val="20"/>
                <w:szCs w:val="20"/>
              </w:rPr>
            </w:pPr>
            <w:r>
              <w:rPr>
                <w:rFonts w:ascii="Arial" w:eastAsia="Arial" w:hAnsi="Arial" w:cs="Arial"/>
                <w:color w:val="CF0A2C"/>
                <w:sz w:val="20"/>
                <w:szCs w:val="20"/>
              </w:rPr>
              <w:t>•  Pay Components</w:t>
            </w:r>
          </w:p>
        </w:tc>
      </w:tr>
      <w:tr w:rsidR="00A621E3">
        <w:trPr>
          <w:trHeight w:val="284"/>
        </w:trPr>
        <w:tc>
          <w:tcPr>
            <w:tcW w:w="2380" w:type="dxa"/>
            <w:vAlign w:val="bottom"/>
          </w:tcPr>
          <w:p w:rsidR="00A621E3" w:rsidRDefault="00A621E3">
            <w:pPr>
              <w:rPr>
                <w:sz w:val="24"/>
                <w:szCs w:val="24"/>
              </w:rPr>
            </w:pPr>
          </w:p>
        </w:tc>
        <w:tc>
          <w:tcPr>
            <w:tcW w:w="8640" w:type="dxa"/>
            <w:vAlign w:val="bottom"/>
          </w:tcPr>
          <w:p w:rsidR="00A621E3" w:rsidRDefault="00EC630E">
            <w:pPr>
              <w:ind w:left="380"/>
              <w:rPr>
                <w:sz w:val="20"/>
                <w:szCs w:val="20"/>
              </w:rPr>
            </w:pPr>
            <w:r>
              <w:rPr>
                <w:rFonts w:ascii="Arial" w:eastAsia="Arial" w:hAnsi="Arial" w:cs="Arial"/>
                <w:color w:val="CF0A2C"/>
                <w:sz w:val="20"/>
                <w:szCs w:val="20"/>
              </w:rPr>
              <w:t>•  Executive Compensation Practices</w:t>
            </w:r>
          </w:p>
        </w:tc>
      </w:tr>
      <w:tr w:rsidR="00A621E3">
        <w:trPr>
          <w:trHeight w:val="280"/>
        </w:trPr>
        <w:tc>
          <w:tcPr>
            <w:tcW w:w="2380" w:type="dxa"/>
            <w:tcBorders>
              <w:bottom w:val="single" w:sz="8" w:space="0" w:color="CF0A2C"/>
            </w:tcBorders>
            <w:vAlign w:val="bottom"/>
          </w:tcPr>
          <w:p w:rsidR="00A621E3" w:rsidRDefault="00A621E3">
            <w:pPr>
              <w:rPr>
                <w:sz w:val="24"/>
                <w:szCs w:val="24"/>
              </w:rPr>
            </w:pPr>
          </w:p>
        </w:tc>
        <w:tc>
          <w:tcPr>
            <w:tcW w:w="8640" w:type="dxa"/>
            <w:tcBorders>
              <w:bottom w:val="single" w:sz="8" w:space="0" w:color="CF0A2C"/>
            </w:tcBorders>
            <w:vAlign w:val="bottom"/>
          </w:tcPr>
          <w:p w:rsidR="00A621E3" w:rsidRDefault="00EC630E">
            <w:pPr>
              <w:ind w:left="380"/>
              <w:rPr>
                <w:sz w:val="20"/>
                <w:szCs w:val="20"/>
              </w:rPr>
            </w:pPr>
            <w:r>
              <w:rPr>
                <w:rFonts w:ascii="Arial" w:eastAsia="Arial" w:hAnsi="Arial" w:cs="Arial"/>
                <w:color w:val="CF0A2C"/>
                <w:sz w:val="20"/>
                <w:szCs w:val="20"/>
              </w:rPr>
              <w:t>•  Stockholder Engagement</w:t>
            </w:r>
          </w:p>
        </w:tc>
      </w:tr>
      <w:tr w:rsidR="00A621E3">
        <w:trPr>
          <w:trHeight w:val="259"/>
        </w:trPr>
        <w:tc>
          <w:tcPr>
            <w:tcW w:w="2380" w:type="dxa"/>
            <w:vAlign w:val="bottom"/>
          </w:tcPr>
          <w:p w:rsidR="00A621E3" w:rsidRDefault="00EC630E">
            <w:pPr>
              <w:rPr>
                <w:sz w:val="20"/>
                <w:szCs w:val="20"/>
              </w:rPr>
            </w:pPr>
            <w:r>
              <w:rPr>
                <w:rFonts w:ascii="Arial" w:eastAsia="Arial" w:hAnsi="Arial" w:cs="Arial"/>
                <w:b/>
                <w:bCs/>
                <w:color w:val="CF0A2C"/>
                <w:sz w:val="18"/>
                <w:szCs w:val="18"/>
              </w:rPr>
              <w:t>Elements of the Executive</w:t>
            </w:r>
          </w:p>
        </w:tc>
        <w:tc>
          <w:tcPr>
            <w:tcW w:w="8640" w:type="dxa"/>
            <w:vAlign w:val="bottom"/>
          </w:tcPr>
          <w:p w:rsidR="00A621E3" w:rsidRDefault="00EC630E">
            <w:pPr>
              <w:ind w:left="380"/>
              <w:rPr>
                <w:sz w:val="20"/>
                <w:szCs w:val="20"/>
              </w:rPr>
            </w:pPr>
            <w:r>
              <w:rPr>
                <w:rFonts w:ascii="Arial" w:eastAsia="Arial" w:hAnsi="Arial" w:cs="Arial"/>
                <w:color w:val="CF0A2C"/>
                <w:sz w:val="20"/>
                <w:szCs w:val="20"/>
              </w:rPr>
              <w:t>•  Base Salary</w:t>
            </w:r>
          </w:p>
        </w:tc>
      </w:tr>
      <w:tr w:rsidR="00A621E3">
        <w:trPr>
          <w:trHeight w:val="265"/>
        </w:trPr>
        <w:tc>
          <w:tcPr>
            <w:tcW w:w="2380" w:type="dxa"/>
            <w:vAlign w:val="bottom"/>
          </w:tcPr>
          <w:p w:rsidR="00A621E3" w:rsidRDefault="00EC630E">
            <w:pPr>
              <w:rPr>
                <w:sz w:val="20"/>
                <w:szCs w:val="20"/>
              </w:rPr>
            </w:pPr>
            <w:r>
              <w:rPr>
                <w:rFonts w:ascii="Arial" w:eastAsia="Arial" w:hAnsi="Arial" w:cs="Arial"/>
                <w:b/>
                <w:bCs/>
                <w:color w:val="CF0A2C"/>
                <w:sz w:val="18"/>
                <w:szCs w:val="18"/>
              </w:rPr>
              <w:t>Compensation Program</w:t>
            </w:r>
          </w:p>
        </w:tc>
        <w:tc>
          <w:tcPr>
            <w:tcW w:w="8640" w:type="dxa"/>
            <w:vAlign w:val="bottom"/>
          </w:tcPr>
          <w:p w:rsidR="00A621E3" w:rsidRDefault="00EC630E">
            <w:pPr>
              <w:ind w:left="380"/>
              <w:rPr>
                <w:sz w:val="20"/>
                <w:szCs w:val="20"/>
              </w:rPr>
            </w:pPr>
            <w:r>
              <w:rPr>
                <w:rFonts w:ascii="Arial" w:eastAsia="Arial" w:hAnsi="Arial" w:cs="Arial"/>
                <w:color w:val="CF0A2C"/>
                <w:sz w:val="20"/>
                <w:szCs w:val="20"/>
              </w:rPr>
              <w:t>•  Annual Performance-Based Cash Bonuses</w:t>
            </w:r>
          </w:p>
        </w:tc>
      </w:tr>
      <w:tr w:rsidR="00A621E3">
        <w:trPr>
          <w:trHeight w:val="283"/>
        </w:trPr>
        <w:tc>
          <w:tcPr>
            <w:tcW w:w="2380" w:type="dxa"/>
            <w:vAlign w:val="bottom"/>
          </w:tcPr>
          <w:p w:rsidR="00A621E3" w:rsidRDefault="00A621E3">
            <w:pPr>
              <w:rPr>
                <w:sz w:val="24"/>
                <w:szCs w:val="24"/>
              </w:rPr>
            </w:pPr>
          </w:p>
        </w:tc>
        <w:tc>
          <w:tcPr>
            <w:tcW w:w="8640" w:type="dxa"/>
            <w:vAlign w:val="bottom"/>
          </w:tcPr>
          <w:p w:rsidR="00A621E3" w:rsidRDefault="00EC630E">
            <w:pPr>
              <w:ind w:left="380"/>
              <w:rPr>
                <w:sz w:val="20"/>
                <w:szCs w:val="20"/>
              </w:rPr>
            </w:pPr>
            <w:r>
              <w:rPr>
                <w:rFonts w:ascii="Arial" w:eastAsia="Arial" w:hAnsi="Arial" w:cs="Arial"/>
                <w:color w:val="CF0A2C"/>
                <w:sz w:val="20"/>
                <w:szCs w:val="20"/>
              </w:rPr>
              <w:t>•  Long-Term Equity Incentives</w:t>
            </w:r>
          </w:p>
        </w:tc>
      </w:tr>
      <w:tr w:rsidR="00A621E3">
        <w:trPr>
          <w:trHeight w:val="284"/>
        </w:trPr>
        <w:tc>
          <w:tcPr>
            <w:tcW w:w="2380" w:type="dxa"/>
            <w:vAlign w:val="bottom"/>
          </w:tcPr>
          <w:p w:rsidR="00A621E3" w:rsidRDefault="00A621E3">
            <w:pPr>
              <w:rPr>
                <w:sz w:val="24"/>
                <w:szCs w:val="24"/>
              </w:rPr>
            </w:pPr>
          </w:p>
        </w:tc>
        <w:tc>
          <w:tcPr>
            <w:tcW w:w="8640" w:type="dxa"/>
            <w:vAlign w:val="bottom"/>
          </w:tcPr>
          <w:p w:rsidR="00A621E3" w:rsidRDefault="00EC630E">
            <w:pPr>
              <w:ind w:left="380"/>
              <w:rPr>
                <w:sz w:val="20"/>
                <w:szCs w:val="20"/>
              </w:rPr>
            </w:pPr>
            <w:r>
              <w:rPr>
                <w:rFonts w:ascii="Arial" w:eastAsia="Arial" w:hAnsi="Arial" w:cs="Arial"/>
                <w:color w:val="CF0A2C"/>
                <w:sz w:val="20"/>
                <w:szCs w:val="20"/>
              </w:rPr>
              <w:t>•  Other Elements of Executive Compensation Program</w:t>
            </w:r>
          </w:p>
        </w:tc>
      </w:tr>
      <w:tr w:rsidR="00A621E3">
        <w:trPr>
          <w:trHeight w:val="279"/>
        </w:trPr>
        <w:tc>
          <w:tcPr>
            <w:tcW w:w="2380" w:type="dxa"/>
            <w:tcBorders>
              <w:bottom w:val="single" w:sz="8" w:space="0" w:color="CF0A2C"/>
            </w:tcBorders>
            <w:vAlign w:val="bottom"/>
          </w:tcPr>
          <w:p w:rsidR="00A621E3" w:rsidRDefault="00A621E3">
            <w:pPr>
              <w:rPr>
                <w:sz w:val="24"/>
                <w:szCs w:val="24"/>
              </w:rPr>
            </w:pPr>
          </w:p>
        </w:tc>
        <w:tc>
          <w:tcPr>
            <w:tcW w:w="8640" w:type="dxa"/>
            <w:tcBorders>
              <w:bottom w:val="single" w:sz="8" w:space="0" w:color="CF0A2C"/>
            </w:tcBorders>
            <w:vAlign w:val="bottom"/>
          </w:tcPr>
          <w:p w:rsidR="00A621E3" w:rsidRDefault="00EC630E">
            <w:pPr>
              <w:ind w:left="380"/>
              <w:rPr>
                <w:sz w:val="20"/>
                <w:szCs w:val="20"/>
              </w:rPr>
            </w:pPr>
            <w:r>
              <w:rPr>
                <w:rFonts w:ascii="Arial" w:eastAsia="Arial" w:hAnsi="Arial" w:cs="Arial"/>
                <w:color w:val="CF0A2C"/>
                <w:sz w:val="20"/>
                <w:szCs w:val="20"/>
              </w:rPr>
              <w:t xml:space="preserve">•  2022 NEO Compensation and </w:t>
            </w:r>
            <w:r>
              <w:rPr>
                <w:rFonts w:ascii="Arial" w:eastAsia="Arial" w:hAnsi="Arial" w:cs="Arial"/>
                <w:color w:val="CF0A2C"/>
                <w:sz w:val="20"/>
                <w:szCs w:val="20"/>
              </w:rPr>
              <w:t>Performance Summary</w:t>
            </w:r>
          </w:p>
        </w:tc>
      </w:tr>
    </w:tbl>
    <w:p w:rsidR="00A621E3" w:rsidRDefault="00A621E3">
      <w:pPr>
        <w:spacing w:line="153" w:lineRule="exact"/>
        <w:rPr>
          <w:sz w:val="20"/>
          <w:szCs w:val="20"/>
        </w:rPr>
      </w:pPr>
    </w:p>
    <w:p w:rsidR="00A621E3" w:rsidRDefault="00EC630E">
      <w:pPr>
        <w:numPr>
          <w:ilvl w:val="0"/>
          <w:numId w:val="50"/>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85996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48" w:name="page48"/>
      <w:bookmarkEnd w:id="48"/>
      <w:r>
        <w:rPr>
          <w:rFonts w:ascii="Arial" w:eastAsia="Arial" w:hAnsi="Arial" w:cs="Arial"/>
          <w:b/>
          <w:bCs/>
          <w:noProof/>
          <w:color w:val="0000EE"/>
          <w:sz w:val="18"/>
          <w:szCs w:val="18"/>
          <w:u w:val="single"/>
        </w:rPr>
        <w:lastRenderedPageBreak/>
        <w:drawing>
          <wp:anchor distT="0" distB="0" distL="114300" distR="114300" simplePos="0" relativeHeight="25186099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62016"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680"/>
        <w:rPr>
          <w:sz w:val="20"/>
          <w:szCs w:val="20"/>
        </w:rPr>
      </w:pPr>
      <w:r>
        <w:rPr>
          <w:rFonts w:ascii="Arial" w:eastAsia="Arial" w:hAnsi="Arial" w:cs="Arial"/>
          <w:b/>
          <w:bCs/>
          <w:color w:val="FFFFFF"/>
          <w:sz w:val="16"/>
          <w:szCs w:val="16"/>
        </w:rPr>
        <w:t>EXECUTIVE COMPENSATION</w:t>
      </w:r>
    </w:p>
    <w:p w:rsidR="00A621E3" w:rsidRDefault="00A621E3">
      <w:pPr>
        <w:spacing w:line="206"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240"/>
        <w:gridCol w:w="8780"/>
      </w:tblGrid>
      <w:tr w:rsidR="00A621E3">
        <w:trPr>
          <w:trHeight w:val="225"/>
        </w:trPr>
        <w:tc>
          <w:tcPr>
            <w:tcW w:w="2240" w:type="dxa"/>
            <w:tcBorders>
              <w:top w:val="single" w:sz="8" w:space="0" w:color="CF0A2C"/>
            </w:tcBorders>
            <w:vAlign w:val="bottom"/>
          </w:tcPr>
          <w:p w:rsidR="00A621E3" w:rsidRDefault="00EC630E">
            <w:pPr>
              <w:rPr>
                <w:sz w:val="20"/>
                <w:szCs w:val="20"/>
              </w:rPr>
            </w:pPr>
            <w:r>
              <w:rPr>
                <w:rFonts w:ascii="Arial" w:eastAsia="Arial" w:hAnsi="Arial" w:cs="Arial"/>
                <w:b/>
                <w:bCs/>
                <w:color w:val="CF0A2C"/>
                <w:sz w:val="18"/>
                <w:szCs w:val="18"/>
              </w:rPr>
              <w:t>How Compensation</w:t>
            </w:r>
          </w:p>
        </w:tc>
        <w:tc>
          <w:tcPr>
            <w:tcW w:w="8780" w:type="dxa"/>
            <w:tcBorders>
              <w:top w:val="single" w:sz="8" w:space="0" w:color="CF0A2C"/>
            </w:tcBorders>
            <w:vAlign w:val="bottom"/>
          </w:tcPr>
          <w:p w:rsidR="00A621E3" w:rsidRDefault="00EC630E">
            <w:pPr>
              <w:spacing w:line="225" w:lineRule="exact"/>
              <w:ind w:left="520"/>
              <w:rPr>
                <w:sz w:val="20"/>
                <w:szCs w:val="20"/>
              </w:rPr>
            </w:pPr>
            <w:r>
              <w:rPr>
                <w:rFonts w:ascii="Arial" w:eastAsia="Arial" w:hAnsi="Arial" w:cs="Arial"/>
                <w:color w:val="CF0A2C"/>
                <w:sz w:val="20"/>
                <w:szCs w:val="20"/>
              </w:rPr>
              <w:t>•  Executive Compensation Philosophy</w:t>
            </w:r>
          </w:p>
        </w:tc>
      </w:tr>
      <w:tr w:rsidR="00A621E3">
        <w:trPr>
          <w:trHeight w:val="265"/>
        </w:trPr>
        <w:tc>
          <w:tcPr>
            <w:tcW w:w="2240" w:type="dxa"/>
            <w:vAlign w:val="bottom"/>
          </w:tcPr>
          <w:p w:rsidR="00A621E3" w:rsidRDefault="00EC630E">
            <w:pPr>
              <w:rPr>
                <w:sz w:val="20"/>
                <w:szCs w:val="20"/>
              </w:rPr>
            </w:pPr>
            <w:r>
              <w:rPr>
                <w:rFonts w:ascii="Arial" w:eastAsia="Arial" w:hAnsi="Arial" w:cs="Arial"/>
                <w:b/>
                <w:bCs/>
                <w:color w:val="CF0A2C"/>
                <w:sz w:val="18"/>
                <w:szCs w:val="18"/>
              </w:rPr>
              <w:t>Decisions Are Made</w:t>
            </w:r>
          </w:p>
        </w:tc>
        <w:tc>
          <w:tcPr>
            <w:tcW w:w="8780" w:type="dxa"/>
            <w:vAlign w:val="bottom"/>
          </w:tcPr>
          <w:p w:rsidR="00A621E3" w:rsidRDefault="00EC630E">
            <w:pPr>
              <w:ind w:left="520"/>
              <w:rPr>
                <w:sz w:val="20"/>
                <w:szCs w:val="20"/>
              </w:rPr>
            </w:pPr>
            <w:r>
              <w:rPr>
                <w:rFonts w:ascii="Arial" w:eastAsia="Arial" w:hAnsi="Arial" w:cs="Arial"/>
                <w:color w:val="CF0A2C"/>
                <w:sz w:val="20"/>
                <w:szCs w:val="20"/>
              </w:rPr>
              <w:t>•  Role of the Compensation Committee</w:t>
            </w:r>
          </w:p>
        </w:tc>
      </w:tr>
      <w:tr w:rsidR="00A621E3">
        <w:trPr>
          <w:trHeight w:val="283"/>
        </w:trPr>
        <w:tc>
          <w:tcPr>
            <w:tcW w:w="2240" w:type="dxa"/>
            <w:vAlign w:val="bottom"/>
          </w:tcPr>
          <w:p w:rsidR="00A621E3" w:rsidRDefault="00A621E3">
            <w:pPr>
              <w:rPr>
                <w:sz w:val="24"/>
                <w:szCs w:val="24"/>
              </w:rPr>
            </w:pPr>
          </w:p>
        </w:tc>
        <w:tc>
          <w:tcPr>
            <w:tcW w:w="8780" w:type="dxa"/>
            <w:vAlign w:val="bottom"/>
          </w:tcPr>
          <w:p w:rsidR="00A621E3" w:rsidRDefault="00EC630E">
            <w:pPr>
              <w:ind w:left="520"/>
              <w:rPr>
                <w:sz w:val="20"/>
                <w:szCs w:val="20"/>
              </w:rPr>
            </w:pPr>
            <w:r>
              <w:rPr>
                <w:rFonts w:ascii="Arial" w:eastAsia="Arial" w:hAnsi="Arial" w:cs="Arial"/>
                <w:color w:val="CF0A2C"/>
                <w:sz w:val="20"/>
                <w:szCs w:val="20"/>
              </w:rPr>
              <w:t xml:space="preserve">•  Role of the </w:t>
            </w:r>
            <w:r>
              <w:rPr>
                <w:rFonts w:ascii="Arial" w:eastAsia="Arial" w:hAnsi="Arial" w:cs="Arial"/>
                <w:color w:val="CF0A2C"/>
                <w:sz w:val="20"/>
                <w:szCs w:val="20"/>
              </w:rPr>
              <w:t>Independent Consultant</w:t>
            </w:r>
          </w:p>
        </w:tc>
      </w:tr>
      <w:tr w:rsidR="00A621E3">
        <w:trPr>
          <w:trHeight w:val="283"/>
        </w:trPr>
        <w:tc>
          <w:tcPr>
            <w:tcW w:w="2240" w:type="dxa"/>
            <w:vAlign w:val="bottom"/>
          </w:tcPr>
          <w:p w:rsidR="00A621E3" w:rsidRDefault="00A621E3">
            <w:pPr>
              <w:rPr>
                <w:sz w:val="24"/>
                <w:szCs w:val="24"/>
              </w:rPr>
            </w:pPr>
          </w:p>
        </w:tc>
        <w:tc>
          <w:tcPr>
            <w:tcW w:w="8780" w:type="dxa"/>
            <w:vAlign w:val="bottom"/>
          </w:tcPr>
          <w:p w:rsidR="00A621E3" w:rsidRDefault="00EC630E">
            <w:pPr>
              <w:ind w:left="520"/>
              <w:rPr>
                <w:sz w:val="20"/>
                <w:szCs w:val="20"/>
              </w:rPr>
            </w:pPr>
            <w:r>
              <w:rPr>
                <w:rFonts w:ascii="Arial" w:eastAsia="Arial" w:hAnsi="Arial" w:cs="Arial"/>
                <w:color w:val="CF0A2C"/>
                <w:sz w:val="20"/>
                <w:szCs w:val="20"/>
              </w:rPr>
              <w:t>•  Executive Compensation Peer Group</w:t>
            </w:r>
          </w:p>
        </w:tc>
      </w:tr>
      <w:tr w:rsidR="00A621E3">
        <w:trPr>
          <w:trHeight w:val="279"/>
        </w:trPr>
        <w:tc>
          <w:tcPr>
            <w:tcW w:w="2240" w:type="dxa"/>
            <w:tcBorders>
              <w:bottom w:val="single" w:sz="8" w:space="0" w:color="CF0A2C"/>
            </w:tcBorders>
            <w:vAlign w:val="bottom"/>
          </w:tcPr>
          <w:p w:rsidR="00A621E3" w:rsidRDefault="00A621E3">
            <w:pPr>
              <w:rPr>
                <w:sz w:val="24"/>
                <w:szCs w:val="24"/>
              </w:rPr>
            </w:pPr>
          </w:p>
        </w:tc>
        <w:tc>
          <w:tcPr>
            <w:tcW w:w="8780" w:type="dxa"/>
            <w:tcBorders>
              <w:bottom w:val="single" w:sz="8" w:space="0" w:color="CF0A2C"/>
            </w:tcBorders>
            <w:vAlign w:val="bottom"/>
          </w:tcPr>
          <w:p w:rsidR="00A621E3" w:rsidRDefault="00EC630E">
            <w:pPr>
              <w:ind w:left="520"/>
              <w:rPr>
                <w:sz w:val="20"/>
                <w:szCs w:val="20"/>
              </w:rPr>
            </w:pPr>
            <w:r>
              <w:rPr>
                <w:rFonts w:ascii="Arial" w:eastAsia="Arial" w:hAnsi="Arial" w:cs="Arial"/>
                <w:color w:val="CF0A2C"/>
                <w:sz w:val="20"/>
                <w:szCs w:val="20"/>
              </w:rPr>
              <w:t>•  Competitive Positioning and Setting Compensation</w:t>
            </w:r>
          </w:p>
        </w:tc>
      </w:tr>
      <w:tr w:rsidR="00A621E3">
        <w:trPr>
          <w:trHeight w:val="220"/>
        </w:trPr>
        <w:tc>
          <w:tcPr>
            <w:tcW w:w="2240" w:type="dxa"/>
            <w:vAlign w:val="bottom"/>
          </w:tcPr>
          <w:p w:rsidR="00A621E3" w:rsidRDefault="00EC630E">
            <w:pPr>
              <w:rPr>
                <w:sz w:val="20"/>
                <w:szCs w:val="20"/>
              </w:rPr>
            </w:pPr>
            <w:r>
              <w:rPr>
                <w:rFonts w:ascii="Arial" w:eastAsia="Arial" w:hAnsi="Arial" w:cs="Arial"/>
                <w:b/>
                <w:bCs/>
                <w:color w:val="CF0A2C"/>
                <w:sz w:val="18"/>
                <w:szCs w:val="18"/>
              </w:rPr>
              <w:t>Compensation Policies</w:t>
            </w:r>
          </w:p>
        </w:tc>
        <w:tc>
          <w:tcPr>
            <w:tcW w:w="8780" w:type="dxa"/>
            <w:vAlign w:val="bottom"/>
          </w:tcPr>
          <w:p w:rsidR="00A621E3" w:rsidRDefault="00EC630E">
            <w:pPr>
              <w:spacing w:line="220" w:lineRule="exact"/>
              <w:ind w:left="520"/>
              <w:rPr>
                <w:sz w:val="20"/>
                <w:szCs w:val="20"/>
              </w:rPr>
            </w:pPr>
            <w:r>
              <w:rPr>
                <w:rFonts w:ascii="Arial" w:eastAsia="Arial" w:hAnsi="Arial" w:cs="Arial"/>
                <w:color w:val="CF0A2C"/>
                <w:sz w:val="20"/>
                <w:szCs w:val="20"/>
              </w:rPr>
              <w:t>•  Compensation Recovery Policy</w:t>
            </w:r>
          </w:p>
        </w:tc>
      </w:tr>
      <w:tr w:rsidR="00A621E3">
        <w:trPr>
          <w:trHeight w:val="250"/>
        </w:trPr>
        <w:tc>
          <w:tcPr>
            <w:tcW w:w="2240" w:type="dxa"/>
            <w:vAlign w:val="bottom"/>
          </w:tcPr>
          <w:p w:rsidR="00A621E3" w:rsidRDefault="00A621E3">
            <w:pPr>
              <w:rPr>
                <w:sz w:val="21"/>
                <w:szCs w:val="21"/>
              </w:rPr>
            </w:pPr>
          </w:p>
        </w:tc>
        <w:tc>
          <w:tcPr>
            <w:tcW w:w="8780" w:type="dxa"/>
            <w:vAlign w:val="bottom"/>
          </w:tcPr>
          <w:p w:rsidR="00A621E3" w:rsidRDefault="00EC630E">
            <w:pPr>
              <w:ind w:left="520"/>
              <w:rPr>
                <w:sz w:val="20"/>
                <w:szCs w:val="20"/>
              </w:rPr>
            </w:pPr>
            <w:r>
              <w:rPr>
                <w:rFonts w:ascii="Arial" w:eastAsia="Arial" w:hAnsi="Arial" w:cs="Arial"/>
                <w:color w:val="CF0A2C"/>
                <w:sz w:val="20"/>
                <w:szCs w:val="20"/>
              </w:rPr>
              <w:t>•  Equity-Based Awards Grant Policy</w:t>
            </w:r>
          </w:p>
        </w:tc>
      </w:tr>
      <w:tr w:rsidR="00A621E3">
        <w:trPr>
          <w:trHeight w:val="283"/>
        </w:trPr>
        <w:tc>
          <w:tcPr>
            <w:tcW w:w="2240" w:type="dxa"/>
            <w:vAlign w:val="bottom"/>
          </w:tcPr>
          <w:p w:rsidR="00A621E3" w:rsidRDefault="00A621E3">
            <w:pPr>
              <w:rPr>
                <w:sz w:val="24"/>
                <w:szCs w:val="24"/>
              </w:rPr>
            </w:pPr>
          </w:p>
        </w:tc>
        <w:tc>
          <w:tcPr>
            <w:tcW w:w="8780" w:type="dxa"/>
            <w:vAlign w:val="bottom"/>
          </w:tcPr>
          <w:p w:rsidR="00A621E3" w:rsidRDefault="00EC630E">
            <w:pPr>
              <w:ind w:left="520"/>
              <w:rPr>
                <w:sz w:val="20"/>
                <w:szCs w:val="20"/>
              </w:rPr>
            </w:pPr>
            <w:r>
              <w:rPr>
                <w:rFonts w:ascii="Arial" w:eastAsia="Arial" w:hAnsi="Arial" w:cs="Arial"/>
                <w:color w:val="CF0A2C"/>
                <w:sz w:val="20"/>
                <w:szCs w:val="20"/>
              </w:rPr>
              <w:t xml:space="preserve">•  Stock Ownership Guidelines and Retention </w:t>
            </w:r>
            <w:r>
              <w:rPr>
                <w:rFonts w:ascii="Arial" w:eastAsia="Arial" w:hAnsi="Arial" w:cs="Arial"/>
                <w:color w:val="CF0A2C"/>
                <w:sz w:val="20"/>
                <w:szCs w:val="20"/>
              </w:rPr>
              <w:t>Policy</w:t>
            </w:r>
          </w:p>
        </w:tc>
      </w:tr>
      <w:tr w:rsidR="00A621E3">
        <w:trPr>
          <w:trHeight w:val="279"/>
        </w:trPr>
        <w:tc>
          <w:tcPr>
            <w:tcW w:w="2240" w:type="dxa"/>
            <w:tcBorders>
              <w:bottom w:val="single" w:sz="8" w:space="0" w:color="CF0A2C"/>
            </w:tcBorders>
            <w:vAlign w:val="bottom"/>
          </w:tcPr>
          <w:p w:rsidR="00A621E3" w:rsidRDefault="00A621E3">
            <w:pPr>
              <w:rPr>
                <w:sz w:val="24"/>
                <w:szCs w:val="24"/>
              </w:rPr>
            </w:pPr>
          </w:p>
        </w:tc>
        <w:tc>
          <w:tcPr>
            <w:tcW w:w="8780" w:type="dxa"/>
            <w:tcBorders>
              <w:bottom w:val="single" w:sz="8" w:space="0" w:color="CF0A2C"/>
            </w:tcBorders>
            <w:vAlign w:val="bottom"/>
          </w:tcPr>
          <w:p w:rsidR="00A621E3" w:rsidRDefault="00EC630E">
            <w:pPr>
              <w:ind w:left="520"/>
              <w:rPr>
                <w:sz w:val="20"/>
                <w:szCs w:val="20"/>
              </w:rPr>
            </w:pPr>
            <w:r>
              <w:rPr>
                <w:rFonts w:ascii="Arial" w:eastAsia="Arial" w:hAnsi="Arial" w:cs="Arial"/>
                <w:color w:val="CF0A2C"/>
                <w:sz w:val="20"/>
                <w:szCs w:val="20"/>
              </w:rPr>
              <w:t>•  Hedging and Pledging of Company Stock</w:t>
            </w:r>
          </w:p>
        </w:tc>
      </w:tr>
    </w:tbl>
    <w:p w:rsidR="00A621E3" w:rsidRDefault="00A621E3">
      <w:pPr>
        <w:spacing w:line="132" w:lineRule="exact"/>
        <w:rPr>
          <w:sz w:val="20"/>
          <w:szCs w:val="20"/>
        </w:rPr>
      </w:pPr>
    </w:p>
    <w:p w:rsidR="00A621E3" w:rsidRDefault="00EC630E">
      <w:pPr>
        <w:ind w:left="120"/>
        <w:rPr>
          <w:sz w:val="20"/>
          <w:szCs w:val="20"/>
        </w:rPr>
      </w:pPr>
      <w:r>
        <w:rPr>
          <w:rFonts w:ascii="Arial" w:eastAsia="Arial" w:hAnsi="Arial" w:cs="Arial"/>
          <w:b/>
          <w:bCs/>
          <w:color w:val="CF0A2C"/>
          <w:sz w:val="25"/>
          <w:szCs w:val="25"/>
        </w:rPr>
        <w:t>Executive Summary</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20" w:lineRule="exact"/>
        <w:rPr>
          <w:sz w:val="20"/>
          <w:szCs w:val="20"/>
        </w:rPr>
      </w:pPr>
    </w:p>
    <w:p w:rsidR="00A621E3" w:rsidRDefault="00EC630E">
      <w:pPr>
        <w:ind w:left="120"/>
        <w:rPr>
          <w:sz w:val="20"/>
          <w:szCs w:val="20"/>
        </w:rPr>
      </w:pPr>
      <w:r>
        <w:rPr>
          <w:rFonts w:ascii="Arial" w:eastAsia="Arial" w:hAnsi="Arial" w:cs="Arial"/>
          <w:b/>
          <w:bCs/>
          <w:color w:val="CF0A2C"/>
          <w:sz w:val="18"/>
          <w:szCs w:val="18"/>
        </w:rPr>
        <w:t>Context for Determining Executive Compensation Decisions</w:t>
      </w:r>
    </w:p>
    <w:p w:rsidR="00A621E3" w:rsidRDefault="00A621E3">
      <w:pPr>
        <w:spacing w:line="285" w:lineRule="exact"/>
        <w:rPr>
          <w:sz w:val="20"/>
          <w:szCs w:val="20"/>
        </w:rPr>
      </w:pPr>
    </w:p>
    <w:p w:rsidR="00A621E3" w:rsidRDefault="00EC630E">
      <w:pPr>
        <w:spacing w:line="268" w:lineRule="auto"/>
        <w:ind w:left="120"/>
        <w:jc w:val="both"/>
        <w:rPr>
          <w:sz w:val="20"/>
          <w:szCs w:val="20"/>
        </w:rPr>
      </w:pPr>
      <w:r>
        <w:rPr>
          <w:rFonts w:ascii="Arial" w:eastAsia="Arial" w:hAnsi="Arial" w:cs="Arial"/>
          <w:sz w:val="18"/>
          <w:szCs w:val="18"/>
        </w:rPr>
        <w:t>A unique feature of the Company is that while it is incorporated in Delaware and listed on the NYSE and Hon</w:t>
      </w:r>
      <w:r>
        <w:rPr>
          <w:rFonts w:ascii="Arial" w:eastAsia="Arial" w:hAnsi="Arial" w:cs="Arial"/>
          <w:sz w:val="18"/>
          <w:szCs w:val="18"/>
        </w:rPr>
        <w:t>g Kong Stock Exchange, substantially all of its operations are located in China, with nearly 13,000 restaurants across over 1,800 cities in China at the end of 2022. Our operating environment and regulatory requirements are complex, and our leadership must</w:t>
      </w:r>
      <w:r>
        <w:rPr>
          <w:rFonts w:ascii="Arial" w:eastAsia="Arial" w:hAnsi="Arial" w:cs="Arial"/>
          <w:sz w:val="18"/>
          <w:szCs w:val="18"/>
        </w:rPr>
        <w:t xml:space="preserve"> be capable of adapting our businesses, and supporting our growth goals, amid these complexities. As a result, the operating environment and competitive market in China are significant factors in the Compensation Committee’s decision-making process and the</w:t>
      </w:r>
      <w:r>
        <w:rPr>
          <w:rFonts w:ascii="Arial" w:eastAsia="Arial" w:hAnsi="Arial" w:cs="Arial"/>
          <w:sz w:val="18"/>
          <w:szCs w:val="18"/>
        </w:rPr>
        <w:t xml:space="preserve"> design of our compensation program. In making compensation decisions, the Compensation Committee considers our performance in the context of the Chinese operating environment, the restaurant industry in China and our China-based peers, as well as our perf</w:t>
      </w:r>
      <w:r>
        <w:rPr>
          <w:rFonts w:ascii="Arial" w:eastAsia="Arial" w:hAnsi="Arial" w:cs="Arial"/>
          <w:sz w:val="18"/>
          <w:szCs w:val="18"/>
        </w:rPr>
        <w:t>ormance against our U.S. peers. Importantly, because our operating environment and the restaurant industry in China may be uniquely, or more significantly, impacted by certain factors than on our U.S. peers, the Compensation Committee seeks to maintain fle</w:t>
      </w:r>
      <w:r>
        <w:rPr>
          <w:rFonts w:ascii="Arial" w:eastAsia="Arial" w:hAnsi="Arial" w:cs="Arial"/>
          <w:sz w:val="18"/>
          <w:szCs w:val="18"/>
        </w:rPr>
        <w:t>xibility to design, refine and adjust the Company’s executive compensation program to be responsive to, and reward performance within, our operating environment even if that results in a compensation program that differs from our U.S. peers.</w:t>
      </w:r>
    </w:p>
    <w:p w:rsidR="00A621E3" w:rsidRDefault="00A621E3">
      <w:pPr>
        <w:spacing w:line="205" w:lineRule="exact"/>
        <w:rPr>
          <w:sz w:val="20"/>
          <w:szCs w:val="20"/>
        </w:rPr>
      </w:pPr>
    </w:p>
    <w:p w:rsidR="00A621E3" w:rsidRDefault="00EC630E">
      <w:pPr>
        <w:spacing w:line="244" w:lineRule="auto"/>
        <w:ind w:left="120"/>
        <w:jc w:val="both"/>
        <w:rPr>
          <w:sz w:val="20"/>
          <w:szCs w:val="20"/>
        </w:rPr>
      </w:pPr>
      <w:r>
        <w:rPr>
          <w:rFonts w:ascii="Arial" w:eastAsia="Arial" w:hAnsi="Arial" w:cs="Arial"/>
          <w:sz w:val="20"/>
          <w:szCs w:val="20"/>
        </w:rPr>
        <w:t xml:space="preserve">In addition, </w:t>
      </w:r>
      <w:r>
        <w:rPr>
          <w:rFonts w:ascii="Arial" w:eastAsia="Arial" w:hAnsi="Arial" w:cs="Arial"/>
          <w:sz w:val="20"/>
          <w:szCs w:val="20"/>
        </w:rPr>
        <w:t>as a Delaware-incorporated company with dual-primary listing on both the NYSE and Hong Kong Stock Exchange, our leadership team must also possess, in addition to deep knowledge of the U.S. and Hong Kong governance requirements, the global perspectives and</w:t>
      </w:r>
    </w:p>
    <w:p w:rsidR="00A621E3" w:rsidRDefault="00EC630E">
      <w:pPr>
        <w:spacing w:line="20" w:lineRule="exact"/>
        <w:rPr>
          <w:sz w:val="20"/>
          <w:szCs w:val="20"/>
        </w:rPr>
      </w:pPr>
      <w:r>
        <w:rPr>
          <w:sz w:val="20"/>
          <w:szCs w:val="20"/>
        </w:rPr>
        <w:br w:type="column"/>
      </w:r>
    </w:p>
    <w:p w:rsidR="00A621E3" w:rsidRDefault="00A621E3">
      <w:pPr>
        <w:spacing w:line="206" w:lineRule="exact"/>
        <w:rPr>
          <w:sz w:val="20"/>
          <w:szCs w:val="20"/>
        </w:rPr>
      </w:pPr>
    </w:p>
    <w:p w:rsidR="00A621E3" w:rsidRDefault="00EC630E">
      <w:pPr>
        <w:spacing w:line="269" w:lineRule="auto"/>
        <w:jc w:val="both"/>
        <w:rPr>
          <w:sz w:val="20"/>
          <w:szCs w:val="20"/>
        </w:rPr>
      </w:pPr>
      <w:r>
        <w:rPr>
          <w:rFonts w:ascii="Arial" w:eastAsia="Arial" w:hAnsi="Arial" w:cs="Arial"/>
          <w:sz w:val="18"/>
          <w:szCs w:val="18"/>
        </w:rPr>
        <w:t>expertise required to resolve many novel and complex issues amid the evolving global regulatory landscape, including geo-political challenges. Because the Company is designing an executive compensation program that attracts, retains and incentivizes glo</w:t>
      </w:r>
      <w:r>
        <w:rPr>
          <w:rFonts w:ascii="Arial" w:eastAsia="Arial" w:hAnsi="Arial" w:cs="Arial"/>
          <w:sz w:val="18"/>
          <w:szCs w:val="18"/>
        </w:rPr>
        <w:t>bal talent, but with specific knowledge of the evolving Chinese regulatory and operating environment, including the challenges and complexities of managing the extensive supply chain, store and digital operations, the Company’s executive compensation progr</w:t>
      </w:r>
      <w:r>
        <w:rPr>
          <w:rFonts w:ascii="Arial" w:eastAsia="Arial" w:hAnsi="Arial" w:cs="Arial"/>
          <w:sz w:val="18"/>
          <w:szCs w:val="18"/>
        </w:rPr>
        <w:t>am may differ from our U.S. peers to reflect the competitive market in China, the need to attract a global skillset with deep knowledge of both U.S. and Chinese regulatory regimes and the Company’s desire to incentivize an entrepreneurial mindset to encour</w:t>
      </w:r>
      <w:r>
        <w:rPr>
          <w:rFonts w:ascii="Arial" w:eastAsia="Arial" w:hAnsi="Arial" w:cs="Arial"/>
          <w:sz w:val="18"/>
          <w:szCs w:val="18"/>
        </w:rPr>
        <w:t>age actions that support our long-term growth and strategy. For these reasons, the Compensation Committee looks at the totality of factors the Company faces when it considers and determines executive compensation.</w:t>
      </w:r>
    </w:p>
    <w:p w:rsidR="00A621E3" w:rsidRDefault="00A621E3">
      <w:pPr>
        <w:spacing w:line="203" w:lineRule="exact"/>
        <w:rPr>
          <w:sz w:val="20"/>
          <w:szCs w:val="20"/>
        </w:rPr>
      </w:pPr>
    </w:p>
    <w:p w:rsidR="00A621E3" w:rsidRDefault="00EC630E">
      <w:pPr>
        <w:numPr>
          <w:ilvl w:val="0"/>
          <w:numId w:val="51"/>
        </w:numPr>
        <w:tabs>
          <w:tab w:val="left" w:pos="240"/>
        </w:tabs>
        <w:spacing w:line="254" w:lineRule="auto"/>
        <w:ind w:left="240" w:right="20" w:hanging="192"/>
        <w:jc w:val="both"/>
        <w:rPr>
          <w:rFonts w:ascii="Arial" w:eastAsia="Arial" w:hAnsi="Arial" w:cs="Arial"/>
          <w:color w:val="CF0A2C"/>
          <w:sz w:val="19"/>
          <w:szCs w:val="19"/>
        </w:rPr>
      </w:pPr>
      <w:r>
        <w:rPr>
          <w:rFonts w:ascii="Arial" w:eastAsia="Arial" w:hAnsi="Arial" w:cs="Arial"/>
          <w:i/>
          <w:iCs/>
          <w:sz w:val="19"/>
          <w:szCs w:val="19"/>
        </w:rPr>
        <w:t xml:space="preserve">Operating Environment: </w:t>
      </w:r>
      <w:r>
        <w:rPr>
          <w:rFonts w:ascii="Arial" w:eastAsia="Arial" w:hAnsi="Arial" w:cs="Arial"/>
          <w:sz w:val="19"/>
          <w:szCs w:val="19"/>
        </w:rPr>
        <w:t>Starting in the fi</w:t>
      </w:r>
      <w:r>
        <w:rPr>
          <w:rFonts w:ascii="Arial" w:eastAsia="Arial" w:hAnsi="Arial" w:cs="Arial"/>
          <w:sz w:val="19"/>
          <w:szCs w:val="19"/>
        </w:rPr>
        <w:t>rst quarter of 2020 and</w:t>
      </w:r>
      <w:r>
        <w:rPr>
          <w:rFonts w:ascii="Arial" w:eastAsia="Arial" w:hAnsi="Arial" w:cs="Arial"/>
          <w:i/>
          <w:iCs/>
          <w:sz w:val="19"/>
          <w:szCs w:val="19"/>
        </w:rPr>
        <w:t xml:space="preserve"> </w:t>
      </w:r>
      <w:r>
        <w:rPr>
          <w:rFonts w:ascii="Arial" w:eastAsia="Arial" w:hAnsi="Arial" w:cs="Arial"/>
          <w:sz w:val="19"/>
          <w:szCs w:val="19"/>
        </w:rPr>
        <w:t>throughout 2021 and 2022, the COVID-19 pandemic significantly impacted the restaurant industry in China. Strict public health measures were implemented across the country, including mass testing, regional lockdowns and travel restri</w:t>
      </w:r>
      <w:r>
        <w:rPr>
          <w:rFonts w:ascii="Arial" w:eastAsia="Arial" w:hAnsi="Arial" w:cs="Arial"/>
          <w:sz w:val="19"/>
          <w:szCs w:val="19"/>
        </w:rPr>
        <w:t>ctions. These measures led to reduced traveling, fewer social activities, and softened consumption demand. During peak outbreak periods, hundreds of millions of people were under some type of lockdown. As a result, at the peak of the COVID-19 outbreak in C</w:t>
      </w:r>
      <w:r>
        <w:rPr>
          <w:rFonts w:ascii="Arial" w:eastAsia="Arial" w:hAnsi="Arial" w:cs="Arial"/>
          <w:sz w:val="19"/>
          <w:szCs w:val="19"/>
        </w:rPr>
        <w:t>hina in 2020, approximately 35% of our restaurants were closed. Our operations and financial results for the second half of 2021 were also significantly affected by multiple waves of outbreaks, which spread to nearly all provinces in</w:t>
      </w:r>
    </w:p>
    <w:p w:rsidR="00A621E3" w:rsidRDefault="00A621E3">
      <w:pPr>
        <w:spacing w:line="224"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79"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43</w:t>
      </w:r>
    </w:p>
    <w:p w:rsidR="00A621E3" w:rsidRDefault="00EC630E">
      <w:pPr>
        <w:spacing w:line="20" w:lineRule="exact"/>
        <w:rPr>
          <w:sz w:val="20"/>
          <w:szCs w:val="20"/>
        </w:rPr>
      </w:pPr>
      <w:r>
        <w:rPr>
          <w:noProof/>
          <w:sz w:val="20"/>
          <w:szCs w:val="20"/>
        </w:rPr>
        <w:drawing>
          <wp:anchor distT="0" distB="0" distL="114300" distR="114300" simplePos="0" relativeHeight="251863040"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49" w:name="page49"/>
      <w:bookmarkEnd w:id="49"/>
      <w:r>
        <w:rPr>
          <w:rFonts w:ascii="Arial" w:eastAsia="Arial" w:hAnsi="Arial" w:cs="Arial"/>
          <w:b/>
          <w:bCs/>
          <w:noProof/>
          <w:color w:val="0000EE"/>
          <w:sz w:val="18"/>
          <w:szCs w:val="18"/>
          <w:u w:val="single"/>
        </w:rPr>
        <w:lastRenderedPageBreak/>
        <w:drawing>
          <wp:anchor distT="0" distB="0" distL="114300" distR="114300" simplePos="0" relativeHeight="25186406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65088"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263" w:lineRule="exact"/>
        <w:rPr>
          <w:sz w:val="20"/>
          <w:szCs w:val="20"/>
        </w:rPr>
      </w:pPr>
    </w:p>
    <w:p w:rsidR="00A621E3" w:rsidRDefault="00EC630E">
      <w:pPr>
        <w:spacing w:line="254" w:lineRule="auto"/>
        <w:ind w:left="320"/>
        <w:jc w:val="both"/>
        <w:rPr>
          <w:sz w:val="20"/>
          <w:szCs w:val="20"/>
        </w:rPr>
      </w:pPr>
      <w:r>
        <w:rPr>
          <w:rFonts w:ascii="Arial" w:eastAsia="Arial" w:hAnsi="Arial" w:cs="Arial"/>
          <w:sz w:val="19"/>
          <w:szCs w:val="19"/>
        </w:rPr>
        <w:t xml:space="preserve">China. The COVID-19 pandemic and strict public health measures persisted throughout 2022. In March 2022, over 1,700 of </w:t>
      </w:r>
      <w:r>
        <w:rPr>
          <w:rFonts w:ascii="Arial" w:eastAsia="Arial" w:hAnsi="Arial" w:cs="Arial"/>
          <w:sz w:val="19"/>
          <w:szCs w:val="19"/>
        </w:rPr>
        <w:t>our stores in China, on average, were either temporarily closed or offered only takeaway and delivery services. During April and May 2022, that number increased to over 2,500 and our same-store sales declined by more than 20% year-over-year. In October and</w:t>
      </w:r>
      <w:r>
        <w:rPr>
          <w:rFonts w:ascii="Arial" w:eastAsia="Arial" w:hAnsi="Arial" w:cs="Arial"/>
          <w:sz w:val="19"/>
          <w:szCs w:val="19"/>
        </w:rPr>
        <w:t xml:space="preserve"> November 2022, sporadic occurrences of COVID infections quickly evolved into major regional outbreaks, leading to tightened COVID-related health measures and lockdowns. The number of our stores that were either temporarily closed or offered only takeaway </w:t>
      </w:r>
      <w:r>
        <w:rPr>
          <w:rFonts w:ascii="Arial" w:eastAsia="Arial" w:hAnsi="Arial" w:cs="Arial"/>
          <w:sz w:val="19"/>
          <w:szCs w:val="19"/>
        </w:rPr>
        <w:t>and delivery services increased in October and November 2022, peaking at over 4,300 in late November 2022. In December 2022, the government significantly changed its COVID policies, including</w:t>
      </w:r>
    </w:p>
    <w:p w:rsidR="00A621E3" w:rsidRDefault="00EC630E">
      <w:pPr>
        <w:spacing w:line="20" w:lineRule="exact"/>
        <w:rPr>
          <w:sz w:val="20"/>
          <w:szCs w:val="20"/>
        </w:rPr>
      </w:pPr>
      <w:r>
        <w:rPr>
          <w:noProof/>
          <w:sz w:val="20"/>
          <w:szCs w:val="20"/>
        </w:rPr>
        <w:drawing>
          <wp:anchor distT="0" distB="0" distL="114300" distR="114300" simplePos="0" relativeHeight="251866112" behindDoc="1" locked="0" layoutInCell="0" allowOverlap="1">
            <wp:simplePos x="0" y="0"/>
            <wp:positionH relativeFrom="column">
              <wp:posOffset>1085215</wp:posOffset>
            </wp:positionH>
            <wp:positionV relativeFrom="paragraph">
              <wp:posOffset>276860</wp:posOffset>
            </wp:positionV>
            <wp:extent cx="4972050" cy="3326130"/>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1">
                      <a:extLst/>
                    </a:blip>
                    <a:srcRect/>
                    <a:stretch>
                      <a:fillRect/>
                    </a:stretch>
                  </pic:blipFill>
                  <pic:spPr bwMode="auto">
                    <a:xfrm>
                      <a:off x="0" y="0"/>
                      <a:ext cx="4972050" cy="3326130"/>
                    </a:xfrm>
                    <a:prstGeom prst="rect">
                      <a:avLst/>
                    </a:prstGeom>
                    <a:noFill/>
                  </pic:spPr>
                </pic:pic>
              </a:graphicData>
            </a:graphic>
          </wp:anchor>
        </w:drawing>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0" w:lineRule="exact"/>
        <w:rPr>
          <w:sz w:val="20"/>
          <w:szCs w:val="20"/>
        </w:rPr>
      </w:pPr>
    </w:p>
    <w:p w:rsidR="00A621E3" w:rsidRDefault="00EC630E">
      <w:pPr>
        <w:spacing w:line="243" w:lineRule="auto"/>
        <w:ind w:left="40"/>
        <w:jc w:val="both"/>
        <w:rPr>
          <w:sz w:val="20"/>
          <w:szCs w:val="20"/>
        </w:rPr>
      </w:pPr>
      <w:r>
        <w:rPr>
          <w:rFonts w:ascii="Arial" w:eastAsia="Arial" w:hAnsi="Arial" w:cs="Arial"/>
          <w:sz w:val="20"/>
          <w:szCs w:val="20"/>
        </w:rPr>
        <w:t>removing mass testing and central quarantine requiremen</w:t>
      </w:r>
      <w:r>
        <w:rPr>
          <w:rFonts w:ascii="Arial" w:eastAsia="Arial" w:hAnsi="Arial" w:cs="Arial"/>
          <w:sz w:val="20"/>
          <w:szCs w:val="20"/>
        </w:rPr>
        <w:t>ts as well as lifting travel restrictions. The temporary closures, combined with a massive wave of infections leading to substantial decline in dine-in traffic in December 2022, caused our same store sales to decrease 4% year-over-year in the fourth quarte</w:t>
      </w:r>
      <w:r>
        <w:rPr>
          <w:rFonts w:ascii="Arial" w:eastAsia="Arial" w:hAnsi="Arial" w:cs="Arial"/>
          <w:sz w:val="20"/>
          <w:szCs w:val="20"/>
        </w:rPr>
        <w:t>r of 2022.</w:t>
      </w:r>
    </w:p>
    <w:p w:rsidR="00A621E3" w:rsidRDefault="00A621E3">
      <w:pPr>
        <w:spacing w:line="196" w:lineRule="exact"/>
        <w:rPr>
          <w:sz w:val="20"/>
          <w:szCs w:val="20"/>
        </w:rPr>
      </w:pPr>
    </w:p>
    <w:p w:rsidR="00A621E3" w:rsidRDefault="00EC630E">
      <w:pPr>
        <w:spacing w:line="316" w:lineRule="auto"/>
        <w:jc w:val="both"/>
        <w:rPr>
          <w:sz w:val="20"/>
          <w:szCs w:val="20"/>
        </w:rPr>
      </w:pPr>
      <w:r>
        <w:rPr>
          <w:rFonts w:ascii="Arial" w:eastAsia="Arial" w:hAnsi="Arial" w:cs="Arial"/>
          <w:sz w:val="16"/>
          <w:szCs w:val="16"/>
        </w:rPr>
        <w:t>According to government statistics, total revenue of the restaurant industry in China in 2022 declined by 6%, both compared to 2021 and 2019, respectively. Notably, many restaurants in China exited the business over the 2020 to 2022 period. The</w:t>
      </w:r>
      <w:r>
        <w:rPr>
          <w:rFonts w:ascii="Arial" w:eastAsia="Arial" w:hAnsi="Arial" w:cs="Arial"/>
          <w:sz w:val="16"/>
          <w:szCs w:val="16"/>
        </w:rPr>
        <w:t xml:space="preserve"> graph below showing the China restaurant industry’s monthly revenue growth for the periods indicated illustrates the volatility:</w:t>
      </w:r>
    </w:p>
    <w:p w:rsidR="00A621E3" w:rsidRDefault="00A621E3">
      <w:pPr>
        <w:spacing w:line="621" w:lineRule="exact"/>
        <w:rPr>
          <w:sz w:val="20"/>
          <w:szCs w:val="20"/>
        </w:rPr>
      </w:pPr>
    </w:p>
    <w:p w:rsidR="00A621E3" w:rsidRDefault="00A621E3">
      <w:pPr>
        <w:sectPr w:rsidR="00A621E3">
          <w:pgSz w:w="11900" w:h="16838"/>
          <w:pgMar w:top="486" w:right="459" w:bottom="1440" w:left="320" w:header="0" w:footer="0" w:gutter="0"/>
          <w:cols w:num="2" w:space="720" w:equalWidth="0">
            <w:col w:w="5400" w:space="500"/>
            <w:col w:w="522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17" w:lineRule="exact"/>
        <w:rPr>
          <w:sz w:val="20"/>
          <w:szCs w:val="20"/>
        </w:rPr>
      </w:pPr>
    </w:p>
    <w:p w:rsidR="00A621E3" w:rsidRDefault="00EC630E">
      <w:pPr>
        <w:ind w:left="120"/>
        <w:rPr>
          <w:sz w:val="20"/>
          <w:szCs w:val="20"/>
        </w:rPr>
      </w:pPr>
      <w:r>
        <w:rPr>
          <w:rFonts w:ascii="Arial" w:eastAsia="Arial" w:hAnsi="Arial" w:cs="Arial"/>
          <w:i/>
          <w:iCs/>
          <w:sz w:val="16"/>
          <w:szCs w:val="16"/>
        </w:rPr>
        <w:t>Source: National Bureau of Statistics of China</w:t>
      </w:r>
    </w:p>
    <w:p w:rsidR="00A621E3" w:rsidRDefault="00A621E3">
      <w:pPr>
        <w:sectPr w:rsidR="00A621E3">
          <w:type w:val="continuous"/>
          <w:pgSz w:w="11900" w:h="16838"/>
          <w:pgMar w:top="486" w:right="459" w:bottom="1440" w:left="320" w:header="0" w:footer="0" w:gutter="0"/>
          <w:cols w:space="720" w:equalWidth="0">
            <w:col w:w="11120"/>
          </w:cols>
        </w:sectPr>
      </w:pPr>
    </w:p>
    <w:p w:rsidR="00A621E3" w:rsidRDefault="00A621E3">
      <w:pPr>
        <w:spacing w:line="381"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 xml:space="preserve">2022 was in many ways the most volatile year among the past three years, during which the restaurant sector in China operated in a fast-changing operating environment, facing challenges from sporadic COVID outbreaks, entire city lockdowns and, in December </w:t>
      </w:r>
      <w:r>
        <w:rPr>
          <w:rFonts w:ascii="Arial" w:eastAsia="Arial" w:hAnsi="Arial" w:cs="Arial"/>
          <w:sz w:val="20"/>
          <w:szCs w:val="20"/>
        </w:rPr>
        <w:t>2022, nationwide infections. The fast-changing operating environment</w:t>
      </w:r>
    </w:p>
    <w:p w:rsidR="00A621E3" w:rsidRDefault="00A621E3">
      <w:pPr>
        <w:spacing w:line="271" w:lineRule="exact"/>
        <w:rPr>
          <w:sz w:val="20"/>
          <w:szCs w:val="20"/>
        </w:rPr>
      </w:pPr>
    </w:p>
    <w:p w:rsidR="00A621E3" w:rsidRDefault="00EC630E">
      <w:pPr>
        <w:numPr>
          <w:ilvl w:val="0"/>
          <w:numId w:val="52"/>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867136"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EC630E">
      <w:pPr>
        <w:spacing w:line="20" w:lineRule="exact"/>
        <w:rPr>
          <w:sz w:val="20"/>
          <w:szCs w:val="20"/>
        </w:rPr>
      </w:pPr>
      <w:r>
        <w:rPr>
          <w:sz w:val="20"/>
          <w:szCs w:val="20"/>
        </w:rPr>
        <w:br w:type="column"/>
      </w:r>
    </w:p>
    <w:p w:rsidR="00A621E3" w:rsidRDefault="00A621E3">
      <w:pPr>
        <w:spacing w:line="361" w:lineRule="exact"/>
        <w:rPr>
          <w:sz w:val="20"/>
          <w:szCs w:val="20"/>
        </w:rPr>
      </w:pPr>
    </w:p>
    <w:p w:rsidR="00A621E3" w:rsidRDefault="00EC630E">
      <w:pPr>
        <w:spacing w:line="243" w:lineRule="auto"/>
        <w:jc w:val="both"/>
        <w:rPr>
          <w:sz w:val="20"/>
          <w:szCs w:val="20"/>
        </w:rPr>
      </w:pPr>
      <w:r>
        <w:rPr>
          <w:rFonts w:ascii="Arial" w:eastAsia="Arial" w:hAnsi="Arial" w:cs="Arial"/>
          <w:sz w:val="20"/>
          <w:szCs w:val="20"/>
        </w:rPr>
        <w:t xml:space="preserve">required decisive emergency measures to sustain operations, drive sales and cut costs, which in turn put immense pressure on staff from top to </w:t>
      </w:r>
      <w:r>
        <w:rPr>
          <w:rFonts w:ascii="Arial" w:eastAsia="Arial" w:hAnsi="Arial" w:cs="Arial"/>
          <w:sz w:val="20"/>
          <w:szCs w:val="20"/>
        </w:rPr>
        <w:t>bottom of the company. Some of these emergency measures required management to refocus its efforts on performance results that were not measured under our incentive programs, and</w:t>
      </w:r>
    </w:p>
    <w:p w:rsidR="00A621E3" w:rsidRDefault="00A621E3">
      <w:pPr>
        <w:sectPr w:rsidR="00A621E3">
          <w:type w:val="continuous"/>
          <w:pgSz w:w="11900" w:h="16838"/>
          <w:pgMar w:top="486" w:right="459" w:bottom="1440" w:left="320" w:header="0" w:footer="0" w:gutter="0"/>
          <w:cols w:num="2" w:space="720" w:equalWidth="0">
            <w:col w:w="5400" w:space="340"/>
            <w:col w:w="5380"/>
          </w:cols>
        </w:sectPr>
      </w:pPr>
    </w:p>
    <w:p w:rsidR="00A621E3" w:rsidRDefault="00EC630E">
      <w:pPr>
        <w:rPr>
          <w:sz w:val="20"/>
          <w:szCs w:val="20"/>
        </w:rPr>
      </w:pPr>
      <w:bookmarkStart w:id="50" w:name="page50"/>
      <w:bookmarkEnd w:id="50"/>
      <w:r>
        <w:rPr>
          <w:rFonts w:ascii="Arial" w:eastAsia="Arial" w:hAnsi="Arial" w:cs="Arial"/>
          <w:b/>
          <w:bCs/>
          <w:color w:val="0000EE"/>
          <w:sz w:val="18"/>
          <w:szCs w:val="18"/>
          <w:u w:val="single"/>
        </w:rPr>
        <w:lastRenderedPageBreak/>
        <w:t>Table of Contents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3" w:lineRule="exact"/>
        <w:rPr>
          <w:sz w:val="20"/>
          <w:szCs w:val="20"/>
        </w:rPr>
      </w:pPr>
    </w:p>
    <w:p w:rsidR="00A621E3" w:rsidRDefault="00EC630E">
      <w:pPr>
        <w:spacing w:line="255" w:lineRule="auto"/>
        <w:ind w:left="120"/>
        <w:jc w:val="both"/>
        <w:rPr>
          <w:sz w:val="20"/>
          <w:szCs w:val="20"/>
        </w:rPr>
      </w:pPr>
      <w:r>
        <w:rPr>
          <w:rFonts w:ascii="Arial" w:eastAsia="Arial" w:hAnsi="Arial" w:cs="Arial"/>
          <w:sz w:val="19"/>
          <w:szCs w:val="19"/>
        </w:rPr>
        <w:t>management executed on eme</w:t>
      </w:r>
      <w:r>
        <w:rPr>
          <w:rFonts w:ascii="Arial" w:eastAsia="Arial" w:hAnsi="Arial" w:cs="Arial"/>
          <w:sz w:val="19"/>
          <w:szCs w:val="19"/>
        </w:rPr>
        <w:t>rgency operating plans swiftly and effectively in order to allow the Company to sustain profitability since the onset of the COVID-19 pandemic and emerge stronger and better positioned post-pandemic. The resulting challenges and actions taken by management</w:t>
      </w:r>
      <w:r>
        <w:rPr>
          <w:rFonts w:ascii="Arial" w:eastAsia="Arial" w:hAnsi="Arial" w:cs="Arial"/>
          <w:sz w:val="19"/>
          <w:szCs w:val="19"/>
        </w:rPr>
        <w:t xml:space="preserve"> in response made it imperative to consider the total body of work during the past three years of the pandemic in evaluating and rewarding performance in an appropriate manner to attract and retain leaders with the unique mix of skills and to recognize the</w:t>
      </w:r>
      <w:r>
        <w:rPr>
          <w:rFonts w:ascii="Arial" w:eastAsia="Arial" w:hAnsi="Arial" w:cs="Arial"/>
          <w:sz w:val="19"/>
          <w:szCs w:val="19"/>
        </w:rPr>
        <w:t>ir strong performance during this time.</w:t>
      </w:r>
    </w:p>
    <w:p w:rsidR="00A621E3" w:rsidRDefault="00A621E3">
      <w:pPr>
        <w:spacing w:line="190" w:lineRule="exact"/>
        <w:rPr>
          <w:sz w:val="20"/>
          <w:szCs w:val="20"/>
        </w:rPr>
      </w:pPr>
    </w:p>
    <w:p w:rsidR="00A621E3" w:rsidRDefault="00EC630E">
      <w:pPr>
        <w:numPr>
          <w:ilvl w:val="0"/>
          <w:numId w:val="53"/>
        </w:numPr>
        <w:tabs>
          <w:tab w:val="left" w:pos="360"/>
        </w:tabs>
        <w:spacing w:line="246" w:lineRule="auto"/>
        <w:ind w:left="360" w:hanging="190"/>
        <w:jc w:val="both"/>
        <w:rPr>
          <w:rFonts w:ascii="Arial" w:eastAsia="Arial" w:hAnsi="Arial" w:cs="Arial"/>
          <w:color w:val="CF0A2C"/>
          <w:sz w:val="20"/>
          <w:szCs w:val="20"/>
        </w:rPr>
      </w:pPr>
      <w:r>
        <w:rPr>
          <w:rFonts w:ascii="Arial" w:eastAsia="Arial" w:hAnsi="Arial" w:cs="Arial"/>
          <w:i/>
          <w:iCs/>
          <w:sz w:val="20"/>
          <w:szCs w:val="20"/>
        </w:rPr>
        <w:t>TSR Performance</w:t>
      </w:r>
      <w:r>
        <w:rPr>
          <w:rFonts w:ascii="Arial" w:eastAsia="Arial" w:hAnsi="Arial" w:cs="Arial"/>
          <w:i/>
          <w:iCs/>
          <w:color w:val="CF0A2C"/>
          <w:sz w:val="20"/>
          <w:szCs w:val="20"/>
        </w:rPr>
        <w:t>*</w:t>
      </w:r>
      <w:r>
        <w:rPr>
          <w:rFonts w:ascii="Arial" w:eastAsia="Arial" w:hAnsi="Arial" w:cs="Arial"/>
          <w:i/>
          <w:iCs/>
          <w:sz w:val="20"/>
          <w:szCs w:val="20"/>
        </w:rPr>
        <w:t xml:space="preserve">: </w:t>
      </w:r>
      <w:r>
        <w:rPr>
          <w:rFonts w:ascii="Arial" w:eastAsia="Arial" w:hAnsi="Arial" w:cs="Arial"/>
          <w:sz w:val="20"/>
          <w:szCs w:val="20"/>
        </w:rPr>
        <w:t>Our total shareholder return (“</w:t>
      </w:r>
      <w:r>
        <w:rPr>
          <w:rFonts w:ascii="Arial" w:eastAsia="Arial" w:hAnsi="Arial" w:cs="Arial"/>
          <w:b/>
          <w:bCs/>
          <w:i/>
          <w:iCs/>
          <w:sz w:val="20"/>
          <w:szCs w:val="20"/>
        </w:rPr>
        <w:t>TSR</w:t>
      </w:r>
      <w:r>
        <w:rPr>
          <w:rFonts w:ascii="Arial" w:eastAsia="Arial" w:hAnsi="Arial" w:cs="Arial"/>
          <w:sz w:val="20"/>
          <w:szCs w:val="20"/>
        </w:rPr>
        <w:t>”)</w:t>
      </w:r>
      <w:r>
        <w:rPr>
          <w:rFonts w:ascii="Arial" w:eastAsia="Arial" w:hAnsi="Arial" w:cs="Arial"/>
          <w:i/>
          <w:iCs/>
          <w:sz w:val="20"/>
          <w:szCs w:val="20"/>
        </w:rPr>
        <w:t xml:space="preserve"> </w:t>
      </w:r>
      <w:r>
        <w:rPr>
          <w:rFonts w:ascii="Arial" w:eastAsia="Arial" w:hAnsi="Arial" w:cs="Arial"/>
          <w:sz w:val="20"/>
          <w:szCs w:val="20"/>
        </w:rPr>
        <w:t>outperformed the MSCI China Index, MSCI China Consumer Discretionary Index and S&amp;P 500 Consumer Discretionary Index from 2020 to 2022 and in 2022.</w:t>
      </w:r>
    </w:p>
    <w:p w:rsidR="00A621E3" w:rsidRDefault="00A621E3">
      <w:pPr>
        <w:spacing w:line="191" w:lineRule="exact"/>
        <w:rPr>
          <w:rFonts w:ascii="Arial" w:eastAsia="Arial" w:hAnsi="Arial" w:cs="Arial"/>
          <w:color w:val="CF0A2C"/>
          <w:sz w:val="20"/>
          <w:szCs w:val="20"/>
        </w:rPr>
      </w:pPr>
    </w:p>
    <w:p w:rsidR="00A621E3" w:rsidRDefault="00EC630E">
      <w:pPr>
        <w:numPr>
          <w:ilvl w:val="1"/>
          <w:numId w:val="53"/>
        </w:numPr>
        <w:tabs>
          <w:tab w:val="left" w:pos="500"/>
        </w:tabs>
        <w:spacing w:line="282" w:lineRule="auto"/>
        <w:ind w:left="500" w:hanging="209"/>
        <w:jc w:val="both"/>
        <w:rPr>
          <w:rFonts w:ascii="Arial" w:eastAsia="Arial" w:hAnsi="Arial" w:cs="Arial"/>
          <w:sz w:val="13"/>
          <w:szCs w:val="13"/>
        </w:rPr>
      </w:pPr>
      <w:r>
        <w:rPr>
          <w:rFonts w:ascii="Arial" w:eastAsia="Arial" w:hAnsi="Arial" w:cs="Arial"/>
          <w:sz w:val="18"/>
          <w:szCs w:val="18"/>
        </w:rPr>
        <w:t xml:space="preserve">The Company’s TSR ranked at the </w:t>
      </w:r>
      <w:r>
        <w:rPr>
          <w:rFonts w:ascii="Arial" w:eastAsia="Arial" w:hAnsi="Arial" w:cs="Arial"/>
          <w:b/>
          <w:bCs/>
          <w:i/>
          <w:iCs/>
          <w:sz w:val="18"/>
          <w:szCs w:val="18"/>
        </w:rPr>
        <w:t>68.91 percentile</w:t>
      </w:r>
      <w:r>
        <w:rPr>
          <w:rFonts w:ascii="Arial" w:eastAsia="Arial" w:hAnsi="Arial" w:cs="Arial"/>
          <w:sz w:val="18"/>
          <w:szCs w:val="18"/>
        </w:rPr>
        <w:t xml:space="preserve"> and </w:t>
      </w:r>
      <w:r>
        <w:rPr>
          <w:rFonts w:ascii="Arial" w:eastAsia="Arial" w:hAnsi="Arial" w:cs="Arial"/>
          <w:b/>
          <w:bCs/>
          <w:i/>
          <w:iCs/>
          <w:sz w:val="18"/>
          <w:szCs w:val="18"/>
        </w:rPr>
        <w:t>93.65 percentile</w:t>
      </w:r>
      <w:r>
        <w:rPr>
          <w:rFonts w:ascii="Arial" w:eastAsia="Arial" w:hAnsi="Arial" w:cs="Arial"/>
          <w:sz w:val="18"/>
          <w:szCs w:val="18"/>
        </w:rPr>
        <w:t>, as compared to the TSR performance of the</w:t>
      </w:r>
      <w:r>
        <w:rPr>
          <w:rFonts w:ascii="Arial" w:eastAsia="Arial" w:hAnsi="Arial" w:cs="Arial"/>
          <w:b/>
          <w:bCs/>
          <w:i/>
          <w:iCs/>
          <w:sz w:val="18"/>
          <w:szCs w:val="18"/>
        </w:rPr>
        <w:t xml:space="preserve"> </w:t>
      </w:r>
      <w:r>
        <w:rPr>
          <w:rFonts w:ascii="Arial" w:eastAsia="Arial" w:hAnsi="Arial" w:cs="Arial"/>
          <w:sz w:val="18"/>
          <w:szCs w:val="18"/>
        </w:rPr>
        <w:t xml:space="preserve">constituents of the </w:t>
      </w:r>
      <w:r>
        <w:rPr>
          <w:rFonts w:ascii="Arial" w:eastAsia="Arial" w:hAnsi="Arial" w:cs="Arial"/>
          <w:b/>
          <w:bCs/>
          <w:i/>
          <w:iCs/>
          <w:sz w:val="18"/>
          <w:szCs w:val="18"/>
        </w:rPr>
        <w:t>MSCI China Index</w:t>
      </w:r>
      <w:r>
        <w:rPr>
          <w:rFonts w:ascii="Arial" w:eastAsia="Arial" w:hAnsi="Arial" w:cs="Arial"/>
          <w:sz w:val="18"/>
          <w:szCs w:val="18"/>
        </w:rPr>
        <w:t xml:space="preserve"> over the three-year period from 2020 to 2022, and in 2022, respectively.</w:t>
      </w:r>
    </w:p>
    <w:p w:rsidR="00A621E3" w:rsidRDefault="00A621E3">
      <w:pPr>
        <w:spacing w:line="161" w:lineRule="exact"/>
        <w:rPr>
          <w:rFonts w:ascii="Arial" w:eastAsia="Arial" w:hAnsi="Arial" w:cs="Arial"/>
          <w:sz w:val="13"/>
          <w:szCs w:val="13"/>
        </w:rPr>
      </w:pPr>
    </w:p>
    <w:p w:rsidR="00A621E3" w:rsidRDefault="00EC630E">
      <w:pPr>
        <w:numPr>
          <w:ilvl w:val="1"/>
          <w:numId w:val="53"/>
        </w:numPr>
        <w:tabs>
          <w:tab w:val="left" w:pos="500"/>
        </w:tabs>
        <w:spacing w:line="244" w:lineRule="auto"/>
        <w:ind w:left="500" w:right="20" w:hanging="209"/>
        <w:jc w:val="both"/>
        <w:rPr>
          <w:rFonts w:ascii="Arial" w:eastAsia="Arial" w:hAnsi="Arial" w:cs="Arial"/>
          <w:sz w:val="14"/>
          <w:szCs w:val="14"/>
        </w:rPr>
      </w:pPr>
      <w:r>
        <w:rPr>
          <w:rFonts w:ascii="Arial" w:eastAsia="Arial" w:hAnsi="Arial" w:cs="Arial"/>
          <w:sz w:val="20"/>
          <w:szCs w:val="20"/>
        </w:rPr>
        <w:t xml:space="preserve">The Company’s TSR ranked at the </w:t>
      </w:r>
      <w:r>
        <w:rPr>
          <w:rFonts w:ascii="Arial" w:eastAsia="Arial" w:hAnsi="Arial" w:cs="Arial"/>
          <w:b/>
          <w:bCs/>
          <w:i/>
          <w:iCs/>
          <w:sz w:val="20"/>
          <w:szCs w:val="20"/>
        </w:rPr>
        <w:t>98.50 percentile</w:t>
      </w:r>
      <w:r>
        <w:rPr>
          <w:rFonts w:ascii="Arial" w:eastAsia="Arial" w:hAnsi="Arial" w:cs="Arial"/>
          <w:sz w:val="20"/>
          <w:szCs w:val="20"/>
        </w:rPr>
        <w:t xml:space="preserve"> and </w:t>
      </w:r>
      <w:r>
        <w:rPr>
          <w:rFonts w:ascii="Arial" w:eastAsia="Arial" w:hAnsi="Arial" w:cs="Arial"/>
          <w:b/>
          <w:bCs/>
          <w:i/>
          <w:iCs/>
          <w:sz w:val="20"/>
          <w:szCs w:val="20"/>
        </w:rPr>
        <w:t>86.60 percentile</w:t>
      </w:r>
      <w:r>
        <w:rPr>
          <w:rFonts w:ascii="Arial" w:eastAsia="Arial" w:hAnsi="Arial" w:cs="Arial"/>
          <w:sz w:val="20"/>
          <w:szCs w:val="20"/>
        </w:rPr>
        <w:t>, as compared to the TSR performance of the</w:t>
      </w:r>
      <w:r>
        <w:rPr>
          <w:rFonts w:ascii="Arial" w:eastAsia="Arial" w:hAnsi="Arial" w:cs="Arial"/>
          <w:b/>
          <w:bCs/>
          <w:i/>
          <w:iCs/>
          <w:sz w:val="20"/>
          <w:szCs w:val="20"/>
        </w:rPr>
        <w:t xml:space="preserve"> </w:t>
      </w:r>
      <w:r>
        <w:rPr>
          <w:rFonts w:ascii="Arial" w:eastAsia="Arial" w:hAnsi="Arial" w:cs="Arial"/>
          <w:sz w:val="20"/>
          <w:szCs w:val="20"/>
        </w:rPr>
        <w:t xml:space="preserve">constituents of the </w:t>
      </w:r>
      <w:r>
        <w:rPr>
          <w:rFonts w:ascii="Arial" w:eastAsia="Arial" w:hAnsi="Arial" w:cs="Arial"/>
          <w:b/>
          <w:bCs/>
          <w:i/>
          <w:iCs/>
          <w:sz w:val="20"/>
          <w:szCs w:val="20"/>
        </w:rPr>
        <w:t>MSCI China Consumer Discretionary</w:t>
      </w:r>
      <w:r>
        <w:rPr>
          <w:rFonts w:ascii="Arial" w:eastAsia="Arial" w:hAnsi="Arial" w:cs="Arial"/>
          <w:sz w:val="20"/>
          <w:szCs w:val="20"/>
        </w:rPr>
        <w:t xml:space="preserve"> </w:t>
      </w:r>
      <w:r>
        <w:rPr>
          <w:rFonts w:ascii="Arial" w:eastAsia="Arial" w:hAnsi="Arial" w:cs="Arial"/>
          <w:b/>
          <w:bCs/>
          <w:i/>
          <w:iCs/>
          <w:sz w:val="20"/>
          <w:szCs w:val="20"/>
        </w:rPr>
        <w:t xml:space="preserve">Index </w:t>
      </w:r>
      <w:r>
        <w:rPr>
          <w:rFonts w:ascii="Arial" w:eastAsia="Arial" w:hAnsi="Arial" w:cs="Arial"/>
          <w:sz w:val="20"/>
          <w:szCs w:val="20"/>
        </w:rPr>
        <w:t>over the three-year period from 2020 to 2022, and in</w:t>
      </w:r>
      <w:r>
        <w:rPr>
          <w:rFonts w:ascii="Arial" w:eastAsia="Arial" w:hAnsi="Arial" w:cs="Arial"/>
          <w:b/>
          <w:bCs/>
          <w:i/>
          <w:iCs/>
          <w:sz w:val="20"/>
          <w:szCs w:val="20"/>
        </w:rPr>
        <w:t xml:space="preserve"> </w:t>
      </w:r>
      <w:r>
        <w:rPr>
          <w:rFonts w:ascii="Arial" w:eastAsia="Arial" w:hAnsi="Arial" w:cs="Arial"/>
          <w:sz w:val="20"/>
          <w:szCs w:val="20"/>
        </w:rPr>
        <w:t>2022, respectively.</w:t>
      </w:r>
    </w:p>
    <w:p w:rsidR="00A621E3" w:rsidRDefault="00A621E3">
      <w:pPr>
        <w:spacing w:line="194" w:lineRule="exact"/>
        <w:rPr>
          <w:rFonts w:ascii="Arial" w:eastAsia="Arial" w:hAnsi="Arial" w:cs="Arial"/>
          <w:sz w:val="14"/>
          <w:szCs w:val="14"/>
        </w:rPr>
      </w:pPr>
    </w:p>
    <w:p w:rsidR="00A621E3" w:rsidRDefault="00EC630E">
      <w:pPr>
        <w:numPr>
          <w:ilvl w:val="1"/>
          <w:numId w:val="53"/>
        </w:numPr>
        <w:tabs>
          <w:tab w:val="left" w:pos="500"/>
        </w:tabs>
        <w:spacing w:line="260" w:lineRule="auto"/>
        <w:ind w:left="500" w:hanging="209"/>
        <w:rPr>
          <w:rFonts w:ascii="Arial" w:eastAsia="Arial" w:hAnsi="Arial" w:cs="Arial"/>
          <w:sz w:val="14"/>
          <w:szCs w:val="14"/>
        </w:rPr>
      </w:pPr>
      <w:r>
        <w:rPr>
          <w:rFonts w:ascii="Arial" w:eastAsia="Arial" w:hAnsi="Arial" w:cs="Arial"/>
          <w:sz w:val="20"/>
          <w:szCs w:val="20"/>
        </w:rPr>
        <w:t xml:space="preserve">The Company’s TSR outperformed the </w:t>
      </w:r>
      <w:r>
        <w:rPr>
          <w:rFonts w:ascii="Arial" w:eastAsia="Arial" w:hAnsi="Arial" w:cs="Arial"/>
          <w:b/>
          <w:bCs/>
          <w:i/>
          <w:iCs/>
          <w:sz w:val="20"/>
          <w:szCs w:val="20"/>
        </w:rPr>
        <w:t xml:space="preserve">S&amp;P </w:t>
      </w:r>
      <w:r>
        <w:rPr>
          <w:rFonts w:ascii="Arial" w:eastAsia="Arial" w:hAnsi="Arial" w:cs="Arial"/>
          <w:b/>
          <w:bCs/>
          <w:i/>
          <w:iCs/>
          <w:sz w:val="20"/>
          <w:szCs w:val="20"/>
        </w:rPr>
        <w:t>500 Consumer</w:t>
      </w:r>
      <w:r>
        <w:rPr>
          <w:rFonts w:ascii="Arial" w:eastAsia="Arial" w:hAnsi="Arial" w:cs="Arial"/>
          <w:sz w:val="20"/>
          <w:szCs w:val="20"/>
        </w:rPr>
        <w:t xml:space="preserve"> </w:t>
      </w:r>
      <w:r>
        <w:rPr>
          <w:rFonts w:ascii="Arial" w:eastAsia="Arial" w:hAnsi="Arial" w:cs="Arial"/>
          <w:b/>
          <w:bCs/>
          <w:i/>
          <w:iCs/>
          <w:sz w:val="20"/>
          <w:szCs w:val="20"/>
        </w:rPr>
        <w:t xml:space="preserve">Discretionary Index </w:t>
      </w:r>
      <w:r>
        <w:rPr>
          <w:rFonts w:ascii="Arial" w:eastAsia="Arial" w:hAnsi="Arial" w:cs="Arial"/>
          <w:sz w:val="20"/>
          <w:szCs w:val="20"/>
        </w:rPr>
        <w:t>by</w:t>
      </w:r>
      <w:r>
        <w:rPr>
          <w:rFonts w:ascii="Arial" w:eastAsia="Arial" w:hAnsi="Arial" w:cs="Arial"/>
          <w:b/>
          <w:bCs/>
          <w:i/>
          <w:iCs/>
          <w:sz w:val="20"/>
          <w:szCs w:val="20"/>
        </w:rPr>
        <w:t xml:space="preserve"> 11.61 </w:t>
      </w:r>
      <w:r>
        <w:rPr>
          <w:rFonts w:ascii="Arial" w:eastAsia="Arial" w:hAnsi="Arial" w:cs="Arial"/>
          <w:sz w:val="20"/>
          <w:szCs w:val="20"/>
        </w:rPr>
        <w:t>and</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4" w:lineRule="exact"/>
        <w:rPr>
          <w:sz w:val="20"/>
          <w:szCs w:val="20"/>
        </w:rPr>
      </w:pPr>
    </w:p>
    <w:p w:rsidR="00A621E3" w:rsidRDefault="00EC630E">
      <w:pPr>
        <w:ind w:left="2946"/>
        <w:rPr>
          <w:sz w:val="20"/>
          <w:szCs w:val="20"/>
        </w:rPr>
      </w:pPr>
      <w:r>
        <w:rPr>
          <w:rFonts w:ascii="Arial" w:eastAsia="Arial" w:hAnsi="Arial" w:cs="Arial"/>
          <w:b/>
          <w:bCs/>
          <w:color w:val="FFFFFF"/>
          <w:sz w:val="16"/>
          <w:szCs w:val="16"/>
        </w:rPr>
        <w:t>EXECUTIVE COMPENSATION</w:t>
      </w:r>
    </w:p>
    <w:p w:rsidR="00A621E3" w:rsidRDefault="00EC630E">
      <w:pPr>
        <w:spacing w:line="20" w:lineRule="exact"/>
        <w:rPr>
          <w:sz w:val="20"/>
          <w:szCs w:val="20"/>
        </w:rPr>
      </w:pPr>
      <w:r>
        <w:rPr>
          <w:noProof/>
          <w:sz w:val="20"/>
          <w:szCs w:val="20"/>
        </w:rPr>
        <w:drawing>
          <wp:anchor distT="0" distB="0" distL="114300" distR="114300" simplePos="0" relativeHeight="251868160" behindDoc="1" locked="0" layoutInCell="0" allowOverlap="1">
            <wp:simplePos x="0" y="0"/>
            <wp:positionH relativeFrom="column">
              <wp:posOffset>-3648075</wp:posOffset>
            </wp:positionH>
            <wp:positionV relativeFrom="paragraph">
              <wp:posOffset>-713105</wp:posOffset>
            </wp:positionV>
            <wp:extent cx="7174865" cy="55880"/>
            <wp:effectExtent l="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noProof/>
          <w:sz w:val="20"/>
          <w:szCs w:val="20"/>
        </w:rPr>
        <w:drawing>
          <wp:anchor distT="0" distB="0" distL="114300" distR="114300" simplePos="0" relativeHeight="251869184" behindDoc="1" locked="0" layoutInCell="0" allowOverlap="1">
            <wp:simplePos x="0" y="0"/>
            <wp:positionH relativeFrom="column">
              <wp:posOffset>1722120</wp:posOffset>
            </wp:positionH>
            <wp:positionV relativeFrom="paragraph">
              <wp:posOffset>-156210</wp:posOffset>
            </wp:positionV>
            <wp:extent cx="1705610" cy="205740"/>
            <wp:effectExtent l="0" t="0" r="0" b="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243" w:lineRule="exact"/>
        <w:rPr>
          <w:sz w:val="20"/>
          <w:szCs w:val="20"/>
        </w:rPr>
      </w:pPr>
    </w:p>
    <w:p w:rsidR="00A621E3" w:rsidRDefault="00EC630E">
      <w:pPr>
        <w:spacing w:line="260" w:lineRule="auto"/>
        <w:ind w:left="366"/>
        <w:rPr>
          <w:sz w:val="20"/>
          <w:szCs w:val="20"/>
        </w:rPr>
      </w:pPr>
      <w:r>
        <w:rPr>
          <w:rFonts w:ascii="Arial" w:eastAsia="Arial" w:hAnsi="Arial" w:cs="Arial"/>
          <w:b/>
          <w:bCs/>
          <w:i/>
          <w:iCs/>
          <w:sz w:val="20"/>
          <w:szCs w:val="20"/>
        </w:rPr>
        <w:t xml:space="preserve">49.03 percentage points </w:t>
      </w:r>
      <w:r>
        <w:rPr>
          <w:rFonts w:ascii="Arial" w:eastAsia="Arial" w:hAnsi="Arial" w:cs="Arial"/>
          <w:sz w:val="20"/>
          <w:szCs w:val="20"/>
        </w:rPr>
        <w:t>over the three-year period from 2020</w:t>
      </w:r>
      <w:r>
        <w:rPr>
          <w:rFonts w:ascii="Arial" w:eastAsia="Arial" w:hAnsi="Arial" w:cs="Arial"/>
          <w:b/>
          <w:bCs/>
          <w:i/>
          <w:iCs/>
          <w:sz w:val="20"/>
          <w:szCs w:val="20"/>
        </w:rPr>
        <w:t xml:space="preserve"> </w:t>
      </w:r>
      <w:r>
        <w:rPr>
          <w:rFonts w:ascii="Arial" w:eastAsia="Arial" w:hAnsi="Arial" w:cs="Arial"/>
          <w:sz w:val="20"/>
          <w:szCs w:val="20"/>
        </w:rPr>
        <w:t>to 2022, and in 2022, respectively.</w:t>
      </w:r>
    </w:p>
    <w:p w:rsidR="00A621E3" w:rsidRDefault="00A621E3">
      <w:pPr>
        <w:spacing w:line="177" w:lineRule="exact"/>
        <w:rPr>
          <w:sz w:val="20"/>
          <w:szCs w:val="20"/>
        </w:rPr>
      </w:pPr>
    </w:p>
    <w:p w:rsidR="00A621E3" w:rsidRDefault="00EC630E">
      <w:pPr>
        <w:numPr>
          <w:ilvl w:val="0"/>
          <w:numId w:val="54"/>
        </w:numPr>
        <w:tabs>
          <w:tab w:val="left" w:pos="306"/>
        </w:tabs>
        <w:spacing w:line="250" w:lineRule="auto"/>
        <w:ind w:left="306" w:hanging="306"/>
        <w:jc w:val="both"/>
        <w:rPr>
          <w:rFonts w:ascii="Arial" w:eastAsia="Arial" w:hAnsi="Arial" w:cs="Arial"/>
          <w:color w:val="CF0A2C"/>
          <w:sz w:val="20"/>
          <w:szCs w:val="20"/>
        </w:rPr>
      </w:pPr>
      <w:r>
        <w:rPr>
          <w:rFonts w:ascii="Arial" w:eastAsia="Arial" w:hAnsi="Arial" w:cs="Arial"/>
          <w:sz w:val="20"/>
          <w:szCs w:val="20"/>
        </w:rPr>
        <w:t>TSR is based on the average closing price over the 20 trading days up to and incl</w:t>
      </w:r>
      <w:r>
        <w:rPr>
          <w:rFonts w:ascii="Arial" w:eastAsia="Arial" w:hAnsi="Arial" w:cs="Arial"/>
          <w:sz w:val="20"/>
          <w:szCs w:val="20"/>
        </w:rPr>
        <w:t>uding the start and end of the period and assumes reinvestment of dividends.</w:t>
      </w:r>
    </w:p>
    <w:p w:rsidR="00A621E3" w:rsidRDefault="00A621E3">
      <w:pPr>
        <w:spacing w:line="212" w:lineRule="exact"/>
        <w:rPr>
          <w:rFonts w:ascii="Arial" w:eastAsia="Arial" w:hAnsi="Arial" w:cs="Arial"/>
          <w:color w:val="CF0A2C"/>
          <w:sz w:val="20"/>
          <w:szCs w:val="20"/>
        </w:rPr>
      </w:pPr>
    </w:p>
    <w:p w:rsidR="00A621E3" w:rsidRDefault="00EC630E">
      <w:pPr>
        <w:numPr>
          <w:ilvl w:val="1"/>
          <w:numId w:val="54"/>
        </w:numPr>
        <w:tabs>
          <w:tab w:val="left" w:pos="246"/>
        </w:tabs>
        <w:spacing w:line="268" w:lineRule="auto"/>
        <w:ind w:left="246" w:hanging="192"/>
        <w:jc w:val="both"/>
        <w:rPr>
          <w:rFonts w:ascii="Arial" w:eastAsia="Arial" w:hAnsi="Arial" w:cs="Arial"/>
          <w:color w:val="CF0A2C"/>
          <w:sz w:val="18"/>
          <w:szCs w:val="18"/>
        </w:rPr>
      </w:pPr>
      <w:r>
        <w:rPr>
          <w:rFonts w:ascii="Arial" w:eastAsia="Arial" w:hAnsi="Arial" w:cs="Arial"/>
          <w:i/>
          <w:iCs/>
          <w:sz w:val="18"/>
          <w:szCs w:val="18"/>
        </w:rPr>
        <w:t xml:space="preserve">Peer Company Performance Comparisons: </w:t>
      </w:r>
      <w:r>
        <w:rPr>
          <w:rFonts w:ascii="Arial" w:eastAsia="Arial" w:hAnsi="Arial" w:cs="Arial"/>
          <w:sz w:val="18"/>
          <w:szCs w:val="18"/>
        </w:rPr>
        <w:t>In assessing the</w:t>
      </w:r>
      <w:r>
        <w:rPr>
          <w:rFonts w:ascii="Arial" w:eastAsia="Arial" w:hAnsi="Arial" w:cs="Arial"/>
          <w:i/>
          <w:iCs/>
          <w:sz w:val="18"/>
          <w:szCs w:val="18"/>
        </w:rPr>
        <w:t xml:space="preserve"> </w:t>
      </w:r>
      <w:r>
        <w:rPr>
          <w:rFonts w:ascii="Arial" w:eastAsia="Arial" w:hAnsi="Arial" w:cs="Arial"/>
          <w:sz w:val="18"/>
          <w:szCs w:val="18"/>
        </w:rPr>
        <w:t xml:space="preserve">performance of the Company and our executive team, the Compensation Committee considers performance against both U.S. and </w:t>
      </w:r>
      <w:r>
        <w:rPr>
          <w:rFonts w:ascii="Arial" w:eastAsia="Arial" w:hAnsi="Arial" w:cs="Arial"/>
          <w:sz w:val="18"/>
          <w:szCs w:val="18"/>
        </w:rPr>
        <w:t>China peers, which allows the Compensation Committee to assess performance in the context of the operating market in China which can vary significantly as compared to the U.S. operating market. During the pandemic, these differences were pronounced and the</w:t>
      </w:r>
      <w:r>
        <w:rPr>
          <w:rFonts w:ascii="Arial" w:eastAsia="Arial" w:hAnsi="Arial" w:cs="Arial"/>
          <w:sz w:val="18"/>
          <w:szCs w:val="18"/>
        </w:rPr>
        <w:t xml:space="preserve"> Compensation Committee implemented an executive compensation program that would be responsive to these drastically different operating environments and reward performance that was deemed critical to our success in navigating the pandemic and emerging stro</w:t>
      </w:r>
      <w:r>
        <w:rPr>
          <w:rFonts w:ascii="Arial" w:eastAsia="Arial" w:hAnsi="Arial" w:cs="Arial"/>
          <w:sz w:val="18"/>
          <w:szCs w:val="18"/>
        </w:rPr>
        <w:t>nger. Despite the unprecedented challenges and significant volatility caused by COVID-19 on the Company’s operations and financial results during the three-year period since 2020, the leadership team led the successful implementation of immediate emergency</w:t>
      </w:r>
      <w:r>
        <w:rPr>
          <w:rFonts w:ascii="Arial" w:eastAsia="Arial" w:hAnsi="Arial" w:cs="Arial"/>
          <w:sz w:val="18"/>
          <w:szCs w:val="18"/>
        </w:rPr>
        <w:t xml:space="preserve"> actions to protect employees, sustain operations, drive sales, protect profitability, drive stockholder value-creation and give back to the community. With the tremendous efforts of all our employees led by the leadership team, our revenue growth rate out</w:t>
      </w:r>
      <w:r>
        <w:rPr>
          <w:rFonts w:ascii="Arial" w:eastAsia="Arial" w:hAnsi="Arial" w:cs="Arial"/>
          <w:sz w:val="18"/>
          <w:szCs w:val="18"/>
        </w:rPr>
        <w:t>performed the China restaurant industry over the periods as indicated below:</w:t>
      </w:r>
    </w:p>
    <w:p w:rsidR="00A621E3" w:rsidRDefault="00EC630E">
      <w:pPr>
        <w:spacing w:line="20" w:lineRule="exact"/>
        <w:rPr>
          <w:sz w:val="20"/>
          <w:szCs w:val="20"/>
        </w:rPr>
      </w:pPr>
      <w:r>
        <w:rPr>
          <w:noProof/>
          <w:sz w:val="20"/>
          <w:szCs w:val="20"/>
        </w:rPr>
        <w:drawing>
          <wp:anchor distT="0" distB="0" distL="114300" distR="114300" simplePos="0" relativeHeight="251870208" behindDoc="1" locked="0" layoutInCell="0" allowOverlap="1">
            <wp:simplePos x="0" y="0"/>
            <wp:positionH relativeFrom="column">
              <wp:posOffset>-2503805</wp:posOffset>
            </wp:positionH>
            <wp:positionV relativeFrom="paragraph">
              <wp:posOffset>219075</wp:posOffset>
            </wp:positionV>
            <wp:extent cx="4877435" cy="2794635"/>
            <wp:effectExtent l="0" t="0" r="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2">
                      <a:extLst/>
                    </a:blip>
                    <a:srcRect/>
                    <a:stretch>
                      <a:fillRect/>
                    </a:stretch>
                  </pic:blipFill>
                  <pic:spPr bwMode="auto">
                    <a:xfrm>
                      <a:off x="0" y="0"/>
                      <a:ext cx="4877435" cy="279463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ectPr w:rsidR="00A621E3">
          <w:pgSz w:w="11900" w:h="16838"/>
          <w:pgMar w:top="486" w:right="459" w:bottom="1440" w:left="320" w:header="0" w:footer="0" w:gutter="0"/>
          <w:cols w:num="2" w:space="720" w:equalWidth="0">
            <w:col w:w="5400" w:space="334"/>
            <w:col w:w="5386"/>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82"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45</w:t>
      </w:r>
    </w:p>
    <w:p w:rsidR="00A621E3" w:rsidRDefault="00EC630E">
      <w:pPr>
        <w:spacing w:line="20" w:lineRule="exact"/>
        <w:rPr>
          <w:sz w:val="20"/>
          <w:szCs w:val="20"/>
        </w:rPr>
      </w:pPr>
      <w:r>
        <w:rPr>
          <w:noProof/>
          <w:sz w:val="20"/>
          <w:szCs w:val="20"/>
        </w:rPr>
        <w:drawing>
          <wp:anchor distT="0" distB="0" distL="114300" distR="114300" simplePos="0" relativeHeight="251871232"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59" w:bottom="1440" w:left="320" w:header="0" w:footer="0" w:gutter="0"/>
          <w:cols w:space="720" w:equalWidth="0">
            <w:col w:w="11120"/>
          </w:cols>
        </w:sectPr>
      </w:pPr>
    </w:p>
    <w:p w:rsidR="00A621E3" w:rsidRDefault="00EC630E">
      <w:pPr>
        <w:rPr>
          <w:sz w:val="20"/>
          <w:szCs w:val="20"/>
        </w:rPr>
      </w:pPr>
      <w:bookmarkStart w:id="51" w:name="page51"/>
      <w:bookmarkEnd w:id="51"/>
      <w:r>
        <w:rPr>
          <w:rFonts w:ascii="Arial" w:eastAsia="Arial" w:hAnsi="Arial" w:cs="Arial"/>
          <w:b/>
          <w:bCs/>
          <w:color w:val="0000EE"/>
          <w:sz w:val="18"/>
          <w:szCs w:val="18"/>
          <w:u w:val="single"/>
        </w:rPr>
        <w:lastRenderedPageBreak/>
        <w:t>Table of Contents</w:t>
      </w:r>
    </w:p>
    <w:p w:rsidR="00A621E3" w:rsidRDefault="00EC630E">
      <w:pPr>
        <w:spacing w:line="20" w:lineRule="exact"/>
        <w:rPr>
          <w:sz w:val="20"/>
          <w:szCs w:val="20"/>
        </w:rPr>
      </w:pPr>
      <w:r>
        <w:rPr>
          <w:noProof/>
          <w:sz w:val="20"/>
          <w:szCs w:val="20"/>
        </w:rPr>
        <w:drawing>
          <wp:anchor distT="0" distB="0" distL="114300" distR="114300" simplePos="0" relativeHeight="251872256"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263" w:lineRule="exact"/>
        <w:rPr>
          <w:sz w:val="20"/>
          <w:szCs w:val="20"/>
        </w:rPr>
      </w:pPr>
    </w:p>
    <w:p w:rsidR="00A621E3" w:rsidRDefault="00EC630E">
      <w:pPr>
        <w:spacing w:line="272" w:lineRule="auto"/>
        <w:ind w:left="280"/>
        <w:jc w:val="both"/>
        <w:rPr>
          <w:sz w:val="20"/>
          <w:szCs w:val="20"/>
        </w:rPr>
      </w:pPr>
      <w:r>
        <w:rPr>
          <w:rFonts w:ascii="Arial" w:eastAsia="Arial" w:hAnsi="Arial" w:cs="Arial"/>
          <w:sz w:val="18"/>
          <w:szCs w:val="18"/>
        </w:rPr>
        <w:t xml:space="preserve">We believe our </w:t>
      </w:r>
      <w:r>
        <w:rPr>
          <w:rFonts w:ascii="Arial" w:eastAsia="Arial" w:hAnsi="Arial" w:cs="Arial"/>
          <w:sz w:val="18"/>
          <w:szCs w:val="18"/>
        </w:rPr>
        <w:t>ability to stay nimble and to adapt quickly to the rapidly-changing operating environment were key to our successfully navigating the pandemic to date. We managed to grow, with a 6% growth in total revenue (excluding foreign currency translation) in 2022 c</w:t>
      </w:r>
      <w:r>
        <w:rPr>
          <w:rFonts w:ascii="Arial" w:eastAsia="Arial" w:hAnsi="Arial" w:cs="Arial"/>
          <w:sz w:val="18"/>
          <w:szCs w:val="18"/>
        </w:rPr>
        <w:t>ompared to 2019, while the total revenue of the China restaurant industry declined by 6% over the same period. Despite the magnitude of our store closures and limited services during various waves of the pandemic, we remained profitable over all 12 quarter</w:t>
      </w:r>
      <w:r>
        <w:rPr>
          <w:rFonts w:ascii="Arial" w:eastAsia="Arial" w:hAnsi="Arial" w:cs="Arial"/>
          <w:sz w:val="18"/>
          <w:szCs w:val="18"/>
        </w:rPr>
        <w:t>s of 2020 to 2022.</w:t>
      </w:r>
    </w:p>
    <w:p w:rsidR="00A621E3" w:rsidRDefault="00A621E3">
      <w:pPr>
        <w:spacing w:line="197" w:lineRule="exact"/>
        <w:rPr>
          <w:sz w:val="20"/>
          <w:szCs w:val="20"/>
        </w:rPr>
      </w:pPr>
    </w:p>
    <w:p w:rsidR="00A621E3" w:rsidRDefault="00EC630E">
      <w:pPr>
        <w:numPr>
          <w:ilvl w:val="0"/>
          <w:numId w:val="55"/>
        </w:numPr>
        <w:tabs>
          <w:tab w:val="left" w:pos="360"/>
        </w:tabs>
        <w:spacing w:line="268" w:lineRule="auto"/>
        <w:ind w:left="360" w:hanging="190"/>
        <w:jc w:val="both"/>
        <w:rPr>
          <w:rFonts w:ascii="Arial" w:eastAsia="Arial" w:hAnsi="Arial" w:cs="Arial"/>
          <w:color w:val="CF0A2C"/>
          <w:sz w:val="18"/>
          <w:szCs w:val="18"/>
        </w:rPr>
      </w:pPr>
      <w:r>
        <w:rPr>
          <w:rFonts w:ascii="Arial" w:eastAsia="Arial" w:hAnsi="Arial" w:cs="Arial"/>
          <w:i/>
          <w:iCs/>
          <w:sz w:val="18"/>
          <w:szCs w:val="18"/>
        </w:rPr>
        <w:t xml:space="preserve">Competitive Market and Retention Constraints: </w:t>
      </w:r>
      <w:r>
        <w:rPr>
          <w:rFonts w:ascii="Arial" w:eastAsia="Arial" w:hAnsi="Arial" w:cs="Arial"/>
          <w:sz w:val="18"/>
          <w:szCs w:val="18"/>
        </w:rPr>
        <w:t>Knowledge of</w:t>
      </w:r>
      <w:r>
        <w:rPr>
          <w:rFonts w:ascii="Arial" w:eastAsia="Arial" w:hAnsi="Arial" w:cs="Arial"/>
          <w:i/>
          <w:iCs/>
          <w:sz w:val="18"/>
          <w:szCs w:val="18"/>
        </w:rPr>
        <w:t xml:space="preserve"> </w:t>
      </w:r>
      <w:r>
        <w:rPr>
          <w:rFonts w:ascii="Arial" w:eastAsia="Arial" w:hAnsi="Arial" w:cs="Arial"/>
          <w:sz w:val="18"/>
          <w:szCs w:val="18"/>
        </w:rPr>
        <w:t xml:space="preserve">and expertise in U.S., China, and Hong Kong regulatory regimes and business practices are required for many of the Company’s executive officers. In addition, because our </w:t>
      </w:r>
      <w:r>
        <w:rPr>
          <w:rFonts w:ascii="Arial" w:eastAsia="Arial" w:hAnsi="Arial" w:cs="Arial"/>
          <w:sz w:val="18"/>
          <w:szCs w:val="18"/>
        </w:rPr>
        <w:t>executive team is located in China, we are required to compete in the Chinese market for executive talent with this unique skillset. Given the uniqueness of executives with this profile, the Company increasingly competes for executive talent against China-</w:t>
      </w:r>
      <w:r>
        <w:rPr>
          <w:rFonts w:ascii="Arial" w:eastAsia="Arial" w:hAnsi="Arial" w:cs="Arial"/>
          <w:sz w:val="18"/>
          <w:szCs w:val="18"/>
        </w:rPr>
        <w:t>based companies with, or planning for, listing outside of China. These competitors often offer compensation packages with significant one-time equity grants and equity awards with time-based vesting, which are common practices in the Chinese executive comp</w:t>
      </w:r>
      <w:r>
        <w:rPr>
          <w:rFonts w:ascii="Arial" w:eastAsia="Arial" w:hAnsi="Arial" w:cs="Arial"/>
          <w:sz w:val="18"/>
          <w:szCs w:val="18"/>
        </w:rPr>
        <w:t>ensation market. In determining executive compensation decisions, the Compensation Committee considers this increased competition, the practice of granting one-time equity awards and granting equity awards with time-based vesting, and the Company’s need to</w:t>
      </w:r>
      <w:r>
        <w:rPr>
          <w:rFonts w:ascii="Arial" w:eastAsia="Arial" w:hAnsi="Arial" w:cs="Arial"/>
          <w:sz w:val="18"/>
          <w:szCs w:val="18"/>
        </w:rPr>
        <w:t xml:space="preserve"> retain and motivate the Company’s global and entrepreneurial leadership team.</w:t>
      </w:r>
    </w:p>
    <w:p w:rsidR="00A621E3" w:rsidRDefault="00A621E3">
      <w:pPr>
        <w:spacing w:line="185" w:lineRule="exact"/>
        <w:rPr>
          <w:sz w:val="20"/>
          <w:szCs w:val="20"/>
        </w:rPr>
      </w:pPr>
    </w:p>
    <w:p w:rsidR="00A621E3" w:rsidRDefault="00EC630E">
      <w:pPr>
        <w:spacing w:line="270" w:lineRule="auto"/>
        <w:ind w:left="320"/>
        <w:jc w:val="both"/>
        <w:rPr>
          <w:sz w:val="20"/>
          <w:szCs w:val="20"/>
        </w:rPr>
      </w:pPr>
      <w:r>
        <w:rPr>
          <w:rFonts w:ascii="Arial" w:eastAsia="Arial" w:hAnsi="Arial" w:cs="Arial"/>
          <w:sz w:val="18"/>
          <w:szCs w:val="18"/>
        </w:rPr>
        <w:t>In determining executive compensation decisions, the Compensation Committee also considered the fact that the challenging market for international executive talent was aggravat</w:t>
      </w:r>
      <w:r>
        <w:rPr>
          <w:rFonts w:ascii="Arial" w:eastAsia="Arial" w:hAnsi="Arial" w:cs="Arial"/>
          <w:sz w:val="18"/>
          <w:szCs w:val="18"/>
        </w:rPr>
        <w:t>ed by a reduced number of global talent residing in China compared to pre-pandemic years. In particular, the Compensation Committee considered the hardship on the management team due to the inability to unite with their families for an extended period as a</w:t>
      </w:r>
      <w:r>
        <w:rPr>
          <w:rFonts w:ascii="Arial" w:eastAsia="Arial" w:hAnsi="Arial" w:cs="Arial"/>
          <w:sz w:val="18"/>
          <w:szCs w:val="18"/>
        </w:rPr>
        <w:t xml:space="preserve"> result of the strict travel restrictions and, at the same time, the requirements to continually evolve the Company’s operating plans to sustain operations, drive sales, and protect profits. Concerned with the risk of losing talent due to the large persona</w:t>
      </w:r>
      <w:r>
        <w:rPr>
          <w:rFonts w:ascii="Arial" w:eastAsia="Arial" w:hAnsi="Arial" w:cs="Arial"/>
          <w:sz w:val="18"/>
          <w:szCs w:val="18"/>
        </w:rPr>
        <w:t>l toll and sacri-</w:t>
      </w:r>
    </w:p>
    <w:p w:rsidR="00A621E3" w:rsidRDefault="00A621E3">
      <w:pPr>
        <w:spacing w:line="200" w:lineRule="exact"/>
        <w:rPr>
          <w:sz w:val="20"/>
          <w:szCs w:val="20"/>
        </w:rPr>
      </w:pPr>
    </w:p>
    <w:p w:rsidR="00A621E3" w:rsidRDefault="00A621E3">
      <w:pPr>
        <w:spacing w:line="213" w:lineRule="exact"/>
        <w:rPr>
          <w:sz w:val="20"/>
          <w:szCs w:val="20"/>
        </w:rPr>
      </w:pPr>
    </w:p>
    <w:p w:rsidR="00A621E3" w:rsidRDefault="00EC630E">
      <w:pPr>
        <w:numPr>
          <w:ilvl w:val="0"/>
          <w:numId w:val="56"/>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87328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0" w:lineRule="exact"/>
        <w:rPr>
          <w:sz w:val="20"/>
          <w:szCs w:val="20"/>
        </w:rPr>
      </w:pPr>
    </w:p>
    <w:p w:rsidR="00A621E3" w:rsidRDefault="00EC630E">
      <w:pPr>
        <w:spacing w:line="273" w:lineRule="auto"/>
        <w:ind w:left="200" w:right="20"/>
        <w:jc w:val="both"/>
        <w:rPr>
          <w:sz w:val="20"/>
          <w:szCs w:val="20"/>
        </w:rPr>
      </w:pPr>
      <w:r>
        <w:rPr>
          <w:rFonts w:ascii="Arial" w:eastAsia="Arial" w:hAnsi="Arial" w:cs="Arial"/>
          <w:sz w:val="18"/>
          <w:szCs w:val="18"/>
        </w:rPr>
        <w:t>fice required of our management team for an extended period of time, as well as the potential inability to attract and retain future talent due to the ongoing COVID-19 pandemic restrictions, the</w:t>
      </w:r>
      <w:r>
        <w:rPr>
          <w:rFonts w:ascii="Arial" w:eastAsia="Arial" w:hAnsi="Arial" w:cs="Arial"/>
          <w:sz w:val="18"/>
          <w:szCs w:val="18"/>
        </w:rPr>
        <w:t xml:space="preserve"> Compensation Committee took actions that it considered appropriate to reward and recognize not only the strong Company performance that was led by the management team but also the significant retentive risks presented by the extended COVID-19 pandemic and</w:t>
      </w:r>
      <w:r>
        <w:rPr>
          <w:rFonts w:ascii="Arial" w:eastAsia="Arial" w:hAnsi="Arial" w:cs="Arial"/>
          <w:sz w:val="18"/>
          <w:szCs w:val="18"/>
        </w:rPr>
        <w:t xml:space="preserve"> public health measures in China.</w:t>
      </w:r>
    </w:p>
    <w:p w:rsidR="00A621E3" w:rsidRDefault="00EC630E">
      <w:pPr>
        <w:spacing w:line="20" w:lineRule="exact"/>
        <w:rPr>
          <w:sz w:val="20"/>
          <w:szCs w:val="20"/>
        </w:rPr>
      </w:pPr>
      <w:r>
        <w:rPr>
          <w:noProof/>
          <w:sz w:val="20"/>
          <w:szCs w:val="20"/>
        </w:rPr>
        <w:drawing>
          <wp:anchor distT="0" distB="0" distL="114300" distR="114300" simplePos="0" relativeHeight="251874304" behindDoc="1" locked="0" layoutInCell="0" allowOverlap="1">
            <wp:simplePos x="0" y="0"/>
            <wp:positionH relativeFrom="column">
              <wp:posOffset>-3651885</wp:posOffset>
            </wp:positionH>
            <wp:positionV relativeFrom="paragraph">
              <wp:posOffset>-2076450</wp:posOffset>
            </wp:positionV>
            <wp:extent cx="7174865" cy="55880"/>
            <wp:effectExtent l="0" t="0" r="0" b="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p>
    <w:p w:rsidR="00A621E3" w:rsidRDefault="00A621E3">
      <w:pPr>
        <w:spacing w:line="250" w:lineRule="exact"/>
        <w:rPr>
          <w:sz w:val="20"/>
          <w:szCs w:val="20"/>
        </w:rPr>
      </w:pPr>
    </w:p>
    <w:p w:rsidR="00A621E3" w:rsidRDefault="00EC630E">
      <w:pPr>
        <w:rPr>
          <w:sz w:val="20"/>
          <w:szCs w:val="20"/>
        </w:rPr>
      </w:pPr>
      <w:r>
        <w:rPr>
          <w:rFonts w:ascii="Arial" w:eastAsia="Arial" w:hAnsi="Arial" w:cs="Arial"/>
          <w:b/>
          <w:bCs/>
          <w:color w:val="CF0A2C"/>
          <w:sz w:val="20"/>
          <w:szCs w:val="20"/>
        </w:rPr>
        <w:t>Business Overview and Performance Highlights</w:t>
      </w:r>
    </w:p>
    <w:p w:rsidR="00A621E3" w:rsidRDefault="00A621E3">
      <w:pPr>
        <w:spacing w:line="262" w:lineRule="exact"/>
        <w:rPr>
          <w:sz w:val="20"/>
          <w:szCs w:val="20"/>
        </w:rPr>
      </w:pPr>
    </w:p>
    <w:p w:rsidR="00A621E3" w:rsidRDefault="00EC630E">
      <w:pPr>
        <w:spacing w:line="269" w:lineRule="auto"/>
        <w:jc w:val="both"/>
        <w:rPr>
          <w:sz w:val="20"/>
          <w:szCs w:val="20"/>
        </w:rPr>
      </w:pPr>
      <w:r>
        <w:rPr>
          <w:rFonts w:ascii="Arial" w:eastAsia="Arial" w:hAnsi="Arial" w:cs="Arial"/>
          <w:sz w:val="18"/>
          <w:szCs w:val="18"/>
        </w:rPr>
        <w:t>As noted above, the COVID-19 pandemic had a significant impact on the Company’s operations starting in the first quarter of 2020 and continuing through 2022. Although the U.</w:t>
      </w:r>
      <w:r>
        <w:rPr>
          <w:rFonts w:ascii="Arial" w:eastAsia="Arial" w:hAnsi="Arial" w:cs="Arial"/>
          <w:sz w:val="18"/>
          <w:szCs w:val="18"/>
        </w:rPr>
        <w:t xml:space="preserve">S. markets generally returned to normal, 2022 was in many ways the most volatile year for the Chinese restaurant sector during the past three years, during which we managed to navigate sporadic COVID outbreaks, entire city lockdowns and, in December 2022, </w:t>
      </w:r>
      <w:r>
        <w:rPr>
          <w:rFonts w:ascii="Arial" w:eastAsia="Arial" w:hAnsi="Arial" w:cs="Arial"/>
          <w:sz w:val="18"/>
          <w:szCs w:val="18"/>
        </w:rPr>
        <w:t xml:space="preserve">nationwide infections. Right from the start of the pandemic, our management team took immediate actions to sustain operations, drive sales, and protect profits. As a result, the Company managed to grow, earned positive operating profit in every quarter of </w:t>
      </w:r>
      <w:r>
        <w:rPr>
          <w:rFonts w:ascii="Arial" w:eastAsia="Arial" w:hAnsi="Arial" w:cs="Arial"/>
          <w:sz w:val="18"/>
          <w:szCs w:val="18"/>
        </w:rPr>
        <w:t>2020 to 2022, and continued to invest in key strategic capabilities, which we believe helps position us with strengthened competitive edge to capture future growth opportunities. Key aspects of what we did and how we did it are highlighted below.</w:t>
      </w:r>
    </w:p>
    <w:p w:rsidR="00A621E3" w:rsidRDefault="00A621E3">
      <w:pPr>
        <w:spacing w:line="206" w:lineRule="exact"/>
        <w:rPr>
          <w:sz w:val="20"/>
          <w:szCs w:val="20"/>
        </w:rPr>
      </w:pPr>
    </w:p>
    <w:p w:rsidR="00A621E3" w:rsidRDefault="00EC630E">
      <w:pPr>
        <w:numPr>
          <w:ilvl w:val="0"/>
          <w:numId w:val="57"/>
        </w:numPr>
        <w:tabs>
          <w:tab w:val="left" w:pos="240"/>
        </w:tabs>
        <w:spacing w:line="255" w:lineRule="auto"/>
        <w:ind w:left="240" w:right="20" w:hanging="192"/>
        <w:jc w:val="both"/>
        <w:rPr>
          <w:rFonts w:ascii="Arial" w:eastAsia="Arial" w:hAnsi="Arial" w:cs="Arial"/>
          <w:color w:val="CF0A2C"/>
          <w:sz w:val="19"/>
          <w:szCs w:val="19"/>
        </w:rPr>
      </w:pPr>
      <w:r>
        <w:rPr>
          <w:rFonts w:ascii="Arial" w:eastAsia="Arial" w:hAnsi="Arial" w:cs="Arial"/>
          <w:sz w:val="19"/>
          <w:szCs w:val="19"/>
        </w:rPr>
        <w:t>We quick</w:t>
      </w:r>
      <w:r>
        <w:rPr>
          <w:rFonts w:ascii="Arial" w:eastAsia="Arial" w:hAnsi="Arial" w:cs="Arial"/>
          <w:sz w:val="19"/>
          <w:szCs w:val="19"/>
        </w:rPr>
        <w:t>ly adapted our operations and offers to capture increasing off-premise demand when dine-in traffic was pressured. Enabled by dedicated riders, delivery sales of KFC and Pizza Hut combined grew by 17% year-over-year and accounted for approximately 39% of Co</w:t>
      </w:r>
      <w:r>
        <w:rPr>
          <w:rFonts w:ascii="Arial" w:eastAsia="Arial" w:hAnsi="Arial" w:cs="Arial"/>
          <w:sz w:val="19"/>
          <w:szCs w:val="19"/>
        </w:rPr>
        <w:t>mpany sales of these two brands in 2022. Combined with takeaway, off-premise services represented approximately 65% of Company sales in 2022, compared to approximately 40% in 2019. In addition, new retail packaged foods sales grew 50% and reached nearly RM</w:t>
      </w:r>
      <w:r>
        <w:rPr>
          <w:rFonts w:ascii="Arial" w:eastAsia="Arial" w:hAnsi="Arial" w:cs="Arial"/>
          <w:sz w:val="19"/>
          <w:szCs w:val="19"/>
        </w:rPr>
        <w:t>B900 million in 2022.</w:t>
      </w:r>
    </w:p>
    <w:p w:rsidR="00A621E3" w:rsidRDefault="00A621E3">
      <w:pPr>
        <w:spacing w:line="216" w:lineRule="exact"/>
        <w:rPr>
          <w:rFonts w:ascii="Arial" w:eastAsia="Arial" w:hAnsi="Arial" w:cs="Arial"/>
          <w:color w:val="CF0A2C"/>
          <w:sz w:val="19"/>
          <w:szCs w:val="19"/>
        </w:rPr>
      </w:pPr>
    </w:p>
    <w:p w:rsidR="00A621E3" w:rsidRDefault="00EC630E">
      <w:pPr>
        <w:numPr>
          <w:ilvl w:val="0"/>
          <w:numId w:val="57"/>
        </w:numPr>
        <w:tabs>
          <w:tab w:val="left" w:pos="240"/>
        </w:tabs>
        <w:spacing w:line="246" w:lineRule="auto"/>
        <w:ind w:left="240" w:right="20" w:hanging="192"/>
        <w:jc w:val="both"/>
        <w:rPr>
          <w:rFonts w:ascii="Arial" w:eastAsia="Arial" w:hAnsi="Arial" w:cs="Arial"/>
          <w:color w:val="CF0A2C"/>
          <w:sz w:val="20"/>
          <w:szCs w:val="20"/>
        </w:rPr>
      </w:pPr>
      <w:r>
        <w:rPr>
          <w:rFonts w:ascii="Arial" w:eastAsia="Arial" w:hAnsi="Arial" w:cs="Arial"/>
          <w:sz w:val="20"/>
          <w:szCs w:val="20"/>
        </w:rPr>
        <w:t>We continued to drive traffic and sales by delivering good food with great value. Leveraging our innovation capabilities and supported by our industry-leading supply chain management system to secure supply at scale,</w:t>
      </w: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52" w:name="page52"/>
      <w:bookmarkEnd w:id="52"/>
      <w:r>
        <w:rPr>
          <w:rFonts w:ascii="Arial" w:eastAsia="Arial" w:hAnsi="Arial" w:cs="Arial"/>
          <w:b/>
          <w:bCs/>
          <w:color w:val="0000EE"/>
          <w:sz w:val="18"/>
          <w:szCs w:val="18"/>
          <w:u w:val="single"/>
        </w:rPr>
        <w:t>Table of Contents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3" w:lineRule="exact"/>
        <w:rPr>
          <w:sz w:val="20"/>
          <w:szCs w:val="20"/>
        </w:rPr>
      </w:pPr>
    </w:p>
    <w:p w:rsidR="00A621E3" w:rsidRDefault="00EC630E">
      <w:pPr>
        <w:spacing w:line="259" w:lineRule="auto"/>
        <w:ind w:left="320" w:right="20"/>
        <w:jc w:val="both"/>
        <w:rPr>
          <w:sz w:val="20"/>
          <w:szCs w:val="20"/>
        </w:rPr>
      </w:pPr>
      <w:r>
        <w:rPr>
          <w:rFonts w:ascii="Arial" w:eastAsia="Arial" w:hAnsi="Arial" w:cs="Arial"/>
          <w:sz w:val="19"/>
          <w:szCs w:val="19"/>
        </w:rPr>
        <w:t>we launched over 500 new or upgraded menu items in 2022, from regional offers to national launches. We effectively focused our marketing campaigns on more impactful value-for-money offerings. Our total syst</w:t>
      </w:r>
      <w:r>
        <w:rPr>
          <w:rFonts w:ascii="Arial" w:eastAsia="Arial" w:hAnsi="Arial" w:cs="Arial"/>
          <w:sz w:val="19"/>
          <w:szCs w:val="19"/>
        </w:rPr>
        <w:t>em sales decreased 5% year-over-year in 2022, compared to a 6% decline in the total revenue of the China restaurant industry.</w:t>
      </w:r>
    </w:p>
    <w:p w:rsidR="00A621E3" w:rsidRDefault="00A621E3">
      <w:pPr>
        <w:spacing w:line="205" w:lineRule="exact"/>
        <w:rPr>
          <w:sz w:val="20"/>
          <w:szCs w:val="20"/>
        </w:rPr>
      </w:pPr>
    </w:p>
    <w:p w:rsidR="00A621E3" w:rsidRDefault="00EC630E">
      <w:pPr>
        <w:numPr>
          <w:ilvl w:val="0"/>
          <w:numId w:val="58"/>
        </w:numPr>
        <w:tabs>
          <w:tab w:val="left" w:pos="360"/>
        </w:tabs>
        <w:spacing w:line="243" w:lineRule="auto"/>
        <w:ind w:left="360" w:hanging="190"/>
        <w:jc w:val="both"/>
        <w:rPr>
          <w:rFonts w:ascii="Arial" w:eastAsia="Arial" w:hAnsi="Arial" w:cs="Arial"/>
          <w:color w:val="CF0A2C"/>
          <w:sz w:val="20"/>
          <w:szCs w:val="20"/>
        </w:rPr>
      </w:pPr>
      <w:r>
        <w:rPr>
          <w:rFonts w:ascii="Arial" w:eastAsia="Arial" w:hAnsi="Arial" w:cs="Arial"/>
          <w:sz w:val="20"/>
          <w:szCs w:val="20"/>
        </w:rPr>
        <w:t xml:space="preserve">We further broadened our member base and engaged with members to drive repeat purchases. Our loyalty programs grew approximately </w:t>
      </w:r>
      <w:r>
        <w:rPr>
          <w:rFonts w:ascii="Arial" w:eastAsia="Arial" w:hAnsi="Arial" w:cs="Arial"/>
          <w:sz w:val="20"/>
          <w:szCs w:val="20"/>
        </w:rPr>
        <w:t>70% from over 240 million members at the end of 2019 to over 410 million members at the end of 2022. Member sales accounted for approximately 60% of our system sales in 2022.</w:t>
      </w:r>
    </w:p>
    <w:p w:rsidR="00A621E3" w:rsidRDefault="00A621E3">
      <w:pPr>
        <w:spacing w:line="222" w:lineRule="exact"/>
        <w:rPr>
          <w:rFonts w:ascii="Arial" w:eastAsia="Arial" w:hAnsi="Arial" w:cs="Arial"/>
          <w:color w:val="CF0A2C"/>
          <w:sz w:val="20"/>
          <w:szCs w:val="20"/>
        </w:rPr>
      </w:pPr>
    </w:p>
    <w:p w:rsidR="00A621E3" w:rsidRDefault="00EC630E">
      <w:pPr>
        <w:numPr>
          <w:ilvl w:val="0"/>
          <w:numId w:val="58"/>
        </w:numPr>
        <w:tabs>
          <w:tab w:val="left" w:pos="360"/>
        </w:tabs>
        <w:spacing w:line="271" w:lineRule="auto"/>
        <w:ind w:left="360" w:hanging="190"/>
        <w:jc w:val="both"/>
        <w:rPr>
          <w:rFonts w:ascii="Arial" w:eastAsia="Arial" w:hAnsi="Arial" w:cs="Arial"/>
          <w:color w:val="CF0A2C"/>
          <w:sz w:val="18"/>
          <w:szCs w:val="18"/>
        </w:rPr>
      </w:pPr>
      <w:r>
        <w:rPr>
          <w:rFonts w:ascii="Arial" w:eastAsia="Arial" w:hAnsi="Arial" w:cs="Arial"/>
          <w:sz w:val="18"/>
          <w:szCs w:val="18"/>
        </w:rPr>
        <w:t>We proactively managed costs by taking actions to improve operational efficiency</w:t>
      </w:r>
      <w:r>
        <w:rPr>
          <w:rFonts w:ascii="Arial" w:eastAsia="Arial" w:hAnsi="Arial" w:cs="Arial"/>
          <w:sz w:val="18"/>
          <w:szCs w:val="18"/>
        </w:rPr>
        <w:t>. We leveraged digital capabilities, such as sales forecasting and inventory management, to continuously improve operational efficiency. Our initiatives such as optimizing staff scheduling and labor mix, as well as sharing restaurant management teams acros</w:t>
      </w:r>
      <w:r>
        <w:rPr>
          <w:rFonts w:ascii="Arial" w:eastAsia="Arial" w:hAnsi="Arial" w:cs="Arial"/>
          <w:sz w:val="18"/>
          <w:szCs w:val="18"/>
        </w:rPr>
        <w:t>s stores enabled us to drive labor productivity. We also spent considerable efforts to add variable components to more of our leases. We emerged from the pandemic with a rebased cost structure that yielded a restaurant margin of 14.1% for the full year 202</w:t>
      </w:r>
      <w:r>
        <w:rPr>
          <w:rFonts w:ascii="Arial" w:eastAsia="Arial" w:hAnsi="Arial" w:cs="Arial"/>
          <w:sz w:val="18"/>
          <w:szCs w:val="18"/>
        </w:rPr>
        <w:t>2, compared with 13.7% in the prior year, despite lower sales.</w:t>
      </w:r>
    </w:p>
    <w:p w:rsidR="00A621E3" w:rsidRDefault="00A621E3">
      <w:pPr>
        <w:spacing w:line="250" w:lineRule="exact"/>
        <w:rPr>
          <w:rFonts w:ascii="Arial" w:eastAsia="Arial" w:hAnsi="Arial" w:cs="Arial"/>
          <w:color w:val="CF0A2C"/>
          <w:sz w:val="18"/>
          <w:szCs w:val="18"/>
        </w:rPr>
      </w:pPr>
    </w:p>
    <w:p w:rsidR="00A621E3" w:rsidRDefault="00EC630E">
      <w:pPr>
        <w:numPr>
          <w:ilvl w:val="0"/>
          <w:numId w:val="58"/>
        </w:numPr>
        <w:tabs>
          <w:tab w:val="left" w:pos="360"/>
        </w:tabs>
        <w:spacing w:line="275" w:lineRule="auto"/>
        <w:ind w:left="360" w:right="20" w:hanging="190"/>
        <w:jc w:val="both"/>
        <w:rPr>
          <w:rFonts w:ascii="Arial" w:eastAsia="Arial" w:hAnsi="Arial" w:cs="Arial"/>
          <w:color w:val="CF0A2C"/>
          <w:sz w:val="18"/>
          <w:szCs w:val="18"/>
        </w:rPr>
      </w:pPr>
      <w:r>
        <w:rPr>
          <w:rFonts w:ascii="Arial" w:eastAsia="Arial" w:hAnsi="Arial" w:cs="Arial"/>
          <w:sz w:val="18"/>
          <w:szCs w:val="18"/>
        </w:rPr>
        <w:t>We invested heavily in building our digital capabilities across the value chain. The most visible aspects are consumer-facing</w:t>
      </w:r>
    </w:p>
    <w:p w:rsidR="00A621E3" w:rsidRDefault="00EC630E">
      <w:pPr>
        <w:ind w:left="360"/>
        <w:jc w:val="both"/>
        <w:rPr>
          <w:rFonts w:ascii="Arial" w:eastAsia="Arial" w:hAnsi="Arial" w:cs="Arial"/>
          <w:color w:val="CF0A2C"/>
          <w:sz w:val="18"/>
          <w:szCs w:val="18"/>
        </w:rPr>
      </w:pPr>
      <w:r>
        <w:rPr>
          <w:rFonts w:ascii="Arial" w:eastAsia="Arial" w:hAnsi="Arial" w:cs="Arial"/>
          <w:sz w:val="20"/>
          <w:szCs w:val="20"/>
        </w:rPr>
        <w:t xml:space="preserve">– the apps and screens that empower digital ordering and our </w:t>
      </w:r>
      <w:r>
        <w:rPr>
          <w:rFonts w:ascii="Arial" w:eastAsia="Arial" w:hAnsi="Arial" w:cs="Arial"/>
          <w:sz w:val="20"/>
          <w:szCs w:val="20"/>
        </w:rPr>
        <w:t>membership programs. Digital orders accounted for approximately 89% of KFC and Pizza Hut’s Company sales in 2022, compared to 55% in 2019. Similarly, the digitalization of our operations, from the supply chain to our kitchens, has been impactful.</w:t>
      </w:r>
    </w:p>
    <w:p w:rsidR="00A621E3" w:rsidRDefault="00A621E3">
      <w:pPr>
        <w:spacing w:line="278" w:lineRule="exact"/>
        <w:rPr>
          <w:rFonts w:ascii="Arial" w:eastAsia="Arial" w:hAnsi="Arial" w:cs="Arial"/>
          <w:color w:val="CF0A2C"/>
          <w:sz w:val="18"/>
          <w:szCs w:val="18"/>
        </w:rPr>
      </w:pPr>
    </w:p>
    <w:p w:rsidR="00A621E3" w:rsidRDefault="00EC630E">
      <w:pPr>
        <w:numPr>
          <w:ilvl w:val="0"/>
          <w:numId w:val="58"/>
        </w:numPr>
        <w:tabs>
          <w:tab w:val="left" w:pos="360"/>
        </w:tabs>
        <w:spacing w:line="273" w:lineRule="auto"/>
        <w:ind w:left="360" w:hanging="190"/>
        <w:jc w:val="both"/>
        <w:rPr>
          <w:rFonts w:ascii="Arial" w:eastAsia="Arial" w:hAnsi="Arial" w:cs="Arial"/>
          <w:color w:val="CF0A2C"/>
          <w:sz w:val="18"/>
          <w:szCs w:val="18"/>
        </w:rPr>
      </w:pPr>
      <w:r>
        <w:rPr>
          <w:rFonts w:ascii="Arial" w:eastAsia="Arial" w:hAnsi="Arial" w:cs="Arial"/>
          <w:sz w:val="18"/>
          <w:szCs w:val="18"/>
        </w:rPr>
        <w:t xml:space="preserve">We made </w:t>
      </w:r>
      <w:r>
        <w:rPr>
          <w:rFonts w:ascii="Arial" w:eastAsia="Arial" w:hAnsi="Arial" w:cs="Arial"/>
          <w:sz w:val="18"/>
          <w:szCs w:val="18"/>
        </w:rPr>
        <w:t>significant investments in our supply chain infrastructure to support future business growth. We expanded from 29 to 33 logistics centers to enhance self-sufficiency in each province in China. In 2022, we began construction on our largest greenfield logist</w:t>
      </w:r>
      <w:r>
        <w:rPr>
          <w:rFonts w:ascii="Arial" w:eastAsia="Arial" w:hAnsi="Arial" w:cs="Arial"/>
          <w:sz w:val="18"/>
          <w:szCs w:val="18"/>
        </w:rPr>
        <w:t>ics center, which will serve as the headquarters for our logistics centers across China. Powered by our digital capabilities, our real-time inventory visibility from logistics centers to stores helped enable us to dispatch</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4" w:lineRule="exact"/>
        <w:rPr>
          <w:sz w:val="20"/>
          <w:szCs w:val="20"/>
        </w:rPr>
      </w:pPr>
    </w:p>
    <w:p w:rsidR="00A621E3" w:rsidRDefault="00EC630E">
      <w:pPr>
        <w:ind w:left="2892"/>
        <w:rPr>
          <w:sz w:val="20"/>
          <w:szCs w:val="20"/>
        </w:rPr>
      </w:pPr>
      <w:r>
        <w:rPr>
          <w:rFonts w:ascii="Arial" w:eastAsia="Arial" w:hAnsi="Arial" w:cs="Arial"/>
          <w:b/>
          <w:bCs/>
          <w:color w:val="FFFFFF"/>
          <w:sz w:val="16"/>
          <w:szCs w:val="16"/>
        </w:rPr>
        <w:t>EXECUTIVE COMPENSATION</w:t>
      </w:r>
    </w:p>
    <w:p w:rsidR="00A621E3" w:rsidRDefault="00EC630E">
      <w:pPr>
        <w:spacing w:line="20" w:lineRule="exact"/>
        <w:rPr>
          <w:sz w:val="20"/>
          <w:szCs w:val="20"/>
        </w:rPr>
      </w:pPr>
      <w:r>
        <w:rPr>
          <w:noProof/>
          <w:sz w:val="20"/>
          <w:szCs w:val="20"/>
        </w:rPr>
        <w:drawing>
          <wp:anchor distT="0" distB="0" distL="114300" distR="114300" simplePos="0" relativeHeight="251875328" behindDoc="1" locked="0" layoutInCell="0" allowOverlap="1">
            <wp:simplePos x="0" y="0"/>
            <wp:positionH relativeFrom="column">
              <wp:posOffset>-3682365</wp:posOffset>
            </wp:positionH>
            <wp:positionV relativeFrom="paragraph">
              <wp:posOffset>-713105</wp:posOffset>
            </wp:positionV>
            <wp:extent cx="7174865" cy="55880"/>
            <wp:effectExtent l="0" t="0" r="0" b="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noProof/>
          <w:sz w:val="20"/>
          <w:szCs w:val="20"/>
        </w:rPr>
        <w:drawing>
          <wp:anchor distT="0" distB="0" distL="114300" distR="114300" simplePos="0" relativeHeight="251876352" behindDoc="1" locked="0" layoutInCell="0" allowOverlap="1">
            <wp:simplePos x="0" y="0"/>
            <wp:positionH relativeFrom="column">
              <wp:posOffset>1687830</wp:posOffset>
            </wp:positionH>
            <wp:positionV relativeFrom="paragraph">
              <wp:posOffset>-156210</wp:posOffset>
            </wp:positionV>
            <wp:extent cx="1705610" cy="205740"/>
            <wp:effectExtent l="0" t="0" r="0" b="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243" w:lineRule="exact"/>
        <w:rPr>
          <w:sz w:val="20"/>
          <w:szCs w:val="20"/>
        </w:rPr>
      </w:pPr>
    </w:p>
    <w:p w:rsidR="00A621E3" w:rsidRDefault="00EC630E">
      <w:pPr>
        <w:spacing w:line="260" w:lineRule="auto"/>
        <w:ind w:left="152" w:right="20"/>
        <w:rPr>
          <w:sz w:val="20"/>
          <w:szCs w:val="20"/>
        </w:rPr>
      </w:pPr>
      <w:r>
        <w:rPr>
          <w:rFonts w:ascii="Arial" w:eastAsia="Arial" w:hAnsi="Arial" w:cs="Arial"/>
          <w:sz w:val="20"/>
          <w:szCs w:val="20"/>
        </w:rPr>
        <w:t>raw materials with greater precision, allowing for more efficient operations and reduced food waste.</w:t>
      </w:r>
    </w:p>
    <w:p w:rsidR="00A621E3" w:rsidRDefault="00A621E3">
      <w:pPr>
        <w:spacing w:line="258" w:lineRule="exact"/>
        <w:rPr>
          <w:sz w:val="20"/>
          <w:szCs w:val="20"/>
        </w:rPr>
      </w:pPr>
    </w:p>
    <w:p w:rsidR="00A621E3" w:rsidRDefault="00EC630E">
      <w:pPr>
        <w:numPr>
          <w:ilvl w:val="0"/>
          <w:numId w:val="59"/>
        </w:numPr>
        <w:tabs>
          <w:tab w:val="left" w:pos="192"/>
        </w:tabs>
        <w:spacing w:line="270" w:lineRule="auto"/>
        <w:ind w:left="192" w:hanging="192"/>
        <w:jc w:val="both"/>
        <w:rPr>
          <w:rFonts w:ascii="Arial" w:eastAsia="Arial" w:hAnsi="Arial" w:cs="Arial"/>
          <w:color w:val="CF0A2C"/>
          <w:sz w:val="18"/>
          <w:szCs w:val="18"/>
        </w:rPr>
      </w:pPr>
      <w:r>
        <w:rPr>
          <w:rFonts w:ascii="Arial" w:eastAsia="Arial" w:hAnsi="Arial" w:cs="Arial"/>
          <w:sz w:val="18"/>
          <w:szCs w:val="18"/>
        </w:rPr>
        <w:t>We maintained our rapid store network expansion with innovative store models and healthy payback periods. Over the 2020-2022 period, we expanded our store</w:t>
      </w:r>
      <w:r>
        <w:rPr>
          <w:rFonts w:ascii="Arial" w:eastAsia="Arial" w:hAnsi="Arial" w:cs="Arial"/>
          <w:sz w:val="18"/>
          <w:szCs w:val="18"/>
        </w:rPr>
        <w:t xml:space="preserve"> portfolio by approximately 40%, adding a total of approximately 3,800 new stores and reaching 12,947 total stores at the end of 2022. In 2022, we opened 1,824 gross new stores, closed underperforming stores, and achieved 1,159 net new stores in 2022 with </w:t>
      </w:r>
      <w:r>
        <w:rPr>
          <w:rFonts w:ascii="Arial" w:eastAsia="Arial" w:hAnsi="Arial" w:cs="Arial"/>
          <w:sz w:val="18"/>
          <w:szCs w:val="18"/>
        </w:rPr>
        <w:t>healthy payback periods. KFC and Pizza Hut stores maintained an average payback period of two and three years, respectively. We lowered up-front investment and streamlined restaurant operations to improve efficiency. With multiple innovative store formats,</w:t>
      </w:r>
      <w:r>
        <w:rPr>
          <w:rFonts w:ascii="Arial" w:eastAsia="Arial" w:hAnsi="Arial" w:cs="Arial"/>
          <w:sz w:val="18"/>
          <w:szCs w:val="18"/>
        </w:rPr>
        <w:t xml:space="preserve"> we increased store density in higher tier cities and penetrated further into lower tier cities.</w:t>
      </w:r>
    </w:p>
    <w:p w:rsidR="00A621E3" w:rsidRDefault="00A621E3">
      <w:pPr>
        <w:spacing w:line="253" w:lineRule="exact"/>
        <w:rPr>
          <w:rFonts w:ascii="Arial" w:eastAsia="Arial" w:hAnsi="Arial" w:cs="Arial"/>
          <w:color w:val="CF0A2C"/>
          <w:sz w:val="18"/>
          <w:szCs w:val="18"/>
        </w:rPr>
      </w:pPr>
    </w:p>
    <w:p w:rsidR="00A621E3" w:rsidRDefault="00EC630E">
      <w:pPr>
        <w:numPr>
          <w:ilvl w:val="0"/>
          <w:numId w:val="59"/>
        </w:numPr>
        <w:tabs>
          <w:tab w:val="left" w:pos="192"/>
        </w:tabs>
        <w:spacing w:line="244" w:lineRule="auto"/>
        <w:ind w:left="192" w:hanging="192"/>
        <w:jc w:val="both"/>
        <w:rPr>
          <w:rFonts w:ascii="Arial" w:eastAsia="Arial" w:hAnsi="Arial" w:cs="Arial"/>
          <w:color w:val="CF0A2C"/>
          <w:sz w:val="20"/>
          <w:szCs w:val="20"/>
        </w:rPr>
      </w:pPr>
      <w:r>
        <w:rPr>
          <w:rFonts w:ascii="Arial" w:eastAsia="Arial" w:hAnsi="Arial" w:cs="Arial"/>
          <w:sz w:val="20"/>
          <w:szCs w:val="20"/>
        </w:rPr>
        <w:t xml:space="preserve">We strengthened our portfolio of emerging brands. We launched growth initiatives at Taco Bell and Lavazza, while we closed the operations of COFFii &amp; JOY and </w:t>
      </w:r>
      <w:r>
        <w:rPr>
          <w:rFonts w:ascii="Arial" w:eastAsia="Arial" w:hAnsi="Arial" w:cs="Arial"/>
          <w:sz w:val="20"/>
          <w:szCs w:val="20"/>
        </w:rPr>
        <w:t>East Dawning. In 2022, Taco Bell doubled its store count to 91 stores and Lavazza reached 85 stores by year end.</w:t>
      </w:r>
    </w:p>
    <w:p w:rsidR="00A621E3" w:rsidRDefault="00A621E3">
      <w:pPr>
        <w:spacing w:line="275" w:lineRule="exact"/>
        <w:rPr>
          <w:rFonts w:ascii="Arial" w:eastAsia="Arial" w:hAnsi="Arial" w:cs="Arial"/>
          <w:color w:val="CF0A2C"/>
          <w:sz w:val="20"/>
          <w:szCs w:val="20"/>
        </w:rPr>
      </w:pPr>
    </w:p>
    <w:p w:rsidR="00A621E3" w:rsidRDefault="00EC630E">
      <w:pPr>
        <w:numPr>
          <w:ilvl w:val="0"/>
          <w:numId w:val="59"/>
        </w:numPr>
        <w:tabs>
          <w:tab w:val="left" w:pos="192"/>
        </w:tabs>
        <w:spacing w:line="273" w:lineRule="auto"/>
        <w:ind w:left="192" w:hanging="192"/>
        <w:jc w:val="both"/>
        <w:rPr>
          <w:rFonts w:ascii="Arial" w:eastAsia="Arial" w:hAnsi="Arial" w:cs="Arial"/>
          <w:color w:val="CF0A2C"/>
          <w:sz w:val="18"/>
          <w:szCs w:val="18"/>
        </w:rPr>
      </w:pPr>
      <w:r>
        <w:rPr>
          <w:rFonts w:ascii="Arial" w:eastAsia="Arial" w:hAnsi="Arial" w:cs="Arial"/>
          <w:sz w:val="18"/>
          <w:szCs w:val="18"/>
        </w:rPr>
        <w:t>We continued to invest in sustainability and sustainable growth. In 2021, we committed to reaching net-zero value chain GHG emissions by 2050.</w:t>
      </w:r>
      <w:r>
        <w:rPr>
          <w:rFonts w:ascii="Arial" w:eastAsia="Arial" w:hAnsi="Arial" w:cs="Arial"/>
          <w:sz w:val="18"/>
          <w:szCs w:val="18"/>
        </w:rPr>
        <w:t xml:space="preserve"> In 2022, we set near-term science-based targets to reduce absolute Scope 1 and 2 GHG emissions by 63% by 2035 from a 2020 base year and reduce Scope 3 GHG emissions from purchased goods by 66.3% per ton of goods purchased by 2035 from a 2020 base year, wh</w:t>
      </w:r>
      <w:r>
        <w:rPr>
          <w:rFonts w:ascii="Arial" w:eastAsia="Arial" w:hAnsi="Arial" w:cs="Arial"/>
          <w:sz w:val="18"/>
          <w:szCs w:val="18"/>
        </w:rPr>
        <w:t>ich targets have been approved by the Science Based Targets initiative (SBTi).</w:t>
      </w:r>
    </w:p>
    <w:p w:rsidR="00A621E3" w:rsidRDefault="00A621E3">
      <w:pPr>
        <w:spacing w:line="249" w:lineRule="exact"/>
        <w:rPr>
          <w:rFonts w:ascii="Arial" w:eastAsia="Arial" w:hAnsi="Arial" w:cs="Arial"/>
          <w:color w:val="CF0A2C"/>
          <w:sz w:val="18"/>
          <w:szCs w:val="18"/>
        </w:rPr>
      </w:pPr>
    </w:p>
    <w:p w:rsidR="00A621E3" w:rsidRDefault="00EC630E">
      <w:pPr>
        <w:numPr>
          <w:ilvl w:val="0"/>
          <w:numId w:val="59"/>
        </w:numPr>
        <w:tabs>
          <w:tab w:val="left" w:pos="192"/>
        </w:tabs>
        <w:spacing w:line="273" w:lineRule="auto"/>
        <w:ind w:left="192" w:hanging="192"/>
        <w:jc w:val="both"/>
        <w:rPr>
          <w:rFonts w:ascii="Arial" w:eastAsia="Arial" w:hAnsi="Arial" w:cs="Arial"/>
          <w:color w:val="CF0A2C"/>
          <w:sz w:val="18"/>
          <w:szCs w:val="18"/>
        </w:rPr>
      </w:pPr>
      <w:r>
        <w:rPr>
          <w:rFonts w:ascii="Arial" w:eastAsia="Arial" w:hAnsi="Arial" w:cs="Arial"/>
          <w:sz w:val="18"/>
          <w:szCs w:val="18"/>
        </w:rPr>
        <w:t xml:space="preserve">We successfully converted from secondary listing to primary listing on the Hong Kong Stock Exchange. As the first Delaware-incorporated company becoming dual-primary listed on </w:t>
      </w:r>
      <w:r>
        <w:rPr>
          <w:rFonts w:ascii="Arial" w:eastAsia="Arial" w:hAnsi="Arial" w:cs="Arial"/>
          <w:sz w:val="18"/>
          <w:szCs w:val="18"/>
        </w:rPr>
        <w:t xml:space="preserve">both the New York Stock Exchange and Hong Kong Stock Exchange, our management team had to navigate many novel and complex regulatory issues during the conversion application process. We believe this strategic move will provide enhanced access to investors </w:t>
      </w:r>
      <w:r>
        <w:rPr>
          <w:rFonts w:ascii="Arial" w:eastAsia="Arial" w:hAnsi="Arial" w:cs="Arial"/>
          <w:sz w:val="18"/>
          <w:szCs w:val="18"/>
        </w:rPr>
        <w:t>and broaden our shareholder base.</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4" w:lineRule="exact"/>
        <w:rPr>
          <w:sz w:val="20"/>
          <w:szCs w:val="20"/>
        </w:rPr>
      </w:pPr>
    </w:p>
    <w:p w:rsidR="00A621E3" w:rsidRDefault="00EC630E">
      <w:pPr>
        <w:tabs>
          <w:tab w:val="left" w:pos="5072"/>
        </w:tabs>
        <w:ind w:left="2432"/>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47</w:t>
      </w:r>
    </w:p>
    <w:p w:rsidR="00A621E3" w:rsidRDefault="00EC630E">
      <w:pPr>
        <w:spacing w:line="20" w:lineRule="exact"/>
        <w:rPr>
          <w:sz w:val="20"/>
          <w:szCs w:val="20"/>
        </w:rPr>
      </w:pPr>
      <w:r>
        <w:rPr>
          <w:noProof/>
          <w:sz w:val="20"/>
          <w:szCs w:val="20"/>
        </w:rPr>
        <w:drawing>
          <wp:anchor distT="0" distB="0" distL="114300" distR="114300" simplePos="0" relativeHeight="251877376" behindDoc="1" locked="0" layoutInCell="0" allowOverlap="1">
            <wp:simplePos x="0" y="0"/>
            <wp:positionH relativeFrom="column">
              <wp:posOffset>3119120</wp:posOffset>
            </wp:positionH>
            <wp:positionV relativeFrom="paragraph">
              <wp:posOffset>-93345</wp:posOffset>
            </wp:positionV>
            <wp:extent cx="8255" cy="102870"/>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59" w:bottom="1440" w:left="320" w:header="0" w:footer="0" w:gutter="0"/>
          <w:cols w:num="2" w:space="720" w:equalWidth="0">
            <w:col w:w="5400" w:space="388"/>
            <w:col w:w="5332"/>
          </w:cols>
        </w:sectPr>
      </w:pPr>
    </w:p>
    <w:p w:rsidR="00A621E3" w:rsidRDefault="00EC630E">
      <w:pPr>
        <w:rPr>
          <w:sz w:val="20"/>
          <w:szCs w:val="20"/>
        </w:rPr>
      </w:pPr>
      <w:bookmarkStart w:id="53" w:name="page53"/>
      <w:bookmarkEnd w:id="53"/>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78400"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263" w:lineRule="exact"/>
        <w:rPr>
          <w:sz w:val="20"/>
          <w:szCs w:val="20"/>
        </w:rPr>
      </w:pPr>
    </w:p>
    <w:p w:rsidR="00A621E3" w:rsidRDefault="00EC630E">
      <w:pPr>
        <w:numPr>
          <w:ilvl w:val="0"/>
          <w:numId w:val="60"/>
        </w:numPr>
        <w:tabs>
          <w:tab w:val="left" w:pos="360"/>
        </w:tabs>
        <w:spacing w:line="250" w:lineRule="auto"/>
        <w:ind w:left="360" w:hanging="190"/>
        <w:jc w:val="both"/>
        <w:rPr>
          <w:rFonts w:ascii="Arial" w:eastAsia="Arial" w:hAnsi="Arial" w:cs="Arial"/>
          <w:color w:val="CF0A2C"/>
          <w:sz w:val="20"/>
          <w:szCs w:val="20"/>
        </w:rPr>
      </w:pPr>
      <w:r>
        <w:rPr>
          <w:rFonts w:ascii="Arial" w:eastAsia="Arial" w:hAnsi="Arial" w:cs="Arial"/>
          <w:sz w:val="20"/>
          <w:szCs w:val="20"/>
        </w:rPr>
        <w:t xml:space="preserve">We generated US$1.9 billion in free cash flow and returned over US$1 billion to shareholders through share </w:t>
      </w:r>
      <w:r>
        <w:rPr>
          <w:rFonts w:ascii="Arial" w:eastAsia="Arial" w:hAnsi="Arial" w:cs="Arial"/>
          <w:sz w:val="20"/>
          <w:szCs w:val="20"/>
        </w:rPr>
        <w:t>repurchases and dividends over the past three years.</w:t>
      </w:r>
    </w:p>
    <w:p w:rsidR="00A621E3" w:rsidRDefault="00A621E3">
      <w:pPr>
        <w:spacing w:line="226" w:lineRule="exact"/>
        <w:rPr>
          <w:sz w:val="20"/>
          <w:szCs w:val="20"/>
        </w:rPr>
      </w:pPr>
    </w:p>
    <w:p w:rsidR="00A621E3" w:rsidRDefault="00EC630E">
      <w:pPr>
        <w:spacing w:line="269" w:lineRule="auto"/>
        <w:ind w:left="120"/>
        <w:jc w:val="both"/>
        <w:rPr>
          <w:sz w:val="20"/>
          <w:szCs w:val="20"/>
        </w:rPr>
      </w:pPr>
      <w:r>
        <w:rPr>
          <w:rFonts w:ascii="Arial" w:eastAsia="Arial" w:hAnsi="Arial" w:cs="Arial"/>
          <w:sz w:val="18"/>
          <w:szCs w:val="18"/>
        </w:rPr>
        <w:t xml:space="preserve">In summary, not only did we adapt rapidly to the many challenges of the pandemic to achieve outperforming total revenue growth compared to the China restaurant industry as noted above, but we also took </w:t>
      </w:r>
      <w:r>
        <w:rPr>
          <w:rFonts w:ascii="Arial" w:eastAsia="Arial" w:hAnsi="Arial" w:cs="Arial"/>
          <w:sz w:val="18"/>
          <w:szCs w:val="18"/>
        </w:rPr>
        <w:t>the opportunity to strengthen our competitive position for the future. We expanded our store footprint, strengthened our supply chain, deepened our digital capabilities, and rebased our cost structure, laying the foundation for future growth opportunities.</w:t>
      </w:r>
      <w:r>
        <w:rPr>
          <w:rFonts w:ascii="Arial" w:eastAsia="Arial" w:hAnsi="Arial" w:cs="Arial"/>
          <w:sz w:val="18"/>
          <w:szCs w:val="18"/>
        </w:rPr>
        <w:t xml:space="preserve"> We rewarded our shareholders with leading TSRs compared to the constituents of the MSCI China Index and MSCI China Consumer Discretionary Index, as well as outperforming TSRs against the S&amp;P 500 Consumer Discretionary Index, over the three-year period fro</w:t>
      </w:r>
      <w:r>
        <w:rPr>
          <w:rFonts w:ascii="Arial" w:eastAsia="Arial" w:hAnsi="Arial" w:cs="Arial"/>
          <w:sz w:val="18"/>
          <w:szCs w:val="18"/>
        </w:rPr>
        <w:t>m 2020 to 2022, and in 2022, respectively, as noted above. All of these accomplishments were achieved in the context of an incredibly challenging and volatile operating environment.</w:t>
      </w:r>
    </w:p>
    <w:p w:rsidR="00A621E3" w:rsidRDefault="00A621E3">
      <w:pPr>
        <w:spacing w:line="213" w:lineRule="exact"/>
        <w:rPr>
          <w:sz w:val="20"/>
          <w:szCs w:val="20"/>
        </w:rPr>
      </w:pPr>
    </w:p>
    <w:p w:rsidR="00A621E3" w:rsidRDefault="00EC630E">
      <w:pPr>
        <w:ind w:left="120"/>
        <w:rPr>
          <w:sz w:val="20"/>
          <w:szCs w:val="20"/>
        </w:rPr>
      </w:pPr>
      <w:r>
        <w:rPr>
          <w:rFonts w:ascii="Arial" w:eastAsia="Arial" w:hAnsi="Arial" w:cs="Arial"/>
          <w:b/>
          <w:bCs/>
          <w:color w:val="CF0A2C"/>
          <w:sz w:val="20"/>
          <w:szCs w:val="20"/>
        </w:rPr>
        <w:t>Recent Compensation Highlights</w:t>
      </w:r>
    </w:p>
    <w:p w:rsidR="00A621E3" w:rsidRDefault="00A621E3">
      <w:pPr>
        <w:spacing w:line="249" w:lineRule="exact"/>
        <w:rPr>
          <w:sz w:val="20"/>
          <w:szCs w:val="20"/>
        </w:rPr>
      </w:pPr>
    </w:p>
    <w:p w:rsidR="00A621E3" w:rsidRDefault="00EC630E">
      <w:pPr>
        <w:spacing w:line="257" w:lineRule="auto"/>
        <w:ind w:left="120"/>
        <w:jc w:val="both"/>
        <w:rPr>
          <w:sz w:val="20"/>
          <w:szCs w:val="20"/>
        </w:rPr>
      </w:pPr>
      <w:r>
        <w:rPr>
          <w:rFonts w:ascii="Arial" w:eastAsia="Arial" w:hAnsi="Arial" w:cs="Arial"/>
          <w:sz w:val="19"/>
          <w:szCs w:val="19"/>
        </w:rPr>
        <w:t>In 2022, after extensive deliberations, t</w:t>
      </w:r>
      <w:r>
        <w:rPr>
          <w:rFonts w:ascii="Arial" w:eastAsia="Arial" w:hAnsi="Arial" w:cs="Arial"/>
          <w:sz w:val="19"/>
          <w:szCs w:val="19"/>
        </w:rPr>
        <w:t>he Compensation Committee implemented a few changes to our executive compensation program, as set forth below. In approving these changes, the Compensation Committee considered our strategic priorities, stockholder feedback, market practices in both the U.</w:t>
      </w:r>
      <w:r>
        <w:rPr>
          <w:rFonts w:ascii="Arial" w:eastAsia="Arial" w:hAnsi="Arial" w:cs="Arial"/>
          <w:sz w:val="19"/>
          <w:szCs w:val="19"/>
        </w:rPr>
        <w:t>S. and China, input from the Compensation Committee’s compensation consultant, and the operating environment in China, as described further above.</w:t>
      </w:r>
    </w:p>
    <w:p w:rsidR="00A621E3" w:rsidRDefault="00A621E3">
      <w:pPr>
        <w:spacing w:line="207" w:lineRule="exact"/>
        <w:rPr>
          <w:sz w:val="20"/>
          <w:szCs w:val="20"/>
        </w:rPr>
      </w:pPr>
    </w:p>
    <w:p w:rsidR="00A621E3" w:rsidRDefault="00EC630E">
      <w:pPr>
        <w:numPr>
          <w:ilvl w:val="0"/>
          <w:numId w:val="61"/>
        </w:numPr>
        <w:tabs>
          <w:tab w:val="left" w:pos="360"/>
        </w:tabs>
        <w:spacing w:line="267" w:lineRule="auto"/>
        <w:ind w:left="360" w:hanging="190"/>
        <w:jc w:val="both"/>
        <w:rPr>
          <w:rFonts w:ascii="Arial" w:eastAsia="Arial" w:hAnsi="Arial" w:cs="Arial"/>
          <w:color w:val="CF0A2C"/>
          <w:sz w:val="18"/>
          <w:szCs w:val="18"/>
        </w:rPr>
      </w:pPr>
      <w:r>
        <w:rPr>
          <w:rFonts w:ascii="Arial" w:eastAsia="Arial" w:hAnsi="Arial" w:cs="Arial"/>
          <w:b/>
          <w:bCs/>
          <w:i/>
          <w:iCs/>
          <w:sz w:val="18"/>
          <w:szCs w:val="18"/>
        </w:rPr>
        <w:t>Annual LTI Grants</w:t>
      </w:r>
      <w:r>
        <w:rPr>
          <w:rFonts w:ascii="Arial" w:eastAsia="Arial" w:hAnsi="Arial" w:cs="Arial"/>
          <w:sz w:val="18"/>
          <w:szCs w:val="18"/>
        </w:rPr>
        <w:t>—For 2022 annual long-term incentive</w:t>
      </w:r>
      <w:r>
        <w:rPr>
          <w:rFonts w:ascii="Arial" w:eastAsia="Arial" w:hAnsi="Arial" w:cs="Arial"/>
          <w:b/>
          <w:bCs/>
          <w:i/>
          <w:iCs/>
          <w:sz w:val="18"/>
          <w:szCs w:val="18"/>
        </w:rPr>
        <w:t xml:space="preserve"> </w:t>
      </w:r>
      <w:r>
        <w:rPr>
          <w:rFonts w:ascii="Arial" w:eastAsia="Arial" w:hAnsi="Arial" w:cs="Arial"/>
          <w:sz w:val="18"/>
          <w:szCs w:val="18"/>
        </w:rPr>
        <w:t>awards, the Compensation Committee determined to grant</w:t>
      </w:r>
      <w:r>
        <w:rPr>
          <w:rFonts w:ascii="Arial" w:eastAsia="Arial" w:hAnsi="Arial" w:cs="Arial"/>
          <w:sz w:val="18"/>
          <w:szCs w:val="18"/>
        </w:rPr>
        <w:t xml:space="preserve"> annual equity awards in the form of 50% SARs, 30% performance share units (“</w:t>
      </w:r>
      <w:r>
        <w:rPr>
          <w:rFonts w:ascii="Arial" w:eastAsia="Arial" w:hAnsi="Arial" w:cs="Arial"/>
          <w:b/>
          <w:bCs/>
          <w:i/>
          <w:iCs/>
          <w:sz w:val="18"/>
          <w:szCs w:val="18"/>
        </w:rPr>
        <w:t>PSUs</w:t>
      </w:r>
      <w:r>
        <w:rPr>
          <w:rFonts w:ascii="Arial" w:eastAsia="Arial" w:hAnsi="Arial" w:cs="Arial"/>
          <w:sz w:val="18"/>
          <w:szCs w:val="18"/>
        </w:rPr>
        <w:t>”) and 20% restricted stock units (“</w:t>
      </w:r>
      <w:r>
        <w:rPr>
          <w:rFonts w:ascii="Arial" w:eastAsia="Arial" w:hAnsi="Arial" w:cs="Arial"/>
          <w:b/>
          <w:bCs/>
          <w:i/>
          <w:iCs/>
          <w:sz w:val="18"/>
          <w:szCs w:val="18"/>
        </w:rPr>
        <w:t>RSUs</w:t>
      </w:r>
      <w:r>
        <w:rPr>
          <w:rFonts w:ascii="Arial" w:eastAsia="Arial" w:hAnsi="Arial" w:cs="Arial"/>
          <w:sz w:val="18"/>
          <w:szCs w:val="18"/>
        </w:rPr>
        <w:t>”). The Compensation Committee introduced an RSU component into the annual long-term incentive (“</w:t>
      </w:r>
      <w:r>
        <w:rPr>
          <w:rFonts w:ascii="Arial" w:eastAsia="Arial" w:hAnsi="Arial" w:cs="Arial"/>
          <w:b/>
          <w:bCs/>
          <w:i/>
          <w:iCs/>
          <w:sz w:val="18"/>
          <w:szCs w:val="18"/>
        </w:rPr>
        <w:t>LTI</w:t>
      </w:r>
      <w:r>
        <w:rPr>
          <w:rFonts w:ascii="Arial" w:eastAsia="Arial" w:hAnsi="Arial" w:cs="Arial"/>
          <w:sz w:val="18"/>
          <w:szCs w:val="18"/>
        </w:rPr>
        <w:t>”) program for 2022 in order to fur</w:t>
      </w:r>
      <w:r>
        <w:rPr>
          <w:rFonts w:ascii="Arial" w:eastAsia="Arial" w:hAnsi="Arial" w:cs="Arial"/>
          <w:sz w:val="18"/>
          <w:szCs w:val="18"/>
        </w:rPr>
        <w:t>ther align with market practices and to support retention during the vesting period, in light of the continued uncertainty caused by the evolving COVID-19 pandemic. The Compensation Committee also considered the fact that a significant majority of its comp</w:t>
      </w:r>
      <w:r>
        <w:rPr>
          <w:rFonts w:ascii="Arial" w:eastAsia="Arial" w:hAnsi="Arial" w:cs="Arial"/>
          <w:sz w:val="18"/>
          <w:szCs w:val="18"/>
        </w:rPr>
        <w:t>ensation peers include RSU awards as part of their annual</w:t>
      </w:r>
    </w:p>
    <w:p w:rsidR="00A621E3" w:rsidRDefault="00A621E3">
      <w:pPr>
        <w:spacing w:line="6" w:lineRule="exact"/>
        <w:rPr>
          <w:rFonts w:ascii="Arial" w:eastAsia="Arial" w:hAnsi="Arial" w:cs="Arial"/>
          <w:color w:val="CF0A2C"/>
          <w:sz w:val="18"/>
          <w:szCs w:val="18"/>
        </w:rPr>
      </w:pPr>
    </w:p>
    <w:p w:rsidR="00A621E3" w:rsidRDefault="00EC630E">
      <w:pPr>
        <w:ind w:left="360"/>
        <w:rPr>
          <w:rFonts w:ascii="Arial" w:eastAsia="Arial" w:hAnsi="Arial" w:cs="Arial"/>
          <w:color w:val="CF0A2C"/>
          <w:sz w:val="18"/>
          <w:szCs w:val="18"/>
        </w:rPr>
      </w:pPr>
      <w:r>
        <w:rPr>
          <w:rFonts w:ascii="Arial" w:eastAsia="Arial" w:hAnsi="Arial" w:cs="Arial"/>
          <w:sz w:val="20"/>
          <w:szCs w:val="20"/>
        </w:rPr>
        <w:t>LTI</w:t>
      </w:r>
    </w:p>
    <w:p w:rsidR="00A621E3" w:rsidRDefault="00A621E3">
      <w:pPr>
        <w:spacing w:line="288" w:lineRule="exact"/>
        <w:rPr>
          <w:sz w:val="20"/>
          <w:szCs w:val="20"/>
        </w:rPr>
      </w:pPr>
    </w:p>
    <w:p w:rsidR="00A621E3" w:rsidRDefault="00EC630E">
      <w:pPr>
        <w:numPr>
          <w:ilvl w:val="0"/>
          <w:numId w:val="62"/>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87942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0" w:lineRule="exact"/>
        <w:rPr>
          <w:sz w:val="20"/>
          <w:szCs w:val="20"/>
        </w:rPr>
      </w:pPr>
    </w:p>
    <w:p w:rsidR="00A621E3" w:rsidRDefault="00EC630E">
      <w:pPr>
        <w:spacing w:line="253" w:lineRule="auto"/>
        <w:ind w:left="152"/>
        <w:jc w:val="both"/>
        <w:rPr>
          <w:sz w:val="20"/>
          <w:szCs w:val="20"/>
        </w:rPr>
      </w:pPr>
      <w:r>
        <w:rPr>
          <w:rFonts w:ascii="Arial" w:eastAsia="Arial" w:hAnsi="Arial" w:cs="Arial"/>
          <w:sz w:val="19"/>
          <w:szCs w:val="19"/>
        </w:rPr>
        <w:t xml:space="preserve">grants, and the difficulty in setting three-year performance goals given the operating market at the time. As the value of the RSUs fluctuates based </w:t>
      </w:r>
      <w:r>
        <w:rPr>
          <w:rFonts w:ascii="Arial" w:eastAsia="Arial" w:hAnsi="Arial" w:cs="Arial"/>
          <w:sz w:val="19"/>
          <w:szCs w:val="19"/>
        </w:rPr>
        <w:t>on the Company’s stock price, the entire LTI program remains at-risk. In order to set meaningful goals for the entire three-year performance period, the Compensation Committee determined to use relative TSR (“</w:t>
      </w:r>
      <w:r>
        <w:rPr>
          <w:rFonts w:ascii="Arial" w:eastAsia="Arial" w:hAnsi="Arial" w:cs="Arial"/>
          <w:b/>
          <w:bCs/>
          <w:i/>
          <w:iCs/>
          <w:sz w:val="19"/>
          <w:szCs w:val="19"/>
        </w:rPr>
        <w:t>rTSR</w:t>
      </w:r>
      <w:r>
        <w:rPr>
          <w:rFonts w:ascii="Arial" w:eastAsia="Arial" w:hAnsi="Arial" w:cs="Arial"/>
          <w:sz w:val="19"/>
          <w:szCs w:val="19"/>
        </w:rPr>
        <w:t xml:space="preserve">”) performance against the constituents of </w:t>
      </w:r>
      <w:r>
        <w:rPr>
          <w:rFonts w:ascii="Arial" w:eastAsia="Arial" w:hAnsi="Arial" w:cs="Arial"/>
          <w:sz w:val="19"/>
          <w:szCs w:val="19"/>
        </w:rPr>
        <w:t>the MSCI China Index as the only metric for 2022 annual PSU awards (the “</w:t>
      </w:r>
      <w:r>
        <w:rPr>
          <w:rFonts w:ascii="Arial" w:eastAsia="Arial" w:hAnsi="Arial" w:cs="Arial"/>
          <w:b/>
          <w:bCs/>
          <w:i/>
          <w:iCs/>
          <w:sz w:val="19"/>
          <w:szCs w:val="19"/>
        </w:rPr>
        <w:t>2022 Annual</w:t>
      </w:r>
      <w:r>
        <w:rPr>
          <w:rFonts w:ascii="Arial" w:eastAsia="Arial" w:hAnsi="Arial" w:cs="Arial"/>
          <w:sz w:val="19"/>
          <w:szCs w:val="19"/>
        </w:rPr>
        <w:t xml:space="preserve"> </w:t>
      </w:r>
      <w:r>
        <w:rPr>
          <w:rFonts w:ascii="Arial" w:eastAsia="Arial" w:hAnsi="Arial" w:cs="Arial"/>
          <w:b/>
          <w:bCs/>
          <w:i/>
          <w:iCs/>
          <w:sz w:val="19"/>
          <w:szCs w:val="19"/>
        </w:rPr>
        <w:t>PSU Awards</w:t>
      </w:r>
      <w:r>
        <w:rPr>
          <w:rFonts w:ascii="Arial" w:eastAsia="Arial" w:hAnsi="Arial" w:cs="Arial"/>
          <w:sz w:val="19"/>
          <w:szCs w:val="19"/>
        </w:rPr>
        <w:t>”), compared to the weighted performance goals</w:t>
      </w:r>
      <w:r>
        <w:rPr>
          <w:rFonts w:ascii="Arial" w:eastAsia="Arial" w:hAnsi="Arial" w:cs="Arial"/>
          <w:b/>
          <w:bCs/>
          <w:i/>
          <w:iCs/>
          <w:sz w:val="19"/>
          <w:szCs w:val="19"/>
        </w:rPr>
        <w:t xml:space="preserve"> </w:t>
      </w:r>
      <w:r>
        <w:rPr>
          <w:rFonts w:ascii="Arial" w:eastAsia="Arial" w:hAnsi="Arial" w:cs="Arial"/>
          <w:sz w:val="19"/>
          <w:szCs w:val="19"/>
        </w:rPr>
        <w:t>relating to rTSR, growth in adjusted total revenue and growth in adjusted diluted earnings per common share that w</w:t>
      </w:r>
      <w:r>
        <w:rPr>
          <w:rFonts w:ascii="Arial" w:eastAsia="Arial" w:hAnsi="Arial" w:cs="Arial"/>
          <w:sz w:val="19"/>
          <w:szCs w:val="19"/>
        </w:rPr>
        <w:t xml:space="preserve">ere used under the 2021 annual PSU awards. For 2023, the Compensation Committee determined to increase the percentage of annual equity awards granted in the form of PSUs to 50% in order to increase the portion of the annual long-term incentive awards that </w:t>
      </w:r>
      <w:r>
        <w:rPr>
          <w:rFonts w:ascii="Arial" w:eastAsia="Arial" w:hAnsi="Arial" w:cs="Arial"/>
          <w:sz w:val="19"/>
          <w:szCs w:val="19"/>
        </w:rPr>
        <w:t>are tied to pre-established performance goals, with the remaining 50% to be granted in the form of the RSUs, in order to further align with market practices and to support retention during the vesting period while maintaining the at-risk nature of the long</w:t>
      </w:r>
      <w:r>
        <w:rPr>
          <w:rFonts w:ascii="Arial" w:eastAsia="Arial" w:hAnsi="Arial" w:cs="Arial"/>
          <w:sz w:val="19"/>
          <w:szCs w:val="19"/>
        </w:rPr>
        <w:t>-term incentive program. The 2023 PSU awards will also include an ESG metric, in order to further align the incentives under our long-term incentive awards with the increased importance of ESG-related goals to the Company’s long-term strategy.</w:t>
      </w:r>
    </w:p>
    <w:p w:rsidR="00A621E3" w:rsidRDefault="00EC630E">
      <w:pPr>
        <w:spacing w:line="20" w:lineRule="exact"/>
        <w:rPr>
          <w:sz w:val="20"/>
          <w:szCs w:val="20"/>
        </w:rPr>
      </w:pPr>
      <w:r>
        <w:rPr>
          <w:noProof/>
          <w:sz w:val="20"/>
          <w:szCs w:val="20"/>
        </w:rPr>
        <w:drawing>
          <wp:anchor distT="0" distB="0" distL="114300" distR="114300" simplePos="0" relativeHeight="251880448" behindDoc="1" locked="0" layoutInCell="0" allowOverlap="1">
            <wp:simplePos x="0" y="0"/>
            <wp:positionH relativeFrom="column">
              <wp:posOffset>-3682365</wp:posOffset>
            </wp:positionH>
            <wp:positionV relativeFrom="paragraph">
              <wp:posOffset>-4390390</wp:posOffset>
            </wp:positionV>
            <wp:extent cx="7174865" cy="55880"/>
            <wp:effectExtent l="0" t="0" r="0" b="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p>
    <w:p w:rsidR="00A621E3" w:rsidRDefault="00A621E3">
      <w:pPr>
        <w:spacing w:line="257" w:lineRule="exact"/>
        <w:rPr>
          <w:sz w:val="20"/>
          <w:szCs w:val="20"/>
        </w:rPr>
      </w:pPr>
    </w:p>
    <w:p w:rsidR="00A621E3" w:rsidRDefault="00EC630E">
      <w:pPr>
        <w:numPr>
          <w:ilvl w:val="0"/>
          <w:numId w:val="63"/>
        </w:numPr>
        <w:tabs>
          <w:tab w:val="left" w:pos="192"/>
        </w:tabs>
        <w:spacing w:line="305" w:lineRule="auto"/>
        <w:ind w:left="192" w:hanging="192"/>
        <w:jc w:val="both"/>
        <w:rPr>
          <w:rFonts w:ascii="Arial" w:eastAsia="Arial" w:hAnsi="Arial" w:cs="Arial"/>
          <w:color w:val="CF0A2C"/>
          <w:sz w:val="16"/>
          <w:szCs w:val="16"/>
        </w:rPr>
      </w:pPr>
      <w:r>
        <w:rPr>
          <w:rFonts w:ascii="Arial" w:eastAsia="Arial" w:hAnsi="Arial" w:cs="Arial"/>
          <w:b/>
          <w:bCs/>
          <w:i/>
          <w:iCs/>
          <w:sz w:val="16"/>
          <w:szCs w:val="16"/>
        </w:rPr>
        <w:t>2022 Lava</w:t>
      </w:r>
      <w:r>
        <w:rPr>
          <w:rFonts w:ascii="Arial" w:eastAsia="Arial" w:hAnsi="Arial" w:cs="Arial"/>
          <w:b/>
          <w:bCs/>
          <w:i/>
          <w:iCs/>
          <w:sz w:val="16"/>
          <w:szCs w:val="16"/>
        </w:rPr>
        <w:t>zza ESOP Grants</w:t>
      </w:r>
      <w:r>
        <w:rPr>
          <w:rFonts w:ascii="Arial" w:eastAsia="Arial" w:hAnsi="Arial" w:cs="Arial"/>
          <w:sz w:val="16"/>
          <w:szCs w:val="16"/>
        </w:rPr>
        <w:t>—Despite the enormous challenges</w:t>
      </w:r>
      <w:r>
        <w:rPr>
          <w:rFonts w:ascii="Arial" w:eastAsia="Arial" w:hAnsi="Arial" w:cs="Arial"/>
          <w:b/>
          <w:bCs/>
          <w:i/>
          <w:iCs/>
          <w:sz w:val="16"/>
          <w:szCs w:val="16"/>
        </w:rPr>
        <w:t xml:space="preserve"> </w:t>
      </w:r>
      <w:r>
        <w:rPr>
          <w:rFonts w:ascii="Arial" w:eastAsia="Arial" w:hAnsi="Arial" w:cs="Arial"/>
          <w:sz w:val="16"/>
          <w:szCs w:val="16"/>
        </w:rPr>
        <w:t>to drive sales and protect profits in the short-term, the Company is also committed to building core capabilities to achieve long-term sustainable growth. To support the Company’s long-term growth, the Compen</w:t>
      </w:r>
      <w:r>
        <w:rPr>
          <w:rFonts w:ascii="Arial" w:eastAsia="Arial" w:hAnsi="Arial" w:cs="Arial"/>
          <w:sz w:val="16"/>
          <w:szCs w:val="16"/>
        </w:rPr>
        <w:t xml:space="preserve">sation Committee has sought to design a compensation program aligned with our long-term strategy, including accelerating store network development, expanding to new categories, growing emerging brands and reinforcing strategic capabilities. This desire to </w:t>
      </w:r>
      <w:r>
        <w:rPr>
          <w:rFonts w:ascii="Arial" w:eastAsia="Arial" w:hAnsi="Arial" w:cs="Arial"/>
          <w:sz w:val="16"/>
          <w:szCs w:val="16"/>
        </w:rPr>
        <w:t>incentivize performance to achieve the Company’s growth initiatives resulted in the granting of equity awards with respect to the joint venture (the “</w:t>
      </w:r>
      <w:r>
        <w:rPr>
          <w:rFonts w:ascii="Arial" w:eastAsia="Arial" w:hAnsi="Arial" w:cs="Arial"/>
          <w:b/>
          <w:bCs/>
          <w:i/>
          <w:iCs/>
          <w:sz w:val="16"/>
          <w:szCs w:val="16"/>
        </w:rPr>
        <w:t>Lavazza Joint Venture</w:t>
      </w:r>
      <w:r>
        <w:rPr>
          <w:rFonts w:ascii="Arial" w:eastAsia="Arial" w:hAnsi="Arial" w:cs="Arial"/>
          <w:sz w:val="16"/>
          <w:szCs w:val="16"/>
        </w:rPr>
        <w:t>”) of the Company and Lavazza Luigi S.p.A. (“</w:t>
      </w:r>
      <w:r>
        <w:rPr>
          <w:rFonts w:ascii="Arial" w:eastAsia="Arial" w:hAnsi="Arial" w:cs="Arial"/>
          <w:b/>
          <w:bCs/>
          <w:i/>
          <w:iCs/>
          <w:sz w:val="16"/>
          <w:szCs w:val="16"/>
        </w:rPr>
        <w:t>Lavazza Group</w:t>
      </w:r>
      <w:r>
        <w:rPr>
          <w:rFonts w:ascii="Arial" w:eastAsia="Arial" w:hAnsi="Arial" w:cs="Arial"/>
          <w:sz w:val="16"/>
          <w:szCs w:val="16"/>
        </w:rPr>
        <w:t xml:space="preserve">”), which was established </w:t>
      </w:r>
      <w:r>
        <w:rPr>
          <w:rFonts w:ascii="Arial" w:eastAsia="Arial" w:hAnsi="Arial" w:cs="Arial"/>
          <w:sz w:val="16"/>
          <w:szCs w:val="16"/>
        </w:rPr>
        <w:t>to explore and develop the Lavazza coffee concept in China. As previously disclosed, in order to support a founder’s mentality and to incentivize the efforts of employees of the Company, Lavazza Group and the Lavazza Joint Venture to execute on the</w:t>
      </w:r>
    </w:p>
    <w:p w:rsidR="00A621E3" w:rsidRDefault="00A621E3">
      <w:pPr>
        <w:sectPr w:rsidR="00A621E3">
          <w:pgSz w:w="11900" w:h="16838"/>
          <w:pgMar w:top="486" w:right="459" w:bottom="1440" w:left="320" w:header="0" w:footer="0" w:gutter="0"/>
          <w:cols w:num="2" w:space="720" w:equalWidth="0">
            <w:col w:w="5400" w:space="388"/>
            <w:col w:w="5332"/>
          </w:cols>
        </w:sectPr>
      </w:pPr>
    </w:p>
    <w:p w:rsidR="00A621E3" w:rsidRDefault="00EC630E">
      <w:pPr>
        <w:rPr>
          <w:sz w:val="20"/>
          <w:szCs w:val="20"/>
        </w:rPr>
      </w:pPr>
      <w:bookmarkStart w:id="54" w:name="page54"/>
      <w:bookmarkEnd w:id="54"/>
      <w:r>
        <w:rPr>
          <w:rFonts w:ascii="Arial" w:eastAsia="Arial" w:hAnsi="Arial" w:cs="Arial"/>
          <w:b/>
          <w:bCs/>
          <w:noProof/>
          <w:color w:val="0000EE"/>
          <w:sz w:val="18"/>
          <w:szCs w:val="18"/>
          <w:u w:val="single"/>
        </w:rPr>
        <w:drawing>
          <wp:anchor distT="0" distB="0" distL="114300" distR="114300" simplePos="0" relativeHeight="25188147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3" w:lineRule="exact"/>
        <w:rPr>
          <w:sz w:val="20"/>
          <w:szCs w:val="20"/>
        </w:rPr>
      </w:pPr>
    </w:p>
    <w:p w:rsidR="00A621E3" w:rsidRDefault="00EC630E">
      <w:pPr>
        <w:spacing w:line="267" w:lineRule="auto"/>
        <w:ind w:left="320"/>
        <w:jc w:val="both"/>
        <w:rPr>
          <w:sz w:val="20"/>
          <w:szCs w:val="20"/>
        </w:rPr>
      </w:pPr>
      <w:r>
        <w:rPr>
          <w:rFonts w:ascii="Arial" w:eastAsia="Arial" w:hAnsi="Arial" w:cs="Arial"/>
          <w:sz w:val="18"/>
          <w:szCs w:val="18"/>
        </w:rPr>
        <w:t>Lavazza Joint Venture’s business plan, including the target to open 1,000 Lavazza stores in China in the next few years, the Lavazza Joint Venture established equity plans (the “</w:t>
      </w:r>
      <w:r>
        <w:rPr>
          <w:rFonts w:ascii="Arial" w:eastAsia="Arial" w:hAnsi="Arial" w:cs="Arial"/>
          <w:b/>
          <w:bCs/>
          <w:i/>
          <w:iCs/>
          <w:sz w:val="18"/>
          <w:szCs w:val="18"/>
        </w:rPr>
        <w:t>JV Equity</w:t>
      </w:r>
      <w:r>
        <w:rPr>
          <w:rFonts w:ascii="Arial" w:eastAsia="Arial" w:hAnsi="Arial" w:cs="Arial"/>
          <w:sz w:val="18"/>
          <w:szCs w:val="18"/>
        </w:rPr>
        <w:t xml:space="preserve"> </w:t>
      </w:r>
      <w:r>
        <w:rPr>
          <w:rFonts w:ascii="Arial" w:eastAsia="Arial" w:hAnsi="Arial" w:cs="Arial"/>
          <w:b/>
          <w:bCs/>
          <w:i/>
          <w:iCs/>
          <w:sz w:val="18"/>
          <w:szCs w:val="18"/>
        </w:rPr>
        <w:t>Plans</w:t>
      </w:r>
      <w:r>
        <w:rPr>
          <w:rFonts w:ascii="Arial" w:eastAsia="Arial" w:hAnsi="Arial" w:cs="Arial"/>
          <w:sz w:val="18"/>
          <w:szCs w:val="18"/>
        </w:rPr>
        <w:t xml:space="preserve">”) allowing </w:t>
      </w:r>
      <w:r>
        <w:rPr>
          <w:rFonts w:ascii="Arial" w:eastAsia="Arial" w:hAnsi="Arial" w:cs="Arial"/>
          <w:sz w:val="18"/>
          <w:szCs w:val="18"/>
        </w:rPr>
        <w:t>for the grant of equity awards with respect to</w:t>
      </w:r>
      <w:r>
        <w:rPr>
          <w:rFonts w:ascii="Arial" w:eastAsia="Arial" w:hAnsi="Arial" w:cs="Arial"/>
          <w:b/>
          <w:bCs/>
          <w:i/>
          <w:iCs/>
          <w:sz w:val="18"/>
          <w:szCs w:val="18"/>
        </w:rPr>
        <w:t xml:space="preserve"> </w:t>
      </w:r>
      <w:r>
        <w:rPr>
          <w:rFonts w:ascii="Arial" w:eastAsia="Arial" w:hAnsi="Arial" w:cs="Arial"/>
          <w:sz w:val="18"/>
          <w:szCs w:val="18"/>
        </w:rPr>
        <w:t>the Lavazza Joint Venture to key employees of the Lavazza Joint Venture, Lavazza Group and the Company. In February 2022, the Lavazza Joint Venture and the Compensation Committee approved equity awards under t</w:t>
      </w:r>
      <w:r>
        <w:rPr>
          <w:rFonts w:ascii="Arial" w:eastAsia="Arial" w:hAnsi="Arial" w:cs="Arial"/>
          <w:sz w:val="18"/>
          <w:szCs w:val="18"/>
        </w:rPr>
        <w:t>he applicable JV Equity Plan to certain employees of the Company, including the NEOs, in the form of PSUs. Under the JV Equity Plans, up to 15% of the equity in the Lavazza Joint Venture may be granted as equity awards, with employees and other eligible pa</w:t>
      </w:r>
      <w:r>
        <w:rPr>
          <w:rFonts w:ascii="Arial" w:eastAsia="Arial" w:hAnsi="Arial" w:cs="Arial"/>
          <w:sz w:val="18"/>
          <w:szCs w:val="18"/>
        </w:rPr>
        <w:t>rticipants of the Lavazza Joint Venture eligible to receive up to 80% of the JV Equity Plan shares, or 12% of the equity in the Lavazza Joint Venture. The remaining JV Equity Plan shares will be allocated to the employees of the Company and Lavazza Group i</w:t>
      </w:r>
      <w:r>
        <w:rPr>
          <w:rFonts w:ascii="Arial" w:eastAsia="Arial" w:hAnsi="Arial" w:cs="Arial"/>
          <w:sz w:val="18"/>
          <w:szCs w:val="18"/>
        </w:rPr>
        <w:t>n accordance with their respective equity interest in the Lavazza Joint Venture, or up to 2% and 1%, respectively, of the equity in the Lavazza Joint Venture. The PSU awards (the “</w:t>
      </w:r>
      <w:r>
        <w:rPr>
          <w:rFonts w:ascii="Arial" w:eastAsia="Arial" w:hAnsi="Arial" w:cs="Arial"/>
          <w:b/>
          <w:bCs/>
          <w:i/>
          <w:iCs/>
          <w:sz w:val="18"/>
          <w:szCs w:val="18"/>
        </w:rPr>
        <w:t>2022 Lavazza ESOP Grants</w:t>
      </w:r>
      <w:r>
        <w:rPr>
          <w:rFonts w:ascii="Arial" w:eastAsia="Arial" w:hAnsi="Arial" w:cs="Arial"/>
          <w:sz w:val="18"/>
          <w:szCs w:val="18"/>
        </w:rPr>
        <w:t>”) granted to the NEOs are subject to both performan</w:t>
      </w:r>
      <w:r>
        <w:rPr>
          <w:rFonts w:ascii="Arial" w:eastAsia="Arial" w:hAnsi="Arial" w:cs="Arial"/>
          <w:sz w:val="18"/>
          <w:szCs w:val="18"/>
        </w:rPr>
        <w:t>ce-based vesting conditions and the occurrence of a liquidity event. The liquidity event vesting condition, which includes the occurrence of an initial public offering of the Lavazza Joint Venture, must occur within seven years of the grant date for the aw</w:t>
      </w:r>
      <w:r>
        <w:rPr>
          <w:rFonts w:ascii="Arial" w:eastAsia="Arial" w:hAnsi="Arial" w:cs="Arial"/>
          <w:sz w:val="18"/>
          <w:szCs w:val="18"/>
        </w:rPr>
        <w:t>ards to vest. As discussed above, the JV Equity Plans and related grants to key contributors were adopted in order to help execute the Company’s strategy for the Lavazza Joint Venture by aligning their interests to the success of the Lavazza Joint Venture.</w:t>
      </w:r>
    </w:p>
    <w:p w:rsidR="00A621E3" w:rsidRDefault="00A621E3">
      <w:pPr>
        <w:spacing w:line="275" w:lineRule="exact"/>
        <w:rPr>
          <w:sz w:val="20"/>
          <w:szCs w:val="20"/>
        </w:rPr>
      </w:pPr>
    </w:p>
    <w:p w:rsidR="00A621E3" w:rsidRDefault="00EC630E">
      <w:pPr>
        <w:numPr>
          <w:ilvl w:val="0"/>
          <w:numId w:val="64"/>
        </w:numPr>
        <w:tabs>
          <w:tab w:val="left" w:pos="360"/>
        </w:tabs>
        <w:spacing w:line="271" w:lineRule="auto"/>
        <w:ind w:left="360" w:hanging="190"/>
        <w:jc w:val="both"/>
        <w:rPr>
          <w:rFonts w:ascii="Arial" w:eastAsia="Arial" w:hAnsi="Arial" w:cs="Arial"/>
          <w:color w:val="CF0A2C"/>
          <w:sz w:val="18"/>
          <w:szCs w:val="18"/>
        </w:rPr>
      </w:pPr>
      <w:r>
        <w:rPr>
          <w:rFonts w:ascii="Arial" w:eastAsia="Arial" w:hAnsi="Arial" w:cs="Arial"/>
          <w:b/>
          <w:bCs/>
          <w:i/>
          <w:iCs/>
          <w:sz w:val="18"/>
          <w:szCs w:val="18"/>
        </w:rPr>
        <w:t>Annual Incentive Program</w:t>
      </w:r>
      <w:r>
        <w:rPr>
          <w:rFonts w:ascii="Arial" w:eastAsia="Arial" w:hAnsi="Arial" w:cs="Arial"/>
          <w:sz w:val="18"/>
          <w:szCs w:val="18"/>
        </w:rPr>
        <w:t>—To support key objectives linked</w:t>
      </w:r>
      <w:r>
        <w:rPr>
          <w:rFonts w:ascii="Arial" w:eastAsia="Arial" w:hAnsi="Arial" w:cs="Arial"/>
          <w:b/>
          <w:bCs/>
          <w:i/>
          <w:iCs/>
          <w:sz w:val="18"/>
          <w:szCs w:val="18"/>
        </w:rPr>
        <w:t xml:space="preserve"> </w:t>
      </w:r>
      <w:r>
        <w:rPr>
          <w:rFonts w:ascii="Arial" w:eastAsia="Arial" w:hAnsi="Arial" w:cs="Arial"/>
          <w:sz w:val="18"/>
          <w:szCs w:val="18"/>
        </w:rPr>
        <w:t xml:space="preserve">to the Company’s long-term strategy, the Compensation Committee replaced system gross new builds with system net new builds and replaced member sales with member activity as performance goals to </w:t>
      </w:r>
      <w:r>
        <w:rPr>
          <w:rFonts w:ascii="Arial" w:eastAsia="Arial" w:hAnsi="Arial" w:cs="Arial"/>
          <w:sz w:val="18"/>
          <w:szCs w:val="18"/>
        </w:rPr>
        <w:t>be used to determine payouts under the 2022 annual incentive program. As a result of this change, for 2022, annual incentive program payouts were originally to be determined based solely on adjusted operating profit growth, same store sales growth, deliver</w:t>
      </w:r>
      <w:r>
        <w:rPr>
          <w:rFonts w:ascii="Arial" w:eastAsia="Arial" w:hAnsi="Arial" w:cs="Arial"/>
          <w:sz w:val="18"/>
          <w:szCs w:val="18"/>
        </w:rPr>
        <w:t>y sales growth, system net new builds, and member activity.</w:t>
      </w:r>
    </w:p>
    <w:p w:rsidR="00A621E3" w:rsidRDefault="00A621E3">
      <w:pPr>
        <w:spacing w:line="255" w:lineRule="exact"/>
        <w:rPr>
          <w:sz w:val="20"/>
          <w:szCs w:val="20"/>
        </w:rPr>
      </w:pPr>
    </w:p>
    <w:p w:rsidR="00A621E3" w:rsidRDefault="00EC630E">
      <w:pPr>
        <w:spacing w:line="260" w:lineRule="auto"/>
        <w:ind w:left="320" w:right="20"/>
        <w:rPr>
          <w:sz w:val="20"/>
          <w:szCs w:val="20"/>
        </w:rPr>
      </w:pPr>
      <w:r>
        <w:rPr>
          <w:rFonts w:ascii="Arial" w:eastAsia="Arial" w:hAnsi="Arial" w:cs="Arial"/>
          <w:sz w:val="20"/>
          <w:szCs w:val="20"/>
        </w:rPr>
        <w:t>The Company’s annual incentive program targets, which were set in early 2022, reflected the Company’s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4" w:lineRule="exact"/>
        <w:rPr>
          <w:sz w:val="20"/>
          <w:szCs w:val="20"/>
        </w:rPr>
      </w:pPr>
    </w:p>
    <w:p w:rsidR="00A621E3" w:rsidRDefault="00EC630E">
      <w:pPr>
        <w:ind w:left="2800"/>
        <w:rPr>
          <w:sz w:val="20"/>
          <w:szCs w:val="20"/>
        </w:rPr>
      </w:pPr>
      <w:r>
        <w:rPr>
          <w:rFonts w:ascii="Arial" w:eastAsia="Arial" w:hAnsi="Arial" w:cs="Arial"/>
          <w:b/>
          <w:bCs/>
          <w:color w:val="FFFFFF"/>
          <w:sz w:val="16"/>
          <w:szCs w:val="16"/>
        </w:rPr>
        <w:t>EXECUTIVE COMPENSATION</w:t>
      </w:r>
    </w:p>
    <w:p w:rsidR="00A621E3" w:rsidRDefault="00EC630E">
      <w:pPr>
        <w:spacing w:line="20" w:lineRule="exact"/>
        <w:rPr>
          <w:sz w:val="20"/>
          <w:szCs w:val="20"/>
        </w:rPr>
      </w:pPr>
      <w:r>
        <w:rPr>
          <w:noProof/>
          <w:sz w:val="20"/>
          <w:szCs w:val="20"/>
        </w:rPr>
        <w:drawing>
          <wp:anchor distT="0" distB="0" distL="114300" distR="114300" simplePos="0" relativeHeight="251882496" behindDoc="1" locked="0" layoutInCell="0" allowOverlap="1">
            <wp:simplePos x="0" y="0"/>
            <wp:positionH relativeFrom="column">
              <wp:posOffset>1628775</wp:posOffset>
            </wp:positionH>
            <wp:positionV relativeFrom="paragraph">
              <wp:posOffset>-156210</wp:posOffset>
            </wp:positionV>
            <wp:extent cx="1705610" cy="205740"/>
            <wp:effectExtent l="0" t="0" r="0" b="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243" w:lineRule="exact"/>
        <w:rPr>
          <w:sz w:val="20"/>
          <w:szCs w:val="20"/>
        </w:rPr>
      </w:pPr>
    </w:p>
    <w:p w:rsidR="00A621E3" w:rsidRDefault="00EC630E">
      <w:pPr>
        <w:spacing w:line="267" w:lineRule="auto"/>
        <w:jc w:val="both"/>
        <w:rPr>
          <w:sz w:val="20"/>
          <w:szCs w:val="20"/>
        </w:rPr>
      </w:pPr>
      <w:r>
        <w:rPr>
          <w:rFonts w:ascii="Arial" w:eastAsia="Arial" w:hAnsi="Arial" w:cs="Arial"/>
          <w:sz w:val="18"/>
          <w:szCs w:val="18"/>
        </w:rPr>
        <w:t xml:space="preserve">business goals and priorities in light of the then prevailing </w:t>
      </w:r>
      <w:r>
        <w:rPr>
          <w:rFonts w:ascii="Arial" w:eastAsia="Arial" w:hAnsi="Arial" w:cs="Arial"/>
          <w:sz w:val="18"/>
          <w:szCs w:val="18"/>
        </w:rPr>
        <w:t>operating environment. While the Compensation Committee’s practice has generally been to establish and communicate goals at the beginning of each year, the Compensation Committee also retains flexibility to modify the Company’s executive compensation progr</w:t>
      </w:r>
      <w:r>
        <w:rPr>
          <w:rFonts w:ascii="Arial" w:eastAsia="Arial" w:hAnsi="Arial" w:cs="Arial"/>
          <w:sz w:val="18"/>
          <w:szCs w:val="18"/>
        </w:rPr>
        <w:t>am when circumstances warrant, in order to continue to incentivize actions to drive operational performance and retain key talent. In the first half of 2022, the highly transmissible Omicron variant caused significant volatility in our business operations.</w:t>
      </w:r>
      <w:r>
        <w:rPr>
          <w:rFonts w:ascii="Arial" w:eastAsia="Arial" w:hAnsi="Arial" w:cs="Arial"/>
          <w:sz w:val="18"/>
          <w:szCs w:val="18"/>
        </w:rPr>
        <w:t xml:space="preserve"> For example, during April and May 2022, over 2,500 of our stores in China, on average, were either temporarily closed or offered only takeaway and delivery services. In July 2022, in light of the volatile operating environment and the significant impact o</w:t>
      </w:r>
      <w:r>
        <w:rPr>
          <w:rFonts w:ascii="Arial" w:eastAsia="Arial" w:hAnsi="Arial" w:cs="Arial"/>
          <w:sz w:val="18"/>
          <w:szCs w:val="18"/>
        </w:rPr>
        <w:t>f the Omicron-variant outbreaks on the Company’s operating and financial performance in the first half of 2022, the Compensation Committee considered potential real-time actions to help manage the immediate challenges, retain talent and motivate performanc</w:t>
      </w:r>
      <w:r>
        <w:rPr>
          <w:rFonts w:ascii="Arial" w:eastAsia="Arial" w:hAnsi="Arial" w:cs="Arial"/>
          <w:sz w:val="18"/>
          <w:szCs w:val="18"/>
        </w:rPr>
        <w:t>e. The Compensation Committee approved (i) the maintaining of the original key performance indicators (“</w:t>
      </w:r>
      <w:r>
        <w:rPr>
          <w:rFonts w:ascii="Arial" w:eastAsia="Arial" w:hAnsi="Arial" w:cs="Arial"/>
          <w:b/>
          <w:bCs/>
          <w:i/>
          <w:iCs/>
          <w:sz w:val="18"/>
          <w:szCs w:val="18"/>
        </w:rPr>
        <w:t>KPIs</w:t>
      </w:r>
      <w:r>
        <w:rPr>
          <w:rFonts w:ascii="Arial" w:eastAsia="Arial" w:hAnsi="Arial" w:cs="Arial"/>
          <w:sz w:val="18"/>
          <w:szCs w:val="18"/>
        </w:rPr>
        <w:t>”) to hold participants accountable for such goals, but with a reduction in the weighting of such KPIs from 100% to 30%, (ii) the introduction of tw</w:t>
      </w:r>
      <w:r>
        <w:rPr>
          <w:rFonts w:ascii="Arial" w:eastAsia="Arial" w:hAnsi="Arial" w:cs="Arial"/>
          <w:sz w:val="18"/>
          <w:szCs w:val="18"/>
        </w:rPr>
        <w:t>o supplemental KPIs, accounting for 30% of the team factor weighting, to motivate strategic actions to align with the Company’s key priorities at the time of protecting operating margin and profitability, and (iii) the introduction of two relative measures</w:t>
      </w:r>
      <w:r>
        <w:rPr>
          <w:rFonts w:ascii="Arial" w:eastAsia="Arial" w:hAnsi="Arial" w:cs="Arial"/>
          <w:sz w:val="18"/>
          <w:szCs w:val="18"/>
        </w:rPr>
        <w:t xml:space="preserve"> requiring above-market performance in the form of relative revenue growth (comparing the Company’s 2022 year-over-year growth rate in total revenues against that of the China restaurant industry) and rTSR (comparing the Company’s TSR in 2022 against the T</w:t>
      </w:r>
      <w:r>
        <w:rPr>
          <w:rFonts w:ascii="Arial" w:eastAsia="Arial" w:hAnsi="Arial" w:cs="Arial"/>
          <w:sz w:val="18"/>
          <w:szCs w:val="18"/>
        </w:rPr>
        <w:t>SR of the constituents of the MSCI China Index), with the relative measures accounting for the remaining 40% of the team factor weighting. This modified program continued to maintain the same performance-based structure, but with updates to reflect the evo</w:t>
      </w:r>
      <w:r>
        <w:rPr>
          <w:rFonts w:ascii="Arial" w:eastAsia="Arial" w:hAnsi="Arial" w:cs="Arial"/>
          <w:sz w:val="18"/>
          <w:szCs w:val="18"/>
        </w:rPr>
        <w:t>lving operating challenges created by the pandemic and changes in business focuses to address these challenges and the inclusion of relative measures to assess the Company’s success in navigating the operational environment as compared to the market. The C</w:t>
      </w:r>
      <w:r>
        <w:rPr>
          <w:rFonts w:ascii="Arial" w:eastAsia="Arial" w:hAnsi="Arial" w:cs="Arial"/>
          <w:sz w:val="18"/>
          <w:szCs w:val="18"/>
        </w:rPr>
        <w:t>ompensation Committee determined that this combination of performance metrics was aligned with the Company’s strategic actions to help</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63" w:lineRule="exact"/>
        <w:rPr>
          <w:sz w:val="20"/>
          <w:szCs w:val="20"/>
        </w:rPr>
      </w:pPr>
    </w:p>
    <w:p w:rsidR="00A621E3" w:rsidRDefault="00EC630E">
      <w:pPr>
        <w:tabs>
          <w:tab w:val="left" w:pos="4980"/>
        </w:tabs>
        <w:ind w:left="234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49</w:t>
      </w:r>
    </w:p>
    <w:p w:rsidR="00A621E3" w:rsidRDefault="00EC630E">
      <w:pPr>
        <w:spacing w:line="20" w:lineRule="exact"/>
        <w:rPr>
          <w:sz w:val="20"/>
          <w:szCs w:val="20"/>
        </w:rPr>
      </w:pPr>
      <w:r>
        <w:rPr>
          <w:noProof/>
          <w:sz w:val="20"/>
          <w:szCs w:val="20"/>
        </w:rPr>
        <w:drawing>
          <wp:anchor distT="0" distB="0" distL="114300" distR="114300" simplePos="0" relativeHeight="251883520" behindDoc="1" locked="0" layoutInCell="0" allowOverlap="1">
            <wp:simplePos x="0" y="0"/>
            <wp:positionH relativeFrom="column">
              <wp:posOffset>3060700</wp:posOffset>
            </wp:positionH>
            <wp:positionV relativeFrom="paragraph">
              <wp:posOffset>-93345</wp:posOffset>
            </wp:positionV>
            <wp:extent cx="8255" cy="102870"/>
            <wp:effectExtent l="0" t="0" r="0" b="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59" w:bottom="1440" w:left="320" w:header="0" w:footer="0" w:gutter="0"/>
          <w:cols w:num="2" w:space="720" w:equalWidth="0">
            <w:col w:w="5400" w:space="480"/>
            <w:col w:w="5240"/>
          </w:cols>
        </w:sectPr>
      </w:pPr>
    </w:p>
    <w:p w:rsidR="00A621E3" w:rsidRDefault="00EC630E">
      <w:pPr>
        <w:rPr>
          <w:sz w:val="20"/>
          <w:szCs w:val="20"/>
        </w:rPr>
      </w:pPr>
      <w:bookmarkStart w:id="55" w:name="page55"/>
      <w:bookmarkEnd w:id="55"/>
      <w:r>
        <w:rPr>
          <w:rFonts w:ascii="Arial" w:eastAsia="Arial" w:hAnsi="Arial" w:cs="Arial"/>
          <w:b/>
          <w:bCs/>
          <w:noProof/>
          <w:color w:val="0000EE"/>
          <w:sz w:val="18"/>
          <w:szCs w:val="18"/>
          <w:u w:val="single"/>
        </w:rPr>
        <w:drawing>
          <wp:anchor distT="0" distB="0" distL="114300" distR="114300" simplePos="0" relativeHeight="25188454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85568"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263" w:lineRule="exact"/>
        <w:rPr>
          <w:sz w:val="20"/>
          <w:szCs w:val="20"/>
        </w:rPr>
      </w:pPr>
    </w:p>
    <w:p w:rsidR="00A621E3" w:rsidRDefault="00EC630E">
      <w:pPr>
        <w:spacing w:line="272" w:lineRule="auto"/>
        <w:ind w:left="320"/>
        <w:jc w:val="both"/>
        <w:rPr>
          <w:sz w:val="20"/>
          <w:szCs w:val="20"/>
        </w:rPr>
      </w:pPr>
      <w:r>
        <w:rPr>
          <w:rFonts w:ascii="Arial" w:eastAsia="Arial" w:hAnsi="Arial" w:cs="Arial"/>
          <w:sz w:val="18"/>
          <w:szCs w:val="18"/>
        </w:rPr>
        <w:t>protect the Company’s operating margin and profitability during this challenging time and appropriate to motivate management to focus on the successful execution of the Company’s operational plan. When approving the final team factor for Company performanc</w:t>
      </w:r>
      <w:r>
        <w:rPr>
          <w:rFonts w:ascii="Arial" w:eastAsia="Arial" w:hAnsi="Arial" w:cs="Arial"/>
          <w:sz w:val="18"/>
          <w:szCs w:val="18"/>
        </w:rPr>
        <w:t>e, the Compensation Committee applied discretion to reduce the result of Company performance from 135% to 120% of target. For details, see “Elements of the Executive Compensation Program—Annual Performance-Based Cash Bonuses—Team Performance Factors.”</w:t>
      </w:r>
    </w:p>
    <w:p w:rsidR="00A621E3" w:rsidRDefault="00A621E3">
      <w:pPr>
        <w:spacing w:line="251" w:lineRule="exact"/>
        <w:rPr>
          <w:sz w:val="20"/>
          <w:szCs w:val="20"/>
        </w:rPr>
      </w:pPr>
    </w:p>
    <w:p w:rsidR="00A621E3" w:rsidRDefault="00EC630E">
      <w:pPr>
        <w:numPr>
          <w:ilvl w:val="0"/>
          <w:numId w:val="65"/>
        </w:numPr>
        <w:tabs>
          <w:tab w:val="left" w:pos="360"/>
        </w:tabs>
        <w:spacing w:line="268" w:lineRule="auto"/>
        <w:ind w:left="360" w:hanging="190"/>
        <w:jc w:val="both"/>
        <w:rPr>
          <w:rFonts w:ascii="Arial" w:eastAsia="Arial" w:hAnsi="Arial" w:cs="Arial"/>
          <w:color w:val="CF0A2C"/>
          <w:sz w:val="18"/>
          <w:szCs w:val="18"/>
        </w:rPr>
      </w:pPr>
      <w:r>
        <w:rPr>
          <w:rFonts w:ascii="Arial" w:eastAsia="Arial" w:hAnsi="Arial" w:cs="Arial"/>
          <w:b/>
          <w:bCs/>
          <w:i/>
          <w:iCs/>
          <w:sz w:val="18"/>
          <w:szCs w:val="18"/>
        </w:rPr>
        <w:t>Mod</w:t>
      </w:r>
      <w:r>
        <w:rPr>
          <w:rFonts w:ascii="Arial" w:eastAsia="Arial" w:hAnsi="Arial" w:cs="Arial"/>
          <w:b/>
          <w:bCs/>
          <w:i/>
          <w:iCs/>
          <w:sz w:val="18"/>
          <w:szCs w:val="18"/>
        </w:rPr>
        <w:t>ification of 2020 Annual PSUs</w:t>
      </w:r>
      <w:r>
        <w:rPr>
          <w:rFonts w:ascii="Arial" w:eastAsia="Arial" w:hAnsi="Arial" w:cs="Arial"/>
          <w:sz w:val="18"/>
          <w:szCs w:val="18"/>
        </w:rPr>
        <w:t>—Beginning with the</w:t>
      </w:r>
      <w:r>
        <w:rPr>
          <w:rFonts w:ascii="Arial" w:eastAsia="Arial" w:hAnsi="Arial" w:cs="Arial"/>
          <w:b/>
          <w:bCs/>
          <w:i/>
          <w:iCs/>
          <w:sz w:val="18"/>
          <w:szCs w:val="18"/>
        </w:rPr>
        <w:t xml:space="preserve"> </w:t>
      </w:r>
      <w:r>
        <w:rPr>
          <w:rFonts w:ascii="Arial" w:eastAsia="Arial" w:hAnsi="Arial" w:cs="Arial"/>
          <w:sz w:val="18"/>
          <w:szCs w:val="18"/>
        </w:rPr>
        <w:t>2020 annual equity grants, the group of recipients of PSUs had been expanded to include all of the Company’s leadership team, including the NEOs. In addition, unlike the 2019 PSUs where only a relative measu</w:t>
      </w:r>
      <w:r>
        <w:rPr>
          <w:rFonts w:ascii="Arial" w:eastAsia="Arial" w:hAnsi="Arial" w:cs="Arial"/>
          <w:sz w:val="18"/>
          <w:szCs w:val="18"/>
        </w:rPr>
        <w:t>re was used, the performance metrics and goals for the annual PSUs granted in 2020 (the “</w:t>
      </w:r>
      <w:r>
        <w:rPr>
          <w:rFonts w:ascii="Arial" w:eastAsia="Arial" w:hAnsi="Arial" w:cs="Arial"/>
          <w:b/>
          <w:bCs/>
          <w:i/>
          <w:iCs/>
          <w:sz w:val="18"/>
          <w:szCs w:val="18"/>
        </w:rPr>
        <w:t>2020 Annual PSUs</w:t>
      </w:r>
      <w:r>
        <w:rPr>
          <w:rFonts w:ascii="Arial" w:eastAsia="Arial" w:hAnsi="Arial" w:cs="Arial"/>
          <w:sz w:val="18"/>
          <w:szCs w:val="18"/>
        </w:rPr>
        <w:t>”) adopted two absolute growth targets, including adjusted total revenue growth (weighted 60%) and adjusted diluted earnings per share (“</w:t>
      </w:r>
      <w:r>
        <w:rPr>
          <w:rFonts w:ascii="Arial" w:eastAsia="Arial" w:hAnsi="Arial" w:cs="Arial"/>
          <w:b/>
          <w:bCs/>
          <w:i/>
          <w:iCs/>
          <w:sz w:val="18"/>
          <w:szCs w:val="18"/>
        </w:rPr>
        <w:t>EPS</w:t>
      </w:r>
      <w:r>
        <w:rPr>
          <w:rFonts w:ascii="Arial" w:eastAsia="Arial" w:hAnsi="Arial" w:cs="Arial"/>
          <w:sz w:val="18"/>
          <w:szCs w:val="18"/>
        </w:rPr>
        <w:t>”) growth (</w:t>
      </w:r>
      <w:r>
        <w:rPr>
          <w:rFonts w:ascii="Arial" w:eastAsia="Arial" w:hAnsi="Arial" w:cs="Arial"/>
          <w:sz w:val="18"/>
          <w:szCs w:val="18"/>
        </w:rPr>
        <w:t>weighted 40%). A relative measure, the Company’s rTSR compared to the MSCI China Index, was included only as a modifier to increase or decrease the number of units to be earned by up to 20%. The absolute growth targets were established in early 2020 at a t</w:t>
      </w:r>
      <w:r>
        <w:rPr>
          <w:rFonts w:ascii="Arial" w:eastAsia="Arial" w:hAnsi="Arial" w:cs="Arial"/>
          <w:sz w:val="18"/>
          <w:szCs w:val="18"/>
        </w:rPr>
        <w:t>ime when the Company could not have anticipated or known the duration or impact of the COVID-19 pandemic on the market in which the Company operates. In 2021 and 2022, the Compensation Committee closely monitored the impact of the pandemic on the Company a</w:t>
      </w:r>
      <w:r>
        <w:rPr>
          <w:rFonts w:ascii="Arial" w:eastAsia="Arial" w:hAnsi="Arial" w:cs="Arial"/>
          <w:sz w:val="18"/>
          <w:szCs w:val="18"/>
        </w:rPr>
        <w:t>nd potential payouts, and considered different alternatives to fairly assess and reward management for their performance during the three-year performance period of the 2020 Annual PSUs.</w:t>
      </w:r>
    </w:p>
    <w:p w:rsidR="00A621E3" w:rsidRDefault="00A621E3">
      <w:pPr>
        <w:spacing w:line="263" w:lineRule="exact"/>
        <w:rPr>
          <w:sz w:val="20"/>
          <w:szCs w:val="20"/>
        </w:rPr>
      </w:pPr>
    </w:p>
    <w:p w:rsidR="00A621E3" w:rsidRDefault="00EC630E">
      <w:pPr>
        <w:spacing w:line="241" w:lineRule="auto"/>
        <w:ind w:left="320"/>
        <w:jc w:val="both"/>
        <w:rPr>
          <w:sz w:val="20"/>
          <w:szCs w:val="20"/>
        </w:rPr>
      </w:pPr>
      <w:r>
        <w:rPr>
          <w:rFonts w:ascii="Arial" w:eastAsia="Arial" w:hAnsi="Arial" w:cs="Arial"/>
          <w:sz w:val="20"/>
          <w:szCs w:val="20"/>
        </w:rPr>
        <w:t xml:space="preserve">Due to the ongoing impact of COVID-19, the Company was operating in </w:t>
      </w:r>
      <w:r>
        <w:rPr>
          <w:rFonts w:ascii="Arial" w:eastAsia="Arial" w:hAnsi="Arial" w:cs="Arial"/>
          <w:sz w:val="20"/>
          <w:szCs w:val="20"/>
        </w:rPr>
        <w:t>a volatile and unpredictable market during the duration of the performance period. Compared to 2019, the 2022 total revenue for the China restaurant industry declined by 6%, with a negative CAGR of 2% from 2019 to 2022. As a result, the original absolute g</w:t>
      </w:r>
      <w:r>
        <w:rPr>
          <w:rFonts w:ascii="Arial" w:eastAsia="Arial" w:hAnsi="Arial" w:cs="Arial"/>
          <w:sz w:val="20"/>
          <w:szCs w:val="20"/>
        </w:rPr>
        <w:t>rowth goals set for the 2020 Annual PSUs became less effective in incentivizing management and recognizing actions that would enable the Company to navigate the pandemic and emerge stronger. Facing the</w:t>
      </w:r>
    </w:p>
    <w:p w:rsidR="00A621E3" w:rsidRDefault="00A621E3">
      <w:pPr>
        <w:spacing w:line="290" w:lineRule="exact"/>
        <w:rPr>
          <w:sz w:val="20"/>
          <w:szCs w:val="20"/>
        </w:rPr>
      </w:pPr>
    </w:p>
    <w:p w:rsidR="00A621E3" w:rsidRDefault="00EC630E">
      <w:pPr>
        <w:numPr>
          <w:ilvl w:val="0"/>
          <w:numId w:val="66"/>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886592"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0" w:lineRule="exact"/>
        <w:rPr>
          <w:sz w:val="20"/>
          <w:szCs w:val="20"/>
        </w:rPr>
      </w:pPr>
    </w:p>
    <w:p w:rsidR="00A621E3" w:rsidRDefault="00EC630E">
      <w:pPr>
        <w:spacing w:line="257" w:lineRule="auto"/>
        <w:ind w:right="20"/>
        <w:jc w:val="both"/>
        <w:rPr>
          <w:sz w:val="20"/>
          <w:szCs w:val="20"/>
        </w:rPr>
      </w:pPr>
      <w:r>
        <w:rPr>
          <w:rFonts w:ascii="Arial" w:eastAsia="Arial" w:hAnsi="Arial" w:cs="Arial"/>
          <w:sz w:val="19"/>
          <w:szCs w:val="19"/>
        </w:rPr>
        <w:t xml:space="preserve">unprecedented challenges, our revenue growth rate (excluding foreign currency translation) outperformed that of the China restaurant industry, with an increase by 6% comparing 2022 to 2019, and a CAGR of 2% from 2019 to 2022. In addition, comparing to the </w:t>
      </w:r>
      <w:r>
        <w:rPr>
          <w:rFonts w:ascii="Arial" w:eastAsia="Arial" w:hAnsi="Arial" w:cs="Arial"/>
          <w:sz w:val="19"/>
          <w:szCs w:val="19"/>
        </w:rPr>
        <w:t>constituents of the MSCI China Index, the Company’s TSR ranked at the 68.91 percentile over the three-year period from 2020 to 2022.</w:t>
      </w:r>
    </w:p>
    <w:p w:rsidR="00A621E3" w:rsidRDefault="00A621E3">
      <w:pPr>
        <w:spacing w:line="225" w:lineRule="exact"/>
        <w:rPr>
          <w:sz w:val="20"/>
          <w:szCs w:val="20"/>
        </w:rPr>
      </w:pPr>
    </w:p>
    <w:p w:rsidR="00A621E3" w:rsidRDefault="00EC630E">
      <w:pPr>
        <w:spacing w:line="267" w:lineRule="auto"/>
        <w:ind w:left="20"/>
        <w:jc w:val="both"/>
        <w:rPr>
          <w:sz w:val="20"/>
          <w:szCs w:val="20"/>
        </w:rPr>
      </w:pPr>
      <w:r>
        <w:rPr>
          <w:rFonts w:ascii="Arial" w:eastAsia="Arial" w:hAnsi="Arial" w:cs="Arial"/>
          <w:sz w:val="18"/>
          <w:szCs w:val="18"/>
        </w:rPr>
        <w:t xml:space="preserve">In light of the Company’s strong performance against its peers despite the COVID-19 pandemic and considering that keeping </w:t>
      </w:r>
      <w:r>
        <w:rPr>
          <w:rFonts w:ascii="Arial" w:eastAsia="Arial" w:hAnsi="Arial" w:cs="Arial"/>
          <w:sz w:val="18"/>
          <w:szCs w:val="18"/>
        </w:rPr>
        <w:t>the original design of the 2020 Annual PSUs potentially would have resulted in zero payout, which the Compensation Committee believed would not appropriately reflect management’s performance or be aligned with the Company’s compensation philosophy, the Com</w:t>
      </w:r>
      <w:r>
        <w:rPr>
          <w:rFonts w:ascii="Arial" w:eastAsia="Arial" w:hAnsi="Arial" w:cs="Arial"/>
          <w:sz w:val="18"/>
          <w:szCs w:val="18"/>
        </w:rPr>
        <w:t>pensation Committee determined to adjust the weighting of the performance metrics of the 2020 Annual PSUs in December 2022. As adjusted, the performance goals applicable to the 2020 Annual PSUs are rTSR (weighted 60%), adjusted total revenue growth (weight</w:t>
      </w:r>
      <w:r>
        <w:rPr>
          <w:rFonts w:ascii="Arial" w:eastAsia="Arial" w:hAnsi="Arial" w:cs="Arial"/>
          <w:sz w:val="18"/>
          <w:szCs w:val="18"/>
        </w:rPr>
        <w:t>ed 24%) and adjusted diluted EPS growth (weighted 16%), with adjusted total revenue growth and adjusted diluted EPS growth having the same relative weightings to each other as prior to adjustment. The Compensation Committee placed more emphasis on the rTSR</w:t>
      </w:r>
      <w:r>
        <w:rPr>
          <w:rFonts w:ascii="Arial" w:eastAsia="Arial" w:hAnsi="Arial" w:cs="Arial"/>
          <w:sz w:val="18"/>
          <w:szCs w:val="18"/>
        </w:rPr>
        <w:t xml:space="preserve"> measure in recognition of the difficulty of measuring performance against absolute growth goals set before the onset of the COVID -19 pandemic, in light of the volatile operating environment, and its assessment that rTSR would better measure the Company’s</w:t>
      </w:r>
      <w:r>
        <w:rPr>
          <w:rFonts w:ascii="Arial" w:eastAsia="Arial" w:hAnsi="Arial" w:cs="Arial"/>
          <w:sz w:val="18"/>
          <w:szCs w:val="18"/>
        </w:rPr>
        <w:t xml:space="preserve"> success in execution of its evolving and COVID-19 responsive operational plan during the three-year performance period. Accordingly, these weightings were adjusted to better measure our performance relative to the operating market in which we operate, whi</w:t>
      </w:r>
      <w:r>
        <w:rPr>
          <w:rFonts w:ascii="Arial" w:eastAsia="Arial" w:hAnsi="Arial" w:cs="Arial"/>
          <w:sz w:val="18"/>
          <w:szCs w:val="18"/>
        </w:rPr>
        <w:t>le keeping all original performance goals applicable to the 2020 Annual PSUs. Except for the changes in weighting of the performance goals, the terms and conditions applicable to the 2020 Annual PSUs remained unchanged. The Compensation Committee determine</w:t>
      </w:r>
      <w:r>
        <w:rPr>
          <w:rFonts w:ascii="Arial" w:eastAsia="Arial" w:hAnsi="Arial" w:cs="Arial"/>
          <w:sz w:val="18"/>
          <w:szCs w:val="18"/>
        </w:rPr>
        <w:t>d that this modification to the 2020 Annual PSUs was aligned with the Company’s compensation philosophy of retaining talent and rewarding performance, particularly in light of the operational achievements of the Company since the 2020 Annual PSUs were gran</w:t>
      </w:r>
      <w:r>
        <w:rPr>
          <w:rFonts w:ascii="Arial" w:eastAsia="Arial" w:hAnsi="Arial" w:cs="Arial"/>
          <w:sz w:val="18"/>
          <w:szCs w:val="18"/>
        </w:rPr>
        <w:t>ted. Based on the reallocated weighting</w:t>
      </w:r>
    </w:p>
    <w:p w:rsidR="00A621E3" w:rsidRDefault="00A621E3">
      <w:pPr>
        <w:sectPr w:rsidR="00A621E3">
          <w:pgSz w:w="11900" w:h="16838"/>
          <w:pgMar w:top="486" w:right="439" w:bottom="1440" w:left="320" w:header="0" w:footer="0" w:gutter="0"/>
          <w:cols w:num="2" w:space="720" w:equalWidth="0">
            <w:col w:w="5400" w:space="480"/>
            <w:col w:w="5260"/>
          </w:cols>
        </w:sectPr>
      </w:pPr>
    </w:p>
    <w:p w:rsidR="00A621E3" w:rsidRDefault="00EC630E">
      <w:pPr>
        <w:rPr>
          <w:sz w:val="20"/>
          <w:szCs w:val="20"/>
        </w:rPr>
      </w:pPr>
      <w:bookmarkStart w:id="56" w:name="page56"/>
      <w:bookmarkEnd w:id="56"/>
      <w:r>
        <w:rPr>
          <w:rFonts w:ascii="Arial" w:eastAsia="Arial" w:hAnsi="Arial" w:cs="Arial"/>
          <w:b/>
          <w:bCs/>
          <w:color w:val="0000EE"/>
          <w:sz w:val="18"/>
          <w:szCs w:val="18"/>
          <w:u w:val="single"/>
        </w:rPr>
        <w:t>Table of Contents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3" w:lineRule="exact"/>
        <w:rPr>
          <w:sz w:val="20"/>
          <w:szCs w:val="20"/>
        </w:rPr>
      </w:pPr>
    </w:p>
    <w:p w:rsidR="00A621E3" w:rsidRDefault="00EC630E">
      <w:pPr>
        <w:spacing w:line="244" w:lineRule="auto"/>
        <w:ind w:left="280"/>
        <w:jc w:val="both"/>
        <w:rPr>
          <w:sz w:val="20"/>
          <w:szCs w:val="20"/>
        </w:rPr>
      </w:pPr>
      <w:r>
        <w:rPr>
          <w:rFonts w:ascii="Arial" w:eastAsia="Arial" w:hAnsi="Arial" w:cs="Arial"/>
          <w:sz w:val="20"/>
          <w:szCs w:val="20"/>
        </w:rPr>
        <w:t>of the performance metrics, the 2020 Annual PSUs vested at 87.82%. For details, see “Context for Determining Executive Compensation Decisions” and “Elements of the Exe</w:t>
      </w:r>
      <w:r>
        <w:rPr>
          <w:rFonts w:ascii="Arial" w:eastAsia="Arial" w:hAnsi="Arial" w:cs="Arial"/>
          <w:sz w:val="20"/>
          <w:szCs w:val="20"/>
        </w:rPr>
        <w:t>cutive Compensation Program—Long Term Equity Incentives—2020 Annual PSUs.”</w:t>
      </w:r>
    </w:p>
    <w:p w:rsidR="00A621E3" w:rsidRDefault="00A621E3">
      <w:pPr>
        <w:spacing w:line="275" w:lineRule="exact"/>
        <w:rPr>
          <w:sz w:val="20"/>
          <w:szCs w:val="20"/>
        </w:rPr>
      </w:pPr>
    </w:p>
    <w:p w:rsidR="00A621E3" w:rsidRDefault="00EC630E">
      <w:pPr>
        <w:numPr>
          <w:ilvl w:val="0"/>
          <w:numId w:val="67"/>
        </w:numPr>
        <w:tabs>
          <w:tab w:val="left" w:pos="360"/>
        </w:tabs>
        <w:spacing w:line="268" w:lineRule="auto"/>
        <w:ind w:left="360" w:hanging="190"/>
        <w:jc w:val="both"/>
        <w:rPr>
          <w:rFonts w:ascii="Arial" w:eastAsia="Arial" w:hAnsi="Arial" w:cs="Arial"/>
          <w:color w:val="CF0A2C"/>
          <w:sz w:val="18"/>
          <w:szCs w:val="18"/>
        </w:rPr>
      </w:pPr>
      <w:r>
        <w:rPr>
          <w:rFonts w:ascii="Arial" w:eastAsia="Arial" w:hAnsi="Arial" w:cs="Arial"/>
          <w:b/>
          <w:bCs/>
          <w:i/>
          <w:iCs/>
          <w:sz w:val="18"/>
          <w:szCs w:val="18"/>
        </w:rPr>
        <w:t>Incorporated ESG Metrics since 2021 Annual Incentive Program</w:t>
      </w:r>
      <w:r>
        <w:rPr>
          <w:rFonts w:ascii="Arial" w:eastAsia="Arial" w:hAnsi="Arial" w:cs="Arial"/>
          <w:sz w:val="18"/>
          <w:szCs w:val="18"/>
        </w:rPr>
        <w:t>—Management and the Board have engaged in</w:t>
      </w:r>
      <w:r>
        <w:rPr>
          <w:rFonts w:ascii="Arial" w:eastAsia="Arial" w:hAnsi="Arial" w:cs="Arial"/>
          <w:b/>
          <w:bCs/>
          <w:i/>
          <w:iCs/>
          <w:sz w:val="18"/>
          <w:szCs w:val="18"/>
        </w:rPr>
        <w:t xml:space="preserve"> </w:t>
      </w:r>
      <w:r>
        <w:rPr>
          <w:rFonts w:ascii="Arial" w:eastAsia="Arial" w:hAnsi="Arial" w:cs="Arial"/>
          <w:sz w:val="18"/>
          <w:szCs w:val="18"/>
        </w:rPr>
        <w:t>extensive discussions regarding how to further incentivize and assess performa</w:t>
      </w:r>
      <w:r>
        <w:rPr>
          <w:rFonts w:ascii="Arial" w:eastAsia="Arial" w:hAnsi="Arial" w:cs="Arial"/>
          <w:sz w:val="18"/>
          <w:szCs w:val="18"/>
        </w:rPr>
        <w:t xml:space="preserve">nce with respect to specific ESG, Sustainability and Human Capital Management initiatives. Beginning with the 2021 annual incentive program, ESG measures have been incorporated into the KPIs that are used to determine the individual performance factor for </w:t>
      </w:r>
      <w:r>
        <w:rPr>
          <w:rFonts w:ascii="Arial" w:eastAsia="Arial" w:hAnsi="Arial" w:cs="Arial"/>
          <w:sz w:val="18"/>
          <w:szCs w:val="18"/>
        </w:rPr>
        <w:t xml:space="preserve">each leadership team member. As such, the NEOs’ performance on ESG-related areas could significantly impact payouts under the Company’s 2022 annual incentive program. ESG performance goals are tailored for each member of the leadership team based on their </w:t>
      </w:r>
      <w:r>
        <w:rPr>
          <w:rFonts w:ascii="Arial" w:eastAsia="Arial" w:hAnsi="Arial" w:cs="Arial"/>
          <w:sz w:val="18"/>
          <w:szCs w:val="18"/>
        </w:rPr>
        <w:t>roles and responsibilities and the Compensation Committee will assess their performance in these areas. ESG, Sustainability and Human Capital Management goals for 2022 included goals relating to the publication of the Company’s sustainability report, goals</w:t>
      </w:r>
      <w:r>
        <w:rPr>
          <w:rFonts w:ascii="Arial" w:eastAsia="Arial" w:hAnsi="Arial" w:cs="Arial"/>
          <w:sz w:val="18"/>
          <w:szCs w:val="18"/>
        </w:rPr>
        <w:t xml:space="preserve"> relating to climate, the Company’s supply chain and environmental impact, initiatives relating to customer awareness of environmental goals, plastic reduction initiatives, goals relating to the KFC food banks, employee satisfaction and gender equality. As</w:t>
      </w:r>
      <w:r>
        <w:rPr>
          <w:rFonts w:ascii="Arial" w:eastAsia="Arial" w:hAnsi="Arial" w:cs="Arial"/>
          <w:sz w:val="18"/>
          <w:szCs w:val="18"/>
        </w:rPr>
        <w:t xml:space="preserve"> noted above, in 2023, ESG and sustainability goals of the Company have been adopted as one of the performance goals applicable to the 2023 annual PSUs.</w:t>
      </w:r>
    </w:p>
    <w:p w:rsidR="00A621E3" w:rsidRDefault="00A621E3">
      <w:pPr>
        <w:spacing w:line="211" w:lineRule="exact"/>
        <w:rPr>
          <w:sz w:val="20"/>
          <w:szCs w:val="20"/>
        </w:rPr>
      </w:pPr>
    </w:p>
    <w:p w:rsidR="00A621E3" w:rsidRDefault="00EC630E">
      <w:pPr>
        <w:spacing w:line="267" w:lineRule="auto"/>
        <w:ind w:left="120"/>
        <w:jc w:val="both"/>
        <w:rPr>
          <w:sz w:val="20"/>
          <w:szCs w:val="20"/>
        </w:rPr>
      </w:pPr>
      <w:r>
        <w:rPr>
          <w:rFonts w:ascii="Arial" w:eastAsia="Arial" w:hAnsi="Arial" w:cs="Arial"/>
          <w:b/>
          <w:bCs/>
          <w:color w:val="CF0A2C"/>
          <w:sz w:val="20"/>
          <w:szCs w:val="20"/>
        </w:rPr>
        <w:t>Alignment of Executive Compensation Program with Business Performance</w:t>
      </w:r>
    </w:p>
    <w:p w:rsidR="00A621E3" w:rsidRDefault="00A621E3">
      <w:pPr>
        <w:spacing w:line="210" w:lineRule="exact"/>
        <w:rPr>
          <w:sz w:val="20"/>
          <w:szCs w:val="20"/>
        </w:rPr>
      </w:pPr>
    </w:p>
    <w:p w:rsidR="00A621E3" w:rsidRDefault="00EC630E">
      <w:pPr>
        <w:spacing w:line="272" w:lineRule="auto"/>
        <w:ind w:left="120"/>
        <w:jc w:val="both"/>
        <w:rPr>
          <w:sz w:val="20"/>
          <w:szCs w:val="20"/>
        </w:rPr>
      </w:pPr>
      <w:r>
        <w:rPr>
          <w:rFonts w:ascii="Arial" w:eastAsia="Arial" w:hAnsi="Arial" w:cs="Arial"/>
          <w:sz w:val="18"/>
          <w:szCs w:val="18"/>
        </w:rPr>
        <w:t xml:space="preserve">Our pay-for-performance </w:t>
      </w:r>
      <w:r>
        <w:rPr>
          <w:rFonts w:ascii="Arial" w:eastAsia="Arial" w:hAnsi="Arial" w:cs="Arial"/>
          <w:sz w:val="18"/>
          <w:szCs w:val="18"/>
        </w:rPr>
        <w:t>incentive compensation programs are designed to align the long-term interests of our executives with those of our stockholders and to attract and retain top talent in a competitive market. The Company’s executive compensation program is structured to suppo</w:t>
      </w:r>
      <w:r>
        <w:rPr>
          <w:rFonts w:ascii="Arial" w:eastAsia="Arial" w:hAnsi="Arial" w:cs="Arial"/>
          <w:sz w:val="18"/>
          <w:szCs w:val="18"/>
        </w:rPr>
        <w:t>rt the long-term sustainable growth of the Company and create value for stockholders by aligning our executives with business performance goals and motivating entrepreneurial and innovative thinking. As such, the Compensation Committee reviews and endorses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4" w:lineRule="exact"/>
        <w:rPr>
          <w:sz w:val="20"/>
          <w:szCs w:val="20"/>
        </w:rPr>
      </w:pPr>
    </w:p>
    <w:p w:rsidR="00A621E3" w:rsidRDefault="00EC630E">
      <w:pPr>
        <w:ind w:left="2940"/>
        <w:rPr>
          <w:sz w:val="20"/>
          <w:szCs w:val="20"/>
        </w:rPr>
      </w:pPr>
      <w:r>
        <w:rPr>
          <w:rFonts w:ascii="Arial" w:eastAsia="Arial" w:hAnsi="Arial" w:cs="Arial"/>
          <w:b/>
          <w:bCs/>
          <w:color w:val="FFFFFF"/>
          <w:sz w:val="16"/>
          <w:szCs w:val="16"/>
        </w:rPr>
        <w:t>EXECUTIVE COMPENSATION</w:t>
      </w:r>
    </w:p>
    <w:p w:rsidR="00A621E3" w:rsidRDefault="00EC630E">
      <w:pPr>
        <w:spacing w:line="20" w:lineRule="exact"/>
        <w:rPr>
          <w:sz w:val="20"/>
          <w:szCs w:val="20"/>
        </w:rPr>
      </w:pPr>
      <w:r>
        <w:rPr>
          <w:noProof/>
          <w:sz w:val="20"/>
          <w:szCs w:val="20"/>
        </w:rPr>
        <w:drawing>
          <wp:anchor distT="0" distB="0" distL="114300" distR="114300" simplePos="0" relativeHeight="251887616" behindDoc="1" locked="0" layoutInCell="0" allowOverlap="1">
            <wp:simplePos x="0" y="0"/>
            <wp:positionH relativeFrom="column">
              <wp:posOffset>-3651885</wp:posOffset>
            </wp:positionH>
            <wp:positionV relativeFrom="paragraph">
              <wp:posOffset>-713105</wp:posOffset>
            </wp:positionV>
            <wp:extent cx="7174865" cy="55880"/>
            <wp:effectExtent l="0" t="0" r="0" b="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noProof/>
          <w:sz w:val="20"/>
          <w:szCs w:val="20"/>
        </w:rPr>
        <w:drawing>
          <wp:anchor distT="0" distB="0" distL="114300" distR="114300" simplePos="0" relativeHeight="251888640" behindDoc="1" locked="0" layoutInCell="0" allowOverlap="1">
            <wp:simplePos x="0" y="0"/>
            <wp:positionH relativeFrom="column">
              <wp:posOffset>1717675</wp:posOffset>
            </wp:positionH>
            <wp:positionV relativeFrom="paragraph">
              <wp:posOffset>-156210</wp:posOffset>
            </wp:positionV>
            <wp:extent cx="1705610" cy="205740"/>
            <wp:effectExtent l="0" t="0" r="0" b="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243" w:lineRule="exact"/>
        <w:rPr>
          <w:sz w:val="20"/>
          <w:szCs w:val="20"/>
        </w:rPr>
      </w:pPr>
    </w:p>
    <w:p w:rsidR="00A621E3" w:rsidRDefault="00EC630E">
      <w:pPr>
        <w:spacing w:line="307" w:lineRule="auto"/>
        <w:jc w:val="both"/>
        <w:rPr>
          <w:sz w:val="20"/>
          <w:szCs w:val="20"/>
        </w:rPr>
      </w:pPr>
      <w:r>
        <w:rPr>
          <w:rFonts w:ascii="Arial" w:eastAsia="Arial" w:hAnsi="Arial" w:cs="Arial"/>
          <w:sz w:val="16"/>
          <w:szCs w:val="16"/>
        </w:rPr>
        <w:t>performance goals that are deemed central to the Company’s business performance, long-term strategy and stockholder value creation. Specifically, the Compensation Committee selected performance goals under the Company’s 2022</w:t>
      </w:r>
      <w:r>
        <w:rPr>
          <w:rFonts w:ascii="Arial" w:eastAsia="Arial" w:hAnsi="Arial" w:cs="Arial"/>
          <w:sz w:val="16"/>
          <w:szCs w:val="16"/>
        </w:rPr>
        <w:t xml:space="preserve"> incentive programs that are based on metrics such as operating profit, same store sales, delivery sales, system net new builds, member activity, rTSR, and other KPIs described in greater detail below. These performance goals comprise an overall executive </w:t>
      </w:r>
      <w:r>
        <w:rPr>
          <w:rFonts w:ascii="Arial" w:eastAsia="Arial" w:hAnsi="Arial" w:cs="Arial"/>
          <w:sz w:val="16"/>
          <w:szCs w:val="16"/>
        </w:rPr>
        <w:t>compensation program that the Compensation Committee believes appropriately reflects the Company’s emphasis on increasing profitability and revenue, supporting an entrepreneurial mindset, and creating stockholder value, while at the same time supporting ke</w:t>
      </w:r>
      <w:r>
        <w:rPr>
          <w:rFonts w:ascii="Arial" w:eastAsia="Arial" w:hAnsi="Arial" w:cs="Arial"/>
          <w:sz w:val="16"/>
          <w:szCs w:val="16"/>
        </w:rPr>
        <w:t>y ESG initiatives.</w:t>
      </w:r>
    </w:p>
    <w:p w:rsidR="00A621E3" w:rsidRDefault="00A621E3">
      <w:pPr>
        <w:spacing w:line="200" w:lineRule="exact"/>
        <w:rPr>
          <w:sz w:val="20"/>
          <w:szCs w:val="20"/>
        </w:rPr>
      </w:pPr>
    </w:p>
    <w:p w:rsidR="00A621E3" w:rsidRDefault="00A621E3">
      <w:pPr>
        <w:spacing w:line="222" w:lineRule="exact"/>
        <w:rPr>
          <w:sz w:val="20"/>
          <w:szCs w:val="20"/>
        </w:rPr>
      </w:pPr>
    </w:p>
    <w:p w:rsidR="00A621E3" w:rsidRDefault="00EC630E">
      <w:pPr>
        <w:spacing w:line="268" w:lineRule="auto"/>
        <w:jc w:val="both"/>
        <w:rPr>
          <w:sz w:val="20"/>
          <w:szCs w:val="20"/>
        </w:rPr>
      </w:pPr>
      <w:r>
        <w:rPr>
          <w:rFonts w:ascii="Arial" w:eastAsia="Arial" w:hAnsi="Arial" w:cs="Arial"/>
          <w:sz w:val="18"/>
          <w:szCs w:val="18"/>
        </w:rPr>
        <w:t>While the Compensation Committee’s practice has generally been to establish and communicate goals at the beginning of each year, the Compensation Committee also retains flexibility to modify the Company’s executive compensation program</w:t>
      </w:r>
      <w:r>
        <w:rPr>
          <w:rFonts w:ascii="Arial" w:eastAsia="Arial" w:hAnsi="Arial" w:cs="Arial"/>
          <w:sz w:val="18"/>
          <w:szCs w:val="18"/>
        </w:rPr>
        <w:t xml:space="preserve"> when circumstances warrant, in order to continue to incentivize actions to drive operational performance and long-term strategies. In 2022, in light of the changes in operating environment in China and the significant prolonged impact of COVID-19 on the C</w:t>
      </w:r>
      <w:r>
        <w:rPr>
          <w:rFonts w:ascii="Arial" w:eastAsia="Arial" w:hAnsi="Arial" w:cs="Arial"/>
          <w:sz w:val="18"/>
          <w:szCs w:val="18"/>
        </w:rPr>
        <w:t>ompany’s operating and financial performance during the year and over the three-year period since 2020, the Compensation Committee adjusted the 2022 annual incentive program and modified the 2020 Annual PSUs. For details, see “Recent Compensation Highlight</w:t>
      </w:r>
      <w:r>
        <w:rPr>
          <w:rFonts w:ascii="Arial" w:eastAsia="Arial" w:hAnsi="Arial" w:cs="Arial"/>
          <w:sz w:val="18"/>
          <w:szCs w:val="18"/>
        </w:rPr>
        <w:t>s— Annual Incentive Program,” “Recent Compensation Highlights— Modification of 2020 Annual PSUs,” “Elements of the Executive Compensation Program—Annual Performance-Based Cash Bonuses—Team Performance Factors” and “Elements of the Executive Compensation Pr</w:t>
      </w:r>
      <w:r>
        <w:rPr>
          <w:rFonts w:ascii="Arial" w:eastAsia="Arial" w:hAnsi="Arial" w:cs="Arial"/>
          <w:sz w:val="18"/>
          <w:szCs w:val="18"/>
        </w:rPr>
        <w:t>ogram—Long Term Equity Incentives —2020 Annual PSUs.” The Compensation Committee believes that maintaining this flexibility allows the Company to appropriately reward performance in areas deemed critical to the Company’s long-term strategy.</w:t>
      </w:r>
    </w:p>
    <w:p w:rsidR="00A621E3" w:rsidRDefault="00A621E3">
      <w:pPr>
        <w:spacing w:line="222" w:lineRule="exact"/>
        <w:rPr>
          <w:sz w:val="20"/>
          <w:szCs w:val="20"/>
        </w:rPr>
      </w:pPr>
    </w:p>
    <w:p w:rsidR="00A621E3" w:rsidRDefault="00EC630E">
      <w:pPr>
        <w:spacing w:line="276" w:lineRule="auto"/>
        <w:ind w:right="20"/>
        <w:jc w:val="both"/>
        <w:rPr>
          <w:sz w:val="20"/>
          <w:szCs w:val="20"/>
        </w:rPr>
      </w:pPr>
      <w:r>
        <w:rPr>
          <w:rFonts w:ascii="Arial" w:eastAsia="Arial" w:hAnsi="Arial" w:cs="Arial"/>
          <w:sz w:val="18"/>
          <w:szCs w:val="18"/>
        </w:rPr>
        <w:t xml:space="preserve">The following </w:t>
      </w:r>
      <w:r>
        <w:rPr>
          <w:rFonts w:ascii="Arial" w:eastAsia="Arial" w:hAnsi="Arial" w:cs="Arial"/>
          <w:sz w:val="18"/>
          <w:szCs w:val="18"/>
        </w:rPr>
        <w:t>chart provides an overview of the 2022 target total direct compensation program applicable to our CEO, consisting of base salary, annual performance-based cash incentives (i.e., short-term incentives, or “</w:t>
      </w:r>
      <w:r>
        <w:rPr>
          <w:rFonts w:ascii="Arial" w:eastAsia="Arial" w:hAnsi="Arial" w:cs="Arial"/>
          <w:b/>
          <w:bCs/>
          <w:i/>
          <w:iCs/>
          <w:sz w:val="18"/>
          <w:szCs w:val="18"/>
        </w:rPr>
        <w:t>STI</w:t>
      </w:r>
      <w:r>
        <w:rPr>
          <w:rFonts w:ascii="Arial" w:eastAsia="Arial" w:hAnsi="Arial" w:cs="Arial"/>
          <w:sz w:val="18"/>
          <w:szCs w:val="18"/>
        </w:rPr>
        <w:t>”), and LTI. As demonstrated by the following ch</w:t>
      </w:r>
      <w:r>
        <w:rPr>
          <w:rFonts w:ascii="Arial" w:eastAsia="Arial" w:hAnsi="Arial" w:cs="Arial"/>
          <w:sz w:val="18"/>
          <w:szCs w:val="18"/>
        </w:rPr>
        <w:t>art, 2022 compensation for our CEO was heavily weighted toward variable pay elements, and such elements repre-</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62" w:lineRule="exact"/>
        <w:rPr>
          <w:sz w:val="20"/>
          <w:szCs w:val="20"/>
        </w:rPr>
      </w:pPr>
    </w:p>
    <w:p w:rsidR="00A621E3" w:rsidRDefault="00EC630E">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51</w:t>
      </w:r>
    </w:p>
    <w:p w:rsidR="00A621E3" w:rsidRDefault="00EC630E">
      <w:pPr>
        <w:spacing w:line="20" w:lineRule="exact"/>
        <w:rPr>
          <w:sz w:val="20"/>
          <w:szCs w:val="20"/>
        </w:rPr>
      </w:pPr>
      <w:r>
        <w:rPr>
          <w:noProof/>
          <w:sz w:val="20"/>
          <w:szCs w:val="20"/>
        </w:rPr>
        <w:drawing>
          <wp:anchor distT="0" distB="0" distL="114300" distR="114300" simplePos="0" relativeHeight="251889664" behindDoc="1" locked="0" layoutInCell="0" allowOverlap="1">
            <wp:simplePos x="0" y="0"/>
            <wp:positionH relativeFrom="column">
              <wp:posOffset>3149600</wp:posOffset>
            </wp:positionH>
            <wp:positionV relativeFrom="paragraph">
              <wp:posOffset>-93345</wp:posOffset>
            </wp:positionV>
            <wp:extent cx="8255" cy="102870"/>
            <wp:effectExtent l="0" t="0" r="0" b="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57" w:name="page57"/>
      <w:bookmarkEnd w:id="57"/>
      <w:r>
        <w:rPr>
          <w:rFonts w:ascii="Arial" w:eastAsia="Arial" w:hAnsi="Arial" w:cs="Arial"/>
          <w:b/>
          <w:bCs/>
          <w:noProof/>
          <w:color w:val="0000EE"/>
          <w:sz w:val="18"/>
          <w:szCs w:val="18"/>
          <w:u w:val="single"/>
        </w:rPr>
        <w:drawing>
          <wp:anchor distT="0" distB="0" distL="114300" distR="114300" simplePos="0" relativeHeight="25189068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91712"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209" w:lineRule="exact"/>
        <w:rPr>
          <w:sz w:val="20"/>
          <w:szCs w:val="20"/>
        </w:rPr>
      </w:pPr>
    </w:p>
    <w:p w:rsidR="00A621E3" w:rsidRDefault="00EC630E">
      <w:pPr>
        <w:spacing w:line="282" w:lineRule="auto"/>
        <w:ind w:left="120"/>
        <w:jc w:val="both"/>
        <w:rPr>
          <w:sz w:val="20"/>
          <w:szCs w:val="20"/>
        </w:rPr>
      </w:pPr>
      <w:r>
        <w:rPr>
          <w:rFonts w:ascii="Arial" w:eastAsia="Arial" w:hAnsi="Arial" w:cs="Arial"/>
          <w:sz w:val="18"/>
          <w:szCs w:val="18"/>
        </w:rPr>
        <w:t>sented approximately 87% of the</w:t>
      </w:r>
      <w:r>
        <w:rPr>
          <w:rFonts w:ascii="Arial" w:eastAsia="Arial" w:hAnsi="Arial" w:cs="Arial"/>
          <w:sz w:val="18"/>
          <w:szCs w:val="18"/>
        </w:rPr>
        <w:t xml:space="preserve"> 2022 annual target compensation for Ms. Wat (consisting of the target payout opportunity under the annual performance-based cash bonus plan, target annual PSUs, RSUs and SARs). For purposes of this calculation, we have excluded the target grant date fair </w:t>
      </w:r>
      <w:r>
        <w:rPr>
          <w:rFonts w:ascii="Arial" w:eastAsia="Arial" w:hAnsi="Arial" w:cs="Arial"/>
          <w:sz w:val="18"/>
          <w:szCs w:val="18"/>
        </w:rPr>
        <w:t>value of the 2022 Lavazza ESOP Grants and the incremental fair value associated with the modification of the 2020 Annual PSUs, as these do not represent a component of the Company’s typical annual executive compensation program.</w:t>
      </w:r>
    </w:p>
    <w:p w:rsidR="00A621E3" w:rsidRDefault="00A621E3">
      <w:pPr>
        <w:spacing w:line="196" w:lineRule="exact"/>
        <w:rPr>
          <w:sz w:val="20"/>
          <w:szCs w:val="20"/>
        </w:rPr>
      </w:pPr>
    </w:p>
    <w:p w:rsidR="00A621E3" w:rsidRDefault="00EC630E">
      <w:pPr>
        <w:ind w:right="-119"/>
        <w:jc w:val="center"/>
        <w:rPr>
          <w:sz w:val="20"/>
          <w:szCs w:val="20"/>
        </w:rPr>
      </w:pPr>
      <w:r>
        <w:rPr>
          <w:rFonts w:ascii="Arial" w:eastAsia="Arial" w:hAnsi="Arial" w:cs="Arial"/>
          <w:b/>
          <w:bCs/>
          <w:color w:val="CF0A2C"/>
          <w:sz w:val="20"/>
          <w:szCs w:val="20"/>
        </w:rPr>
        <w:t>2022 CEO Target Compensati</w:t>
      </w:r>
      <w:r>
        <w:rPr>
          <w:rFonts w:ascii="Arial" w:eastAsia="Arial" w:hAnsi="Arial" w:cs="Arial"/>
          <w:b/>
          <w:bCs/>
          <w:color w:val="CF0A2C"/>
          <w:sz w:val="20"/>
          <w:szCs w:val="20"/>
        </w:rPr>
        <w:t>on Mix</w:t>
      </w:r>
    </w:p>
    <w:p w:rsidR="00A621E3" w:rsidRDefault="00EC630E">
      <w:pPr>
        <w:spacing w:line="20" w:lineRule="exact"/>
        <w:rPr>
          <w:sz w:val="20"/>
          <w:szCs w:val="20"/>
        </w:rPr>
      </w:pPr>
      <w:r>
        <w:rPr>
          <w:noProof/>
          <w:sz w:val="20"/>
          <w:szCs w:val="20"/>
        </w:rPr>
        <w:drawing>
          <wp:anchor distT="0" distB="0" distL="114300" distR="114300" simplePos="0" relativeHeight="251892736" behindDoc="1" locked="0" layoutInCell="0" allowOverlap="1">
            <wp:simplePos x="0" y="0"/>
            <wp:positionH relativeFrom="column">
              <wp:posOffset>2756535</wp:posOffset>
            </wp:positionH>
            <wp:positionV relativeFrom="paragraph">
              <wp:posOffset>202565</wp:posOffset>
            </wp:positionV>
            <wp:extent cx="1637030" cy="1962785"/>
            <wp:effectExtent l="0" t="0" r="0"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3">
                      <a:extLst/>
                    </a:blip>
                    <a:srcRect/>
                    <a:stretch>
                      <a:fillRect/>
                    </a:stretch>
                  </pic:blipFill>
                  <pic:spPr bwMode="auto">
                    <a:xfrm>
                      <a:off x="0" y="0"/>
                      <a:ext cx="1637030" cy="196278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5" w:lineRule="exact"/>
        <w:rPr>
          <w:sz w:val="20"/>
          <w:szCs w:val="20"/>
        </w:rPr>
      </w:pPr>
    </w:p>
    <w:p w:rsidR="00A621E3" w:rsidRDefault="00EC630E">
      <w:pPr>
        <w:ind w:left="120"/>
        <w:rPr>
          <w:sz w:val="20"/>
          <w:szCs w:val="20"/>
        </w:rPr>
      </w:pPr>
      <w:r>
        <w:rPr>
          <w:rFonts w:ascii="Arial" w:eastAsia="Arial" w:hAnsi="Arial" w:cs="Arial"/>
          <w:b/>
          <w:bCs/>
          <w:color w:val="CF0A2C"/>
          <w:sz w:val="20"/>
          <w:szCs w:val="20"/>
        </w:rPr>
        <w:t>Pay Components</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357" w:lineRule="exact"/>
        <w:rPr>
          <w:sz w:val="20"/>
          <w:szCs w:val="20"/>
        </w:rPr>
      </w:pPr>
    </w:p>
    <w:p w:rsidR="00A621E3" w:rsidRDefault="00EC630E">
      <w:pPr>
        <w:spacing w:line="263" w:lineRule="auto"/>
        <w:ind w:left="120"/>
        <w:jc w:val="both"/>
        <w:rPr>
          <w:sz w:val="20"/>
          <w:szCs w:val="20"/>
        </w:rPr>
      </w:pPr>
      <w:r>
        <w:rPr>
          <w:rFonts w:ascii="Arial" w:eastAsia="Arial" w:hAnsi="Arial" w:cs="Arial"/>
          <w:sz w:val="19"/>
          <w:szCs w:val="19"/>
        </w:rPr>
        <w:t xml:space="preserve">The Company’s executive compensation program has three primary pay components: (i) base salary; (ii) annual performance-based cash bonuses (i.e., short-term incentives); and (iii) long-term </w:t>
      </w:r>
      <w:r>
        <w:rPr>
          <w:rFonts w:ascii="Arial" w:eastAsia="Arial" w:hAnsi="Arial" w:cs="Arial"/>
          <w:sz w:val="19"/>
          <w:szCs w:val="19"/>
        </w:rPr>
        <w:t>equity awards. We believe that</w:t>
      </w:r>
    </w:p>
    <w:p w:rsidR="00A621E3" w:rsidRDefault="00EC630E">
      <w:pPr>
        <w:spacing w:line="20" w:lineRule="exact"/>
        <w:rPr>
          <w:sz w:val="20"/>
          <w:szCs w:val="20"/>
        </w:rPr>
      </w:pPr>
      <w:r>
        <w:rPr>
          <w:sz w:val="20"/>
          <w:szCs w:val="20"/>
        </w:rPr>
        <w:br w:type="column"/>
      </w:r>
    </w:p>
    <w:p w:rsidR="00A621E3" w:rsidRDefault="00A621E3">
      <w:pPr>
        <w:spacing w:line="337" w:lineRule="exact"/>
        <w:rPr>
          <w:sz w:val="20"/>
          <w:szCs w:val="20"/>
        </w:rPr>
      </w:pPr>
    </w:p>
    <w:p w:rsidR="00A621E3" w:rsidRDefault="00EC630E">
      <w:pPr>
        <w:spacing w:line="316" w:lineRule="auto"/>
        <w:rPr>
          <w:sz w:val="20"/>
          <w:szCs w:val="20"/>
        </w:rPr>
      </w:pPr>
      <w:r>
        <w:rPr>
          <w:rFonts w:ascii="Arial" w:eastAsia="Arial" w:hAnsi="Arial" w:cs="Arial"/>
          <w:sz w:val="18"/>
          <w:szCs w:val="18"/>
        </w:rPr>
        <w:t>these key elements are aligned with the Company’s compensation philosophy and objectives, as illustrated in the following table.</w:t>
      </w:r>
    </w:p>
    <w:p w:rsidR="00A621E3" w:rsidRDefault="00A621E3">
      <w:pPr>
        <w:spacing w:line="612"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19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80"/>
        <w:gridCol w:w="20"/>
        <w:gridCol w:w="5540"/>
        <w:gridCol w:w="1460"/>
        <w:gridCol w:w="2080"/>
        <w:gridCol w:w="1540"/>
        <w:gridCol w:w="20"/>
      </w:tblGrid>
      <w:tr w:rsidR="00A621E3">
        <w:trPr>
          <w:trHeight w:val="189"/>
        </w:trPr>
        <w:tc>
          <w:tcPr>
            <w:tcW w:w="380" w:type="dxa"/>
            <w:vAlign w:val="bottom"/>
          </w:tcPr>
          <w:p w:rsidR="00A621E3" w:rsidRDefault="00A621E3">
            <w:pPr>
              <w:rPr>
                <w:sz w:val="16"/>
                <w:szCs w:val="16"/>
              </w:rPr>
            </w:pPr>
          </w:p>
        </w:tc>
        <w:tc>
          <w:tcPr>
            <w:tcW w:w="20" w:type="dxa"/>
            <w:vAlign w:val="bottom"/>
          </w:tcPr>
          <w:p w:rsidR="00A621E3" w:rsidRDefault="00A621E3">
            <w:pPr>
              <w:rPr>
                <w:sz w:val="16"/>
                <w:szCs w:val="16"/>
              </w:rPr>
            </w:pPr>
          </w:p>
        </w:tc>
        <w:tc>
          <w:tcPr>
            <w:tcW w:w="5540" w:type="dxa"/>
            <w:vAlign w:val="bottom"/>
          </w:tcPr>
          <w:p w:rsidR="00A621E3" w:rsidRDefault="00A621E3">
            <w:pPr>
              <w:rPr>
                <w:sz w:val="16"/>
                <w:szCs w:val="16"/>
              </w:rPr>
            </w:pPr>
          </w:p>
        </w:tc>
        <w:tc>
          <w:tcPr>
            <w:tcW w:w="1460" w:type="dxa"/>
            <w:vAlign w:val="bottom"/>
          </w:tcPr>
          <w:p w:rsidR="00A621E3" w:rsidRDefault="00A621E3">
            <w:pPr>
              <w:rPr>
                <w:sz w:val="16"/>
                <w:szCs w:val="16"/>
              </w:rPr>
            </w:pPr>
          </w:p>
        </w:tc>
        <w:tc>
          <w:tcPr>
            <w:tcW w:w="2080" w:type="dxa"/>
            <w:vAlign w:val="bottom"/>
          </w:tcPr>
          <w:p w:rsidR="00A621E3" w:rsidRDefault="00EC630E">
            <w:pPr>
              <w:jc w:val="center"/>
              <w:rPr>
                <w:sz w:val="20"/>
                <w:szCs w:val="20"/>
              </w:rPr>
            </w:pPr>
            <w:r>
              <w:rPr>
                <w:rFonts w:ascii="Arial" w:eastAsia="Arial" w:hAnsi="Arial" w:cs="Arial"/>
                <w:b/>
                <w:bCs/>
                <w:color w:val="CF0A2C"/>
                <w:sz w:val="16"/>
                <w:szCs w:val="16"/>
              </w:rPr>
              <w:t>Annual</w:t>
            </w:r>
          </w:p>
        </w:tc>
        <w:tc>
          <w:tcPr>
            <w:tcW w:w="1540" w:type="dxa"/>
            <w:vMerge w:val="restart"/>
            <w:vAlign w:val="bottom"/>
          </w:tcPr>
          <w:p w:rsidR="00A621E3" w:rsidRDefault="00EC630E">
            <w:pPr>
              <w:ind w:left="304"/>
              <w:jc w:val="center"/>
              <w:rPr>
                <w:sz w:val="20"/>
                <w:szCs w:val="20"/>
              </w:rPr>
            </w:pPr>
            <w:r>
              <w:rPr>
                <w:rFonts w:ascii="Arial" w:eastAsia="Arial" w:hAnsi="Arial" w:cs="Arial"/>
                <w:b/>
                <w:bCs/>
                <w:color w:val="CF0A2C"/>
                <w:sz w:val="16"/>
                <w:szCs w:val="16"/>
              </w:rPr>
              <w:t>Long-Term</w:t>
            </w:r>
          </w:p>
        </w:tc>
        <w:tc>
          <w:tcPr>
            <w:tcW w:w="0" w:type="dxa"/>
            <w:vAlign w:val="bottom"/>
          </w:tcPr>
          <w:p w:rsidR="00A621E3" w:rsidRDefault="00A621E3">
            <w:pPr>
              <w:rPr>
                <w:sz w:val="1"/>
                <w:szCs w:val="1"/>
              </w:rPr>
            </w:pPr>
          </w:p>
        </w:tc>
      </w:tr>
      <w:tr w:rsidR="00A621E3">
        <w:trPr>
          <w:trHeight w:val="175"/>
        </w:trPr>
        <w:tc>
          <w:tcPr>
            <w:tcW w:w="380" w:type="dxa"/>
            <w:vAlign w:val="bottom"/>
          </w:tcPr>
          <w:p w:rsidR="00A621E3" w:rsidRDefault="00A621E3">
            <w:pPr>
              <w:rPr>
                <w:sz w:val="15"/>
                <w:szCs w:val="15"/>
              </w:rPr>
            </w:pPr>
          </w:p>
        </w:tc>
        <w:tc>
          <w:tcPr>
            <w:tcW w:w="20" w:type="dxa"/>
            <w:vAlign w:val="bottom"/>
          </w:tcPr>
          <w:p w:rsidR="00A621E3" w:rsidRDefault="00A621E3">
            <w:pPr>
              <w:rPr>
                <w:sz w:val="15"/>
                <w:szCs w:val="15"/>
              </w:rPr>
            </w:pPr>
          </w:p>
        </w:tc>
        <w:tc>
          <w:tcPr>
            <w:tcW w:w="5540" w:type="dxa"/>
            <w:vAlign w:val="bottom"/>
          </w:tcPr>
          <w:p w:rsidR="00A621E3" w:rsidRDefault="00A621E3">
            <w:pPr>
              <w:rPr>
                <w:sz w:val="15"/>
                <w:szCs w:val="15"/>
              </w:rPr>
            </w:pPr>
          </w:p>
        </w:tc>
        <w:tc>
          <w:tcPr>
            <w:tcW w:w="1460" w:type="dxa"/>
            <w:vAlign w:val="bottom"/>
          </w:tcPr>
          <w:p w:rsidR="00A621E3" w:rsidRDefault="00A621E3">
            <w:pPr>
              <w:rPr>
                <w:sz w:val="15"/>
                <w:szCs w:val="15"/>
              </w:rPr>
            </w:pPr>
          </w:p>
        </w:tc>
        <w:tc>
          <w:tcPr>
            <w:tcW w:w="2080" w:type="dxa"/>
            <w:vAlign w:val="bottom"/>
          </w:tcPr>
          <w:p w:rsidR="00A621E3" w:rsidRDefault="00EC630E">
            <w:pPr>
              <w:spacing w:line="175" w:lineRule="exact"/>
              <w:jc w:val="center"/>
              <w:rPr>
                <w:sz w:val="20"/>
                <w:szCs w:val="20"/>
              </w:rPr>
            </w:pPr>
            <w:r>
              <w:rPr>
                <w:rFonts w:ascii="Arial" w:eastAsia="Arial" w:hAnsi="Arial" w:cs="Arial"/>
                <w:b/>
                <w:bCs/>
                <w:color w:val="CF0A2C"/>
                <w:sz w:val="16"/>
                <w:szCs w:val="16"/>
              </w:rPr>
              <w:t>Performance-</w:t>
            </w:r>
          </w:p>
        </w:tc>
        <w:tc>
          <w:tcPr>
            <w:tcW w:w="1540" w:type="dxa"/>
            <w:vMerge/>
            <w:vAlign w:val="bottom"/>
          </w:tcPr>
          <w:p w:rsidR="00A621E3" w:rsidRDefault="00A621E3">
            <w:pPr>
              <w:rPr>
                <w:sz w:val="15"/>
                <w:szCs w:val="15"/>
              </w:rPr>
            </w:pPr>
          </w:p>
        </w:tc>
        <w:tc>
          <w:tcPr>
            <w:tcW w:w="0" w:type="dxa"/>
            <w:vAlign w:val="bottom"/>
          </w:tcPr>
          <w:p w:rsidR="00A621E3" w:rsidRDefault="00A621E3">
            <w:pPr>
              <w:rPr>
                <w:sz w:val="1"/>
                <w:szCs w:val="1"/>
              </w:rPr>
            </w:pPr>
          </w:p>
        </w:tc>
      </w:tr>
      <w:tr w:rsidR="00A621E3">
        <w:trPr>
          <w:trHeight w:val="189"/>
        </w:trPr>
        <w:tc>
          <w:tcPr>
            <w:tcW w:w="380" w:type="dxa"/>
            <w:vAlign w:val="bottom"/>
          </w:tcPr>
          <w:p w:rsidR="00A621E3" w:rsidRDefault="00A621E3">
            <w:pPr>
              <w:rPr>
                <w:sz w:val="16"/>
                <w:szCs w:val="16"/>
              </w:rPr>
            </w:pPr>
          </w:p>
        </w:tc>
        <w:tc>
          <w:tcPr>
            <w:tcW w:w="20" w:type="dxa"/>
            <w:vAlign w:val="bottom"/>
          </w:tcPr>
          <w:p w:rsidR="00A621E3" w:rsidRDefault="00A621E3">
            <w:pPr>
              <w:rPr>
                <w:sz w:val="16"/>
                <w:szCs w:val="16"/>
              </w:rPr>
            </w:pPr>
          </w:p>
        </w:tc>
        <w:tc>
          <w:tcPr>
            <w:tcW w:w="5540" w:type="dxa"/>
            <w:vAlign w:val="bottom"/>
          </w:tcPr>
          <w:p w:rsidR="00A621E3" w:rsidRDefault="00A621E3">
            <w:pPr>
              <w:rPr>
                <w:sz w:val="16"/>
                <w:szCs w:val="16"/>
              </w:rPr>
            </w:pPr>
          </w:p>
        </w:tc>
        <w:tc>
          <w:tcPr>
            <w:tcW w:w="1460" w:type="dxa"/>
            <w:vAlign w:val="bottom"/>
          </w:tcPr>
          <w:p w:rsidR="00A621E3" w:rsidRDefault="00EC630E">
            <w:pPr>
              <w:ind w:right="462"/>
              <w:jc w:val="right"/>
              <w:rPr>
                <w:sz w:val="20"/>
                <w:szCs w:val="20"/>
              </w:rPr>
            </w:pPr>
            <w:r>
              <w:rPr>
                <w:rFonts w:ascii="Arial" w:eastAsia="Arial" w:hAnsi="Arial" w:cs="Arial"/>
                <w:b/>
                <w:bCs/>
                <w:color w:val="CF0A2C"/>
                <w:sz w:val="16"/>
                <w:szCs w:val="16"/>
              </w:rPr>
              <w:t>Base</w:t>
            </w:r>
          </w:p>
        </w:tc>
        <w:tc>
          <w:tcPr>
            <w:tcW w:w="2080" w:type="dxa"/>
            <w:vAlign w:val="bottom"/>
          </w:tcPr>
          <w:p w:rsidR="00A621E3" w:rsidRDefault="00EC630E">
            <w:pPr>
              <w:jc w:val="center"/>
              <w:rPr>
                <w:sz w:val="20"/>
                <w:szCs w:val="20"/>
              </w:rPr>
            </w:pPr>
            <w:r>
              <w:rPr>
                <w:rFonts w:ascii="Arial" w:eastAsia="Arial" w:hAnsi="Arial" w:cs="Arial"/>
                <w:b/>
                <w:bCs/>
                <w:color w:val="CF0A2C"/>
                <w:sz w:val="16"/>
                <w:szCs w:val="16"/>
              </w:rPr>
              <w:t>Based Cash</w:t>
            </w:r>
          </w:p>
        </w:tc>
        <w:tc>
          <w:tcPr>
            <w:tcW w:w="1540" w:type="dxa"/>
            <w:vAlign w:val="bottom"/>
          </w:tcPr>
          <w:p w:rsidR="00A621E3" w:rsidRDefault="00EC630E">
            <w:pPr>
              <w:ind w:left="324"/>
              <w:jc w:val="center"/>
              <w:rPr>
                <w:sz w:val="20"/>
                <w:szCs w:val="20"/>
              </w:rPr>
            </w:pPr>
            <w:r>
              <w:rPr>
                <w:rFonts w:ascii="Arial" w:eastAsia="Arial" w:hAnsi="Arial" w:cs="Arial"/>
                <w:b/>
                <w:bCs/>
                <w:color w:val="CF0A2C"/>
                <w:sz w:val="16"/>
                <w:szCs w:val="16"/>
              </w:rPr>
              <w:t>Equity</w:t>
            </w:r>
          </w:p>
        </w:tc>
        <w:tc>
          <w:tcPr>
            <w:tcW w:w="0" w:type="dxa"/>
            <w:vAlign w:val="bottom"/>
          </w:tcPr>
          <w:p w:rsidR="00A621E3" w:rsidRDefault="00A621E3">
            <w:pPr>
              <w:rPr>
                <w:sz w:val="1"/>
                <w:szCs w:val="1"/>
              </w:rPr>
            </w:pPr>
          </w:p>
        </w:tc>
      </w:tr>
      <w:tr w:rsidR="00A621E3">
        <w:trPr>
          <w:trHeight w:val="221"/>
        </w:trPr>
        <w:tc>
          <w:tcPr>
            <w:tcW w:w="5940" w:type="dxa"/>
            <w:gridSpan w:val="3"/>
            <w:tcBorders>
              <w:bottom w:val="single" w:sz="8" w:space="0" w:color="CF0A2C"/>
            </w:tcBorders>
            <w:vAlign w:val="bottom"/>
          </w:tcPr>
          <w:p w:rsidR="00A621E3" w:rsidRDefault="00EC630E">
            <w:pPr>
              <w:rPr>
                <w:sz w:val="20"/>
                <w:szCs w:val="20"/>
              </w:rPr>
            </w:pPr>
            <w:r>
              <w:rPr>
                <w:rFonts w:ascii="Arial" w:eastAsia="Arial" w:hAnsi="Arial" w:cs="Arial"/>
                <w:b/>
                <w:bCs/>
                <w:color w:val="CF0A2C"/>
                <w:sz w:val="16"/>
                <w:szCs w:val="16"/>
              </w:rPr>
              <w:t>Objective</w:t>
            </w:r>
          </w:p>
        </w:tc>
        <w:tc>
          <w:tcPr>
            <w:tcW w:w="1460" w:type="dxa"/>
            <w:tcBorders>
              <w:bottom w:val="single" w:sz="8" w:space="0" w:color="CF0A2C"/>
            </w:tcBorders>
            <w:vAlign w:val="bottom"/>
          </w:tcPr>
          <w:p w:rsidR="00A621E3" w:rsidRDefault="00EC630E">
            <w:pPr>
              <w:ind w:right="422"/>
              <w:jc w:val="right"/>
              <w:rPr>
                <w:sz w:val="20"/>
                <w:szCs w:val="20"/>
              </w:rPr>
            </w:pPr>
            <w:r>
              <w:rPr>
                <w:rFonts w:ascii="Arial" w:eastAsia="Arial" w:hAnsi="Arial" w:cs="Arial"/>
                <w:b/>
                <w:bCs/>
                <w:color w:val="CF0A2C"/>
                <w:sz w:val="16"/>
                <w:szCs w:val="16"/>
              </w:rPr>
              <w:t>Salary</w:t>
            </w:r>
          </w:p>
        </w:tc>
        <w:tc>
          <w:tcPr>
            <w:tcW w:w="2080" w:type="dxa"/>
            <w:tcBorders>
              <w:bottom w:val="single" w:sz="8" w:space="0" w:color="CF0A2C"/>
            </w:tcBorders>
            <w:vAlign w:val="bottom"/>
          </w:tcPr>
          <w:p w:rsidR="00A621E3" w:rsidRDefault="00EC630E">
            <w:pPr>
              <w:jc w:val="center"/>
              <w:rPr>
                <w:sz w:val="20"/>
                <w:szCs w:val="20"/>
              </w:rPr>
            </w:pPr>
            <w:r>
              <w:rPr>
                <w:rFonts w:ascii="Arial" w:eastAsia="Arial" w:hAnsi="Arial" w:cs="Arial"/>
                <w:b/>
                <w:bCs/>
                <w:color w:val="CF0A2C"/>
                <w:sz w:val="16"/>
                <w:szCs w:val="16"/>
              </w:rPr>
              <w:t>Bonuses</w:t>
            </w:r>
          </w:p>
        </w:tc>
        <w:tc>
          <w:tcPr>
            <w:tcW w:w="1540" w:type="dxa"/>
            <w:tcBorders>
              <w:bottom w:val="single" w:sz="8" w:space="0" w:color="CF0A2C"/>
            </w:tcBorders>
            <w:vAlign w:val="bottom"/>
          </w:tcPr>
          <w:p w:rsidR="00A621E3" w:rsidRDefault="00EC630E">
            <w:pPr>
              <w:ind w:left="304"/>
              <w:jc w:val="center"/>
              <w:rPr>
                <w:sz w:val="20"/>
                <w:szCs w:val="20"/>
              </w:rPr>
            </w:pPr>
            <w:r>
              <w:rPr>
                <w:rFonts w:ascii="Arial" w:eastAsia="Arial" w:hAnsi="Arial" w:cs="Arial"/>
                <w:b/>
                <w:bCs/>
                <w:color w:val="CF0A2C"/>
                <w:sz w:val="16"/>
                <w:szCs w:val="16"/>
              </w:rPr>
              <w:t>Incentives</w:t>
            </w:r>
          </w:p>
        </w:tc>
        <w:tc>
          <w:tcPr>
            <w:tcW w:w="0" w:type="dxa"/>
            <w:vAlign w:val="bottom"/>
          </w:tcPr>
          <w:p w:rsidR="00A621E3" w:rsidRDefault="00A621E3">
            <w:pPr>
              <w:rPr>
                <w:sz w:val="1"/>
                <w:szCs w:val="1"/>
              </w:rPr>
            </w:pPr>
          </w:p>
        </w:tc>
      </w:tr>
      <w:tr w:rsidR="00A621E3">
        <w:trPr>
          <w:trHeight w:val="164"/>
        </w:trPr>
        <w:tc>
          <w:tcPr>
            <w:tcW w:w="5940" w:type="dxa"/>
            <w:gridSpan w:val="3"/>
            <w:vAlign w:val="bottom"/>
          </w:tcPr>
          <w:p w:rsidR="00A621E3" w:rsidRDefault="00EC630E">
            <w:pPr>
              <w:spacing w:line="165" w:lineRule="exact"/>
              <w:rPr>
                <w:sz w:val="20"/>
                <w:szCs w:val="20"/>
              </w:rPr>
            </w:pPr>
            <w:r>
              <w:rPr>
                <w:rFonts w:ascii="Arial" w:eastAsia="Arial" w:hAnsi="Arial" w:cs="Arial"/>
                <w:b/>
                <w:bCs/>
                <w:color w:val="CF0A2C"/>
                <w:sz w:val="16"/>
                <w:szCs w:val="16"/>
              </w:rPr>
              <w:t>Attract and retain the right talent to achieve superior stockholder</w:t>
            </w:r>
          </w:p>
        </w:tc>
        <w:tc>
          <w:tcPr>
            <w:tcW w:w="1460" w:type="dxa"/>
            <w:vAlign w:val="bottom"/>
          </w:tcPr>
          <w:p w:rsidR="00A621E3" w:rsidRDefault="00A621E3">
            <w:pPr>
              <w:rPr>
                <w:sz w:val="14"/>
                <w:szCs w:val="14"/>
              </w:rPr>
            </w:pPr>
          </w:p>
        </w:tc>
        <w:tc>
          <w:tcPr>
            <w:tcW w:w="2080" w:type="dxa"/>
            <w:vAlign w:val="bottom"/>
          </w:tcPr>
          <w:p w:rsidR="00A621E3" w:rsidRDefault="00A621E3">
            <w:pPr>
              <w:rPr>
                <w:sz w:val="14"/>
                <w:szCs w:val="14"/>
              </w:rPr>
            </w:pPr>
          </w:p>
        </w:tc>
        <w:tc>
          <w:tcPr>
            <w:tcW w:w="154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209"/>
        </w:trPr>
        <w:tc>
          <w:tcPr>
            <w:tcW w:w="5940" w:type="dxa"/>
            <w:gridSpan w:val="3"/>
            <w:vAlign w:val="bottom"/>
          </w:tcPr>
          <w:p w:rsidR="00A621E3" w:rsidRDefault="00EC630E">
            <w:pPr>
              <w:rPr>
                <w:sz w:val="20"/>
                <w:szCs w:val="20"/>
              </w:rPr>
            </w:pPr>
            <w:r>
              <w:rPr>
                <w:rFonts w:ascii="Arial" w:eastAsia="Arial" w:hAnsi="Arial" w:cs="Arial"/>
                <w:b/>
                <w:bCs/>
                <w:color w:val="CF0A2C"/>
                <w:sz w:val="16"/>
                <w:szCs w:val="16"/>
              </w:rPr>
              <w:t xml:space="preserve">results </w:t>
            </w:r>
            <w:r>
              <w:rPr>
                <w:rFonts w:ascii="Arial" w:eastAsia="Arial" w:hAnsi="Arial" w:cs="Arial"/>
                <w:color w:val="CF0A2C"/>
                <w:sz w:val="16"/>
                <w:szCs w:val="16"/>
              </w:rPr>
              <w:t>— Competitive total reward program structure that enables pay</w:t>
            </w:r>
          </w:p>
        </w:tc>
        <w:tc>
          <w:tcPr>
            <w:tcW w:w="1460" w:type="dxa"/>
            <w:vAlign w:val="bottom"/>
          </w:tcPr>
          <w:p w:rsidR="00A621E3" w:rsidRDefault="00A621E3">
            <w:pPr>
              <w:rPr>
                <w:sz w:val="18"/>
                <w:szCs w:val="18"/>
              </w:rPr>
            </w:pPr>
          </w:p>
        </w:tc>
        <w:tc>
          <w:tcPr>
            <w:tcW w:w="2080" w:type="dxa"/>
            <w:vAlign w:val="bottom"/>
          </w:tcPr>
          <w:p w:rsidR="00A621E3" w:rsidRDefault="00A621E3">
            <w:pPr>
              <w:rPr>
                <w:sz w:val="18"/>
                <w:szCs w:val="18"/>
              </w:rPr>
            </w:pPr>
          </w:p>
        </w:tc>
        <w:tc>
          <w:tcPr>
            <w:tcW w:w="1540" w:type="dxa"/>
            <w:vAlign w:val="bottom"/>
          </w:tcPr>
          <w:p w:rsidR="00A621E3" w:rsidRDefault="00A621E3">
            <w:pPr>
              <w:rPr>
                <w:sz w:val="18"/>
                <w:szCs w:val="18"/>
              </w:rPr>
            </w:pPr>
          </w:p>
        </w:tc>
        <w:tc>
          <w:tcPr>
            <w:tcW w:w="0" w:type="dxa"/>
            <w:vAlign w:val="bottom"/>
          </w:tcPr>
          <w:p w:rsidR="00A621E3" w:rsidRDefault="00A621E3">
            <w:pPr>
              <w:rPr>
                <w:sz w:val="1"/>
                <w:szCs w:val="1"/>
              </w:rPr>
            </w:pPr>
          </w:p>
        </w:tc>
      </w:tr>
      <w:tr w:rsidR="00A621E3">
        <w:trPr>
          <w:trHeight w:val="189"/>
        </w:trPr>
        <w:tc>
          <w:tcPr>
            <w:tcW w:w="5940" w:type="dxa"/>
            <w:gridSpan w:val="3"/>
            <w:vAlign w:val="bottom"/>
          </w:tcPr>
          <w:p w:rsidR="00A621E3" w:rsidRDefault="00EC630E">
            <w:pPr>
              <w:rPr>
                <w:sz w:val="20"/>
                <w:szCs w:val="20"/>
              </w:rPr>
            </w:pPr>
            <w:r>
              <w:rPr>
                <w:rFonts w:ascii="Arial" w:eastAsia="Arial" w:hAnsi="Arial" w:cs="Arial"/>
                <w:color w:val="CF0A2C"/>
                <w:sz w:val="16"/>
                <w:szCs w:val="16"/>
              </w:rPr>
              <w:t xml:space="preserve">to vary based on role, responsibility, experience, market </w:t>
            </w:r>
            <w:r>
              <w:rPr>
                <w:rFonts w:ascii="Arial" w:eastAsia="Arial" w:hAnsi="Arial" w:cs="Arial"/>
                <w:color w:val="CF0A2C"/>
                <w:sz w:val="16"/>
                <w:szCs w:val="16"/>
              </w:rPr>
              <w:t>value and future</w:t>
            </w:r>
          </w:p>
        </w:tc>
        <w:tc>
          <w:tcPr>
            <w:tcW w:w="1460" w:type="dxa"/>
            <w:vAlign w:val="bottom"/>
          </w:tcPr>
          <w:p w:rsidR="00A621E3" w:rsidRDefault="00A621E3">
            <w:pPr>
              <w:rPr>
                <w:sz w:val="16"/>
                <w:szCs w:val="16"/>
              </w:rPr>
            </w:pPr>
          </w:p>
        </w:tc>
        <w:tc>
          <w:tcPr>
            <w:tcW w:w="2080" w:type="dxa"/>
            <w:vAlign w:val="bottom"/>
          </w:tcPr>
          <w:p w:rsidR="00A621E3" w:rsidRDefault="00A621E3">
            <w:pPr>
              <w:rPr>
                <w:sz w:val="16"/>
                <w:szCs w:val="16"/>
              </w:rPr>
            </w:pPr>
          </w:p>
        </w:tc>
        <w:tc>
          <w:tcPr>
            <w:tcW w:w="1540" w:type="dxa"/>
            <w:vAlign w:val="bottom"/>
          </w:tcPr>
          <w:p w:rsidR="00A621E3" w:rsidRDefault="00A621E3">
            <w:pPr>
              <w:rPr>
                <w:sz w:val="16"/>
                <w:szCs w:val="16"/>
              </w:rPr>
            </w:pPr>
          </w:p>
        </w:tc>
        <w:tc>
          <w:tcPr>
            <w:tcW w:w="0" w:type="dxa"/>
            <w:vAlign w:val="bottom"/>
          </w:tcPr>
          <w:p w:rsidR="00A621E3" w:rsidRDefault="00A621E3">
            <w:pPr>
              <w:rPr>
                <w:sz w:val="1"/>
                <w:szCs w:val="1"/>
              </w:rPr>
            </w:pPr>
          </w:p>
        </w:tc>
      </w:tr>
      <w:tr w:rsidR="00A621E3">
        <w:trPr>
          <w:trHeight w:val="202"/>
        </w:trPr>
        <w:tc>
          <w:tcPr>
            <w:tcW w:w="5940" w:type="dxa"/>
            <w:gridSpan w:val="3"/>
            <w:vAlign w:val="bottom"/>
          </w:tcPr>
          <w:p w:rsidR="00A621E3" w:rsidRDefault="00EC630E">
            <w:pPr>
              <w:rPr>
                <w:sz w:val="20"/>
                <w:szCs w:val="20"/>
              </w:rPr>
            </w:pPr>
            <w:r>
              <w:rPr>
                <w:rFonts w:ascii="Arial" w:eastAsia="Arial" w:hAnsi="Arial" w:cs="Arial"/>
                <w:color w:val="CF0A2C"/>
                <w:sz w:val="16"/>
                <w:szCs w:val="16"/>
              </w:rPr>
              <w:t>potential of talent in order to drive superior results year-over-year</w:t>
            </w:r>
          </w:p>
        </w:tc>
        <w:tc>
          <w:tcPr>
            <w:tcW w:w="1460" w:type="dxa"/>
            <w:vAlign w:val="bottom"/>
          </w:tcPr>
          <w:p w:rsidR="00A621E3" w:rsidRDefault="00EC630E">
            <w:pPr>
              <w:ind w:right="422"/>
              <w:jc w:val="right"/>
              <w:rPr>
                <w:sz w:val="20"/>
                <w:szCs w:val="20"/>
              </w:rPr>
            </w:pPr>
            <w:r>
              <w:rPr>
                <w:rFonts w:ascii="Arial" w:eastAsia="Arial" w:hAnsi="Arial" w:cs="Arial"/>
                <w:color w:val="CF0A2C"/>
                <w:sz w:val="14"/>
                <w:szCs w:val="14"/>
              </w:rPr>
              <w:t>X</w:t>
            </w:r>
          </w:p>
        </w:tc>
        <w:tc>
          <w:tcPr>
            <w:tcW w:w="2080" w:type="dxa"/>
            <w:vAlign w:val="bottom"/>
          </w:tcPr>
          <w:p w:rsidR="00A621E3" w:rsidRDefault="00EC630E">
            <w:pPr>
              <w:ind w:left="1460"/>
              <w:rPr>
                <w:sz w:val="20"/>
                <w:szCs w:val="20"/>
              </w:rPr>
            </w:pPr>
            <w:r>
              <w:rPr>
                <w:rFonts w:ascii="Arial" w:eastAsia="Arial" w:hAnsi="Arial" w:cs="Arial"/>
                <w:color w:val="CF0A2C"/>
                <w:sz w:val="14"/>
                <w:szCs w:val="14"/>
              </w:rPr>
              <w:t>X</w:t>
            </w:r>
          </w:p>
        </w:tc>
        <w:tc>
          <w:tcPr>
            <w:tcW w:w="1540" w:type="dxa"/>
            <w:vAlign w:val="bottom"/>
          </w:tcPr>
          <w:p w:rsidR="00A621E3" w:rsidRDefault="00EC630E">
            <w:pPr>
              <w:ind w:left="1380"/>
              <w:rPr>
                <w:sz w:val="20"/>
                <w:szCs w:val="20"/>
              </w:rPr>
            </w:pPr>
            <w:r>
              <w:rPr>
                <w:rFonts w:ascii="Arial" w:eastAsia="Arial" w:hAnsi="Arial" w:cs="Arial"/>
                <w:color w:val="CF0A2C"/>
                <w:sz w:val="14"/>
                <w:szCs w:val="14"/>
              </w:rPr>
              <w:t>X</w:t>
            </w:r>
          </w:p>
        </w:tc>
        <w:tc>
          <w:tcPr>
            <w:tcW w:w="0" w:type="dxa"/>
            <w:vAlign w:val="bottom"/>
          </w:tcPr>
          <w:p w:rsidR="00A621E3" w:rsidRDefault="00A621E3">
            <w:pPr>
              <w:rPr>
                <w:sz w:val="1"/>
                <w:szCs w:val="1"/>
              </w:rPr>
            </w:pPr>
          </w:p>
        </w:tc>
      </w:tr>
      <w:tr w:rsidR="00A621E3">
        <w:trPr>
          <w:trHeight w:val="270"/>
        </w:trPr>
        <w:tc>
          <w:tcPr>
            <w:tcW w:w="5940" w:type="dxa"/>
            <w:gridSpan w:val="3"/>
            <w:vAlign w:val="bottom"/>
          </w:tcPr>
          <w:p w:rsidR="00A621E3" w:rsidRDefault="00EC630E">
            <w:pPr>
              <w:rPr>
                <w:sz w:val="20"/>
                <w:szCs w:val="20"/>
              </w:rPr>
            </w:pPr>
            <w:r>
              <w:rPr>
                <w:rFonts w:ascii="Arial" w:eastAsia="Arial" w:hAnsi="Arial" w:cs="Arial"/>
                <w:b/>
                <w:bCs/>
                <w:color w:val="CF0A2C"/>
                <w:sz w:val="16"/>
                <w:szCs w:val="16"/>
              </w:rPr>
              <w:t xml:space="preserve">Reward performance </w:t>
            </w:r>
            <w:r>
              <w:rPr>
                <w:rFonts w:ascii="Arial" w:eastAsia="Arial" w:hAnsi="Arial" w:cs="Arial"/>
                <w:color w:val="CF0A2C"/>
                <w:sz w:val="16"/>
                <w:szCs w:val="16"/>
              </w:rPr>
              <w:t>— Motivate both short-term and long-term</w:t>
            </w:r>
          </w:p>
        </w:tc>
        <w:tc>
          <w:tcPr>
            <w:tcW w:w="1460" w:type="dxa"/>
            <w:vAlign w:val="bottom"/>
          </w:tcPr>
          <w:p w:rsidR="00A621E3" w:rsidRDefault="00A621E3">
            <w:pPr>
              <w:rPr>
                <w:sz w:val="23"/>
                <w:szCs w:val="23"/>
              </w:rPr>
            </w:pPr>
          </w:p>
        </w:tc>
        <w:tc>
          <w:tcPr>
            <w:tcW w:w="2080" w:type="dxa"/>
            <w:vAlign w:val="bottom"/>
          </w:tcPr>
          <w:p w:rsidR="00A621E3" w:rsidRDefault="00A621E3">
            <w:pPr>
              <w:rPr>
                <w:sz w:val="23"/>
                <w:szCs w:val="23"/>
              </w:rPr>
            </w:pPr>
          </w:p>
        </w:tc>
        <w:tc>
          <w:tcPr>
            <w:tcW w:w="1540" w:type="dxa"/>
            <w:vAlign w:val="bottom"/>
          </w:tcPr>
          <w:p w:rsidR="00A621E3" w:rsidRDefault="00A621E3">
            <w:pPr>
              <w:rPr>
                <w:sz w:val="23"/>
                <w:szCs w:val="23"/>
              </w:rPr>
            </w:pPr>
          </w:p>
        </w:tc>
        <w:tc>
          <w:tcPr>
            <w:tcW w:w="0" w:type="dxa"/>
            <w:vAlign w:val="bottom"/>
          </w:tcPr>
          <w:p w:rsidR="00A621E3" w:rsidRDefault="00A621E3">
            <w:pPr>
              <w:rPr>
                <w:sz w:val="1"/>
                <w:szCs w:val="1"/>
              </w:rPr>
            </w:pPr>
          </w:p>
        </w:tc>
      </w:tr>
      <w:tr w:rsidR="00A621E3">
        <w:trPr>
          <w:trHeight w:val="189"/>
        </w:trPr>
        <w:tc>
          <w:tcPr>
            <w:tcW w:w="5940" w:type="dxa"/>
            <w:gridSpan w:val="3"/>
            <w:vAlign w:val="bottom"/>
          </w:tcPr>
          <w:p w:rsidR="00A621E3" w:rsidRDefault="00EC630E">
            <w:pPr>
              <w:rPr>
                <w:sz w:val="20"/>
                <w:szCs w:val="20"/>
              </w:rPr>
            </w:pPr>
            <w:r>
              <w:rPr>
                <w:rFonts w:ascii="Arial" w:eastAsia="Arial" w:hAnsi="Arial" w:cs="Arial"/>
                <w:color w:val="CF0A2C"/>
                <w:sz w:val="16"/>
                <w:szCs w:val="16"/>
              </w:rPr>
              <w:t>performance through annual and long-term equity programs. A majority of</w:t>
            </w:r>
          </w:p>
        </w:tc>
        <w:tc>
          <w:tcPr>
            <w:tcW w:w="1460" w:type="dxa"/>
            <w:vAlign w:val="bottom"/>
          </w:tcPr>
          <w:p w:rsidR="00A621E3" w:rsidRDefault="00A621E3">
            <w:pPr>
              <w:rPr>
                <w:sz w:val="16"/>
                <w:szCs w:val="16"/>
              </w:rPr>
            </w:pPr>
          </w:p>
        </w:tc>
        <w:tc>
          <w:tcPr>
            <w:tcW w:w="2080" w:type="dxa"/>
            <w:vAlign w:val="bottom"/>
          </w:tcPr>
          <w:p w:rsidR="00A621E3" w:rsidRDefault="00A621E3">
            <w:pPr>
              <w:rPr>
                <w:sz w:val="16"/>
                <w:szCs w:val="16"/>
              </w:rPr>
            </w:pPr>
          </w:p>
        </w:tc>
        <w:tc>
          <w:tcPr>
            <w:tcW w:w="1540" w:type="dxa"/>
            <w:vAlign w:val="bottom"/>
          </w:tcPr>
          <w:p w:rsidR="00A621E3" w:rsidRDefault="00A621E3">
            <w:pPr>
              <w:rPr>
                <w:sz w:val="16"/>
                <w:szCs w:val="16"/>
              </w:rPr>
            </w:pPr>
          </w:p>
        </w:tc>
        <w:tc>
          <w:tcPr>
            <w:tcW w:w="0" w:type="dxa"/>
            <w:vAlign w:val="bottom"/>
          </w:tcPr>
          <w:p w:rsidR="00A621E3" w:rsidRDefault="00A621E3">
            <w:pPr>
              <w:rPr>
                <w:sz w:val="1"/>
                <w:szCs w:val="1"/>
              </w:rPr>
            </w:pPr>
          </w:p>
        </w:tc>
      </w:tr>
      <w:tr w:rsidR="00A621E3">
        <w:trPr>
          <w:trHeight w:val="189"/>
        </w:trPr>
        <w:tc>
          <w:tcPr>
            <w:tcW w:w="5940" w:type="dxa"/>
            <w:gridSpan w:val="3"/>
            <w:vAlign w:val="bottom"/>
          </w:tcPr>
          <w:p w:rsidR="00A621E3" w:rsidRDefault="00EC630E">
            <w:pPr>
              <w:rPr>
                <w:sz w:val="20"/>
                <w:szCs w:val="20"/>
              </w:rPr>
            </w:pPr>
            <w:r>
              <w:rPr>
                <w:rFonts w:ascii="Arial" w:eastAsia="Arial" w:hAnsi="Arial" w:cs="Arial"/>
                <w:color w:val="CF0A2C"/>
                <w:sz w:val="16"/>
                <w:szCs w:val="16"/>
              </w:rPr>
              <w:t xml:space="preserve">NEO annual </w:t>
            </w:r>
            <w:r>
              <w:rPr>
                <w:rFonts w:ascii="Arial" w:eastAsia="Arial" w:hAnsi="Arial" w:cs="Arial"/>
                <w:color w:val="CF0A2C"/>
                <w:sz w:val="16"/>
                <w:szCs w:val="16"/>
              </w:rPr>
              <w:t>target compensation is performance-based or variable and,</w:t>
            </w:r>
          </w:p>
        </w:tc>
        <w:tc>
          <w:tcPr>
            <w:tcW w:w="1460" w:type="dxa"/>
            <w:vAlign w:val="bottom"/>
          </w:tcPr>
          <w:p w:rsidR="00A621E3" w:rsidRDefault="00A621E3">
            <w:pPr>
              <w:rPr>
                <w:sz w:val="16"/>
                <w:szCs w:val="16"/>
              </w:rPr>
            </w:pPr>
          </w:p>
        </w:tc>
        <w:tc>
          <w:tcPr>
            <w:tcW w:w="2080" w:type="dxa"/>
            <w:vAlign w:val="bottom"/>
          </w:tcPr>
          <w:p w:rsidR="00A621E3" w:rsidRDefault="00A621E3">
            <w:pPr>
              <w:rPr>
                <w:sz w:val="16"/>
                <w:szCs w:val="16"/>
              </w:rPr>
            </w:pPr>
          </w:p>
        </w:tc>
        <w:tc>
          <w:tcPr>
            <w:tcW w:w="1540" w:type="dxa"/>
            <w:vAlign w:val="bottom"/>
          </w:tcPr>
          <w:p w:rsidR="00A621E3" w:rsidRDefault="00A621E3">
            <w:pPr>
              <w:rPr>
                <w:sz w:val="16"/>
                <w:szCs w:val="16"/>
              </w:rPr>
            </w:pPr>
          </w:p>
        </w:tc>
        <w:tc>
          <w:tcPr>
            <w:tcW w:w="0" w:type="dxa"/>
            <w:vAlign w:val="bottom"/>
          </w:tcPr>
          <w:p w:rsidR="00A621E3" w:rsidRDefault="00A621E3">
            <w:pPr>
              <w:rPr>
                <w:sz w:val="1"/>
                <w:szCs w:val="1"/>
              </w:rPr>
            </w:pPr>
          </w:p>
        </w:tc>
      </w:tr>
      <w:tr w:rsidR="00A621E3">
        <w:trPr>
          <w:trHeight w:val="202"/>
        </w:trPr>
        <w:tc>
          <w:tcPr>
            <w:tcW w:w="5940" w:type="dxa"/>
            <w:gridSpan w:val="3"/>
            <w:vAlign w:val="bottom"/>
          </w:tcPr>
          <w:p w:rsidR="00A621E3" w:rsidRDefault="00EC630E">
            <w:pPr>
              <w:rPr>
                <w:sz w:val="20"/>
                <w:szCs w:val="20"/>
              </w:rPr>
            </w:pPr>
            <w:r>
              <w:rPr>
                <w:rFonts w:ascii="Arial" w:eastAsia="Arial" w:hAnsi="Arial" w:cs="Arial"/>
                <w:color w:val="CF0A2C"/>
                <w:sz w:val="16"/>
                <w:szCs w:val="16"/>
              </w:rPr>
              <w:t>therefore, at-risk</w:t>
            </w:r>
          </w:p>
        </w:tc>
        <w:tc>
          <w:tcPr>
            <w:tcW w:w="1460" w:type="dxa"/>
            <w:vAlign w:val="bottom"/>
          </w:tcPr>
          <w:p w:rsidR="00A621E3" w:rsidRDefault="00A621E3">
            <w:pPr>
              <w:rPr>
                <w:sz w:val="17"/>
                <w:szCs w:val="17"/>
              </w:rPr>
            </w:pPr>
          </w:p>
        </w:tc>
        <w:tc>
          <w:tcPr>
            <w:tcW w:w="2080" w:type="dxa"/>
            <w:vAlign w:val="bottom"/>
          </w:tcPr>
          <w:p w:rsidR="00A621E3" w:rsidRDefault="00EC630E">
            <w:pPr>
              <w:ind w:left="1460"/>
              <w:rPr>
                <w:sz w:val="20"/>
                <w:szCs w:val="20"/>
              </w:rPr>
            </w:pPr>
            <w:r>
              <w:rPr>
                <w:rFonts w:ascii="Arial" w:eastAsia="Arial" w:hAnsi="Arial" w:cs="Arial"/>
                <w:color w:val="CF0A2C"/>
                <w:sz w:val="14"/>
                <w:szCs w:val="14"/>
              </w:rPr>
              <w:t>X</w:t>
            </w:r>
          </w:p>
        </w:tc>
        <w:tc>
          <w:tcPr>
            <w:tcW w:w="1540" w:type="dxa"/>
            <w:vAlign w:val="bottom"/>
          </w:tcPr>
          <w:p w:rsidR="00A621E3" w:rsidRDefault="00EC630E">
            <w:pPr>
              <w:ind w:left="1380"/>
              <w:rPr>
                <w:sz w:val="20"/>
                <w:szCs w:val="20"/>
              </w:rPr>
            </w:pPr>
            <w:r>
              <w:rPr>
                <w:rFonts w:ascii="Arial" w:eastAsia="Arial" w:hAnsi="Arial" w:cs="Arial"/>
                <w:color w:val="CF0A2C"/>
                <w:sz w:val="14"/>
                <w:szCs w:val="14"/>
              </w:rPr>
              <w:t>X</w:t>
            </w:r>
          </w:p>
        </w:tc>
        <w:tc>
          <w:tcPr>
            <w:tcW w:w="0" w:type="dxa"/>
            <w:vAlign w:val="bottom"/>
          </w:tcPr>
          <w:p w:rsidR="00A621E3" w:rsidRDefault="00A621E3">
            <w:pPr>
              <w:rPr>
                <w:sz w:val="1"/>
                <w:szCs w:val="1"/>
              </w:rPr>
            </w:pPr>
          </w:p>
        </w:tc>
      </w:tr>
      <w:tr w:rsidR="00A621E3">
        <w:trPr>
          <w:trHeight w:val="270"/>
        </w:trPr>
        <w:tc>
          <w:tcPr>
            <w:tcW w:w="5940" w:type="dxa"/>
            <w:gridSpan w:val="3"/>
            <w:vAlign w:val="bottom"/>
          </w:tcPr>
          <w:p w:rsidR="00A621E3" w:rsidRDefault="00EC630E">
            <w:pPr>
              <w:rPr>
                <w:sz w:val="20"/>
                <w:szCs w:val="20"/>
              </w:rPr>
            </w:pPr>
            <w:r>
              <w:rPr>
                <w:rFonts w:ascii="Arial" w:eastAsia="Arial" w:hAnsi="Arial" w:cs="Arial"/>
                <w:b/>
                <w:bCs/>
                <w:color w:val="CF0A2C"/>
                <w:sz w:val="16"/>
                <w:szCs w:val="16"/>
              </w:rPr>
              <w:t xml:space="preserve">Emphasize long-term value creation </w:t>
            </w:r>
            <w:r>
              <w:rPr>
                <w:rFonts w:ascii="Arial" w:eastAsia="Arial" w:hAnsi="Arial" w:cs="Arial"/>
                <w:color w:val="CF0A2C"/>
                <w:sz w:val="16"/>
                <w:szCs w:val="16"/>
              </w:rPr>
              <w:t>— The Company’s belief is simple: if</w:t>
            </w:r>
          </w:p>
        </w:tc>
        <w:tc>
          <w:tcPr>
            <w:tcW w:w="1460" w:type="dxa"/>
            <w:vAlign w:val="bottom"/>
          </w:tcPr>
          <w:p w:rsidR="00A621E3" w:rsidRDefault="00A621E3">
            <w:pPr>
              <w:rPr>
                <w:sz w:val="23"/>
                <w:szCs w:val="23"/>
              </w:rPr>
            </w:pPr>
          </w:p>
        </w:tc>
        <w:tc>
          <w:tcPr>
            <w:tcW w:w="2080" w:type="dxa"/>
            <w:vAlign w:val="bottom"/>
          </w:tcPr>
          <w:p w:rsidR="00A621E3" w:rsidRDefault="00A621E3">
            <w:pPr>
              <w:rPr>
                <w:sz w:val="23"/>
                <w:szCs w:val="23"/>
              </w:rPr>
            </w:pPr>
          </w:p>
        </w:tc>
        <w:tc>
          <w:tcPr>
            <w:tcW w:w="1540" w:type="dxa"/>
            <w:vAlign w:val="bottom"/>
          </w:tcPr>
          <w:p w:rsidR="00A621E3" w:rsidRDefault="00A621E3">
            <w:pPr>
              <w:rPr>
                <w:sz w:val="23"/>
                <w:szCs w:val="23"/>
              </w:rPr>
            </w:pPr>
          </w:p>
        </w:tc>
        <w:tc>
          <w:tcPr>
            <w:tcW w:w="0" w:type="dxa"/>
            <w:vAlign w:val="bottom"/>
          </w:tcPr>
          <w:p w:rsidR="00A621E3" w:rsidRDefault="00A621E3">
            <w:pPr>
              <w:rPr>
                <w:sz w:val="1"/>
                <w:szCs w:val="1"/>
              </w:rPr>
            </w:pPr>
          </w:p>
        </w:tc>
      </w:tr>
      <w:tr w:rsidR="00A621E3">
        <w:trPr>
          <w:trHeight w:val="189"/>
        </w:trPr>
        <w:tc>
          <w:tcPr>
            <w:tcW w:w="5940" w:type="dxa"/>
            <w:gridSpan w:val="3"/>
            <w:vAlign w:val="bottom"/>
          </w:tcPr>
          <w:p w:rsidR="00A621E3" w:rsidRDefault="00EC630E">
            <w:pPr>
              <w:rPr>
                <w:sz w:val="20"/>
                <w:szCs w:val="20"/>
              </w:rPr>
            </w:pPr>
            <w:r>
              <w:rPr>
                <w:rFonts w:ascii="Arial" w:eastAsia="Arial" w:hAnsi="Arial" w:cs="Arial"/>
                <w:color w:val="CF0A2C"/>
                <w:sz w:val="16"/>
                <w:szCs w:val="16"/>
              </w:rPr>
              <w:t>it creates long-term value for stockholders, then it shares a portion of that</w:t>
            </w:r>
          </w:p>
        </w:tc>
        <w:tc>
          <w:tcPr>
            <w:tcW w:w="1460" w:type="dxa"/>
            <w:vAlign w:val="bottom"/>
          </w:tcPr>
          <w:p w:rsidR="00A621E3" w:rsidRDefault="00A621E3">
            <w:pPr>
              <w:rPr>
                <w:sz w:val="16"/>
                <w:szCs w:val="16"/>
              </w:rPr>
            </w:pPr>
          </w:p>
        </w:tc>
        <w:tc>
          <w:tcPr>
            <w:tcW w:w="2080" w:type="dxa"/>
            <w:vAlign w:val="bottom"/>
          </w:tcPr>
          <w:p w:rsidR="00A621E3" w:rsidRDefault="00A621E3">
            <w:pPr>
              <w:rPr>
                <w:sz w:val="16"/>
                <w:szCs w:val="16"/>
              </w:rPr>
            </w:pPr>
          </w:p>
        </w:tc>
        <w:tc>
          <w:tcPr>
            <w:tcW w:w="1540" w:type="dxa"/>
            <w:vAlign w:val="bottom"/>
          </w:tcPr>
          <w:p w:rsidR="00A621E3" w:rsidRDefault="00A621E3">
            <w:pPr>
              <w:rPr>
                <w:sz w:val="16"/>
                <w:szCs w:val="16"/>
              </w:rPr>
            </w:pPr>
          </w:p>
        </w:tc>
        <w:tc>
          <w:tcPr>
            <w:tcW w:w="0" w:type="dxa"/>
            <w:vAlign w:val="bottom"/>
          </w:tcPr>
          <w:p w:rsidR="00A621E3" w:rsidRDefault="00A621E3">
            <w:pPr>
              <w:rPr>
                <w:sz w:val="1"/>
                <w:szCs w:val="1"/>
              </w:rPr>
            </w:pPr>
          </w:p>
        </w:tc>
      </w:tr>
      <w:tr w:rsidR="00A621E3">
        <w:trPr>
          <w:trHeight w:val="189"/>
        </w:trPr>
        <w:tc>
          <w:tcPr>
            <w:tcW w:w="5940" w:type="dxa"/>
            <w:gridSpan w:val="3"/>
            <w:vAlign w:val="bottom"/>
          </w:tcPr>
          <w:p w:rsidR="00A621E3" w:rsidRDefault="00EC630E">
            <w:pPr>
              <w:rPr>
                <w:sz w:val="20"/>
                <w:szCs w:val="20"/>
              </w:rPr>
            </w:pPr>
            <w:r>
              <w:rPr>
                <w:rFonts w:ascii="Arial" w:eastAsia="Arial" w:hAnsi="Arial" w:cs="Arial"/>
                <w:color w:val="CF0A2C"/>
                <w:sz w:val="16"/>
                <w:szCs w:val="16"/>
              </w:rPr>
              <w:t xml:space="preserve">value </w:t>
            </w:r>
            <w:r>
              <w:rPr>
                <w:rFonts w:ascii="Arial" w:eastAsia="Arial" w:hAnsi="Arial" w:cs="Arial"/>
                <w:color w:val="CF0A2C"/>
                <w:sz w:val="16"/>
                <w:szCs w:val="16"/>
              </w:rPr>
              <w:t>with those responsible for the results. Equity awards focus on the</w:t>
            </w:r>
          </w:p>
        </w:tc>
        <w:tc>
          <w:tcPr>
            <w:tcW w:w="1460" w:type="dxa"/>
            <w:vAlign w:val="bottom"/>
          </w:tcPr>
          <w:p w:rsidR="00A621E3" w:rsidRDefault="00A621E3">
            <w:pPr>
              <w:rPr>
                <w:sz w:val="16"/>
                <w:szCs w:val="16"/>
              </w:rPr>
            </w:pPr>
          </w:p>
        </w:tc>
        <w:tc>
          <w:tcPr>
            <w:tcW w:w="2080" w:type="dxa"/>
            <w:vAlign w:val="bottom"/>
          </w:tcPr>
          <w:p w:rsidR="00A621E3" w:rsidRDefault="00A621E3">
            <w:pPr>
              <w:rPr>
                <w:sz w:val="16"/>
                <w:szCs w:val="16"/>
              </w:rPr>
            </w:pPr>
          </w:p>
        </w:tc>
        <w:tc>
          <w:tcPr>
            <w:tcW w:w="1540" w:type="dxa"/>
            <w:vAlign w:val="bottom"/>
          </w:tcPr>
          <w:p w:rsidR="00A621E3" w:rsidRDefault="00A621E3">
            <w:pPr>
              <w:rPr>
                <w:sz w:val="16"/>
                <w:szCs w:val="16"/>
              </w:rPr>
            </w:pPr>
          </w:p>
        </w:tc>
        <w:tc>
          <w:tcPr>
            <w:tcW w:w="0" w:type="dxa"/>
            <w:vAlign w:val="bottom"/>
          </w:tcPr>
          <w:p w:rsidR="00A621E3" w:rsidRDefault="00A621E3">
            <w:pPr>
              <w:rPr>
                <w:sz w:val="1"/>
                <w:szCs w:val="1"/>
              </w:rPr>
            </w:pPr>
          </w:p>
        </w:tc>
      </w:tr>
      <w:tr w:rsidR="00A621E3">
        <w:trPr>
          <w:trHeight w:val="189"/>
        </w:trPr>
        <w:tc>
          <w:tcPr>
            <w:tcW w:w="5940" w:type="dxa"/>
            <w:gridSpan w:val="3"/>
            <w:vAlign w:val="bottom"/>
          </w:tcPr>
          <w:p w:rsidR="00A621E3" w:rsidRDefault="00EC630E">
            <w:pPr>
              <w:rPr>
                <w:sz w:val="20"/>
                <w:szCs w:val="20"/>
              </w:rPr>
            </w:pPr>
            <w:r>
              <w:rPr>
                <w:rFonts w:ascii="Arial" w:eastAsia="Arial" w:hAnsi="Arial" w:cs="Arial"/>
                <w:color w:val="CF0A2C"/>
                <w:sz w:val="16"/>
                <w:szCs w:val="16"/>
              </w:rPr>
              <w:t>long-term performance of the Company and directly align the interests of the</w:t>
            </w:r>
          </w:p>
        </w:tc>
        <w:tc>
          <w:tcPr>
            <w:tcW w:w="1460" w:type="dxa"/>
            <w:vAlign w:val="bottom"/>
          </w:tcPr>
          <w:p w:rsidR="00A621E3" w:rsidRDefault="00A621E3">
            <w:pPr>
              <w:rPr>
                <w:sz w:val="16"/>
                <w:szCs w:val="16"/>
              </w:rPr>
            </w:pPr>
          </w:p>
        </w:tc>
        <w:tc>
          <w:tcPr>
            <w:tcW w:w="2080" w:type="dxa"/>
            <w:vAlign w:val="bottom"/>
          </w:tcPr>
          <w:p w:rsidR="00A621E3" w:rsidRDefault="00A621E3">
            <w:pPr>
              <w:rPr>
                <w:sz w:val="16"/>
                <w:szCs w:val="16"/>
              </w:rPr>
            </w:pPr>
          </w:p>
        </w:tc>
        <w:tc>
          <w:tcPr>
            <w:tcW w:w="1540" w:type="dxa"/>
            <w:vAlign w:val="bottom"/>
          </w:tcPr>
          <w:p w:rsidR="00A621E3" w:rsidRDefault="00A621E3">
            <w:pPr>
              <w:rPr>
                <w:sz w:val="16"/>
                <w:szCs w:val="16"/>
              </w:rPr>
            </w:pPr>
          </w:p>
        </w:tc>
        <w:tc>
          <w:tcPr>
            <w:tcW w:w="0" w:type="dxa"/>
            <w:vAlign w:val="bottom"/>
          </w:tcPr>
          <w:p w:rsidR="00A621E3" w:rsidRDefault="00A621E3">
            <w:pPr>
              <w:rPr>
                <w:sz w:val="1"/>
                <w:szCs w:val="1"/>
              </w:rPr>
            </w:pPr>
          </w:p>
        </w:tc>
      </w:tr>
      <w:tr w:rsidR="00A621E3">
        <w:trPr>
          <w:trHeight w:val="202"/>
        </w:trPr>
        <w:tc>
          <w:tcPr>
            <w:tcW w:w="5940" w:type="dxa"/>
            <w:gridSpan w:val="3"/>
            <w:vAlign w:val="bottom"/>
          </w:tcPr>
          <w:p w:rsidR="00A621E3" w:rsidRDefault="00EC630E">
            <w:pPr>
              <w:rPr>
                <w:sz w:val="20"/>
                <w:szCs w:val="20"/>
              </w:rPr>
            </w:pPr>
            <w:r>
              <w:rPr>
                <w:rFonts w:ascii="Arial" w:eastAsia="Arial" w:hAnsi="Arial" w:cs="Arial"/>
                <w:color w:val="CF0A2C"/>
                <w:sz w:val="16"/>
                <w:szCs w:val="16"/>
              </w:rPr>
              <w:t>recipients with those of the Company’s stockholders</w:t>
            </w:r>
          </w:p>
        </w:tc>
        <w:tc>
          <w:tcPr>
            <w:tcW w:w="1460" w:type="dxa"/>
            <w:vAlign w:val="bottom"/>
          </w:tcPr>
          <w:p w:rsidR="00A621E3" w:rsidRDefault="00A621E3">
            <w:pPr>
              <w:rPr>
                <w:sz w:val="17"/>
                <w:szCs w:val="17"/>
              </w:rPr>
            </w:pPr>
          </w:p>
        </w:tc>
        <w:tc>
          <w:tcPr>
            <w:tcW w:w="2080" w:type="dxa"/>
            <w:vAlign w:val="bottom"/>
          </w:tcPr>
          <w:p w:rsidR="00A621E3" w:rsidRDefault="00A621E3">
            <w:pPr>
              <w:rPr>
                <w:sz w:val="17"/>
                <w:szCs w:val="17"/>
              </w:rPr>
            </w:pPr>
          </w:p>
        </w:tc>
        <w:tc>
          <w:tcPr>
            <w:tcW w:w="1540" w:type="dxa"/>
            <w:vAlign w:val="bottom"/>
          </w:tcPr>
          <w:p w:rsidR="00A621E3" w:rsidRDefault="00EC630E">
            <w:pPr>
              <w:ind w:left="1380"/>
              <w:rPr>
                <w:sz w:val="20"/>
                <w:szCs w:val="20"/>
              </w:rPr>
            </w:pPr>
            <w:r>
              <w:rPr>
                <w:rFonts w:ascii="Arial" w:eastAsia="Arial" w:hAnsi="Arial" w:cs="Arial"/>
                <w:color w:val="CF0A2C"/>
                <w:sz w:val="14"/>
                <w:szCs w:val="14"/>
              </w:rPr>
              <w:t>X</w:t>
            </w:r>
          </w:p>
        </w:tc>
        <w:tc>
          <w:tcPr>
            <w:tcW w:w="0" w:type="dxa"/>
            <w:vAlign w:val="bottom"/>
          </w:tcPr>
          <w:p w:rsidR="00A621E3" w:rsidRDefault="00A621E3">
            <w:pPr>
              <w:rPr>
                <w:sz w:val="1"/>
                <w:szCs w:val="1"/>
              </w:rPr>
            </w:pPr>
          </w:p>
        </w:tc>
      </w:tr>
      <w:tr w:rsidR="00A621E3">
        <w:trPr>
          <w:trHeight w:val="270"/>
        </w:trPr>
        <w:tc>
          <w:tcPr>
            <w:tcW w:w="5940" w:type="dxa"/>
            <w:gridSpan w:val="3"/>
            <w:vAlign w:val="bottom"/>
          </w:tcPr>
          <w:p w:rsidR="00A621E3" w:rsidRDefault="00EC630E">
            <w:pPr>
              <w:rPr>
                <w:sz w:val="20"/>
                <w:szCs w:val="20"/>
              </w:rPr>
            </w:pPr>
            <w:r>
              <w:rPr>
                <w:rFonts w:ascii="Arial" w:eastAsia="Arial" w:hAnsi="Arial" w:cs="Arial"/>
                <w:b/>
                <w:bCs/>
                <w:color w:val="CF0A2C"/>
                <w:sz w:val="16"/>
                <w:szCs w:val="16"/>
              </w:rPr>
              <w:t xml:space="preserve">Drive ownership mentality </w:t>
            </w:r>
            <w:r>
              <w:rPr>
                <w:rFonts w:ascii="Arial" w:eastAsia="Arial" w:hAnsi="Arial" w:cs="Arial"/>
                <w:color w:val="CF0A2C"/>
                <w:sz w:val="16"/>
                <w:szCs w:val="16"/>
              </w:rPr>
              <w:t xml:space="preserve">— We require </w:t>
            </w:r>
            <w:r>
              <w:rPr>
                <w:rFonts w:ascii="Arial" w:eastAsia="Arial" w:hAnsi="Arial" w:cs="Arial"/>
                <w:color w:val="CF0A2C"/>
                <w:sz w:val="16"/>
                <w:szCs w:val="16"/>
              </w:rPr>
              <w:t>executives to invest in the</w:t>
            </w:r>
          </w:p>
        </w:tc>
        <w:tc>
          <w:tcPr>
            <w:tcW w:w="1460" w:type="dxa"/>
            <w:vAlign w:val="bottom"/>
          </w:tcPr>
          <w:p w:rsidR="00A621E3" w:rsidRDefault="00A621E3">
            <w:pPr>
              <w:rPr>
                <w:sz w:val="23"/>
                <w:szCs w:val="23"/>
              </w:rPr>
            </w:pPr>
          </w:p>
        </w:tc>
        <w:tc>
          <w:tcPr>
            <w:tcW w:w="2080" w:type="dxa"/>
            <w:vAlign w:val="bottom"/>
          </w:tcPr>
          <w:p w:rsidR="00A621E3" w:rsidRDefault="00A621E3">
            <w:pPr>
              <w:rPr>
                <w:sz w:val="23"/>
                <w:szCs w:val="23"/>
              </w:rPr>
            </w:pPr>
          </w:p>
        </w:tc>
        <w:tc>
          <w:tcPr>
            <w:tcW w:w="1540" w:type="dxa"/>
            <w:vAlign w:val="bottom"/>
          </w:tcPr>
          <w:p w:rsidR="00A621E3" w:rsidRDefault="00A621E3">
            <w:pPr>
              <w:rPr>
                <w:sz w:val="23"/>
                <w:szCs w:val="23"/>
              </w:rPr>
            </w:pPr>
          </w:p>
        </w:tc>
        <w:tc>
          <w:tcPr>
            <w:tcW w:w="0" w:type="dxa"/>
            <w:vAlign w:val="bottom"/>
          </w:tcPr>
          <w:p w:rsidR="00A621E3" w:rsidRDefault="00A621E3">
            <w:pPr>
              <w:rPr>
                <w:sz w:val="1"/>
                <w:szCs w:val="1"/>
              </w:rPr>
            </w:pPr>
          </w:p>
        </w:tc>
      </w:tr>
      <w:tr w:rsidR="00A621E3">
        <w:trPr>
          <w:trHeight w:val="202"/>
        </w:trPr>
        <w:tc>
          <w:tcPr>
            <w:tcW w:w="5940" w:type="dxa"/>
            <w:gridSpan w:val="3"/>
            <w:vAlign w:val="bottom"/>
          </w:tcPr>
          <w:p w:rsidR="00A621E3" w:rsidRDefault="00EC630E">
            <w:pPr>
              <w:rPr>
                <w:sz w:val="20"/>
                <w:szCs w:val="20"/>
              </w:rPr>
            </w:pPr>
            <w:r>
              <w:rPr>
                <w:rFonts w:ascii="Arial" w:eastAsia="Arial" w:hAnsi="Arial" w:cs="Arial"/>
                <w:color w:val="CF0A2C"/>
                <w:sz w:val="16"/>
                <w:szCs w:val="16"/>
              </w:rPr>
              <w:t>Company’s success by owning a substantial amount of Company stock</w:t>
            </w:r>
          </w:p>
        </w:tc>
        <w:tc>
          <w:tcPr>
            <w:tcW w:w="1460" w:type="dxa"/>
            <w:vAlign w:val="bottom"/>
          </w:tcPr>
          <w:p w:rsidR="00A621E3" w:rsidRDefault="00A621E3">
            <w:pPr>
              <w:rPr>
                <w:sz w:val="17"/>
                <w:szCs w:val="17"/>
              </w:rPr>
            </w:pPr>
          </w:p>
        </w:tc>
        <w:tc>
          <w:tcPr>
            <w:tcW w:w="2080" w:type="dxa"/>
            <w:vAlign w:val="bottom"/>
          </w:tcPr>
          <w:p w:rsidR="00A621E3" w:rsidRDefault="00A621E3">
            <w:pPr>
              <w:rPr>
                <w:sz w:val="17"/>
                <w:szCs w:val="17"/>
              </w:rPr>
            </w:pPr>
          </w:p>
        </w:tc>
        <w:tc>
          <w:tcPr>
            <w:tcW w:w="1540" w:type="dxa"/>
            <w:vAlign w:val="bottom"/>
          </w:tcPr>
          <w:p w:rsidR="00A621E3" w:rsidRDefault="00EC630E">
            <w:pPr>
              <w:ind w:left="1380"/>
              <w:rPr>
                <w:sz w:val="20"/>
                <w:szCs w:val="20"/>
              </w:rPr>
            </w:pPr>
            <w:r>
              <w:rPr>
                <w:rFonts w:ascii="Arial" w:eastAsia="Arial" w:hAnsi="Arial" w:cs="Arial"/>
                <w:color w:val="CF0A2C"/>
                <w:sz w:val="14"/>
                <w:szCs w:val="14"/>
              </w:rPr>
              <w:t>X</w:t>
            </w:r>
          </w:p>
        </w:tc>
        <w:tc>
          <w:tcPr>
            <w:tcW w:w="0" w:type="dxa"/>
            <w:vAlign w:val="bottom"/>
          </w:tcPr>
          <w:p w:rsidR="00A621E3" w:rsidRDefault="00A621E3">
            <w:pPr>
              <w:rPr>
                <w:sz w:val="1"/>
                <w:szCs w:val="1"/>
              </w:rPr>
            </w:pPr>
          </w:p>
        </w:tc>
      </w:tr>
      <w:tr w:rsidR="00A621E3">
        <w:trPr>
          <w:trHeight w:val="79"/>
        </w:trPr>
        <w:tc>
          <w:tcPr>
            <w:tcW w:w="380" w:type="dxa"/>
            <w:tcBorders>
              <w:bottom w:val="single" w:sz="8" w:space="0" w:color="CF0A2C"/>
            </w:tcBorders>
            <w:vAlign w:val="bottom"/>
          </w:tcPr>
          <w:p w:rsidR="00A621E3" w:rsidRDefault="00A621E3">
            <w:pPr>
              <w:rPr>
                <w:sz w:val="6"/>
                <w:szCs w:val="6"/>
              </w:rPr>
            </w:pPr>
          </w:p>
        </w:tc>
        <w:tc>
          <w:tcPr>
            <w:tcW w:w="20" w:type="dxa"/>
            <w:tcBorders>
              <w:bottom w:val="single" w:sz="8" w:space="0" w:color="CF0A2C"/>
            </w:tcBorders>
            <w:vAlign w:val="bottom"/>
          </w:tcPr>
          <w:p w:rsidR="00A621E3" w:rsidRDefault="00A621E3">
            <w:pPr>
              <w:rPr>
                <w:sz w:val="6"/>
                <w:szCs w:val="6"/>
              </w:rPr>
            </w:pPr>
          </w:p>
        </w:tc>
        <w:tc>
          <w:tcPr>
            <w:tcW w:w="5540" w:type="dxa"/>
            <w:tcBorders>
              <w:bottom w:val="single" w:sz="8" w:space="0" w:color="CF0A2C"/>
            </w:tcBorders>
            <w:vAlign w:val="bottom"/>
          </w:tcPr>
          <w:p w:rsidR="00A621E3" w:rsidRDefault="00A621E3">
            <w:pPr>
              <w:rPr>
                <w:sz w:val="6"/>
                <w:szCs w:val="6"/>
              </w:rPr>
            </w:pPr>
          </w:p>
        </w:tc>
        <w:tc>
          <w:tcPr>
            <w:tcW w:w="1460" w:type="dxa"/>
            <w:tcBorders>
              <w:bottom w:val="single" w:sz="8" w:space="0" w:color="CF0A2C"/>
            </w:tcBorders>
            <w:vAlign w:val="bottom"/>
          </w:tcPr>
          <w:p w:rsidR="00A621E3" w:rsidRDefault="00A621E3">
            <w:pPr>
              <w:rPr>
                <w:sz w:val="6"/>
                <w:szCs w:val="6"/>
              </w:rPr>
            </w:pPr>
          </w:p>
        </w:tc>
        <w:tc>
          <w:tcPr>
            <w:tcW w:w="2080" w:type="dxa"/>
            <w:tcBorders>
              <w:bottom w:val="single" w:sz="8" w:space="0" w:color="CF0A2C"/>
            </w:tcBorders>
            <w:vAlign w:val="bottom"/>
          </w:tcPr>
          <w:p w:rsidR="00A621E3" w:rsidRDefault="00A621E3">
            <w:pPr>
              <w:rPr>
                <w:sz w:val="6"/>
                <w:szCs w:val="6"/>
              </w:rPr>
            </w:pPr>
          </w:p>
        </w:tc>
        <w:tc>
          <w:tcPr>
            <w:tcW w:w="1540" w:type="dxa"/>
            <w:tcBorders>
              <w:bottom w:val="single" w:sz="8" w:space="0" w:color="CF0A2C"/>
            </w:tcBorders>
            <w:vAlign w:val="bottom"/>
          </w:tcPr>
          <w:p w:rsidR="00A621E3" w:rsidRDefault="00A621E3">
            <w:pPr>
              <w:rPr>
                <w:sz w:val="6"/>
                <w:szCs w:val="6"/>
              </w:rPr>
            </w:pPr>
          </w:p>
        </w:tc>
        <w:tc>
          <w:tcPr>
            <w:tcW w:w="0" w:type="dxa"/>
            <w:vAlign w:val="bottom"/>
          </w:tcPr>
          <w:p w:rsidR="00A621E3" w:rsidRDefault="00A621E3">
            <w:pPr>
              <w:rPr>
                <w:sz w:val="1"/>
                <w:szCs w:val="1"/>
              </w:rPr>
            </w:pPr>
          </w:p>
        </w:tc>
      </w:tr>
      <w:tr w:rsidR="00A621E3">
        <w:trPr>
          <w:trHeight w:val="142"/>
        </w:trPr>
        <w:tc>
          <w:tcPr>
            <w:tcW w:w="380" w:type="dxa"/>
            <w:vMerge w:val="restart"/>
            <w:vAlign w:val="bottom"/>
          </w:tcPr>
          <w:p w:rsidR="00A621E3" w:rsidRDefault="00EC630E">
            <w:pPr>
              <w:ind w:left="140"/>
              <w:rPr>
                <w:sz w:val="20"/>
                <w:szCs w:val="20"/>
              </w:rPr>
            </w:pPr>
            <w:r>
              <w:rPr>
                <w:rFonts w:ascii="Arial" w:eastAsia="Arial" w:hAnsi="Arial" w:cs="Arial"/>
                <w:color w:val="CF0A2C"/>
                <w:sz w:val="14"/>
                <w:szCs w:val="14"/>
              </w:rPr>
              <w:t>52</w:t>
            </w:r>
          </w:p>
        </w:tc>
        <w:tc>
          <w:tcPr>
            <w:tcW w:w="20" w:type="dxa"/>
            <w:vAlign w:val="bottom"/>
          </w:tcPr>
          <w:p w:rsidR="00A621E3" w:rsidRDefault="00A621E3">
            <w:pPr>
              <w:rPr>
                <w:sz w:val="12"/>
                <w:szCs w:val="12"/>
              </w:rPr>
            </w:pPr>
          </w:p>
        </w:tc>
        <w:tc>
          <w:tcPr>
            <w:tcW w:w="5540" w:type="dxa"/>
            <w:vMerge w:val="restart"/>
            <w:vAlign w:val="bottom"/>
          </w:tcPr>
          <w:p w:rsidR="00A621E3" w:rsidRDefault="00EC630E">
            <w:pPr>
              <w:ind w:left="160"/>
              <w:rPr>
                <w:sz w:val="20"/>
                <w:szCs w:val="20"/>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tc>
        <w:tc>
          <w:tcPr>
            <w:tcW w:w="1460" w:type="dxa"/>
            <w:vAlign w:val="bottom"/>
          </w:tcPr>
          <w:p w:rsidR="00A621E3" w:rsidRDefault="00A621E3">
            <w:pPr>
              <w:rPr>
                <w:sz w:val="12"/>
                <w:szCs w:val="12"/>
              </w:rPr>
            </w:pPr>
          </w:p>
        </w:tc>
        <w:tc>
          <w:tcPr>
            <w:tcW w:w="2080" w:type="dxa"/>
            <w:vAlign w:val="bottom"/>
          </w:tcPr>
          <w:p w:rsidR="00A621E3" w:rsidRDefault="00A621E3">
            <w:pPr>
              <w:rPr>
                <w:sz w:val="12"/>
                <w:szCs w:val="12"/>
              </w:rPr>
            </w:pPr>
          </w:p>
        </w:tc>
        <w:tc>
          <w:tcPr>
            <w:tcW w:w="1540" w:type="dxa"/>
            <w:vAlign w:val="bottom"/>
          </w:tcPr>
          <w:p w:rsidR="00A621E3" w:rsidRDefault="00A621E3">
            <w:pPr>
              <w:rPr>
                <w:sz w:val="12"/>
                <w:szCs w:val="12"/>
              </w:rPr>
            </w:pPr>
          </w:p>
        </w:tc>
        <w:tc>
          <w:tcPr>
            <w:tcW w:w="0" w:type="dxa"/>
            <w:vAlign w:val="bottom"/>
          </w:tcPr>
          <w:p w:rsidR="00A621E3" w:rsidRDefault="00A621E3">
            <w:pPr>
              <w:rPr>
                <w:sz w:val="1"/>
                <w:szCs w:val="1"/>
              </w:rPr>
            </w:pPr>
          </w:p>
        </w:tc>
      </w:tr>
      <w:tr w:rsidR="00A621E3">
        <w:trPr>
          <w:trHeight w:val="162"/>
        </w:trPr>
        <w:tc>
          <w:tcPr>
            <w:tcW w:w="380" w:type="dxa"/>
            <w:vMerge/>
            <w:vAlign w:val="bottom"/>
          </w:tcPr>
          <w:p w:rsidR="00A621E3" w:rsidRDefault="00A621E3">
            <w:pPr>
              <w:rPr>
                <w:sz w:val="14"/>
                <w:szCs w:val="14"/>
              </w:rPr>
            </w:pPr>
          </w:p>
        </w:tc>
        <w:tc>
          <w:tcPr>
            <w:tcW w:w="20" w:type="dxa"/>
            <w:shd w:val="clear" w:color="auto" w:fill="CF0A2C"/>
            <w:vAlign w:val="bottom"/>
          </w:tcPr>
          <w:p w:rsidR="00A621E3" w:rsidRDefault="00A621E3">
            <w:pPr>
              <w:rPr>
                <w:sz w:val="14"/>
                <w:szCs w:val="14"/>
              </w:rPr>
            </w:pPr>
          </w:p>
        </w:tc>
        <w:tc>
          <w:tcPr>
            <w:tcW w:w="5540" w:type="dxa"/>
            <w:vMerge/>
            <w:vAlign w:val="bottom"/>
          </w:tcPr>
          <w:p w:rsidR="00A621E3" w:rsidRDefault="00A621E3">
            <w:pPr>
              <w:rPr>
                <w:sz w:val="14"/>
                <w:szCs w:val="14"/>
              </w:rPr>
            </w:pPr>
          </w:p>
        </w:tc>
        <w:tc>
          <w:tcPr>
            <w:tcW w:w="1460" w:type="dxa"/>
            <w:vAlign w:val="bottom"/>
          </w:tcPr>
          <w:p w:rsidR="00A621E3" w:rsidRDefault="00A621E3">
            <w:pPr>
              <w:rPr>
                <w:sz w:val="14"/>
                <w:szCs w:val="14"/>
              </w:rPr>
            </w:pPr>
          </w:p>
        </w:tc>
        <w:tc>
          <w:tcPr>
            <w:tcW w:w="2080" w:type="dxa"/>
            <w:vAlign w:val="bottom"/>
          </w:tcPr>
          <w:p w:rsidR="00A621E3" w:rsidRDefault="00A621E3">
            <w:pPr>
              <w:rPr>
                <w:sz w:val="14"/>
                <w:szCs w:val="14"/>
              </w:rPr>
            </w:pPr>
          </w:p>
        </w:tc>
        <w:tc>
          <w:tcPr>
            <w:tcW w:w="1540" w:type="dxa"/>
            <w:vAlign w:val="bottom"/>
          </w:tcPr>
          <w:p w:rsidR="00A621E3" w:rsidRDefault="00A621E3">
            <w:pPr>
              <w:rPr>
                <w:sz w:val="14"/>
                <w:szCs w:val="14"/>
              </w:rPr>
            </w:pPr>
          </w:p>
        </w:tc>
        <w:tc>
          <w:tcPr>
            <w:tcW w:w="0" w:type="dxa"/>
            <w:vAlign w:val="bottom"/>
          </w:tcPr>
          <w:p w:rsidR="00A621E3" w:rsidRDefault="00A621E3">
            <w:pPr>
              <w:rPr>
                <w:sz w:val="1"/>
                <w:szCs w:val="1"/>
              </w:rPr>
            </w:pPr>
          </w:p>
        </w:tc>
      </w:tr>
    </w:tbl>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58" w:name="page58"/>
      <w:bookmarkEnd w:id="58"/>
      <w:r>
        <w:rPr>
          <w:rFonts w:ascii="Arial" w:eastAsia="Arial" w:hAnsi="Arial" w:cs="Arial"/>
          <w:b/>
          <w:bCs/>
          <w:noProof/>
          <w:color w:val="0000EE"/>
          <w:sz w:val="18"/>
          <w:szCs w:val="18"/>
          <w:u w:val="single"/>
        </w:rPr>
        <w:drawing>
          <wp:anchor distT="0" distB="0" distL="114300" distR="114300" simplePos="0" relativeHeight="25189376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94784"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right="180"/>
        <w:jc w:val="right"/>
        <w:rPr>
          <w:sz w:val="20"/>
          <w:szCs w:val="20"/>
        </w:rPr>
      </w:pPr>
      <w:r>
        <w:rPr>
          <w:rFonts w:ascii="Arial" w:eastAsia="Arial" w:hAnsi="Arial" w:cs="Arial"/>
          <w:b/>
          <w:bCs/>
          <w:color w:val="FFFFFF"/>
          <w:sz w:val="16"/>
          <w:szCs w:val="16"/>
        </w:rPr>
        <w:t>EXECUTIVE COMPENSATION</w:t>
      </w:r>
    </w:p>
    <w:p w:rsidR="00A621E3" w:rsidRDefault="00A621E3">
      <w:pPr>
        <w:spacing w:line="203" w:lineRule="exact"/>
        <w:rPr>
          <w:sz w:val="20"/>
          <w:szCs w:val="20"/>
        </w:rPr>
      </w:pPr>
    </w:p>
    <w:p w:rsidR="00A621E3" w:rsidRDefault="00EC630E">
      <w:pPr>
        <w:ind w:left="120"/>
        <w:rPr>
          <w:sz w:val="20"/>
          <w:szCs w:val="20"/>
        </w:rPr>
      </w:pPr>
      <w:r>
        <w:rPr>
          <w:rFonts w:ascii="Arial" w:eastAsia="Arial" w:hAnsi="Arial" w:cs="Arial"/>
          <w:b/>
          <w:bCs/>
          <w:color w:val="CF0A2C"/>
          <w:sz w:val="20"/>
          <w:szCs w:val="20"/>
        </w:rPr>
        <w:t xml:space="preserve">Executive Compensation </w:t>
      </w:r>
      <w:r>
        <w:rPr>
          <w:rFonts w:ascii="Arial" w:eastAsia="Arial" w:hAnsi="Arial" w:cs="Arial"/>
          <w:b/>
          <w:bCs/>
          <w:color w:val="CF0A2C"/>
          <w:sz w:val="20"/>
          <w:szCs w:val="20"/>
        </w:rPr>
        <w:t>Practices</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357" w:lineRule="exact"/>
        <w:rPr>
          <w:sz w:val="20"/>
          <w:szCs w:val="20"/>
        </w:rPr>
      </w:pPr>
    </w:p>
    <w:p w:rsidR="00A621E3" w:rsidRDefault="00EC630E">
      <w:pPr>
        <w:spacing w:line="246" w:lineRule="auto"/>
        <w:ind w:left="120"/>
        <w:jc w:val="both"/>
        <w:rPr>
          <w:sz w:val="20"/>
          <w:szCs w:val="20"/>
        </w:rPr>
      </w:pPr>
      <w:r>
        <w:rPr>
          <w:rFonts w:ascii="Arial" w:eastAsia="Arial" w:hAnsi="Arial" w:cs="Arial"/>
          <w:sz w:val="20"/>
          <w:szCs w:val="20"/>
        </w:rPr>
        <w:t>The Compensation Committee reviews on an ongoing basis the Company’s executive compensation program to evaluate whether it supports the Company’s executive compensation philosophies and objectives and is aligned</w:t>
      </w:r>
    </w:p>
    <w:p w:rsidR="00A621E3" w:rsidRDefault="00EC630E">
      <w:pPr>
        <w:spacing w:line="20" w:lineRule="exact"/>
        <w:rPr>
          <w:sz w:val="20"/>
          <w:szCs w:val="20"/>
        </w:rPr>
      </w:pPr>
      <w:r>
        <w:rPr>
          <w:sz w:val="20"/>
          <w:szCs w:val="20"/>
        </w:rPr>
        <w:br w:type="column"/>
      </w:r>
    </w:p>
    <w:p w:rsidR="00A621E3" w:rsidRDefault="00A621E3">
      <w:pPr>
        <w:spacing w:line="337" w:lineRule="exact"/>
        <w:rPr>
          <w:sz w:val="20"/>
          <w:szCs w:val="20"/>
        </w:rPr>
      </w:pPr>
    </w:p>
    <w:p w:rsidR="00A621E3" w:rsidRDefault="00EC630E">
      <w:pPr>
        <w:spacing w:line="246" w:lineRule="auto"/>
        <w:ind w:right="20"/>
        <w:jc w:val="both"/>
        <w:rPr>
          <w:sz w:val="20"/>
          <w:szCs w:val="20"/>
        </w:rPr>
      </w:pPr>
      <w:r>
        <w:rPr>
          <w:rFonts w:ascii="Arial" w:eastAsia="Arial" w:hAnsi="Arial" w:cs="Arial"/>
          <w:sz w:val="20"/>
          <w:szCs w:val="20"/>
        </w:rPr>
        <w:t xml:space="preserve">with </w:t>
      </w:r>
      <w:r>
        <w:rPr>
          <w:rFonts w:ascii="Arial" w:eastAsia="Arial" w:hAnsi="Arial" w:cs="Arial"/>
          <w:sz w:val="20"/>
          <w:szCs w:val="20"/>
        </w:rPr>
        <w:t>stockholder interests. Our executive compensation practices include the following, each of which the Compensation Committee believes reinforces our executive compensation philosophy and objectives:</w:t>
      </w:r>
    </w:p>
    <w:p w:rsidR="00A621E3" w:rsidRDefault="00EC630E">
      <w:pPr>
        <w:spacing w:line="20" w:lineRule="exact"/>
        <w:rPr>
          <w:sz w:val="20"/>
          <w:szCs w:val="20"/>
        </w:rPr>
      </w:pPr>
      <w:r>
        <w:rPr>
          <w:noProof/>
          <w:sz w:val="20"/>
          <w:szCs w:val="20"/>
        </w:rPr>
        <w:drawing>
          <wp:anchor distT="0" distB="0" distL="114300" distR="114300" simplePos="0" relativeHeight="251895808" behindDoc="1" locked="0" layoutInCell="0" allowOverlap="1">
            <wp:simplePos x="0" y="0"/>
            <wp:positionH relativeFrom="column">
              <wp:posOffset>-3579495</wp:posOffset>
            </wp:positionH>
            <wp:positionV relativeFrom="paragraph">
              <wp:posOffset>243205</wp:posOffset>
            </wp:positionV>
            <wp:extent cx="7012305" cy="5074920"/>
            <wp:effectExtent l="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4">
                      <a:extLst/>
                    </a:blip>
                    <a:srcRect/>
                    <a:stretch>
                      <a:fillRect/>
                    </a:stretch>
                  </pic:blipFill>
                  <pic:spPr bwMode="auto">
                    <a:xfrm>
                      <a:off x="0" y="0"/>
                      <a:ext cx="7012305" cy="5074920"/>
                    </a:xfrm>
                    <a:prstGeom prst="rect">
                      <a:avLst/>
                    </a:prstGeom>
                    <a:noFill/>
                  </pic:spPr>
                </pic:pic>
              </a:graphicData>
            </a:graphic>
          </wp:anchor>
        </w:drawing>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301" w:lineRule="exact"/>
        <w:rPr>
          <w:sz w:val="20"/>
          <w:szCs w:val="20"/>
        </w:rPr>
      </w:pPr>
    </w:p>
    <w:p w:rsidR="00A621E3" w:rsidRDefault="00EC630E">
      <w:pPr>
        <w:ind w:right="-219"/>
        <w:jc w:val="center"/>
        <w:rPr>
          <w:sz w:val="20"/>
          <w:szCs w:val="20"/>
        </w:rPr>
      </w:pPr>
      <w:r>
        <w:rPr>
          <w:rFonts w:ascii="Arial" w:eastAsia="Arial" w:hAnsi="Arial" w:cs="Arial"/>
          <w:b/>
          <w:bCs/>
          <w:sz w:val="25"/>
          <w:szCs w:val="25"/>
        </w:rPr>
        <w:t>Our Executive Compensatio</w:t>
      </w:r>
      <w:r>
        <w:rPr>
          <w:rFonts w:ascii="Arial" w:eastAsia="Arial" w:hAnsi="Arial" w:cs="Arial"/>
          <w:b/>
          <w:bCs/>
          <w:sz w:val="25"/>
          <w:szCs w:val="25"/>
        </w:rPr>
        <w:t>n Practices</w:t>
      </w:r>
    </w:p>
    <w:p w:rsidR="00A621E3" w:rsidRDefault="00A621E3">
      <w:pPr>
        <w:spacing w:line="158" w:lineRule="exact"/>
        <w:rPr>
          <w:sz w:val="20"/>
          <w:szCs w:val="20"/>
        </w:rPr>
      </w:pPr>
    </w:p>
    <w:p w:rsidR="00A621E3" w:rsidRDefault="00EC630E">
      <w:pPr>
        <w:numPr>
          <w:ilvl w:val="0"/>
          <w:numId w:val="68"/>
        </w:numPr>
        <w:tabs>
          <w:tab w:val="left" w:pos="660"/>
        </w:tabs>
        <w:spacing w:line="255" w:lineRule="auto"/>
        <w:ind w:left="660" w:right="60" w:hanging="387"/>
        <w:rPr>
          <w:rFonts w:ascii="MS PGothic" w:eastAsia="MS PGothic" w:hAnsi="MS PGothic" w:cs="MS PGothic"/>
          <w:color w:val="CF0A2C"/>
          <w:sz w:val="20"/>
          <w:szCs w:val="20"/>
        </w:rPr>
      </w:pPr>
      <w:r>
        <w:rPr>
          <w:rFonts w:ascii="Arial" w:eastAsia="Arial" w:hAnsi="Arial" w:cs="Arial"/>
          <w:color w:val="CF0A2C"/>
          <w:sz w:val="20"/>
          <w:szCs w:val="20"/>
        </w:rPr>
        <w:t>We deliver a significant percentage of annual target compensation in the form of variable compensation tied to performance, with 87% of Ms. Wat’s 2022 annual target compensation in the form of variable pay elements</w:t>
      </w:r>
    </w:p>
    <w:p w:rsidR="00A621E3" w:rsidRDefault="00A621E3">
      <w:pPr>
        <w:spacing w:line="37" w:lineRule="exact"/>
        <w:rPr>
          <w:rFonts w:ascii="MS PGothic" w:eastAsia="MS PGothic" w:hAnsi="MS PGothic" w:cs="MS PGothic"/>
          <w:color w:val="CF0A2C"/>
          <w:sz w:val="20"/>
          <w:szCs w:val="20"/>
        </w:rPr>
      </w:pPr>
    </w:p>
    <w:p w:rsidR="00A621E3" w:rsidRDefault="00EC630E">
      <w:pPr>
        <w:numPr>
          <w:ilvl w:val="0"/>
          <w:numId w:val="68"/>
        </w:numPr>
        <w:tabs>
          <w:tab w:val="left" w:pos="660"/>
        </w:tabs>
        <w:ind w:left="660" w:hanging="387"/>
        <w:rPr>
          <w:rFonts w:ascii="MS PGothic" w:eastAsia="MS PGothic" w:hAnsi="MS PGothic" w:cs="MS PGothic"/>
          <w:color w:val="CF0A2C"/>
          <w:sz w:val="20"/>
          <w:szCs w:val="20"/>
        </w:rPr>
      </w:pPr>
      <w:r>
        <w:rPr>
          <w:rFonts w:ascii="Arial" w:eastAsia="Arial" w:hAnsi="Arial" w:cs="Arial"/>
          <w:color w:val="CF0A2C"/>
          <w:sz w:val="20"/>
          <w:szCs w:val="20"/>
        </w:rPr>
        <w:t xml:space="preserve">We deliver a significant </w:t>
      </w:r>
      <w:r>
        <w:rPr>
          <w:rFonts w:ascii="Arial" w:eastAsia="Arial" w:hAnsi="Arial" w:cs="Arial"/>
          <w:color w:val="CF0A2C"/>
          <w:sz w:val="20"/>
          <w:szCs w:val="20"/>
        </w:rPr>
        <w:t>portion of total compensation in the form of equity</w:t>
      </w:r>
    </w:p>
    <w:p w:rsidR="00A621E3" w:rsidRDefault="00A621E3">
      <w:pPr>
        <w:spacing w:line="67" w:lineRule="exact"/>
        <w:rPr>
          <w:rFonts w:ascii="MS PGothic" w:eastAsia="MS PGothic" w:hAnsi="MS PGothic" w:cs="MS PGothic"/>
          <w:color w:val="CF0A2C"/>
          <w:sz w:val="20"/>
          <w:szCs w:val="20"/>
        </w:rPr>
      </w:pPr>
    </w:p>
    <w:p w:rsidR="00A621E3" w:rsidRDefault="00EC630E">
      <w:pPr>
        <w:numPr>
          <w:ilvl w:val="0"/>
          <w:numId w:val="68"/>
        </w:numPr>
        <w:tabs>
          <w:tab w:val="left" w:pos="660"/>
        </w:tabs>
        <w:ind w:left="660" w:hanging="387"/>
        <w:rPr>
          <w:rFonts w:ascii="MS PGothic" w:eastAsia="MS PGothic" w:hAnsi="MS PGothic" w:cs="MS PGothic"/>
          <w:color w:val="CF0A2C"/>
          <w:sz w:val="20"/>
          <w:szCs w:val="20"/>
        </w:rPr>
      </w:pPr>
      <w:r>
        <w:rPr>
          <w:rFonts w:ascii="Arial" w:eastAsia="Arial" w:hAnsi="Arial" w:cs="Arial"/>
          <w:color w:val="CF0A2C"/>
          <w:sz w:val="20"/>
          <w:szCs w:val="20"/>
        </w:rPr>
        <w:t>Maximum payout opportunity for STI and PSUs</w:t>
      </w:r>
    </w:p>
    <w:p w:rsidR="00A621E3" w:rsidRDefault="00A621E3">
      <w:pPr>
        <w:spacing w:line="67" w:lineRule="exact"/>
        <w:rPr>
          <w:rFonts w:ascii="MS PGothic" w:eastAsia="MS PGothic" w:hAnsi="MS PGothic" w:cs="MS PGothic"/>
          <w:color w:val="CF0A2C"/>
          <w:sz w:val="20"/>
          <w:szCs w:val="20"/>
        </w:rPr>
      </w:pPr>
    </w:p>
    <w:p w:rsidR="00A621E3" w:rsidRDefault="00EC630E">
      <w:pPr>
        <w:numPr>
          <w:ilvl w:val="0"/>
          <w:numId w:val="68"/>
        </w:numPr>
        <w:tabs>
          <w:tab w:val="left" w:pos="660"/>
        </w:tabs>
        <w:ind w:left="660" w:hanging="387"/>
        <w:rPr>
          <w:rFonts w:ascii="MS PGothic" w:eastAsia="MS PGothic" w:hAnsi="MS PGothic" w:cs="MS PGothic"/>
          <w:color w:val="CF0A2C"/>
          <w:sz w:val="20"/>
          <w:szCs w:val="20"/>
        </w:rPr>
      </w:pPr>
      <w:r>
        <w:rPr>
          <w:rFonts w:ascii="Arial" w:eastAsia="Arial" w:hAnsi="Arial" w:cs="Arial"/>
          <w:color w:val="CF0A2C"/>
          <w:sz w:val="20"/>
          <w:szCs w:val="20"/>
        </w:rPr>
        <w:t>We have multi-year vesting periods for equity awards</w:t>
      </w:r>
    </w:p>
    <w:p w:rsidR="00A621E3" w:rsidRDefault="00A621E3">
      <w:pPr>
        <w:spacing w:line="53" w:lineRule="exact"/>
        <w:rPr>
          <w:rFonts w:ascii="MS PGothic" w:eastAsia="MS PGothic" w:hAnsi="MS PGothic" w:cs="MS PGothic"/>
          <w:color w:val="CF0A2C"/>
          <w:sz w:val="20"/>
          <w:szCs w:val="20"/>
        </w:rPr>
      </w:pPr>
    </w:p>
    <w:p w:rsidR="00A621E3" w:rsidRDefault="00EC630E">
      <w:pPr>
        <w:numPr>
          <w:ilvl w:val="0"/>
          <w:numId w:val="68"/>
        </w:numPr>
        <w:tabs>
          <w:tab w:val="left" w:pos="660"/>
        </w:tabs>
        <w:spacing w:line="255" w:lineRule="auto"/>
        <w:ind w:left="660" w:right="60" w:hanging="387"/>
        <w:rPr>
          <w:rFonts w:ascii="MS PGothic" w:eastAsia="MS PGothic" w:hAnsi="MS PGothic" w:cs="MS PGothic"/>
          <w:color w:val="CF0A2C"/>
          <w:sz w:val="20"/>
          <w:szCs w:val="20"/>
        </w:rPr>
      </w:pPr>
      <w:r>
        <w:rPr>
          <w:rFonts w:ascii="Arial" w:eastAsia="Arial" w:hAnsi="Arial" w:cs="Arial"/>
          <w:color w:val="CF0A2C"/>
          <w:sz w:val="20"/>
          <w:szCs w:val="20"/>
        </w:rPr>
        <w:t>We perform market comparisons of executive compensation against a relevant peer group, recognizing the d</w:t>
      </w:r>
      <w:r>
        <w:rPr>
          <w:rFonts w:ascii="Arial" w:eastAsia="Arial" w:hAnsi="Arial" w:cs="Arial"/>
          <w:color w:val="CF0A2C"/>
          <w:sz w:val="20"/>
          <w:szCs w:val="20"/>
        </w:rPr>
        <w:t>ifferent geographic regions where executives are sourced and recruited</w:t>
      </w:r>
    </w:p>
    <w:p w:rsidR="00A621E3" w:rsidRDefault="00A621E3">
      <w:pPr>
        <w:spacing w:line="24" w:lineRule="exact"/>
        <w:rPr>
          <w:rFonts w:ascii="MS PGothic" w:eastAsia="MS PGothic" w:hAnsi="MS PGothic" w:cs="MS PGothic"/>
          <w:color w:val="CF0A2C"/>
          <w:sz w:val="20"/>
          <w:szCs w:val="20"/>
        </w:rPr>
      </w:pPr>
    </w:p>
    <w:p w:rsidR="00A621E3" w:rsidRDefault="00EC630E">
      <w:pPr>
        <w:numPr>
          <w:ilvl w:val="0"/>
          <w:numId w:val="68"/>
        </w:numPr>
        <w:tabs>
          <w:tab w:val="left" w:pos="660"/>
        </w:tabs>
        <w:spacing w:line="255" w:lineRule="auto"/>
        <w:ind w:left="660" w:right="60" w:hanging="387"/>
        <w:rPr>
          <w:rFonts w:ascii="MS PGothic" w:eastAsia="MS PGothic" w:hAnsi="MS PGothic" w:cs="MS PGothic"/>
          <w:color w:val="CF0A2C"/>
          <w:sz w:val="20"/>
          <w:szCs w:val="20"/>
        </w:rPr>
      </w:pPr>
      <w:r>
        <w:rPr>
          <w:rFonts w:ascii="Arial" w:eastAsia="Arial" w:hAnsi="Arial" w:cs="Arial"/>
          <w:color w:val="CF0A2C"/>
          <w:sz w:val="20"/>
          <w:szCs w:val="20"/>
        </w:rPr>
        <w:t>The vesting of the rTSR portion of the PSU awards will be capped at target if our TSR performance is negative over the performance period</w:t>
      </w:r>
    </w:p>
    <w:p w:rsidR="00A621E3" w:rsidRDefault="00A621E3">
      <w:pPr>
        <w:spacing w:line="24" w:lineRule="exact"/>
        <w:rPr>
          <w:rFonts w:ascii="MS PGothic" w:eastAsia="MS PGothic" w:hAnsi="MS PGothic" w:cs="MS PGothic"/>
          <w:color w:val="CF0A2C"/>
          <w:sz w:val="20"/>
          <w:szCs w:val="20"/>
        </w:rPr>
      </w:pPr>
    </w:p>
    <w:p w:rsidR="00A621E3" w:rsidRDefault="00EC630E">
      <w:pPr>
        <w:numPr>
          <w:ilvl w:val="0"/>
          <w:numId w:val="68"/>
        </w:numPr>
        <w:tabs>
          <w:tab w:val="left" w:pos="660"/>
        </w:tabs>
        <w:spacing w:line="255" w:lineRule="auto"/>
        <w:ind w:left="660" w:right="60" w:hanging="387"/>
        <w:rPr>
          <w:rFonts w:ascii="MS PGothic" w:eastAsia="MS PGothic" w:hAnsi="MS PGothic" w:cs="MS PGothic"/>
          <w:color w:val="CF0A2C"/>
          <w:sz w:val="20"/>
          <w:szCs w:val="20"/>
        </w:rPr>
      </w:pPr>
      <w:r>
        <w:rPr>
          <w:rFonts w:ascii="Arial" w:eastAsia="Arial" w:hAnsi="Arial" w:cs="Arial"/>
          <w:color w:val="CF0A2C"/>
          <w:sz w:val="20"/>
          <w:szCs w:val="20"/>
        </w:rPr>
        <w:t>The payout for the rTSR measure for annual pe</w:t>
      </w:r>
      <w:r>
        <w:rPr>
          <w:rFonts w:ascii="Arial" w:eastAsia="Arial" w:hAnsi="Arial" w:cs="Arial"/>
          <w:color w:val="CF0A2C"/>
          <w:sz w:val="20"/>
          <w:szCs w:val="20"/>
        </w:rPr>
        <w:t>rformance-based cash bonus program is capped at target if our TSR performance is negative</w:t>
      </w:r>
    </w:p>
    <w:p w:rsidR="00A621E3" w:rsidRDefault="00A621E3">
      <w:pPr>
        <w:spacing w:line="37" w:lineRule="exact"/>
        <w:rPr>
          <w:rFonts w:ascii="MS PGothic" w:eastAsia="MS PGothic" w:hAnsi="MS PGothic" w:cs="MS PGothic"/>
          <w:color w:val="CF0A2C"/>
          <w:sz w:val="20"/>
          <w:szCs w:val="20"/>
        </w:rPr>
      </w:pPr>
    </w:p>
    <w:p w:rsidR="00A621E3" w:rsidRDefault="00EC630E">
      <w:pPr>
        <w:numPr>
          <w:ilvl w:val="0"/>
          <w:numId w:val="68"/>
        </w:numPr>
        <w:tabs>
          <w:tab w:val="left" w:pos="660"/>
        </w:tabs>
        <w:ind w:left="660" w:hanging="387"/>
        <w:rPr>
          <w:rFonts w:ascii="MS PGothic" w:eastAsia="MS PGothic" w:hAnsi="MS PGothic" w:cs="MS PGothic"/>
          <w:color w:val="CF0A2C"/>
          <w:sz w:val="20"/>
          <w:szCs w:val="20"/>
        </w:rPr>
      </w:pPr>
      <w:r>
        <w:rPr>
          <w:rFonts w:ascii="Arial" w:eastAsia="Arial" w:hAnsi="Arial" w:cs="Arial"/>
          <w:color w:val="CF0A2C"/>
          <w:sz w:val="20"/>
          <w:szCs w:val="20"/>
        </w:rPr>
        <w:t>We use an independent compensation consultant reporting directly to the Compensation Committee</w:t>
      </w:r>
    </w:p>
    <w:p w:rsidR="00A621E3" w:rsidRDefault="00A621E3">
      <w:pPr>
        <w:spacing w:line="67" w:lineRule="exact"/>
        <w:rPr>
          <w:rFonts w:ascii="MS PGothic" w:eastAsia="MS PGothic" w:hAnsi="MS PGothic" w:cs="MS PGothic"/>
          <w:color w:val="CF0A2C"/>
          <w:sz w:val="20"/>
          <w:szCs w:val="20"/>
        </w:rPr>
      </w:pPr>
    </w:p>
    <w:p w:rsidR="00A621E3" w:rsidRDefault="00EC630E">
      <w:pPr>
        <w:numPr>
          <w:ilvl w:val="0"/>
          <w:numId w:val="68"/>
        </w:numPr>
        <w:tabs>
          <w:tab w:val="left" w:pos="660"/>
        </w:tabs>
        <w:ind w:left="660" w:hanging="387"/>
        <w:rPr>
          <w:rFonts w:ascii="MS PGothic" w:eastAsia="MS PGothic" w:hAnsi="MS PGothic" w:cs="MS PGothic"/>
          <w:color w:val="CF0A2C"/>
          <w:sz w:val="19"/>
          <w:szCs w:val="19"/>
        </w:rPr>
      </w:pPr>
      <w:r>
        <w:rPr>
          <w:rFonts w:ascii="Arial" w:eastAsia="Arial" w:hAnsi="Arial" w:cs="Arial"/>
          <w:color w:val="CF0A2C"/>
          <w:sz w:val="19"/>
          <w:szCs w:val="19"/>
        </w:rPr>
        <w:t>We have double-trigger vesting for equity awards in the event of a ch</w:t>
      </w:r>
      <w:r>
        <w:rPr>
          <w:rFonts w:ascii="Arial" w:eastAsia="Arial" w:hAnsi="Arial" w:cs="Arial"/>
          <w:color w:val="CF0A2C"/>
          <w:sz w:val="19"/>
          <w:szCs w:val="19"/>
        </w:rPr>
        <w:t>ange in control under our long-term incentive plans</w:t>
      </w:r>
    </w:p>
    <w:p w:rsidR="00A621E3" w:rsidRDefault="00A621E3">
      <w:pPr>
        <w:spacing w:line="78" w:lineRule="exact"/>
        <w:rPr>
          <w:rFonts w:ascii="MS PGothic" w:eastAsia="MS PGothic" w:hAnsi="MS PGothic" w:cs="MS PGothic"/>
          <w:color w:val="CF0A2C"/>
          <w:sz w:val="19"/>
          <w:szCs w:val="19"/>
        </w:rPr>
      </w:pPr>
    </w:p>
    <w:p w:rsidR="00A621E3" w:rsidRDefault="00EC630E">
      <w:pPr>
        <w:numPr>
          <w:ilvl w:val="0"/>
          <w:numId w:val="68"/>
        </w:numPr>
        <w:tabs>
          <w:tab w:val="left" w:pos="660"/>
        </w:tabs>
        <w:ind w:left="660" w:hanging="387"/>
        <w:rPr>
          <w:rFonts w:ascii="MS PGothic" w:eastAsia="MS PGothic" w:hAnsi="MS PGothic" w:cs="MS PGothic"/>
          <w:color w:val="CF0A2C"/>
          <w:sz w:val="20"/>
          <w:szCs w:val="20"/>
        </w:rPr>
      </w:pPr>
      <w:r>
        <w:rPr>
          <w:rFonts w:ascii="Arial" w:eastAsia="Arial" w:hAnsi="Arial" w:cs="Arial"/>
          <w:color w:val="CF0A2C"/>
          <w:sz w:val="20"/>
          <w:szCs w:val="20"/>
        </w:rPr>
        <w:t>We maintain stock ownership guidelines, which includes a retention requirement until the guideline is achieved</w:t>
      </w:r>
    </w:p>
    <w:p w:rsidR="00A621E3" w:rsidRDefault="00A621E3">
      <w:pPr>
        <w:spacing w:line="67" w:lineRule="exact"/>
        <w:rPr>
          <w:rFonts w:ascii="MS PGothic" w:eastAsia="MS PGothic" w:hAnsi="MS PGothic" w:cs="MS PGothic"/>
          <w:color w:val="CF0A2C"/>
          <w:sz w:val="20"/>
          <w:szCs w:val="20"/>
        </w:rPr>
      </w:pPr>
    </w:p>
    <w:p w:rsidR="00A621E3" w:rsidRDefault="00EC630E">
      <w:pPr>
        <w:numPr>
          <w:ilvl w:val="0"/>
          <w:numId w:val="68"/>
        </w:numPr>
        <w:tabs>
          <w:tab w:val="left" w:pos="660"/>
        </w:tabs>
        <w:ind w:left="660" w:hanging="387"/>
        <w:rPr>
          <w:rFonts w:ascii="MS PGothic" w:eastAsia="MS PGothic" w:hAnsi="MS PGothic" w:cs="MS PGothic"/>
          <w:color w:val="CF0A2C"/>
          <w:sz w:val="20"/>
          <w:szCs w:val="20"/>
        </w:rPr>
      </w:pPr>
      <w:r>
        <w:rPr>
          <w:rFonts w:ascii="Arial" w:eastAsia="Arial" w:hAnsi="Arial" w:cs="Arial"/>
          <w:color w:val="CF0A2C"/>
          <w:sz w:val="20"/>
          <w:szCs w:val="20"/>
        </w:rPr>
        <w:t>We maintain a compensation recovery policy</w:t>
      </w:r>
    </w:p>
    <w:p w:rsidR="00A621E3" w:rsidRDefault="00A621E3">
      <w:pPr>
        <w:spacing w:line="67" w:lineRule="exact"/>
        <w:rPr>
          <w:rFonts w:ascii="MS PGothic" w:eastAsia="MS PGothic" w:hAnsi="MS PGothic" w:cs="MS PGothic"/>
          <w:color w:val="CF0A2C"/>
          <w:sz w:val="20"/>
          <w:szCs w:val="20"/>
        </w:rPr>
      </w:pPr>
    </w:p>
    <w:p w:rsidR="00A621E3" w:rsidRDefault="00EC630E">
      <w:pPr>
        <w:numPr>
          <w:ilvl w:val="0"/>
          <w:numId w:val="68"/>
        </w:numPr>
        <w:tabs>
          <w:tab w:val="left" w:pos="660"/>
        </w:tabs>
        <w:ind w:left="660" w:hanging="387"/>
        <w:rPr>
          <w:rFonts w:ascii="MS PGothic" w:eastAsia="MS PGothic" w:hAnsi="MS PGothic" w:cs="MS PGothic"/>
          <w:color w:val="CF0A2C"/>
          <w:sz w:val="20"/>
          <w:szCs w:val="20"/>
        </w:rPr>
      </w:pPr>
      <w:r>
        <w:rPr>
          <w:rFonts w:ascii="Arial" w:eastAsia="Arial" w:hAnsi="Arial" w:cs="Arial"/>
          <w:color w:val="CF0A2C"/>
          <w:sz w:val="20"/>
          <w:szCs w:val="20"/>
        </w:rPr>
        <w:t>We maintain an equity-based awards grant policy</w:t>
      </w:r>
      <w:r>
        <w:rPr>
          <w:rFonts w:ascii="Arial" w:eastAsia="Arial" w:hAnsi="Arial" w:cs="Arial"/>
          <w:color w:val="CF0A2C"/>
          <w:sz w:val="20"/>
          <w:szCs w:val="20"/>
        </w:rPr>
        <w:t xml:space="preserve"> specifying pre-determined dates for annual equity grants</w:t>
      </w:r>
    </w:p>
    <w:p w:rsidR="00A621E3" w:rsidRDefault="00A621E3">
      <w:pPr>
        <w:spacing w:line="67" w:lineRule="exact"/>
        <w:rPr>
          <w:rFonts w:ascii="MS PGothic" w:eastAsia="MS PGothic" w:hAnsi="MS PGothic" w:cs="MS PGothic"/>
          <w:color w:val="CF0A2C"/>
          <w:sz w:val="20"/>
          <w:szCs w:val="20"/>
        </w:rPr>
      </w:pPr>
    </w:p>
    <w:p w:rsidR="00A621E3" w:rsidRDefault="00EC630E">
      <w:pPr>
        <w:numPr>
          <w:ilvl w:val="0"/>
          <w:numId w:val="68"/>
        </w:numPr>
        <w:tabs>
          <w:tab w:val="left" w:pos="660"/>
        </w:tabs>
        <w:ind w:left="660" w:hanging="387"/>
        <w:rPr>
          <w:rFonts w:ascii="MS PGothic" w:eastAsia="MS PGothic" w:hAnsi="MS PGothic" w:cs="MS PGothic"/>
          <w:color w:val="CF0A2C"/>
          <w:sz w:val="20"/>
          <w:szCs w:val="20"/>
        </w:rPr>
      </w:pPr>
      <w:r>
        <w:rPr>
          <w:rFonts w:ascii="Arial" w:eastAsia="Arial" w:hAnsi="Arial" w:cs="Arial"/>
          <w:color w:val="CF0A2C"/>
          <w:sz w:val="20"/>
          <w:szCs w:val="20"/>
        </w:rPr>
        <w:t>We hold an annual “say on pay” vote</w:t>
      </w:r>
    </w:p>
    <w:p w:rsidR="00A621E3" w:rsidRDefault="00A621E3">
      <w:pPr>
        <w:spacing w:line="67" w:lineRule="exact"/>
        <w:rPr>
          <w:rFonts w:ascii="MS PGothic" w:eastAsia="MS PGothic" w:hAnsi="MS PGothic" w:cs="MS PGothic"/>
          <w:color w:val="CF0A2C"/>
          <w:sz w:val="20"/>
          <w:szCs w:val="20"/>
        </w:rPr>
      </w:pPr>
    </w:p>
    <w:p w:rsidR="00A621E3" w:rsidRDefault="00EC630E">
      <w:pPr>
        <w:numPr>
          <w:ilvl w:val="0"/>
          <w:numId w:val="68"/>
        </w:numPr>
        <w:tabs>
          <w:tab w:val="left" w:pos="660"/>
        </w:tabs>
        <w:ind w:left="660" w:hanging="387"/>
        <w:rPr>
          <w:rFonts w:ascii="MS PGothic" w:eastAsia="MS PGothic" w:hAnsi="MS PGothic" w:cs="MS PGothic"/>
          <w:color w:val="CF0A2C"/>
          <w:sz w:val="20"/>
          <w:szCs w:val="20"/>
        </w:rPr>
      </w:pPr>
      <w:r>
        <w:rPr>
          <w:rFonts w:ascii="Arial" w:eastAsia="Arial" w:hAnsi="Arial" w:cs="Arial"/>
          <w:color w:val="CF0A2C"/>
          <w:sz w:val="20"/>
          <w:szCs w:val="20"/>
        </w:rPr>
        <w:t>We maintain an annual stockholder engagement process</w:t>
      </w:r>
    </w:p>
    <w:p w:rsidR="00A621E3" w:rsidRDefault="00A621E3">
      <w:pPr>
        <w:spacing w:line="53" w:lineRule="exact"/>
        <w:rPr>
          <w:rFonts w:ascii="MS PGothic" w:eastAsia="MS PGothic" w:hAnsi="MS PGothic" w:cs="MS PGothic"/>
          <w:color w:val="CF0A2C"/>
          <w:sz w:val="20"/>
          <w:szCs w:val="20"/>
        </w:rPr>
      </w:pPr>
    </w:p>
    <w:p w:rsidR="00A621E3" w:rsidRDefault="00EC630E">
      <w:pPr>
        <w:numPr>
          <w:ilvl w:val="0"/>
          <w:numId w:val="68"/>
        </w:numPr>
        <w:tabs>
          <w:tab w:val="left" w:pos="660"/>
        </w:tabs>
        <w:ind w:left="660" w:hanging="387"/>
        <w:rPr>
          <w:rFonts w:ascii="MS PGothic" w:eastAsia="MS PGothic" w:hAnsi="MS PGothic" w:cs="MS PGothic"/>
          <w:color w:val="CF0A2C"/>
          <w:sz w:val="20"/>
          <w:szCs w:val="20"/>
        </w:rPr>
      </w:pPr>
      <w:r>
        <w:rPr>
          <w:rFonts w:ascii="Arial" w:eastAsia="Arial" w:hAnsi="Arial" w:cs="Arial"/>
          <w:color w:val="CF0A2C"/>
          <w:sz w:val="20"/>
          <w:szCs w:val="20"/>
        </w:rPr>
        <w:t>Our Compensation Committee regularly meets in executive session without any members of management present</w:t>
      </w:r>
    </w:p>
    <w:p w:rsidR="00A621E3" w:rsidRDefault="00A621E3">
      <w:pPr>
        <w:spacing w:line="200" w:lineRule="exact"/>
        <w:rPr>
          <w:sz w:val="20"/>
          <w:szCs w:val="20"/>
        </w:rPr>
      </w:pPr>
    </w:p>
    <w:p w:rsidR="00A621E3" w:rsidRDefault="00A621E3">
      <w:pPr>
        <w:spacing w:line="286" w:lineRule="exact"/>
        <w:rPr>
          <w:sz w:val="20"/>
          <w:szCs w:val="20"/>
        </w:rPr>
      </w:pPr>
    </w:p>
    <w:p w:rsidR="00A621E3" w:rsidRDefault="00EC630E">
      <w:pPr>
        <w:numPr>
          <w:ilvl w:val="0"/>
          <w:numId w:val="69"/>
        </w:numPr>
        <w:tabs>
          <w:tab w:val="left" w:pos="660"/>
        </w:tabs>
        <w:ind w:left="660" w:hanging="387"/>
        <w:rPr>
          <w:rFonts w:ascii="Arial" w:eastAsia="Arial" w:hAnsi="Arial" w:cs="Arial"/>
          <w:color w:val="CF0A2C"/>
          <w:sz w:val="20"/>
          <w:szCs w:val="20"/>
        </w:rPr>
      </w:pPr>
      <w:r>
        <w:rPr>
          <w:rFonts w:ascii="Arial" w:eastAsia="Arial" w:hAnsi="Arial" w:cs="Arial"/>
          <w:color w:val="CF0A2C"/>
          <w:sz w:val="20"/>
          <w:szCs w:val="20"/>
        </w:rPr>
        <w:t>We do not pay dividends or dividend equivalents on PSUs unless and until they vest</w:t>
      </w:r>
    </w:p>
    <w:p w:rsidR="00A621E3" w:rsidRDefault="00A621E3">
      <w:pPr>
        <w:spacing w:line="53" w:lineRule="exact"/>
        <w:rPr>
          <w:rFonts w:ascii="Arial" w:eastAsia="Arial" w:hAnsi="Arial" w:cs="Arial"/>
          <w:color w:val="CF0A2C"/>
          <w:sz w:val="20"/>
          <w:szCs w:val="20"/>
        </w:rPr>
      </w:pPr>
    </w:p>
    <w:p w:rsidR="00A621E3" w:rsidRDefault="00EC630E">
      <w:pPr>
        <w:numPr>
          <w:ilvl w:val="0"/>
          <w:numId w:val="69"/>
        </w:numPr>
        <w:tabs>
          <w:tab w:val="left" w:pos="660"/>
        </w:tabs>
        <w:ind w:left="660" w:hanging="387"/>
        <w:rPr>
          <w:rFonts w:ascii="Arial" w:eastAsia="Arial" w:hAnsi="Arial" w:cs="Arial"/>
          <w:color w:val="CF0A2C"/>
          <w:sz w:val="20"/>
          <w:szCs w:val="20"/>
        </w:rPr>
      </w:pPr>
      <w:r>
        <w:rPr>
          <w:rFonts w:ascii="Arial" w:eastAsia="Arial" w:hAnsi="Arial" w:cs="Arial"/>
          <w:color w:val="CF0A2C"/>
          <w:sz w:val="20"/>
          <w:szCs w:val="20"/>
        </w:rPr>
        <w:t>We do not allow repricing of underwater SARs under our long-term incentive plan without stockholder approval</w:t>
      </w:r>
    </w:p>
    <w:p w:rsidR="00A621E3" w:rsidRDefault="00A621E3">
      <w:pPr>
        <w:spacing w:line="53" w:lineRule="exact"/>
        <w:rPr>
          <w:rFonts w:ascii="Arial" w:eastAsia="Arial" w:hAnsi="Arial" w:cs="Arial"/>
          <w:color w:val="CF0A2C"/>
          <w:sz w:val="20"/>
          <w:szCs w:val="20"/>
        </w:rPr>
      </w:pPr>
    </w:p>
    <w:p w:rsidR="00A621E3" w:rsidRDefault="00EC630E">
      <w:pPr>
        <w:numPr>
          <w:ilvl w:val="0"/>
          <w:numId w:val="69"/>
        </w:numPr>
        <w:tabs>
          <w:tab w:val="left" w:pos="660"/>
        </w:tabs>
        <w:ind w:left="660" w:hanging="387"/>
        <w:rPr>
          <w:rFonts w:ascii="Arial" w:eastAsia="Arial" w:hAnsi="Arial" w:cs="Arial"/>
          <w:color w:val="CF0A2C"/>
          <w:sz w:val="20"/>
          <w:szCs w:val="20"/>
        </w:rPr>
      </w:pPr>
      <w:r>
        <w:rPr>
          <w:rFonts w:ascii="Arial" w:eastAsia="Arial" w:hAnsi="Arial" w:cs="Arial"/>
          <w:color w:val="CF0A2C"/>
          <w:sz w:val="20"/>
          <w:szCs w:val="20"/>
        </w:rPr>
        <w:t>We do not allow hedging, short sales or pledging of our secu</w:t>
      </w:r>
      <w:r>
        <w:rPr>
          <w:rFonts w:ascii="Arial" w:eastAsia="Arial" w:hAnsi="Arial" w:cs="Arial"/>
          <w:color w:val="CF0A2C"/>
          <w:sz w:val="20"/>
          <w:szCs w:val="20"/>
        </w:rPr>
        <w:t>rities</w:t>
      </w:r>
    </w:p>
    <w:p w:rsidR="00A621E3" w:rsidRDefault="00A621E3">
      <w:pPr>
        <w:spacing w:line="53" w:lineRule="exact"/>
        <w:rPr>
          <w:rFonts w:ascii="Arial" w:eastAsia="Arial" w:hAnsi="Arial" w:cs="Arial"/>
          <w:color w:val="CF0A2C"/>
          <w:sz w:val="20"/>
          <w:szCs w:val="20"/>
        </w:rPr>
      </w:pPr>
    </w:p>
    <w:p w:rsidR="00A621E3" w:rsidRDefault="00EC630E">
      <w:pPr>
        <w:numPr>
          <w:ilvl w:val="0"/>
          <w:numId w:val="69"/>
        </w:numPr>
        <w:tabs>
          <w:tab w:val="left" w:pos="660"/>
        </w:tabs>
        <w:ind w:left="660" w:hanging="387"/>
        <w:rPr>
          <w:rFonts w:ascii="Arial" w:eastAsia="Arial" w:hAnsi="Arial" w:cs="Arial"/>
          <w:color w:val="CF0A2C"/>
          <w:sz w:val="20"/>
          <w:szCs w:val="20"/>
        </w:rPr>
      </w:pPr>
      <w:r>
        <w:rPr>
          <w:rFonts w:ascii="Arial" w:eastAsia="Arial" w:hAnsi="Arial" w:cs="Arial"/>
          <w:color w:val="CF0A2C"/>
          <w:sz w:val="20"/>
          <w:szCs w:val="20"/>
        </w:rPr>
        <w:t>We do not allow backdating of SARs</w:t>
      </w:r>
    </w:p>
    <w:p w:rsidR="00A621E3" w:rsidRDefault="00A621E3">
      <w:pPr>
        <w:spacing w:line="53" w:lineRule="exact"/>
        <w:rPr>
          <w:rFonts w:ascii="Arial" w:eastAsia="Arial" w:hAnsi="Arial" w:cs="Arial"/>
          <w:color w:val="CF0A2C"/>
          <w:sz w:val="20"/>
          <w:szCs w:val="20"/>
        </w:rPr>
      </w:pPr>
    </w:p>
    <w:p w:rsidR="00A621E3" w:rsidRDefault="00EC630E">
      <w:pPr>
        <w:numPr>
          <w:ilvl w:val="0"/>
          <w:numId w:val="69"/>
        </w:numPr>
        <w:tabs>
          <w:tab w:val="left" w:pos="660"/>
        </w:tabs>
        <w:ind w:left="660" w:hanging="387"/>
        <w:rPr>
          <w:rFonts w:ascii="Arial" w:eastAsia="Arial" w:hAnsi="Arial" w:cs="Arial"/>
          <w:color w:val="CF0A2C"/>
          <w:sz w:val="20"/>
          <w:szCs w:val="20"/>
        </w:rPr>
      </w:pPr>
      <w:r>
        <w:rPr>
          <w:rFonts w:ascii="Arial" w:eastAsia="Arial" w:hAnsi="Arial" w:cs="Arial"/>
          <w:color w:val="CF0A2C"/>
          <w:sz w:val="20"/>
          <w:szCs w:val="20"/>
        </w:rPr>
        <w:t>We do not provide for tax gross-ups relating to a change in control</w:t>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61" w:lineRule="exact"/>
        <w:rPr>
          <w:sz w:val="20"/>
          <w:szCs w:val="20"/>
        </w:rPr>
      </w:pPr>
    </w:p>
    <w:p w:rsidR="00A621E3" w:rsidRDefault="00EC630E">
      <w:pPr>
        <w:ind w:left="120"/>
        <w:rPr>
          <w:sz w:val="20"/>
          <w:szCs w:val="20"/>
        </w:rPr>
      </w:pPr>
      <w:r>
        <w:rPr>
          <w:rFonts w:ascii="Arial" w:eastAsia="Arial" w:hAnsi="Arial" w:cs="Arial"/>
          <w:b/>
          <w:bCs/>
          <w:color w:val="CF0A2C"/>
          <w:sz w:val="20"/>
          <w:szCs w:val="20"/>
        </w:rPr>
        <w:t>Stockholder Engagement</w:t>
      </w:r>
    </w:p>
    <w:p w:rsidR="00A621E3" w:rsidRDefault="00A621E3">
      <w:pPr>
        <w:spacing w:line="181" w:lineRule="exact"/>
        <w:rPr>
          <w:sz w:val="20"/>
          <w:szCs w:val="20"/>
        </w:rPr>
      </w:pPr>
    </w:p>
    <w:p w:rsidR="00A621E3" w:rsidRDefault="00EC630E">
      <w:pPr>
        <w:spacing w:line="263" w:lineRule="auto"/>
        <w:ind w:left="120"/>
        <w:jc w:val="both"/>
        <w:rPr>
          <w:sz w:val="20"/>
          <w:szCs w:val="20"/>
        </w:rPr>
      </w:pPr>
      <w:r>
        <w:rPr>
          <w:rFonts w:ascii="Arial" w:eastAsia="Arial" w:hAnsi="Arial" w:cs="Arial"/>
          <w:sz w:val="19"/>
          <w:szCs w:val="19"/>
        </w:rPr>
        <w:t xml:space="preserve">In its compensation review process, the Compensation Committee focuses on structuring the </w:t>
      </w:r>
      <w:r>
        <w:rPr>
          <w:rFonts w:ascii="Arial" w:eastAsia="Arial" w:hAnsi="Arial" w:cs="Arial"/>
          <w:sz w:val="19"/>
          <w:szCs w:val="19"/>
        </w:rPr>
        <w:t>executive compensation program to serve the interests of our stockholders. In that respect, as part of its ongoing review of our execu-</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52" w:lineRule="exact"/>
        <w:rPr>
          <w:sz w:val="20"/>
          <w:szCs w:val="20"/>
        </w:rPr>
      </w:pPr>
    </w:p>
    <w:p w:rsidR="00A621E3" w:rsidRDefault="00EC630E">
      <w:pPr>
        <w:spacing w:line="246" w:lineRule="auto"/>
        <w:jc w:val="both"/>
        <w:rPr>
          <w:sz w:val="20"/>
          <w:szCs w:val="20"/>
        </w:rPr>
      </w:pPr>
      <w:r>
        <w:rPr>
          <w:rFonts w:ascii="Arial" w:eastAsia="Arial" w:hAnsi="Arial" w:cs="Arial"/>
          <w:sz w:val="20"/>
          <w:szCs w:val="20"/>
        </w:rPr>
        <w:t>tive compensation program, the Compensation Committee considered the approval by approximately 89% of the votes ca</w:t>
      </w:r>
      <w:r>
        <w:rPr>
          <w:rFonts w:ascii="Arial" w:eastAsia="Arial" w:hAnsi="Arial" w:cs="Arial"/>
          <w:sz w:val="20"/>
          <w:szCs w:val="20"/>
        </w:rPr>
        <w:t>st for the Company’s “say on pay” vote at our 2022 annual meeting of stockholders. Although the Com-</w:t>
      </w:r>
    </w:p>
    <w:p w:rsidR="00A621E3" w:rsidRDefault="00A621E3">
      <w:pPr>
        <w:spacing w:line="214"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47"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53</w:t>
      </w:r>
    </w:p>
    <w:p w:rsidR="00A621E3" w:rsidRDefault="00EC630E">
      <w:pPr>
        <w:spacing w:line="20" w:lineRule="exact"/>
        <w:rPr>
          <w:sz w:val="20"/>
          <w:szCs w:val="20"/>
        </w:rPr>
      </w:pPr>
      <w:r>
        <w:rPr>
          <w:noProof/>
          <w:sz w:val="20"/>
          <w:szCs w:val="20"/>
        </w:rPr>
        <w:drawing>
          <wp:anchor distT="0" distB="0" distL="114300" distR="114300" simplePos="0" relativeHeight="251896832"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59" w:name="page59"/>
      <w:bookmarkEnd w:id="59"/>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897856"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263" w:lineRule="exact"/>
        <w:rPr>
          <w:sz w:val="20"/>
          <w:szCs w:val="20"/>
        </w:rPr>
      </w:pPr>
    </w:p>
    <w:p w:rsidR="00A621E3" w:rsidRDefault="00EC630E">
      <w:pPr>
        <w:spacing w:line="310" w:lineRule="auto"/>
        <w:ind w:left="120"/>
        <w:jc w:val="both"/>
        <w:rPr>
          <w:sz w:val="20"/>
          <w:szCs w:val="20"/>
        </w:rPr>
      </w:pPr>
      <w:r>
        <w:rPr>
          <w:rFonts w:ascii="Arial" w:eastAsia="Arial" w:hAnsi="Arial" w:cs="Arial"/>
          <w:sz w:val="16"/>
          <w:szCs w:val="16"/>
        </w:rPr>
        <w:t>pensation Committee</w:t>
      </w:r>
      <w:r>
        <w:rPr>
          <w:rFonts w:ascii="Arial" w:eastAsia="Arial" w:hAnsi="Arial" w:cs="Arial"/>
          <w:sz w:val="16"/>
          <w:szCs w:val="16"/>
        </w:rPr>
        <w:t xml:space="preserve"> was pleased with this favorable outcome and interpreted this level of support as an endorsement by our stockholders of our executive compensation program and policies, the Compensation Committee continuously evaluates program design and considers adjustme</w:t>
      </w:r>
      <w:r>
        <w:rPr>
          <w:rFonts w:ascii="Arial" w:eastAsia="Arial" w:hAnsi="Arial" w:cs="Arial"/>
          <w:sz w:val="16"/>
          <w:szCs w:val="16"/>
        </w:rPr>
        <w:t>nts to the Company’s compensation program based on stockholder feedback, market practices, operating environment and other considerations in order to deliver a program designed to be aligned with our business strategy, the creation of long-term value and o</w:t>
      </w:r>
      <w:r>
        <w:rPr>
          <w:rFonts w:ascii="Arial" w:eastAsia="Arial" w:hAnsi="Arial" w:cs="Arial"/>
          <w:sz w:val="16"/>
          <w:szCs w:val="16"/>
        </w:rPr>
        <w:t>ur stockholders’ interests.</w:t>
      </w:r>
    </w:p>
    <w:p w:rsidR="00A621E3" w:rsidRDefault="00A621E3">
      <w:pPr>
        <w:spacing w:line="183" w:lineRule="exact"/>
        <w:rPr>
          <w:sz w:val="20"/>
          <w:szCs w:val="20"/>
        </w:rPr>
      </w:pPr>
    </w:p>
    <w:p w:rsidR="00A621E3" w:rsidRDefault="00EC630E">
      <w:pPr>
        <w:spacing w:line="244" w:lineRule="auto"/>
        <w:ind w:left="120"/>
        <w:jc w:val="both"/>
        <w:rPr>
          <w:sz w:val="20"/>
          <w:szCs w:val="20"/>
        </w:rPr>
      </w:pPr>
      <w:r>
        <w:rPr>
          <w:rFonts w:ascii="Arial" w:eastAsia="Arial" w:hAnsi="Arial" w:cs="Arial"/>
          <w:sz w:val="20"/>
          <w:szCs w:val="20"/>
        </w:rPr>
        <w:t>During 2022, the Company reached out to its 75 largest stockholders and select stockholders who previously indicated interest for having engagement calls (which represented over 66% of the Company’s outstanding shares) to solic</w:t>
      </w:r>
      <w:r>
        <w:rPr>
          <w:rFonts w:ascii="Arial" w:eastAsia="Arial" w:hAnsi="Arial" w:cs="Arial"/>
          <w:sz w:val="20"/>
          <w:szCs w:val="20"/>
        </w:rPr>
        <w:t>it feedback on a variety of corporate</w:t>
      </w:r>
    </w:p>
    <w:p w:rsidR="00A621E3" w:rsidRDefault="00A621E3">
      <w:pPr>
        <w:spacing w:line="283" w:lineRule="exact"/>
        <w:rPr>
          <w:sz w:val="20"/>
          <w:szCs w:val="20"/>
        </w:rPr>
      </w:pPr>
    </w:p>
    <w:p w:rsidR="00A621E3" w:rsidRDefault="00EC630E">
      <w:pPr>
        <w:numPr>
          <w:ilvl w:val="0"/>
          <w:numId w:val="70"/>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89888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0" w:lineRule="exact"/>
        <w:rPr>
          <w:sz w:val="20"/>
          <w:szCs w:val="20"/>
        </w:rPr>
      </w:pPr>
    </w:p>
    <w:p w:rsidR="00A621E3" w:rsidRDefault="00EC630E">
      <w:pPr>
        <w:spacing w:line="274" w:lineRule="auto"/>
        <w:jc w:val="both"/>
        <w:rPr>
          <w:sz w:val="20"/>
          <w:szCs w:val="20"/>
        </w:rPr>
      </w:pPr>
      <w:r>
        <w:rPr>
          <w:rFonts w:ascii="Arial" w:eastAsia="Arial" w:hAnsi="Arial" w:cs="Arial"/>
          <w:sz w:val="18"/>
          <w:szCs w:val="18"/>
        </w:rPr>
        <w:t xml:space="preserve">governance matters (including with respect to the adoption of the Company’s 2022 Long Term Incentive Plan (the </w:t>
      </w:r>
      <w:r>
        <w:rPr>
          <w:rFonts w:ascii="Arial" w:eastAsia="Arial" w:hAnsi="Arial" w:cs="Arial"/>
          <w:b/>
          <w:bCs/>
          <w:i/>
          <w:iCs/>
          <w:sz w:val="18"/>
          <w:szCs w:val="18"/>
        </w:rPr>
        <w:t>“2022 LTIP”</w:t>
      </w:r>
      <w:r>
        <w:rPr>
          <w:rFonts w:ascii="Arial" w:eastAsia="Arial" w:hAnsi="Arial" w:cs="Arial"/>
          <w:sz w:val="18"/>
          <w:szCs w:val="18"/>
        </w:rPr>
        <w:t xml:space="preserve">)), and the Company held discussions with all </w:t>
      </w:r>
      <w:r>
        <w:rPr>
          <w:rFonts w:ascii="Arial" w:eastAsia="Arial" w:hAnsi="Arial" w:cs="Arial"/>
          <w:sz w:val="18"/>
          <w:szCs w:val="18"/>
        </w:rPr>
        <w:t>stockholders who accepted an invitation. The topics of the discussions covered the 2022 LTIP and executive compensation matters more generally. Management shared the stockholder feedback with the Compensation Committee for its consideration.</w:t>
      </w:r>
    </w:p>
    <w:p w:rsidR="00A621E3" w:rsidRDefault="00EC630E">
      <w:pPr>
        <w:spacing w:line="20" w:lineRule="exact"/>
        <w:rPr>
          <w:sz w:val="20"/>
          <w:szCs w:val="20"/>
        </w:rPr>
      </w:pPr>
      <w:r>
        <w:rPr>
          <w:noProof/>
          <w:sz w:val="20"/>
          <w:szCs w:val="20"/>
        </w:rPr>
        <w:drawing>
          <wp:anchor distT="0" distB="0" distL="114300" distR="114300" simplePos="0" relativeHeight="251899904" behindDoc="1" locked="0" layoutInCell="0" allowOverlap="1">
            <wp:simplePos x="0" y="0"/>
            <wp:positionH relativeFrom="column">
              <wp:posOffset>-3651885</wp:posOffset>
            </wp:positionH>
            <wp:positionV relativeFrom="paragraph">
              <wp:posOffset>-1930400</wp:posOffset>
            </wp:positionV>
            <wp:extent cx="7174865" cy="55880"/>
            <wp:effectExtent l="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p>
    <w:p w:rsidR="00A621E3" w:rsidRDefault="00A621E3">
      <w:pPr>
        <w:spacing w:line="189" w:lineRule="exact"/>
        <w:rPr>
          <w:sz w:val="20"/>
          <w:szCs w:val="20"/>
        </w:rPr>
      </w:pPr>
    </w:p>
    <w:p w:rsidR="00A621E3" w:rsidRDefault="00EC630E">
      <w:pPr>
        <w:spacing w:line="276" w:lineRule="auto"/>
        <w:ind w:right="20"/>
        <w:jc w:val="both"/>
        <w:rPr>
          <w:sz w:val="20"/>
          <w:szCs w:val="20"/>
        </w:rPr>
      </w:pPr>
      <w:r>
        <w:rPr>
          <w:rFonts w:ascii="Arial" w:eastAsia="Arial" w:hAnsi="Arial" w:cs="Arial"/>
          <w:sz w:val="18"/>
          <w:szCs w:val="18"/>
        </w:rPr>
        <w:t>Based on fe</w:t>
      </w:r>
      <w:r>
        <w:rPr>
          <w:rFonts w:ascii="Arial" w:eastAsia="Arial" w:hAnsi="Arial" w:cs="Arial"/>
          <w:sz w:val="18"/>
          <w:szCs w:val="18"/>
        </w:rPr>
        <w:t>edback received during the Company’s stockholder engagement efforts over the past several years, the Compensation Committee has approved changes to its compensation program, including the incorporation of ESG measures and targets into the KPIs, and the dis</w:t>
      </w:r>
      <w:r>
        <w:rPr>
          <w:rFonts w:ascii="Arial" w:eastAsia="Arial" w:hAnsi="Arial" w:cs="Arial"/>
          <w:sz w:val="18"/>
          <w:szCs w:val="18"/>
        </w:rPr>
        <w:t>closure of the threshold and maximum achievement levels for the KPIs discussed in the CD&amp;A.</w:t>
      </w: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60" w:name="page60"/>
      <w:bookmarkEnd w:id="60"/>
      <w:r>
        <w:rPr>
          <w:rFonts w:ascii="Arial" w:eastAsia="Arial" w:hAnsi="Arial" w:cs="Arial"/>
          <w:b/>
          <w:bCs/>
          <w:noProof/>
          <w:color w:val="0000EE"/>
          <w:sz w:val="18"/>
          <w:szCs w:val="18"/>
          <w:u w:val="single"/>
        </w:rPr>
        <w:drawing>
          <wp:anchor distT="0" distB="0" distL="114300" distR="114300" simplePos="0" relativeHeight="25190092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01952"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right="180"/>
        <w:jc w:val="right"/>
        <w:rPr>
          <w:sz w:val="20"/>
          <w:szCs w:val="20"/>
        </w:rPr>
      </w:pPr>
      <w:r>
        <w:rPr>
          <w:rFonts w:ascii="Arial" w:eastAsia="Arial" w:hAnsi="Arial" w:cs="Arial"/>
          <w:b/>
          <w:bCs/>
          <w:color w:val="FFFFFF"/>
          <w:sz w:val="16"/>
          <w:szCs w:val="16"/>
        </w:rPr>
        <w:t>EXECUTIVE COMPENSATION</w:t>
      </w:r>
    </w:p>
    <w:p w:rsidR="00A621E3" w:rsidRDefault="00A621E3">
      <w:pPr>
        <w:spacing w:line="195" w:lineRule="exact"/>
        <w:rPr>
          <w:sz w:val="20"/>
          <w:szCs w:val="20"/>
        </w:rPr>
      </w:pPr>
    </w:p>
    <w:p w:rsidR="00A621E3" w:rsidRDefault="00EC630E">
      <w:pPr>
        <w:ind w:left="120"/>
        <w:rPr>
          <w:sz w:val="20"/>
          <w:szCs w:val="20"/>
        </w:rPr>
      </w:pPr>
      <w:r>
        <w:rPr>
          <w:rFonts w:ascii="Arial" w:eastAsia="Arial" w:hAnsi="Arial" w:cs="Arial"/>
          <w:b/>
          <w:bCs/>
          <w:color w:val="CF0A2C"/>
          <w:sz w:val="25"/>
          <w:szCs w:val="25"/>
        </w:rPr>
        <w:t>Elements of the Executive Compensation Program</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374" w:lineRule="exact"/>
        <w:rPr>
          <w:sz w:val="20"/>
          <w:szCs w:val="20"/>
        </w:rPr>
      </w:pPr>
    </w:p>
    <w:p w:rsidR="00A621E3" w:rsidRDefault="00EC630E">
      <w:pPr>
        <w:spacing w:line="306" w:lineRule="auto"/>
        <w:ind w:left="120"/>
        <w:jc w:val="both"/>
        <w:rPr>
          <w:sz w:val="20"/>
          <w:szCs w:val="20"/>
        </w:rPr>
      </w:pPr>
      <w:r>
        <w:rPr>
          <w:rFonts w:ascii="Arial" w:eastAsia="Arial" w:hAnsi="Arial" w:cs="Arial"/>
          <w:sz w:val="16"/>
          <w:szCs w:val="16"/>
        </w:rPr>
        <w:t xml:space="preserve">The Company’s 2022 </w:t>
      </w:r>
      <w:r>
        <w:rPr>
          <w:rFonts w:ascii="Arial" w:eastAsia="Arial" w:hAnsi="Arial" w:cs="Arial"/>
          <w:sz w:val="16"/>
          <w:szCs w:val="16"/>
        </w:rPr>
        <w:t>executive compensation program consists of three primary pay components: (i) base salary; (ii) annual performance-based cash bonuses (i.e., short-term incentives); and</w:t>
      </w:r>
    </w:p>
    <w:p w:rsidR="00A621E3" w:rsidRDefault="00A621E3">
      <w:pPr>
        <w:spacing w:line="1" w:lineRule="exact"/>
        <w:rPr>
          <w:sz w:val="20"/>
          <w:szCs w:val="20"/>
        </w:rPr>
      </w:pPr>
    </w:p>
    <w:p w:rsidR="00A621E3" w:rsidRDefault="00EC630E">
      <w:pPr>
        <w:numPr>
          <w:ilvl w:val="0"/>
          <w:numId w:val="71"/>
        </w:numPr>
        <w:tabs>
          <w:tab w:val="left" w:pos="501"/>
        </w:tabs>
        <w:spacing w:line="274" w:lineRule="auto"/>
        <w:ind w:left="120" w:hanging="4"/>
        <w:jc w:val="both"/>
        <w:rPr>
          <w:rFonts w:ascii="Arial" w:eastAsia="Arial" w:hAnsi="Arial" w:cs="Arial"/>
          <w:sz w:val="18"/>
          <w:szCs w:val="18"/>
        </w:rPr>
      </w:pPr>
      <w:r>
        <w:rPr>
          <w:rFonts w:ascii="Arial" w:eastAsia="Arial" w:hAnsi="Arial" w:cs="Arial"/>
          <w:sz w:val="18"/>
          <w:szCs w:val="18"/>
        </w:rPr>
        <w:t>long-term equity awards. The following charts demonstrate that 2022 annual target compe</w:t>
      </w:r>
      <w:r>
        <w:rPr>
          <w:rFonts w:ascii="Arial" w:eastAsia="Arial" w:hAnsi="Arial" w:cs="Arial"/>
          <w:sz w:val="18"/>
          <w:szCs w:val="18"/>
        </w:rPr>
        <w:t>nsation for Ms. Wat, our CEO, and the NEOs was heavily weighted toward variable pay elements. Such elements represented approximately 87% of the 2022 annual target compensation for Ms. Wat and, on average, 72% of</w:t>
      </w:r>
    </w:p>
    <w:p w:rsidR="00A621E3" w:rsidRDefault="00EC630E">
      <w:pPr>
        <w:spacing w:line="20" w:lineRule="exact"/>
        <w:rPr>
          <w:sz w:val="20"/>
          <w:szCs w:val="20"/>
        </w:rPr>
      </w:pPr>
      <w:r>
        <w:rPr>
          <w:sz w:val="20"/>
          <w:szCs w:val="20"/>
        </w:rPr>
        <w:br w:type="column"/>
      </w:r>
    </w:p>
    <w:p w:rsidR="00A621E3" w:rsidRDefault="00A621E3">
      <w:pPr>
        <w:spacing w:line="354" w:lineRule="exact"/>
        <w:rPr>
          <w:sz w:val="20"/>
          <w:szCs w:val="20"/>
        </w:rPr>
      </w:pPr>
    </w:p>
    <w:p w:rsidR="00A621E3" w:rsidRDefault="00EC630E">
      <w:pPr>
        <w:spacing w:line="273" w:lineRule="auto"/>
        <w:jc w:val="both"/>
        <w:rPr>
          <w:sz w:val="20"/>
          <w:szCs w:val="20"/>
        </w:rPr>
      </w:pPr>
      <w:r>
        <w:rPr>
          <w:rFonts w:ascii="Arial" w:eastAsia="Arial" w:hAnsi="Arial" w:cs="Arial"/>
          <w:sz w:val="18"/>
          <w:szCs w:val="18"/>
        </w:rPr>
        <w:t xml:space="preserve">the 2022 annual target compensation for </w:t>
      </w:r>
      <w:r>
        <w:rPr>
          <w:rFonts w:ascii="Arial" w:eastAsia="Arial" w:hAnsi="Arial" w:cs="Arial"/>
          <w:sz w:val="18"/>
          <w:szCs w:val="18"/>
        </w:rPr>
        <w:t>our other NEOs (consisting of the target payout opportunity under the performance-based cash bonus plan and target annual equity grants). For purposes of this calculation, we have excluded the target grant date fair value of the 2022 Lavazza ESOP Grants an</w:t>
      </w:r>
      <w:r>
        <w:rPr>
          <w:rFonts w:ascii="Arial" w:eastAsia="Arial" w:hAnsi="Arial" w:cs="Arial"/>
          <w:sz w:val="18"/>
          <w:szCs w:val="18"/>
        </w:rPr>
        <w:t>d the incremental fair value associated with the modification of the 2020 Annual PSUs, as these do not represent a component of the Company’s typical annual executive compensation program.</w:t>
      </w:r>
    </w:p>
    <w:p w:rsidR="00A621E3" w:rsidRDefault="00A621E3">
      <w:pPr>
        <w:spacing w:line="202"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135" w:lineRule="exact"/>
        <w:rPr>
          <w:sz w:val="20"/>
          <w:szCs w:val="20"/>
        </w:rPr>
      </w:pPr>
    </w:p>
    <w:p w:rsidR="00A621E3" w:rsidRDefault="00EC630E">
      <w:pPr>
        <w:tabs>
          <w:tab w:val="left" w:pos="7320"/>
        </w:tabs>
        <w:ind w:left="1320"/>
        <w:rPr>
          <w:sz w:val="20"/>
          <w:szCs w:val="20"/>
        </w:rPr>
      </w:pPr>
      <w:r>
        <w:rPr>
          <w:rFonts w:ascii="Arial" w:eastAsia="Arial" w:hAnsi="Arial" w:cs="Arial"/>
          <w:b/>
          <w:bCs/>
          <w:color w:val="CF0A2C"/>
          <w:sz w:val="20"/>
          <w:szCs w:val="20"/>
        </w:rPr>
        <w:t>2022 CEO Target Compensation Mix</w:t>
      </w:r>
      <w:r>
        <w:rPr>
          <w:sz w:val="20"/>
          <w:szCs w:val="20"/>
        </w:rPr>
        <w:tab/>
      </w:r>
      <w:r>
        <w:rPr>
          <w:rFonts w:ascii="Arial" w:eastAsia="Arial" w:hAnsi="Arial" w:cs="Arial"/>
          <w:b/>
          <w:bCs/>
          <w:color w:val="CF0A2C"/>
          <w:sz w:val="18"/>
          <w:szCs w:val="18"/>
        </w:rPr>
        <w:t>2022 Other NEOs Average</w:t>
      </w:r>
    </w:p>
    <w:p w:rsidR="00A621E3" w:rsidRDefault="00A621E3">
      <w:pPr>
        <w:spacing w:line="22" w:lineRule="exact"/>
        <w:rPr>
          <w:sz w:val="20"/>
          <w:szCs w:val="20"/>
        </w:rPr>
      </w:pPr>
    </w:p>
    <w:p w:rsidR="00A621E3" w:rsidRDefault="00EC630E">
      <w:pPr>
        <w:ind w:left="7360"/>
        <w:rPr>
          <w:sz w:val="20"/>
          <w:szCs w:val="20"/>
        </w:rPr>
      </w:pPr>
      <w:r>
        <w:rPr>
          <w:rFonts w:ascii="Arial" w:eastAsia="Arial" w:hAnsi="Arial" w:cs="Arial"/>
          <w:b/>
          <w:bCs/>
          <w:color w:val="CF0A2C"/>
          <w:sz w:val="20"/>
          <w:szCs w:val="20"/>
        </w:rPr>
        <w:t>Target Compensation Mix</w:t>
      </w:r>
    </w:p>
    <w:p w:rsidR="00A621E3" w:rsidRDefault="00EC630E">
      <w:pPr>
        <w:spacing w:line="20" w:lineRule="exact"/>
        <w:rPr>
          <w:sz w:val="20"/>
          <w:szCs w:val="20"/>
        </w:rPr>
      </w:pPr>
      <w:r>
        <w:rPr>
          <w:noProof/>
          <w:sz w:val="20"/>
          <w:szCs w:val="20"/>
        </w:rPr>
        <w:drawing>
          <wp:anchor distT="0" distB="0" distL="114300" distR="114300" simplePos="0" relativeHeight="251902976" behindDoc="1" locked="0" layoutInCell="0" allowOverlap="1">
            <wp:simplePos x="0" y="0"/>
            <wp:positionH relativeFrom="column">
              <wp:posOffset>1016635</wp:posOffset>
            </wp:positionH>
            <wp:positionV relativeFrom="paragraph">
              <wp:posOffset>163195</wp:posOffset>
            </wp:positionV>
            <wp:extent cx="5117465" cy="2751455"/>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5">
                      <a:extLst/>
                    </a:blip>
                    <a:srcRect/>
                    <a:stretch>
                      <a:fillRect/>
                    </a:stretch>
                  </pic:blipFill>
                  <pic:spPr bwMode="auto">
                    <a:xfrm>
                      <a:off x="0" y="0"/>
                      <a:ext cx="5117465" cy="27514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06" w:lineRule="exact"/>
        <w:rPr>
          <w:sz w:val="20"/>
          <w:szCs w:val="20"/>
        </w:rPr>
      </w:pPr>
    </w:p>
    <w:p w:rsidR="00A621E3" w:rsidRDefault="00EC630E">
      <w:pPr>
        <w:tabs>
          <w:tab w:val="left" w:pos="140"/>
        </w:tabs>
        <w:ind w:right="100"/>
        <w:jc w:val="right"/>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55</w:t>
      </w:r>
    </w:p>
    <w:p w:rsidR="00A621E3" w:rsidRDefault="00EC630E">
      <w:pPr>
        <w:spacing w:line="20" w:lineRule="exact"/>
        <w:rPr>
          <w:sz w:val="20"/>
          <w:szCs w:val="20"/>
        </w:rPr>
      </w:pPr>
      <w:r>
        <w:rPr>
          <w:noProof/>
          <w:sz w:val="20"/>
          <w:szCs w:val="20"/>
        </w:rPr>
        <w:drawing>
          <wp:anchor distT="0" distB="0" distL="114300" distR="114300" simplePos="0" relativeHeight="251904000"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61" w:name="page61"/>
      <w:bookmarkEnd w:id="61"/>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05024"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257" w:lineRule="exact"/>
        <w:rPr>
          <w:sz w:val="20"/>
          <w:szCs w:val="20"/>
        </w:rPr>
      </w:pPr>
    </w:p>
    <w:p w:rsidR="00A621E3" w:rsidRDefault="00EC630E">
      <w:pPr>
        <w:ind w:left="120"/>
        <w:rPr>
          <w:sz w:val="20"/>
          <w:szCs w:val="20"/>
        </w:rPr>
      </w:pPr>
      <w:r>
        <w:rPr>
          <w:rFonts w:ascii="Arial" w:eastAsia="Arial" w:hAnsi="Arial" w:cs="Arial"/>
          <w:b/>
          <w:bCs/>
          <w:color w:val="CF0A2C"/>
          <w:sz w:val="20"/>
          <w:szCs w:val="20"/>
        </w:rPr>
        <w:t>Base Salary</w:t>
      </w:r>
    </w:p>
    <w:p w:rsidR="00A621E3" w:rsidRDefault="00A621E3">
      <w:pPr>
        <w:spacing w:line="262" w:lineRule="exact"/>
        <w:rPr>
          <w:sz w:val="20"/>
          <w:szCs w:val="20"/>
        </w:rPr>
      </w:pPr>
    </w:p>
    <w:p w:rsidR="00A621E3" w:rsidRDefault="00EC630E">
      <w:pPr>
        <w:spacing w:line="256" w:lineRule="auto"/>
        <w:ind w:left="120"/>
        <w:jc w:val="both"/>
        <w:rPr>
          <w:sz w:val="20"/>
          <w:szCs w:val="20"/>
        </w:rPr>
      </w:pPr>
      <w:r>
        <w:rPr>
          <w:rFonts w:ascii="Arial" w:eastAsia="Arial" w:hAnsi="Arial" w:cs="Arial"/>
          <w:sz w:val="19"/>
          <w:szCs w:val="19"/>
        </w:rPr>
        <w:t xml:space="preserve">The Company provides a fixed level of cash compensation to </w:t>
      </w:r>
      <w:r>
        <w:rPr>
          <w:rFonts w:ascii="Arial" w:eastAsia="Arial" w:hAnsi="Arial" w:cs="Arial"/>
          <w:sz w:val="19"/>
          <w:szCs w:val="19"/>
        </w:rPr>
        <w:t>attract and retain high-caliber talent. Base salary in the form of cash compensates executives for their primary roles and responsibilities. An executive’s actual salary is dependent on factors such as the executive’s role (including the market value of th</w:t>
      </w:r>
      <w:r>
        <w:rPr>
          <w:rFonts w:ascii="Arial" w:eastAsia="Arial" w:hAnsi="Arial" w:cs="Arial"/>
          <w:sz w:val="19"/>
          <w:szCs w:val="19"/>
        </w:rPr>
        <w:t>e role), level of responsibility, experience, individual performance and future potential. The Compensation Committee annually reviews salary levels of the Company’s executive officers to maintain</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0" w:lineRule="exact"/>
        <w:rPr>
          <w:sz w:val="20"/>
          <w:szCs w:val="20"/>
        </w:rPr>
      </w:pPr>
    </w:p>
    <w:p w:rsidR="00A621E3" w:rsidRDefault="00EC630E">
      <w:pPr>
        <w:rPr>
          <w:sz w:val="20"/>
          <w:szCs w:val="20"/>
        </w:rPr>
      </w:pPr>
      <w:r>
        <w:rPr>
          <w:rFonts w:ascii="Arial" w:eastAsia="Arial" w:hAnsi="Arial" w:cs="Arial"/>
          <w:sz w:val="18"/>
          <w:szCs w:val="18"/>
        </w:rPr>
        <w:t>market competitiveness and reflect their evolving re</w:t>
      </w:r>
      <w:r>
        <w:rPr>
          <w:rFonts w:ascii="Arial" w:eastAsia="Arial" w:hAnsi="Arial" w:cs="Arial"/>
          <w:sz w:val="18"/>
          <w:szCs w:val="18"/>
        </w:rPr>
        <w:t>sponsibilities.</w:t>
      </w:r>
    </w:p>
    <w:p w:rsidR="00A621E3" w:rsidRDefault="00EC630E">
      <w:pPr>
        <w:spacing w:line="20" w:lineRule="exact"/>
        <w:rPr>
          <w:sz w:val="20"/>
          <w:szCs w:val="20"/>
        </w:rPr>
      </w:pPr>
      <w:r>
        <w:rPr>
          <w:noProof/>
          <w:sz w:val="20"/>
          <w:szCs w:val="20"/>
        </w:rPr>
        <w:drawing>
          <wp:anchor distT="0" distB="0" distL="114300" distR="114300" simplePos="0" relativeHeight="251906048" behindDoc="1" locked="0" layoutInCell="0" allowOverlap="1">
            <wp:simplePos x="0" y="0"/>
            <wp:positionH relativeFrom="column">
              <wp:posOffset>-3651885</wp:posOffset>
            </wp:positionH>
            <wp:positionV relativeFrom="paragraph">
              <wp:posOffset>-1011555</wp:posOffset>
            </wp:positionV>
            <wp:extent cx="7174865" cy="55880"/>
            <wp:effectExtent l="0" t="0" r="0" b="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p>
    <w:p w:rsidR="00A621E3" w:rsidRDefault="00A621E3">
      <w:pPr>
        <w:spacing w:line="253" w:lineRule="exact"/>
        <w:rPr>
          <w:sz w:val="20"/>
          <w:szCs w:val="20"/>
        </w:rPr>
      </w:pPr>
    </w:p>
    <w:p w:rsidR="00A621E3" w:rsidRDefault="00EC630E">
      <w:pPr>
        <w:rPr>
          <w:sz w:val="20"/>
          <w:szCs w:val="20"/>
        </w:rPr>
      </w:pPr>
      <w:r>
        <w:rPr>
          <w:rFonts w:ascii="Arial" w:eastAsia="Arial" w:hAnsi="Arial" w:cs="Arial"/>
          <w:b/>
          <w:bCs/>
          <w:color w:val="CF0A2C"/>
          <w:sz w:val="20"/>
          <w:szCs w:val="20"/>
        </w:rPr>
        <w:t>Annual Performance-Based Cash Bonuses</w:t>
      </w:r>
    </w:p>
    <w:p w:rsidR="00A621E3" w:rsidRDefault="00A621E3">
      <w:pPr>
        <w:spacing w:line="262" w:lineRule="exact"/>
        <w:rPr>
          <w:sz w:val="20"/>
          <w:szCs w:val="20"/>
        </w:rPr>
      </w:pPr>
    </w:p>
    <w:p w:rsidR="00A621E3" w:rsidRDefault="00EC630E">
      <w:pPr>
        <w:spacing w:line="246" w:lineRule="auto"/>
        <w:jc w:val="both"/>
        <w:rPr>
          <w:sz w:val="20"/>
          <w:szCs w:val="20"/>
        </w:rPr>
      </w:pPr>
      <w:r>
        <w:rPr>
          <w:rFonts w:ascii="Arial" w:eastAsia="Arial" w:hAnsi="Arial" w:cs="Arial"/>
          <w:sz w:val="20"/>
          <w:szCs w:val="20"/>
        </w:rPr>
        <w:t xml:space="preserve">The principal purpose of our cash-based annual incentive program is to motivate and reward short-term team and individual performance. The following is the formula used to calculate 2022 annual </w:t>
      </w:r>
      <w:r>
        <w:rPr>
          <w:rFonts w:ascii="Arial" w:eastAsia="Arial" w:hAnsi="Arial" w:cs="Arial"/>
          <w:sz w:val="20"/>
          <w:szCs w:val="20"/>
        </w:rPr>
        <w:t>performance-based cash bonuses:</w:t>
      </w:r>
    </w:p>
    <w:p w:rsidR="00A621E3" w:rsidRDefault="00A621E3">
      <w:pPr>
        <w:spacing w:line="868" w:lineRule="exact"/>
        <w:rPr>
          <w:sz w:val="20"/>
          <w:szCs w:val="20"/>
        </w:rPr>
      </w:pP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A621E3">
      <w:pPr>
        <w:spacing w:line="210"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2100"/>
        <w:gridCol w:w="300"/>
        <w:gridCol w:w="1900"/>
        <w:gridCol w:w="300"/>
        <w:gridCol w:w="1820"/>
        <w:gridCol w:w="300"/>
        <w:gridCol w:w="1820"/>
        <w:gridCol w:w="300"/>
        <w:gridCol w:w="2200"/>
        <w:gridCol w:w="30"/>
      </w:tblGrid>
      <w:tr w:rsidR="00A621E3">
        <w:trPr>
          <w:trHeight w:val="594"/>
        </w:trPr>
        <w:tc>
          <w:tcPr>
            <w:tcW w:w="2100" w:type="dxa"/>
            <w:tcBorders>
              <w:top w:val="single" w:sz="8" w:space="0" w:color="CF0A2C"/>
              <w:left w:val="single" w:sz="8" w:space="0" w:color="CF0A2C"/>
              <w:right w:val="single" w:sz="8" w:space="0" w:color="CF0A2C"/>
            </w:tcBorders>
            <w:shd w:val="clear" w:color="auto" w:fill="FAE6E9"/>
            <w:vAlign w:val="bottom"/>
          </w:tcPr>
          <w:p w:rsidR="00A621E3" w:rsidRDefault="00A621E3">
            <w:pPr>
              <w:rPr>
                <w:sz w:val="24"/>
                <w:szCs w:val="24"/>
              </w:rPr>
            </w:pPr>
          </w:p>
        </w:tc>
        <w:tc>
          <w:tcPr>
            <w:tcW w:w="300" w:type="dxa"/>
            <w:tcBorders>
              <w:right w:val="single" w:sz="8" w:space="0" w:color="CF0A2C"/>
            </w:tcBorders>
            <w:vAlign w:val="bottom"/>
          </w:tcPr>
          <w:p w:rsidR="00A621E3" w:rsidRDefault="00A621E3">
            <w:pPr>
              <w:rPr>
                <w:sz w:val="24"/>
                <w:szCs w:val="24"/>
              </w:rPr>
            </w:pPr>
          </w:p>
        </w:tc>
        <w:tc>
          <w:tcPr>
            <w:tcW w:w="1900" w:type="dxa"/>
            <w:tcBorders>
              <w:top w:val="single" w:sz="8" w:space="0" w:color="CF0A2C"/>
              <w:right w:val="single" w:sz="8" w:space="0" w:color="CF0A2C"/>
            </w:tcBorders>
            <w:shd w:val="clear" w:color="auto" w:fill="FAE6E9"/>
            <w:vAlign w:val="bottom"/>
          </w:tcPr>
          <w:p w:rsidR="00A621E3" w:rsidRDefault="00EC630E">
            <w:pPr>
              <w:jc w:val="center"/>
              <w:rPr>
                <w:sz w:val="20"/>
                <w:szCs w:val="20"/>
              </w:rPr>
            </w:pPr>
            <w:r>
              <w:rPr>
                <w:rFonts w:ascii="Arial" w:eastAsia="Arial" w:hAnsi="Arial" w:cs="Arial"/>
                <w:color w:val="CF0A2C"/>
                <w:w w:val="88"/>
                <w:sz w:val="18"/>
                <w:szCs w:val="18"/>
              </w:rPr>
              <w:t>Target Bonus</w:t>
            </w:r>
          </w:p>
        </w:tc>
        <w:tc>
          <w:tcPr>
            <w:tcW w:w="300" w:type="dxa"/>
            <w:tcBorders>
              <w:right w:val="single" w:sz="8" w:space="0" w:color="CF0A2C"/>
            </w:tcBorders>
            <w:vAlign w:val="bottom"/>
          </w:tcPr>
          <w:p w:rsidR="00A621E3" w:rsidRDefault="00A621E3">
            <w:pPr>
              <w:rPr>
                <w:sz w:val="24"/>
                <w:szCs w:val="24"/>
              </w:rPr>
            </w:pPr>
          </w:p>
        </w:tc>
        <w:tc>
          <w:tcPr>
            <w:tcW w:w="1820" w:type="dxa"/>
            <w:tcBorders>
              <w:top w:val="single" w:sz="8" w:space="0" w:color="CF0A2C"/>
              <w:right w:val="single" w:sz="8" w:space="0" w:color="CF0A2C"/>
            </w:tcBorders>
            <w:shd w:val="clear" w:color="auto" w:fill="FAE6E9"/>
            <w:vAlign w:val="bottom"/>
          </w:tcPr>
          <w:p w:rsidR="00A621E3" w:rsidRDefault="00EC630E">
            <w:pPr>
              <w:jc w:val="center"/>
              <w:rPr>
                <w:sz w:val="20"/>
                <w:szCs w:val="20"/>
              </w:rPr>
            </w:pPr>
            <w:r>
              <w:rPr>
                <w:rFonts w:ascii="Arial" w:eastAsia="Arial" w:hAnsi="Arial" w:cs="Arial"/>
                <w:color w:val="CF0A2C"/>
                <w:w w:val="86"/>
                <w:sz w:val="18"/>
                <w:szCs w:val="18"/>
              </w:rPr>
              <w:t>Team</w:t>
            </w:r>
          </w:p>
        </w:tc>
        <w:tc>
          <w:tcPr>
            <w:tcW w:w="300" w:type="dxa"/>
            <w:tcBorders>
              <w:right w:val="single" w:sz="8" w:space="0" w:color="CF0A2C"/>
            </w:tcBorders>
            <w:vAlign w:val="bottom"/>
          </w:tcPr>
          <w:p w:rsidR="00A621E3" w:rsidRDefault="00A621E3">
            <w:pPr>
              <w:rPr>
                <w:sz w:val="24"/>
                <w:szCs w:val="24"/>
              </w:rPr>
            </w:pPr>
          </w:p>
        </w:tc>
        <w:tc>
          <w:tcPr>
            <w:tcW w:w="1820" w:type="dxa"/>
            <w:tcBorders>
              <w:top w:val="single" w:sz="8" w:space="0" w:color="CF0A2C"/>
              <w:right w:val="single" w:sz="8" w:space="0" w:color="CF0A2C"/>
            </w:tcBorders>
            <w:shd w:val="clear" w:color="auto" w:fill="FAE6E9"/>
            <w:vAlign w:val="bottom"/>
          </w:tcPr>
          <w:p w:rsidR="00A621E3" w:rsidRDefault="00EC630E">
            <w:pPr>
              <w:jc w:val="center"/>
              <w:rPr>
                <w:sz w:val="20"/>
                <w:szCs w:val="20"/>
              </w:rPr>
            </w:pPr>
            <w:r>
              <w:rPr>
                <w:rFonts w:ascii="Arial" w:eastAsia="Arial" w:hAnsi="Arial" w:cs="Arial"/>
                <w:color w:val="CF0A2C"/>
                <w:w w:val="97"/>
                <w:sz w:val="18"/>
                <w:szCs w:val="18"/>
              </w:rPr>
              <w:t>Individual</w:t>
            </w:r>
          </w:p>
        </w:tc>
        <w:tc>
          <w:tcPr>
            <w:tcW w:w="300" w:type="dxa"/>
            <w:tcBorders>
              <w:right w:val="single" w:sz="8" w:space="0" w:color="CF0A2C"/>
            </w:tcBorders>
            <w:vAlign w:val="bottom"/>
          </w:tcPr>
          <w:p w:rsidR="00A621E3" w:rsidRDefault="00A621E3">
            <w:pPr>
              <w:rPr>
                <w:sz w:val="24"/>
                <w:szCs w:val="24"/>
              </w:rPr>
            </w:pPr>
          </w:p>
        </w:tc>
        <w:tc>
          <w:tcPr>
            <w:tcW w:w="2200" w:type="dxa"/>
            <w:tcBorders>
              <w:top w:val="single" w:sz="8" w:space="0" w:color="CF0A2C"/>
              <w:right w:val="single" w:sz="8" w:space="0" w:color="CF0A2C"/>
            </w:tcBorders>
            <w:shd w:val="clear" w:color="auto" w:fill="FAE6E9"/>
            <w:vAlign w:val="bottom"/>
          </w:tcPr>
          <w:p w:rsidR="00A621E3" w:rsidRDefault="00EC630E">
            <w:pPr>
              <w:jc w:val="center"/>
              <w:rPr>
                <w:sz w:val="20"/>
                <w:szCs w:val="20"/>
              </w:rPr>
            </w:pPr>
            <w:r>
              <w:rPr>
                <w:rFonts w:ascii="Arial" w:eastAsia="Arial" w:hAnsi="Arial" w:cs="Arial"/>
                <w:color w:val="CF0A2C"/>
                <w:w w:val="97"/>
                <w:sz w:val="18"/>
                <w:szCs w:val="18"/>
              </w:rPr>
              <w:t>Final</w:t>
            </w:r>
          </w:p>
        </w:tc>
        <w:tc>
          <w:tcPr>
            <w:tcW w:w="0" w:type="dxa"/>
            <w:vAlign w:val="bottom"/>
          </w:tcPr>
          <w:p w:rsidR="00A621E3" w:rsidRDefault="00A621E3">
            <w:pPr>
              <w:rPr>
                <w:sz w:val="1"/>
                <w:szCs w:val="1"/>
              </w:rPr>
            </w:pPr>
          </w:p>
        </w:tc>
      </w:tr>
      <w:tr w:rsidR="00A621E3">
        <w:trPr>
          <w:trHeight w:val="202"/>
        </w:trPr>
        <w:tc>
          <w:tcPr>
            <w:tcW w:w="2100" w:type="dxa"/>
            <w:vMerge w:val="restart"/>
            <w:tcBorders>
              <w:left w:val="single" w:sz="8" w:space="0" w:color="CF0A2C"/>
              <w:right w:val="single" w:sz="8" w:space="0" w:color="CF0A2C"/>
            </w:tcBorders>
            <w:shd w:val="clear" w:color="auto" w:fill="FAE6E9"/>
            <w:vAlign w:val="bottom"/>
          </w:tcPr>
          <w:p w:rsidR="00A621E3" w:rsidRDefault="00EC630E">
            <w:pPr>
              <w:ind w:left="620"/>
              <w:rPr>
                <w:sz w:val="20"/>
                <w:szCs w:val="20"/>
              </w:rPr>
            </w:pPr>
            <w:r>
              <w:rPr>
                <w:rFonts w:ascii="Arial" w:eastAsia="Arial" w:hAnsi="Arial" w:cs="Arial"/>
                <w:color w:val="CF0A2C"/>
                <w:sz w:val="18"/>
                <w:szCs w:val="18"/>
              </w:rPr>
              <w:t>Base Salary</w:t>
            </w:r>
          </w:p>
        </w:tc>
        <w:tc>
          <w:tcPr>
            <w:tcW w:w="300" w:type="dxa"/>
            <w:vMerge w:val="restart"/>
            <w:tcBorders>
              <w:right w:val="single" w:sz="8" w:space="0" w:color="CF0A2C"/>
            </w:tcBorders>
            <w:vAlign w:val="bottom"/>
          </w:tcPr>
          <w:p w:rsidR="00A621E3" w:rsidRDefault="00EC630E">
            <w:pPr>
              <w:jc w:val="right"/>
              <w:rPr>
                <w:sz w:val="20"/>
                <w:szCs w:val="20"/>
              </w:rPr>
            </w:pPr>
            <w:r>
              <w:rPr>
                <w:rFonts w:ascii="Arial" w:eastAsia="Arial" w:hAnsi="Arial" w:cs="Arial"/>
                <w:color w:val="CF0A2C"/>
                <w:sz w:val="18"/>
                <w:szCs w:val="18"/>
              </w:rPr>
              <w:t>×</w:t>
            </w:r>
          </w:p>
        </w:tc>
        <w:tc>
          <w:tcPr>
            <w:tcW w:w="1900" w:type="dxa"/>
            <w:tcBorders>
              <w:right w:val="single" w:sz="8" w:space="0" w:color="CF0A2C"/>
            </w:tcBorders>
            <w:shd w:val="clear" w:color="auto" w:fill="FAE6E9"/>
            <w:vAlign w:val="bottom"/>
          </w:tcPr>
          <w:p w:rsidR="00A621E3" w:rsidRDefault="00EC630E">
            <w:pPr>
              <w:spacing w:line="201" w:lineRule="exact"/>
              <w:jc w:val="center"/>
              <w:rPr>
                <w:sz w:val="20"/>
                <w:szCs w:val="20"/>
              </w:rPr>
            </w:pPr>
            <w:r>
              <w:rPr>
                <w:rFonts w:ascii="Arial" w:eastAsia="Arial" w:hAnsi="Arial" w:cs="Arial"/>
                <w:color w:val="CF0A2C"/>
                <w:w w:val="86"/>
                <w:sz w:val="18"/>
                <w:szCs w:val="18"/>
              </w:rPr>
              <w:t>Percentage</w:t>
            </w:r>
          </w:p>
        </w:tc>
        <w:tc>
          <w:tcPr>
            <w:tcW w:w="300" w:type="dxa"/>
            <w:vMerge w:val="restart"/>
            <w:tcBorders>
              <w:right w:val="single" w:sz="8" w:space="0" w:color="CF0A2C"/>
            </w:tcBorders>
            <w:vAlign w:val="bottom"/>
          </w:tcPr>
          <w:p w:rsidR="00A621E3" w:rsidRDefault="00EC630E">
            <w:pPr>
              <w:jc w:val="right"/>
              <w:rPr>
                <w:sz w:val="20"/>
                <w:szCs w:val="20"/>
              </w:rPr>
            </w:pPr>
            <w:r>
              <w:rPr>
                <w:rFonts w:ascii="Arial" w:eastAsia="Arial" w:hAnsi="Arial" w:cs="Arial"/>
                <w:color w:val="CF0A2C"/>
                <w:sz w:val="18"/>
                <w:szCs w:val="18"/>
              </w:rPr>
              <w:t>×</w:t>
            </w:r>
          </w:p>
        </w:tc>
        <w:tc>
          <w:tcPr>
            <w:tcW w:w="1820" w:type="dxa"/>
            <w:tcBorders>
              <w:right w:val="single" w:sz="8" w:space="0" w:color="CF0A2C"/>
            </w:tcBorders>
            <w:shd w:val="clear" w:color="auto" w:fill="FAE6E9"/>
            <w:vAlign w:val="bottom"/>
          </w:tcPr>
          <w:p w:rsidR="00A621E3" w:rsidRDefault="00EC630E">
            <w:pPr>
              <w:spacing w:line="201" w:lineRule="exact"/>
              <w:jc w:val="center"/>
              <w:rPr>
                <w:sz w:val="20"/>
                <w:szCs w:val="20"/>
              </w:rPr>
            </w:pPr>
            <w:r>
              <w:rPr>
                <w:rFonts w:ascii="Arial" w:eastAsia="Arial" w:hAnsi="Arial" w:cs="Arial"/>
                <w:color w:val="CF0A2C"/>
                <w:w w:val="89"/>
                <w:sz w:val="18"/>
                <w:szCs w:val="18"/>
              </w:rPr>
              <w:t>Performance</w:t>
            </w:r>
          </w:p>
        </w:tc>
        <w:tc>
          <w:tcPr>
            <w:tcW w:w="300" w:type="dxa"/>
            <w:vMerge w:val="restart"/>
            <w:tcBorders>
              <w:right w:val="single" w:sz="8" w:space="0" w:color="CF0A2C"/>
            </w:tcBorders>
            <w:vAlign w:val="bottom"/>
          </w:tcPr>
          <w:p w:rsidR="00A621E3" w:rsidRDefault="00EC630E">
            <w:pPr>
              <w:jc w:val="right"/>
              <w:rPr>
                <w:sz w:val="20"/>
                <w:szCs w:val="20"/>
              </w:rPr>
            </w:pPr>
            <w:r>
              <w:rPr>
                <w:rFonts w:ascii="Arial" w:eastAsia="Arial" w:hAnsi="Arial" w:cs="Arial"/>
                <w:color w:val="CF0A2C"/>
                <w:sz w:val="18"/>
                <w:szCs w:val="18"/>
              </w:rPr>
              <w:t>×</w:t>
            </w:r>
          </w:p>
        </w:tc>
        <w:tc>
          <w:tcPr>
            <w:tcW w:w="1820" w:type="dxa"/>
            <w:tcBorders>
              <w:right w:val="single" w:sz="8" w:space="0" w:color="CF0A2C"/>
            </w:tcBorders>
            <w:shd w:val="clear" w:color="auto" w:fill="FAE6E9"/>
            <w:vAlign w:val="bottom"/>
          </w:tcPr>
          <w:p w:rsidR="00A621E3" w:rsidRDefault="00EC630E">
            <w:pPr>
              <w:spacing w:line="201" w:lineRule="exact"/>
              <w:jc w:val="center"/>
              <w:rPr>
                <w:sz w:val="20"/>
                <w:szCs w:val="20"/>
              </w:rPr>
            </w:pPr>
            <w:r>
              <w:rPr>
                <w:rFonts w:ascii="Arial" w:eastAsia="Arial" w:hAnsi="Arial" w:cs="Arial"/>
                <w:color w:val="CF0A2C"/>
                <w:w w:val="89"/>
                <w:sz w:val="18"/>
                <w:szCs w:val="18"/>
              </w:rPr>
              <w:t>Performance</w:t>
            </w:r>
          </w:p>
        </w:tc>
        <w:tc>
          <w:tcPr>
            <w:tcW w:w="300" w:type="dxa"/>
            <w:vMerge w:val="restart"/>
            <w:tcBorders>
              <w:right w:val="single" w:sz="8" w:space="0" w:color="CF0A2C"/>
            </w:tcBorders>
            <w:vAlign w:val="bottom"/>
          </w:tcPr>
          <w:p w:rsidR="00A621E3" w:rsidRDefault="00EC630E">
            <w:pPr>
              <w:jc w:val="right"/>
              <w:rPr>
                <w:sz w:val="20"/>
                <w:szCs w:val="20"/>
              </w:rPr>
            </w:pPr>
            <w:r>
              <w:rPr>
                <w:rFonts w:ascii="Arial" w:eastAsia="Arial" w:hAnsi="Arial" w:cs="Arial"/>
                <w:color w:val="CF0A2C"/>
                <w:sz w:val="18"/>
                <w:szCs w:val="18"/>
              </w:rPr>
              <w:t>=</w:t>
            </w:r>
          </w:p>
        </w:tc>
        <w:tc>
          <w:tcPr>
            <w:tcW w:w="2200" w:type="dxa"/>
            <w:tcBorders>
              <w:right w:val="single" w:sz="8" w:space="0" w:color="CF0A2C"/>
            </w:tcBorders>
            <w:shd w:val="clear" w:color="auto" w:fill="FAE6E9"/>
            <w:vAlign w:val="bottom"/>
          </w:tcPr>
          <w:p w:rsidR="00A621E3" w:rsidRDefault="00EC630E">
            <w:pPr>
              <w:spacing w:line="201" w:lineRule="exact"/>
              <w:jc w:val="center"/>
              <w:rPr>
                <w:sz w:val="20"/>
                <w:szCs w:val="20"/>
              </w:rPr>
            </w:pPr>
            <w:r>
              <w:rPr>
                <w:rFonts w:ascii="Arial" w:eastAsia="Arial" w:hAnsi="Arial" w:cs="Arial"/>
                <w:color w:val="CF0A2C"/>
                <w:w w:val="97"/>
                <w:sz w:val="18"/>
                <w:szCs w:val="18"/>
              </w:rPr>
              <w:t>Individual</w:t>
            </w:r>
          </w:p>
        </w:tc>
        <w:tc>
          <w:tcPr>
            <w:tcW w:w="0" w:type="dxa"/>
            <w:vAlign w:val="bottom"/>
          </w:tcPr>
          <w:p w:rsidR="00A621E3" w:rsidRDefault="00A621E3">
            <w:pPr>
              <w:rPr>
                <w:sz w:val="1"/>
                <w:szCs w:val="1"/>
              </w:rPr>
            </w:pPr>
          </w:p>
        </w:tc>
      </w:tr>
      <w:tr w:rsidR="00A621E3">
        <w:trPr>
          <w:trHeight w:val="163"/>
        </w:trPr>
        <w:tc>
          <w:tcPr>
            <w:tcW w:w="2100" w:type="dxa"/>
            <w:vMerge/>
            <w:tcBorders>
              <w:left w:val="single" w:sz="8" w:space="0" w:color="CF0A2C"/>
              <w:right w:val="single" w:sz="8" w:space="0" w:color="CF0A2C"/>
            </w:tcBorders>
            <w:shd w:val="clear" w:color="auto" w:fill="FAE6E9"/>
            <w:vAlign w:val="bottom"/>
          </w:tcPr>
          <w:p w:rsidR="00A621E3" w:rsidRDefault="00A621E3">
            <w:pPr>
              <w:rPr>
                <w:sz w:val="14"/>
                <w:szCs w:val="14"/>
              </w:rPr>
            </w:pPr>
          </w:p>
        </w:tc>
        <w:tc>
          <w:tcPr>
            <w:tcW w:w="300" w:type="dxa"/>
            <w:vMerge/>
            <w:tcBorders>
              <w:right w:val="single" w:sz="8" w:space="0" w:color="CF0A2C"/>
            </w:tcBorders>
            <w:vAlign w:val="bottom"/>
          </w:tcPr>
          <w:p w:rsidR="00A621E3" w:rsidRDefault="00A621E3">
            <w:pPr>
              <w:rPr>
                <w:sz w:val="14"/>
                <w:szCs w:val="14"/>
              </w:rPr>
            </w:pPr>
          </w:p>
        </w:tc>
        <w:tc>
          <w:tcPr>
            <w:tcW w:w="1900" w:type="dxa"/>
            <w:vMerge w:val="restart"/>
            <w:tcBorders>
              <w:right w:val="single" w:sz="8" w:space="0" w:color="CF0A2C"/>
            </w:tcBorders>
            <w:shd w:val="clear" w:color="auto" w:fill="FAE6E9"/>
            <w:vAlign w:val="bottom"/>
          </w:tcPr>
          <w:p w:rsidR="00A621E3" w:rsidRDefault="00EC630E">
            <w:pPr>
              <w:jc w:val="center"/>
              <w:rPr>
                <w:sz w:val="20"/>
                <w:szCs w:val="20"/>
              </w:rPr>
            </w:pPr>
            <w:r>
              <w:rPr>
                <w:rFonts w:ascii="Arial" w:eastAsia="Arial" w:hAnsi="Arial" w:cs="Arial"/>
                <w:color w:val="CF0A2C"/>
                <w:w w:val="91"/>
                <w:sz w:val="18"/>
                <w:szCs w:val="18"/>
              </w:rPr>
              <w:t>(As a % of</w:t>
            </w:r>
          </w:p>
        </w:tc>
        <w:tc>
          <w:tcPr>
            <w:tcW w:w="300" w:type="dxa"/>
            <w:vMerge/>
            <w:tcBorders>
              <w:right w:val="single" w:sz="8" w:space="0" w:color="CF0A2C"/>
            </w:tcBorders>
            <w:vAlign w:val="bottom"/>
          </w:tcPr>
          <w:p w:rsidR="00A621E3" w:rsidRDefault="00A621E3">
            <w:pPr>
              <w:rPr>
                <w:sz w:val="14"/>
                <w:szCs w:val="14"/>
              </w:rPr>
            </w:pPr>
          </w:p>
        </w:tc>
        <w:tc>
          <w:tcPr>
            <w:tcW w:w="1820" w:type="dxa"/>
            <w:vMerge w:val="restart"/>
            <w:tcBorders>
              <w:right w:val="single" w:sz="8" w:space="0" w:color="CF0A2C"/>
            </w:tcBorders>
            <w:shd w:val="clear" w:color="auto" w:fill="FAE6E9"/>
            <w:vAlign w:val="bottom"/>
          </w:tcPr>
          <w:p w:rsidR="00A621E3" w:rsidRDefault="00EC630E">
            <w:pPr>
              <w:jc w:val="center"/>
              <w:rPr>
                <w:sz w:val="20"/>
                <w:szCs w:val="20"/>
              </w:rPr>
            </w:pPr>
            <w:r>
              <w:rPr>
                <w:rFonts w:ascii="Arial" w:eastAsia="Arial" w:hAnsi="Arial" w:cs="Arial"/>
                <w:color w:val="CF0A2C"/>
                <w:w w:val="90"/>
                <w:sz w:val="18"/>
                <w:szCs w:val="18"/>
              </w:rPr>
              <w:t>Factor</w:t>
            </w:r>
          </w:p>
        </w:tc>
        <w:tc>
          <w:tcPr>
            <w:tcW w:w="300" w:type="dxa"/>
            <w:vMerge/>
            <w:tcBorders>
              <w:right w:val="single" w:sz="8" w:space="0" w:color="CF0A2C"/>
            </w:tcBorders>
            <w:vAlign w:val="bottom"/>
          </w:tcPr>
          <w:p w:rsidR="00A621E3" w:rsidRDefault="00A621E3">
            <w:pPr>
              <w:rPr>
                <w:sz w:val="14"/>
                <w:szCs w:val="14"/>
              </w:rPr>
            </w:pPr>
          </w:p>
        </w:tc>
        <w:tc>
          <w:tcPr>
            <w:tcW w:w="1820" w:type="dxa"/>
            <w:vMerge w:val="restart"/>
            <w:tcBorders>
              <w:right w:val="single" w:sz="8" w:space="0" w:color="CF0A2C"/>
            </w:tcBorders>
            <w:shd w:val="clear" w:color="auto" w:fill="FAE6E9"/>
            <w:vAlign w:val="bottom"/>
          </w:tcPr>
          <w:p w:rsidR="00A621E3" w:rsidRDefault="00EC630E">
            <w:pPr>
              <w:jc w:val="center"/>
              <w:rPr>
                <w:sz w:val="20"/>
                <w:szCs w:val="20"/>
              </w:rPr>
            </w:pPr>
            <w:r>
              <w:rPr>
                <w:rFonts w:ascii="Arial" w:eastAsia="Arial" w:hAnsi="Arial" w:cs="Arial"/>
                <w:color w:val="CF0A2C"/>
                <w:w w:val="90"/>
                <w:sz w:val="18"/>
                <w:szCs w:val="18"/>
              </w:rPr>
              <w:t>Factor</w:t>
            </w:r>
          </w:p>
        </w:tc>
        <w:tc>
          <w:tcPr>
            <w:tcW w:w="300" w:type="dxa"/>
            <w:vMerge/>
            <w:tcBorders>
              <w:right w:val="single" w:sz="8" w:space="0" w:color="CF0A2C"/>
            </w:tcBorders>
            <w:vAlign w:val="bottom"/>
          </w:tcPr>
          <w:p w:rsidR="00A621E3" w:rsidRDefault="00A621E3">
            <w:pPr>
              <w:rPr>
                <w:sz w:val="14"/>
                <w:szCs w:val="14"/>
              </w:rPr>
            </w:pPr>
          </w:p>
        </w:tc>
        <w:tc>
          <w:tcPr>
            <w:tcW w:w="2200" w:type="dxa"/>
            <w:vMerge w:val="restart"/>
            <w:tcBorders>
              <w:right w:val="single" w:sz="8" w:space="0" w:color="CF0A2C"/>
            </w:tcBorders>
            <w:shd w:val="clear" w:color="auto" w:fill="FAE6E9"/>
            <w:vAlign w:val="bottom"/>
          </w:tcPr>
          <w:p w:rsidR="00A621E3" w:rsidRDefault="00EC630E">
            <w:pPr>
              <w:jc w:val="center"/>
              <w:rPr>
                <w:sz w:val="20"/>
                <w:szCs w:val="20"/>
              </w:rPr>
            </w:pPr>
            <w:r>
              <w:rPr>
                <w:rFonts w:ascii="Arial" w:eastAsia="Arial" w:hAnsi="Arial" w:cs="Arial"/>
                <w:color w:val="CF0A2C"/>
                <w:w w:val="89"/>
                <w:sz w:val="18"/>
                <w:szCs w:val="18"/>
              </w:rPr>
              <w:t>Performance</w:t>
            </w:r>
          </w:p>
        </w:tc>
        <w:tc>
          <w:tcPr>
            <w:tcW w:w="0" w:type="dxa"/>
            <w:vAlign w:val="bottom"/>
          </w:tcPr>
          <w:p w:rsidR="00A621E3" w:rsidRDefault="00A621E3">
            <w:pPr>
              <w:rPr>
                <w:sz w:val="1"/>
                <w:szCs w:val="1"/>
              </w:rPr>
            </w:pPr>
          </w:p>
        </w:tc>
      </w:tr>
      <w:tr w:rsidR="00A621E3">
        <w:trPr>
          <w:trHeight w:val="68"/>
        </w:trPr>
        <w:tc>
          <w:tcPr>
            <w:tcW w:w="2100" w:type="dxa"/>
            <w:tcBorders>
              <w:left w:val="single" w:sz="8" w:space="0" w:color="CF0A2C"/>
              <w:right w:val="single" w:sz="8" w:space="0" w:color="CF0A2C"/>
            </w:tcBorders>
            <w:shd w:val="clear" w:color="auto" w:fill="FAE6E9"/>
            <w:vAlign w:val="bottom"/>
          </w:tcPr>
          <w:p w:rsidR="00A621E3" w:rsidRDefault="00A621E3">
            <w:pPr>
              <w:rPr>
                <w:sz w:val="5"/>
                <w:szCs w:val="5"/>
              </w:rPr>
            </w:pPr>
          </w:p>
        </w:tc>
        <w:tc>
          <w:tcPr>
            <w:tcW w:w="300" w:type="dxa"/>
            <w:tcBorders>
              <w:right w:val="single" w:sz="8" w:space="0" w:color="CF0A2C"/>
            </w:tcBorders>
            <w:vAlign w:val="bottom"/>
          </w:tcPr>
          <w:p w:rsidR="00A621E3" w:rsidRDefault="00A621E3">
            <w:pPr>
              <w:rPr>
                <w:sz w:val="5"/>
                <w:szCs w:val="5"/>
              </w:rPr>
            </w:pPr>
          </w:p>
        </w:tc>
        <w:tc>
          <w:tcPr>
            <w:tcW w:w="1900" w:type="dxa"/>
            <w:vMerge/>
            <w:tcBorders>
              <w:right w:val="single" w:sz="8" w:space="0" w:color="CF0A2C"/>
            </w:tcBorders>
            <w:shd w:val="clear" w:color="auto" w:fill="FAE6E9"/>
            <w:vAlign w:val="bottom"/>
          </w:tcPr>
          <w:p w:rsidR="00A621E3" w:rsidRDefault="00A621E3">
            <w:pPr>
              <w:rPr>
                <w:sz w:val="5"/>
                <w:szCs w:val="5"/>
              </w:rPr>
            </w:pPr>
          </w:p>
        </w:tc>
        <w:tc>
          <w:tcPr>
            <w:tcW w:w="300" w:type="dxa"/>
            <w:tcBorders>
              <w:right w:val="single" w:sz="8" w:space="0" w:color="CF0A2C"/>
            </w:tcBorders>
            <w:vAlign w:val="bottom"/>
          </w:tcPr>
          <w:p w:rsidR="00A621E3" w:rsidRDefault="00A621E3">
            <w:pPr>
              <w:rPr>
                <w:sz w:val="5"/>
                <w:szCs w:val="5"/>
              </w:rPr>
            </w:pPr>
          </w:p>
        </w:tc>
        <w:tc>
          <w:tcPr>
            <w:tcW w:w="1820" w:type="dxa"/>
            <w:vMerge/>
            <w:tcBorders>
              <w:right w:val="single" w:sz="8" w:space="0" w:color="CF0A2C"/>
            </w:tcBorders>
            <w:shd w:val="clear" w:color="auto" w:fill="FAE6E9"/>
            <w:vAlign w:val="bottom"/>
          </w:tcPr>
          <w:p w:rsidR="00A621E3" w:rsidRDefault="00A621E3">
            <w:pPr>
              <w:rPr>
                <w:sz w:val="5"/>
                <w:szCs w:val="5"/>
              </w:rPr>
            </w:pPr>
          </w:p>
        </w:tc>
        <w:tc>
          <w:tcPr>
            <w:tcW w:w="300" w:type="dxa"/>
            <w:tcBorders>
              <w:right w:val="single" w:sz="8" w:space="0" w:color="CF0A2C"/>
            </w:tcBorders>
            <w:vAlign w:val="bottom"/>
          </w:tcPr>
          <w:p w:rsidR="00A621E3" w:rsidRDefault="00A621E3">
            <w:pPr>
              <w:rPr>
                <w:sz w:val="5"/>
                <w:szCs w:val="5"/>
              </w:rPr>
            </w:pPr>
          </w:p>
        </w:tc>
        <w:tc>
          <w:tcPr>
            <w:tcW w:w="1820" w:type="dxa"/>
            <w:vMerge/>
            <w:tcBorders>
              <w:right w:val="single" w:sz="8" w:space="0" w:color="CF0A2C"/>
            </w:tcBorders>
            <w:shd w:val="clear" w:color="auto" w:fill="FAE6E9"/>
            <w:vAlign w:val="bottom"/>
          </w:tcPr>
          <w:p w:rsidR="00A621E3" w:rsidRDefault="00A621E3">
            <w:pPr>
              <w:rPr>
                <w:sz w:val="5"/>
                <w:szCs w:val="5"/>
              </w:rPr>
            </w:pPr>
          </w:p>
        </w:tc>
        <w:tc>
          <w:tcPr>
            <w:tcW w:w="300" w:type="dxa"/>
            <w:tcBorders>
              <w:right w:val="single" w:sz="8" w:space="0" w:color="CF0A2C"/>
            </w:tcBorders>
            <w:vAlign w:val="bottom"/>
          </w:tcPr>
          <w:p w:rsidR="00A621E3" w:rsidRDefault="00A621E3">
            <w:pPr>
              <w:rPr>
                <w:sz w:val="5"/>
                <w:szCs w:val="5"/>
              </w:rPr>
            </w:pPr>
          </w:p>
        </w:tc>
        <w:tc>
          <w:tcPr>
            <w:tcW w:w="2200" w:type="dxa"/>
            <w:vMerge/>
            <w:tcBorders>
              <w:right w:val="single" w:sz="8" w:space="0" w:color="CF0A2C"/>
            </w:tcBorders>
            <w:shd w:val="clear" w:color="auto" w:fill="FAE6E9"/>
            <w:vAlign w:val="bottom"/>
          </w:tcPr>
          <w:p w:rsidR="00A621E3" w:rsidRDefault="00A621E3">
            <w:pPr>
              <w:rPr>
                <w:sz w:val="5"/>
                <w:szCs w:val="5"/>
              </w:rPr>
            </w:pPr>
          </w:p>
        </w:tc>
        <w:tc>
          <w:tcPr>
            <w:tcW w:w="0" w:type="dxa"/>
            <w:vAlign w:val="bottom"/>
          </w:tcPr>
          <w:p w:rsidR="00A621E3" w:rsidRDefault="00A621E3">
            <w:pPr>
              <w:rPr>
                <w:sz w:val="1"/>
                <w:szCs w:val="1"/>
              </w:rPr>
            </w:pPr>
          </w:p>
        </w:tc>
      </w:tr>
      <w:tr w:rsidR="00A621E3">
        <w:trPr>
          <w:trHeight w:val="270"/>
        </w:trPr>
        <w:tc>
          <w:tcPr>
            <w:tcW w:w="2100" w:type="dxa"/>
            <w:tcBorders>
              <w:left w:val="single" w:sz="8" w:space="0" w:color="CF0A2C"/>
              <w:right w:val="single" w:sz="8" w:space="0" w:color="CF0A2C"/>
            </w:tcBorders>
            <w:shd w:val="clear" w:color="auto" w:fill="FAE6E9"/>
            <w:vAlign w:val="bottom"/>
          </w:tcPr>
          <w:p w:rsidR="00A621E3" w:rsidRDefault="00A621E3">
            <w:pPr>
              <w:rPr>
                <w:sz w:val="23"/>
                <w:szCs w:val="23"/>
              </w:rPr>
            </w:pPr>
          </w:p>
        </w:tc>
        <w:tc>
          <w:tcPr>
            <w:tcW w:w="300" w:type="dxa"/>
            <w:tcBorders>
              <w:right w:val="single" w:sz="8" w:space="0" w:color="CF0A2C"/>
            </w:tcBorders>
            <w:vAlign w:val="bottom"/>
          </w:tcPr>
          <w:p w:rsidR="00A621E3" w:rsidRDefault="00A621E3">
            <w:pPr>
              <w:rPr>
                <w:sz w:val="23"/>
                <w:szCs w:val="23"/>
              </w:rPr>
            </w:pPr>
          </w:p>
        </w:tc>
        <w:tc>
          <w:tcPr>
            <w:tcW w:w="1900" w:type="dxa"/>
            <w:tcBorders>
              <w:right w:val="single" w:sz="8" w:space="0" w:color="CF0A2C"/>
            </w:tcBorders>
            <w:shd w:val="clear" w:color="auto" w:fill="FAE6E9"/>
            <w:vAlign w:val="bottom"/>
          </w:tcPr>
          <w:p w:rsidR="00A621E3" w:rsidRDefault="00EC630E">
            <w:pPr>
              <w:jc w:val="center"/>
              <w:rPr>
                <w:sz w:val="20"/>
                <w:szCs w:val="20"/>
              </w:rPr>
            </w:pPr>
            <w:r>
              <w:rPr>
                <w:rFonts w:ascii="Arial" w:eastAsia="Arial" w:hAnsi="Arial" w:cs="Arial"/>
                <w:color w:val="CF0A2C"/>
                <w:w w:val="89"/>
                <w:sz w:val="18"/>
                <w:szCs w:val="18"/>
              </w:rPr>
              <w:t>Base Salary)</w:t>
            </w:r>
          </w:p>
        </w:tc>
        <w:tc>
          <w:tcPr>
            <w:tcW w:w="300" w:type="dxa"/>
            <w:tcBorders>
              <w:right w:val="single" w:sz="8" w:space="0" w:color="CF0A2C"/>
            </w:tcBorders>
            <w:vAlign w:val="bottom"/>
          </w:tcPr>
          <w:p w:rsidR="00A621E3" w:rsidRDefault="00A621E3">
            <w:pPr>
              <w:rPr>
                <w:sz w:val="23"/>
                <w:szCs w:val="23"/>
              </w:rPr>
            </w:pPr>
          </w:p>
        </w:tc>
        <w:tc>
          <w:tcPr>
            <w:tcW w:w="1820" w:type="dxa"/>
            <w:tcBorders>
              <w:right w:val="single" w:sz="8" w:space="0" w:color="CF0A2C"/>
            </w:tcBorders>
            <w:shd w:val="clear" w:color="auto" w:fill="FAE6E9"/>
            <w:vAlign w:val="bottom"/>
          </w:tcPr>
          <w:p w:rsidR="00A621E3" w:rsidRDefault="00EC630E">
            <w:pPr>
              <w:jc w:val="center"/>
              <w:rPr>
                <w:sz w:val="20"/>
                <w:szCs w:val="20"/>
              </w:rPr>
            </w:pPr>
            <w:r>
              <w:rPr>
                <w:rFonts w:ascii="Arial" w:eastAsia="Arial" w:hAnsi="Arial" w:cs="Arial"/>
                <w:color w:val="CF0A2C"/>
                <w:w w:val="93"/>
                <w:sz w:val="18"/>
                <w:szCs w:val="18"/>
              </w:rPr>
              <w:t>(0%-200%)</w:t>
            </w:r>
          </w:p>
        </w:tc>
        <w:tc>
          <w:tcPr>
            <w:tcW w:w="300" w:type="dxa"/>
            <w:tcBorders>
              <w:right w:val="single" w:sz="8" w:space="0" w:color="CF0A2C"/>
            </w:tcBorders>
            <w:vAlign w:val="bottom"/>
          </w:tcPr>
          <w:p w:rsidR="00A621E3" w:rsidRDefault="00A621E3">
            <w:pPr>
              <w:rPr>
                <w:sz w:val="23"/>
                <w:szCs w:val="23"/>
              </w:rPr>
            </w:pPr>
          </w:p>
        </w:tc>
        <w:tc>
          <w:tcPr>
            <w:tcW w:w="1820" w:type="dxa"/>
            <w:tcBorders>
              <w:right w:val="single" w:sz="8" w:space="0" w:color="CF0A2C"/>
            </w:tcBorders>
            <w:shd w:val="clear" w:color="auto" w:fill="FAE6E9"/>
            <w:vAlign w:val="bottom"/>
          </w:tcPr>
          <w:p w:rsidR="00A621E3" w:rsidRDefault="00EC630E">
            <w:pPr>
              <w:jc w:val="center"/>
              <w:rPr>
                <w:sz w:val="20"/>
                <w:szCs w:val="20"/>
              </w:rPr>
            </w:pPr>
            <w:r>
              <w:rPr>
                <w:rFonts w:ascii="Arial" w:eastAsia="Arial" w:hAnsi="Arial" w:cs="Arial"/>
                <w:color w:val="CF0A2C"/>
                <w:w w:val="93"/>
                <w:sz w:val="18"/>
                <w:szCs w:val="18"/>
              </w:rPr>
              <w:t>(0%-150%)</w:t>
            </w:r>
          </w:p>
        </w:tc>
        <w:tc>
          <w:tcPr>
            <w:tcW w:w="300" w:type="dxa"/>
            <w:tcBorders>
              <w:right w:val="single" w:sz="8" w:space="0" w:color="CF0A2C"/>
            </w:tcBorders>
            <w:vAlign w:val="bottom"/>
          </w:tcPr>
          <w:p w:rsidR="00A621E3" w:rsidRDefault="00A621E3">
            <w:pPr>
              <w:rPr>
                <w:sz w:val="23"/>
                <w:szCs w:val="23"/>
              </w:rPr>
            </w:pPr>
          </w:p>
        </w:tc>
        <w:tc>
          <w:tcPr>
            <w:tcW w:w="2200" w:type="dxa"/>
            <w:tcBorders>
              <w:right w:val="single" w:sz="8" w:space="0" w:color="CF0A2C"/>
            </w:tcBorders>
            <w:shd w:val="clear" w:color="auto" w:fill="FAE6E9"/>
            <w:vAlign w:val="bottom"/>
          </w:tcPr>
          <w:p w:rsidR="00A621E3" w:rsidRDefault="00EC630E">
            <w:pPr>
              <w:jc w:val="center"/>
              <w:rPr>
                <w:sz w:val="20"/>
                <w:szCs w:val="20"/>
              </w:rPr>
            </w:pPr>
            <w:r>
              <w:rPr>
                <w:rFonts w:ascii="Arial" w:eastAsia="Arial" w:hAnsi="Arial" w:cs="Arial"/>
                <w:color w:val="CF0A2C"/>
                <w:w w:val="89"/>
                <w:sz w:val="18"/>
                <w:szCs w:val="18"/>
              </w:rPr>
              <w:t>Bonus Payout</w:t>
            </w:r>
          </w:p>
        </w:tc>
        <w:tc>
          <w:tcPr>
            <w:tcW w:w="0" w:type="dxa"/>
            <w:vAlign w:val="bottom"/>
          </w:tcPr>
          <w:p w:rsidR="00A621E3" w:rsidRDefault="00A621E3">
            <w:pPr>
              <w:rPr>
                <w:sz w:val="1"/>
                <w:szCs w:val="1"/>
              </w:rPr>
            </w:pPr>
          </w:p>
        </w:tc>
      </w:tr>
      <w:tr w:rsidR="00A621E3">
        <w:trPr>
          <w:trHeight w:val="378"/>
        </w:trPr>
        <w:tc>
          <w:tcPr>
            <w:tcW w:w="2100" w:type="dxa"/>
            <w:tcBorders>
              <w:left w:val="single" w:sz="8" w:space="0" w:color="CF0A2C"/>
              <w:bottom w:val="single" w:sz="8" w:space="0" w:color="CF0A2C"/>
              <w:right w:val="single" w:sz="8" w:space="0" w:color="CF0A2C"/>
            </w:tcBorders>
            <w:shd w:val="clear" w:color="auto" w:fill="FAE6E9"/>
            <w:vAlign w:val="bottom"/>
          </w:tcPr>
          <w:p w:rsidR="00A621E3" w:rsidRDefault="00A621E3">
            <w:pPr>
              <w:rPr>
                <w:sz w:val="24"/>
                <w:szCs w:val="24"/>
              </w:rPr>
            </w:pPr>
          </w:p>
        </w:tc>
        <w:tc>
          <w:tcPr>
            <w:tcW w:w="300" w:type="dxa"/>
            <w:tcBorders>
              <w:right w:val="single" w:sz="8" w:space="0" w:color="CF0A2C"/>
            </w:tcBorders>
            <w:vAlign w:val="bottom"/>
          </w:tcPr>
          <w:p w:rsidR="00A621E3" w:rsidRDefault="00A621E3">
            <w:pPr>
              <w:rPr>
                <w:sz w:val="24"/>
                <w:szCs w:val="24"/>
              </w:rPr>
            </w:pPr>
          </w:p>
        </w:tc>
        <w:tc>
          <w:tcPr>
            <w:tcW w:w="1900" w:type="dxa"/>
            <w:tcBorders>
              <w:bottom w:val="single" w:sz="8" w:space="0" w:color="CF0A2C"/>
              <w:right w:val="single" w:sz="8" w:space="0" w:color="CF0A2C"/>
            </w:tcBorders>
            <w:shd w:val="clear" w:color="auto" w:fill="FAE6E9"/>
            <w:vAlign w:val="bottom"/>
          </w:tcPr>
          <w:p w:rsidR="00A621E3" w:rsidRDefault="00A621E3">
            <w:pPr>
              <w:rPr>
                <w:sz w:val="24"/>
                <w:szCs w:val="24"/>
              </w:rPr>
            </w:pPr>
          </w:p>
        </w:tc>
        <w:tc>
          <w:tcPr>
            <w:tcW w:w="300" w:type="dxa"/>
            <w:tcBorders>
              <w:right w:val="single" w:sz="8" w:space="0" w:color="CF0A2C"/>
            </w:tcBorders>
            <w:vAlign w:val="bottom"/>
          </w:tcPr>
          <w:p w:rsidR="00A621E3" w:rsidRDefault="00A621E3">
            <w:pPr>
              <w:rPr>
                <w:sz w:val="24"/>
                <w:szCs w:val="24"/>
              </w:rPr>
            </w:pPr>
          </w:p>
        </w:tc>
        <w:tc>
          <w:tcPr>
            <w:tcW w:w="1820" w:type="dxa"/>
            <w:tcBorders>
              <w:bottom w:val="single" w:sz="8" w:space="0" w:color="CF0A2C"/>
              <w:right w:val="single" w:sz="8" w:space="0" w:color="CF0A2C"/>
            </w:tcBorders>
            <w:shd w:val="clear" w:color="auto" w:fill="FAE6E9"/>
            <w:vAlign w:val="bottom"/>
          </w:tcPr>
          <w:p w:rsidR="00A621E3" w:rsidRDefault="00A621E3">
            <w:pPr>
              <w:rPr>
                <w:sz w:val="24"/>
                <w:szCs w:val="24"/>
              </w:rPr>
            </w:pPr>
          </w:p>
        </w:tc>
        <w:tc>
          <w:tcPr>
            <w:tcW w:w="300" w:type="dxa"/>
            <w:tcBorders>
              <w:right w:val="single" w:sz="8" w:space="0" w:color="CF0A2C"/>
            </w:tcBorders>
            <w:vAlign w:val="bottom"/>
          </w:tcPr>
          <w:p w:rsidR="00A621E3" w:rsidRDefault="00A621E3">
            <w:pPr>
              <w:rPr>
                <w:sz w:val="24"/>
                <w:szCs w:val="24"/>
              </w:rPr>
            </w:pPr>
          </w:p>
        </w:tc>
        <w:tc>
          <w:tcPr>
            <w:tcW w:w="1820" w:type="dxa"/>
            <w:tcBorders>
              <w:bottom w:val="single" w:sz="8" w:space="0" w:color="CF0A2C"/>
              <w:right w:val="single" w:sz="8" w:space="0" w:color="CF0A2C"/>
            </w:tcBorders>
            <w:shd w:val="clear" w:color="auto" w:fill="FAE6E9"/>
            <w:vAlign w:val="bottom"/>
          </w:tcPr>
          <w:p w:rsidR="00A621E3" w:rsidRDefault="00A621E3">
            <w:pPr>
              <w:rPr>
                <w:sz w:val="24"/>
                <w:szCs w:val="24"/>
              </w:rPr>
            </w:pPr>
          </w:p>
        </w:tc>
        <w:tc>
          <w:tcPr>
            <w:tcW w:w="300" w:type="dxa"/>
            <w:tcBorders>
              <w:right w:val="single" w:sz="8" w:space="0" w:color="CF0A2C"/>
            </w:tcBorders>
            <w:vAlign w:val="bottom"/>
          </w:tcPr>
          <w:p w:rsidR="00A621E3" w:rsidRDefault="00A621E3">
            <w:pPr>
              <w:rPr>
                <w:sz w:val="24"/>
                <w:szCs w:val="24"/>
              </w:rPr>
            </w:pPr>
          </w:p>
        </w:tc>
        <w:tc>
          <w:tcPr>
            <w:tcW w:w="2200" w:type="dxa"/>
            <w:tcBorders>
              <w:bottom w:val="single" w:sz="8" w:space="0" w:color="CF0A2C"/>
              <w:right w:val="single" w:sz="8" w:space="0" w:color="CF0A2C"/>
            </w:tcBorders>
            <w:shd w:val="clear" w:color="auto" w:fill="FAE6E9"/>
            <w:vAlign w:val="bottom"/>
          </w:tcPr>
          <w:p w:rsidR="00A621E3" w:rsidRDefault="00A621E3">
            <w:pPr>
              <w:rPr>
                <w:sz w:val="24"/>
                <w:szCs w:val="24"/>
              </w:rPr>
            </w:pPr>
          </w:p>
        </w:tc>
        <w:tc>
          <w:tcPr>
            <w:tcW w:w="0" w:type="dxa"/>
            <w:vAlign w:val="bottom"/>
          </w:tcPr>
          <w:p w:rsidR="00A621E3" w:rsidRDefault="00A621E3">
            <w:pPr>
              <w:rPr>
                <w:sz w:val="1"/>
                <w:szCs w:val="1"/>
              </w:rPr>
            </w:pPr>
          </w:p>
        </w:tc>
      </w:tr>
    </w:tbl>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134" w:lineRule="exact"/>
        <w:rPr>
          <w:sz w:val="20"/>
          <w:szCs w:val="20"/>
        </w:rPr>
      </w:pPr>
    </w:p>
    <w:p w:rsidR="00A621E3" w:rsidRDefault="00EC630E">
      <w:pPr>
        <w:ind w:left="120"/>
        <w:rPr>
          <w:sz w:val="20"/>
          <w:szCs w:val="20"/>
        </w:rPr>
      </w:pPr>
      <w:r>
        <w:rPr>
          <w:rFonts w:ascii="Arial" w:eastAsia="Arial" w:hAnsi="Arial" w:cs="Arial"/>
          <w:i/>
          <w:iCs/>
          <w:color w:val="CF0A2C"/>
          <w:sz w:val="20"/>
          <w:szCs w:val="20"/>
        </w:rPr>
        <w:t>Team Performance Factors</w:t>
      </w:r>
    </w:p>
    <w:p w:rsidR="00A621E3" w:rsidRDefault="00A621E3">
      <w:pPr>
        <w:spacing w:line="243" w:lineRule="exact"/>
        <w:rPr>
          <w:sz w:val="20"/>
          <w:szCs w:val="20"/>
        </w:rPr>
      </w:pPr>
    </w:p>
    <w:p w:rsidR="00A621E3" w:rsidRDefault="00EC630E">
      <w:pPr>
        <w:spacing w:line="307" w:lineRule="auto"/>
        <w:ind w:left="120"/>
        <w:jc w:val="both"/>
        <w:rPr>
          <w:sz w:val="20"/>
          <w:szCs w:val="20"/>
        </w:rPr>
      </w:pPr>
      <w:r>
        <w:rPr>
          <w:rFonts w:ascii="Arial" w:eastAsia="Arial" w:hAnsi="Arial" w:cs="Arial"/>
          <w:sz w:val="16"/>
          <w:szCs w:val="16"/>
        </w:rPr>
        <w:t xml:space="preserve">The Compensation Committee reviewed the performance measures used in the annual incentive plan to assess the program’s alignment of the incentive payouts with key </w:t>
      </w:r>
      <w:r>
        <w:rPr>
          <w:rFonts w:ascii="Arial" w:eastAsia="Arial" w:hAnsi="Arial" w:cs="Arial"/>
          <w:sz w:val="16"/>
          <w:szCs w:val="16"/>
        </w:rPr>
        <w:t>performance measures of the Company’s overall business and operating segments. The Compensation Committee established the initial team performance measures, targets and weights for the 2022 bonus program at the beginning of the year after receiving input a</w:t>
      </w:r>
      <w:r>
        <w:rPr>
          <w:rFonts w:ascii="Arial" w:eastAsia="Arial" w:hAnsi="Arial" w:cs="Arial"/>
          <w:sz w:val="16"/>
          <w:szCs w:val="16"/>
        </w:rPr>
        <w:t>nd recommendations from management and the Compensation Committee’s compensation consultant. The team performance objectives and targets in 2022 were developed through the Company’s annual financial planning process, which took into account growth strategi</w:t>
      </w:r>
      <w:r>
        <w:rPr>
          <w:rFonts w:ascii="Arial" w:eastAsia="Arial" w:hAnsi="Arial" w:cs="Arial"/>
          <w:sz w:val="16"/>
          <w:szCs w:val="16"/>
        </w:rPr>
        <w:t>es, historical performance, and the existing and expected future operating environment of the Company.</w:t>
      </w:r>
    </w:p>
    <w:p w:rsidR="00A621E3" w:rsidRDefault="00A621E3">
      <w:pPr>
        <w:spacing w:line="200" w:lineRule="exact"/>
        <w:rPr>
          <w:sz w:val="20"/>
          <w:szCs w:val="20"/>
        </w:rPr>
      </w:pPr>
    </w:p>
    <w:p w:rsidR="00A621E3" w:rsidRDefault="00A621E3">
      <w:pPr>
        <w:spacing w:line="216" w:lineRule="exact"/>
        <w:rPr>
          <w:sz w:val="20"/>
          <w:szCs w:val="20"/>
        </w:rPr>
      </w:pPr>
    </w:p>
    <w:p w:rsidR="00A621E3" w:rsidRDefault="00EC630E">
      <w:pPr>
        <w:spacing w:line="272" w:lineRule="auto"/>
        <w:ind w:left="120"/>
        <w:jc w:val="both"/>
        <w:rPr>
          <w:sz w:val="20"/>
          <w:szCs w:val="20"/>
        </w:rPr>
      </w:pPr>
      <w:r>
        <w:rPr>
          <w:rFonts w:ascii="Arial" w:eastAsia="Arial" w:hAnsi="Arial" w:cs="Arial"/>
          <w:sz w:val="18"/>
          <w:szCs w:val="18"/>
        </w:rPr>
        <w:t>The Company’s annual incentive program targets, which were set in early 2022, reflected the Company’s business goals and priorities in light of the the</w:t>
      </w:r>
      <w:r>
        <w:rPr>
          <w:rFonts w:ascii="Arial" w:eastAsia="Arial" w:hAnsi="Arial" w:cs="Arial"/>
          <w:sz w:val="18"/>
          <w:szCs w:val="18"/>
        </w:rPr>
        <w:t>n prevailing operating environment. While the Compensation Committee’s practice has generally been to establish and communicate goals at the beginning of each year, the Compensation Committee also retains flexibility to modify the Company’s executive compe</w:t>
      </w:r>
      <w:r>
        <w:rPr>
          <w:rFonts w:ascii="Arial" w:eastAsia="Arial" w:hAnsi="Arial" w:cs="Arial"/>
          <w:sz w:val="18"/>
          <w:szCs w:val="18"/>
        </w:rPr>
        <w:t>nsation program when circumstances warrant, in order to continue to incentivize actions to drive operational performance and retain key talent. In</w:t>
      </w:r>
    </w:p>
    <w:p w:rsidR="00A621E3" w:rsidRDefault="00EC630E">
      <w:pPr>
        <w:spacing w:line="20" w:lineRule="exact"/>
        <w:rPr>
          <w:sz w:val="20"/>
          <w:szCs w:val="20"/>
        </w:rPr>
      </w:pPr>
      <w:r>
        <w:rPr>
          <w:sz w:val="20"/>
          <w:szCs w:val="20"/>
        </w:rPr>
        <w:br w:type="column"/>
      </w:r>
    </w:p>
    <w:p w:rsidR="00A621E3" w:rsidRDefault="00A621E3">
      <w:pPr>
        <w:spacing w:line="114" w:lineRule="exact"/>
        <w:rPr>
          <w:sz w:val="20"/>
          <w:szCs w:val="20"/>
        </w:rPr>
      </w:pPr>
    </w:p>
    <w:p w:rsidR="00A621E3" w:rsidRDefault="00EC630E">
      <w:pPr>
        <w:spacing w:line="260" w:lineRule="auto"/>
        <w:ind w:left="6" w:right="20"/>
        <w:jc w:val="both"/>
        <w:rPr>
          <w:sz w:val="20"/>
          <w:szCs w:val="20"/>
        </w:rPr>
      </w:pPr>
      <w:r>
        <w:rPr>
          <w:rFonts w:ascii="Arial" w:eastAsia="Arial" w:hAnsi="Arial" w:cs="Arial"/>
          <w:sz w:val="19"/>
          <w:szCs w:val="19"/>
        </w:rPr>
        <w:t xml:space="preserve">the first half of 2022, the highly transmissible Omicron variant caused significant volatility in our </w:t>
      </w:r>
      <w:r>
        <w:rPr>
          <w:rFonts w:ascii="Arial" w:eastAsia="Arial" w:hAnsi="Arial" w:cs="Arial"/>
          <w:sz w:val="19"/>
          <w:szCs w:val="19"/>
        </w:rPr>
        <w:t>business operations. For example, during April and May 2022, over 2,500 of our stores in China, on average, were either temporarily closed or offered only takeaway and delivery services.</w:t>
      </w:r>
    </w:p>
    <w:p w:rsidR="00A621E3" w:rsidRDefault="00A621E3">
      <w:pPr>
        <w:spacing w:line="207" w:lineRule="exact"/>
        <w:rPr>
          <w:sz w:val="20"/>
          <w:szCs w:val="20"/>
        </w:rPr>
      </w:pPr>
    </w:p>
    <w:p w:rsidR="00A621E3" w:rsidRDefault="00EC630E">
      <w:pPr>
        <w:spacing w:line="267" w:lineRule="auto"/>
        <w:ind w:left="6"/>
        <w:jc w:val="both"/>
        <w:rPr>
          <w:sz w:val="20"/>
          <w:szCs w:val="20"/>
        </w:rPr>
      </w:pPr>
      <w:r>
        <w:rPr>
          <w:rFonts w:ascii="Arial" w:eastAsia="Arial" w:hAnsi="Arial" w:cs="Arial"/>
          <w:sz w:val="18"/>
          <w:szCs w:val="18"/>
        </w:rPr>
        <w:t>In light of the volatile operating environment and the significant i</w:t>
      </w:r>
      <w:r>
        <w:rPr>
          <w:rFonts w:ascii="Arial" w:eastAsia="Arial" w:hAnsi="Arial" w:cs="Arial"/>
          <w:sz w:val="18"/>
          <w:szCs w:val="18"/>
        </w:rPr>
        <w:t>mpact of the Omicron-variant outbreaks on the Company’s operating and financial performance in the first half of 2022, the Compensation Committee considered potential real-time actions to help manage the immediate challenges, retain talent and motivate per</w:t>
      </w:r>
      <w:r>
        <w:rPr>
          <w:rFonts w:ascii="Arial" w:eastAsia="Arial" w:hAnsi="Arial" w:cs="Arial"/>
          <w:sz w:val="18"/>
          <w:szCs w:val="18"/>
        </w:rPr>
        <w:t>formance. The Compensation Committee revisited the structure of the 2022 annual incentive program in order to continue to incentivize performance and focus on key business priorities at the time. Based on this review, in July 2022, the Compensation Committ</w:t>
      </w:r>
      <w:r>
        <w:rPr>
          <w:rFonts w:ascii="Arial" w:eastAsia="Arial" w:hAnsi="Arial" w:cs="Arial"/>
          <w:sz w:val="18"/>
          <w:szCs w:val="18"/>
        </w:rPr>
        <w:t>ee approved (i) the maintaining of the original KPIs to hold participants accountable for such goals, but with a reduction in the weighting of such KPIs from 100% to 30%, (ii) the introduction of two supplemental KPIs, accounting for 30% of the team factor</w:t>
      </w:r>
      <w:r>
        <w:rPr>
          <w:rFonts w:ascii="Arial" w:eastAsia="Arial" w:hAnsi="Arial" w:cs="Arial"/>
          <w:sz w:val="18"/>
          <w:szCs w:val="18"/>
        </w:rPr>
        <w:t xml:space="preserve"> weighting to motivate strategic actions to align with the Company’s key priorities to protect operating margin and profitability, and</w:t>
      </w:r>
    </w:p>
    <w:p w:rsidR="00A621E3" w:rsidRDefault="00A621E3">
      <w:pPr>
        <w:spacing w:line="4" w:lineRule="exact"/>
        <w:rPr>
          <w:sz w:val="20"/>
          <w:szCs w:val="20"/>
        </w:rPr>
      </w:pPr>
    </w:p>
    <w:p w:rsidR="00A621E3" w:rsidRDefault="00EC630E">
      <w:pPr>
        <w:numPr>
          <w:ilvl w:val="0"/>
          <w:numId w:val="72"/>
        </w:numPr>
        <w:tabs>
          <w:tab w:val="left" w:pos="406"/>
        </w:tabs>
        <w:spacing w:line="241" w:lineRule="auto"/>
        <w:ind w:left="6" w:right="20" w:hanging="6"/>
        <w:jc w:val="both"/>
        <w:rPr>
          <w:rFonts w:ascii="Arial" w:eastAsia="Arial" w:hAnsi="Arial" w:cs="Arial"/>
          <w:sz w:val="20"/>
          <w:szCs w:val="20"/>
        </w:rPr>
      </w:pPr>
      <w:r>
        <w:rPr>
          <w:rFonts w:ascii="Arial" w:eastAsia="Arial" w:hAnsi="Arial" w:cs="Arial"/>
          <w:sz w:val="20"/>
          <w:szCs w:val="20"/>
        </w:rPr>
        <w:t>the introduction of two relative measures requiring above-industry performance in the form of relative revenue growth (c</w:t>
      </w:r>
      <w:r>
        <w:rPr>
          <w:rFonts w:ascii="Arial" w:eastAsia="Arial" w:hAnsi="Arial" w:cs="Arial"/>
          <w:sz w:val="20"/>
          <w:szCs w:val="20"/>
        </w:rPr>
        <w:t>omparing the Company’s 2022 year-over-year growth rate in total revenues</w:t>
      </w:r>
    </w:p>
    <w:p w:rsidR="00A621E3" w:rsidRDefault="00A621E3">
      <w:pPr>
        <w:spacing w:line="25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34"/>
            <w:col w:w="5406"/>
          </w:cols>
        </w:sectPr>
      </w:pPr>
    </w:p>
    <w:p w:rsidR="00A621E3" w:rsidRDefault="00A621E3">
      <w:pPr>
        <w:spacing w:line="59" w:lineRule="exact"/>
        <w:rPr>
          <w:sz w:val="20"/>
          <w:szCs w:val="20"/>
        </w:rPr>
      </w:pPr>
    </w:p>
    <w:p w:rsidR="00A621E3" w:rsidRDefault="00EC630E">
      <w:pPr>
        <w:numPr>
          <w:ilvl w:val="0"/>
          <w:numId w:val="73"/>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907072"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62" w:name="page62"/>
      <w:bookmarkEnd w:id="62"/>
      <w:r>
        <w:rPr>
          <w:rFonts w:ascii="Arial" w:eastAsia="Arial" w:hAnsi="Arial" w:cs="Arial"/>
          <w:b/>
          <w:bCs/>
          <w:color w:val="0000EE"/>
          <w:sz w:val="18"/>
          <w:szCs w:val="18"/>
          <w:u w:val="single"/>
        </w:rPr>
        <w:t>Table of Contents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3" w:lineRule="exact"/>
        <w:rPr>
          <w:sz w:val="20"/>
          <w:szCs w:val="20"/>
        </w:rPr>
      </w:pPr>
    </w:p>
    <w:p w:rsidR="00A621E3" w:rsidRDefault="00EC630E">
      <w:pPr>
        <w:spacing w:line="254" w:lineRule="auto"/>
        <w:ind w:left="120"/>
        <w:jc w:val="both"/>
        <w:rPr>
          <w:sz w:val="20"/>
          <w:szCs w:val="20"/>
        </w:rPr>
      </w:pPr>
      <w:r>
        <w:rPr>
          <w:rFonts w:ascii="Arial" w:eastAsia="Arial" w:hAnsi="Arial" w:cs="Arial"/>
          <w:sz w:val="19"/>
          <w:szCs w:val="19"/>
        </w:rPr>
        <w:t xml:space="preserve">against that of the China restaurant industry) and rTSR (comparing the </w:t>
      </w:r>
      <w:r>
        <w:rPr>
          <w:rFonts w:ascii="Arial" w:eastAsia="Arial" w:hAnsi="Arial" w:cs="Arial"/>
          <w:sz w:val="19"/>
          <w:szCs w:val="19"/>
        </w:rPr>
        <w:t xml:space="preserve">Company’s TSR in 2022 against the TSR of the constituents of the MSCI China Index), with the relative measures accounting for the remaining 40% of the team factor weighting. This modified program continued to maintain the same performance-based structure, </w:t>
      </w:r>
      <w:r>
        <w:rPr>
          <w:rFonts w:ascii="Arial" w:eastAsia="Arial" w:hAnsi="Arial" w:cs="Arial"/>
          <w:sz w:val="19"/>
          <w:szCs w:val="19"/>
        </w:rPr>
        <w:t>but with updates to reflect the evolving operating challenges created by the pandemic and changes in business focuses to address these challenges and the inclusion of relative measures to assess the Company’s success in navigating the pandemic against peer</w:t>
      </w:r>
      <w:r>
        <w:rPr>
          <w:rFonts w:ascii="Arial" w:eastAsia="Arial" w:hAnsi="Arial" w:cs="Arial"/>
          <w:sz w:val="19"/>
          <w:szCs w:val="19"/>
        </w:rPr>
        <w:t>s in the same operating market. The Compensation Committee assigned a 40% weight to the two new relative measures in recognition of the difficulty of forecasting absolute performance in light of the volatile operating environment. The Compensation Committe</w:t>
      </w:r>
      <w:r>
        <w:rPr>
          <w:rFonts w:ascii="Arial" w:eastAsia="Arial" w:hAnsi="Arial" w:cs="Arial"/>
          <w:sz w:val="19"/>
          <w:szCs w:val="19"/>
        </w:rPr>
        <w:t>e set rigorous targets for the new</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40"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 xml:space="preserve">The Company’s performance metrics were established as growth goals with 2021 as the baseline measure. This methodology required performance better than 2021 in order to receive a target payout. A </w:t>
      </w:r>
      <w:r>
        <w:rPr>
          <w:rFonts w:ascii="Arial" w:eastAsia="Arial" w:hAnsi="Arial" w:cs="Arial"/>
          <w:sz w:val="20"/>
          <w:szCs w:val="20"/>
        </w:rPr>
        <w:t>leverage formula for each team performance measure magnifies the potential impact that performance above or below the performance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4" w:lineRule="exact"/>
        <w:rPr>
          <w:sz w:val="20"/>
          <w:szCs w:val="20"/>
        </w:rPr>
      </w:pPr>
    </w:p>
    <w:p w:rsidR="00A621E3" w:rsidRDefault="00EC630E">
      <w:pPr>
        <w:ind w:left="2940"/>
        <w:rPr>
          <w:sz w:val="20"/>
          <w:szCs w:val="20"/>
        </w:rPr>
      </w:pPr>
      <w:r>
        <w:rPr>
          <w:rFonts w:ascii="Arial" w:eastAsia="Arial" w:hAnsi="Arial" w:cs="Arial"/>
          <w:b/>
          <w:bCs/>
          <w:color w:val="FFFFFF"/>
          <w:sz w:val="16"/>
          <w:szCs w:val="16"/>
        </w:rPr>
        <w:t>EXECUTIVE COMPENSATION</w:t>
      </w:r>
    </w:p>
    <w:p w:rsidR="00A621E3" w:rsidRDefault="00EC630E">
      <w:pPr>
        <w:spacing w:line="20" w:lineRule="exact"/>
        <w:rPr>
          <w:sz w:val="20"/>
          <w:szCs w:val="20"/>
        </w:rPr>
      </w:pPr>
      <w:r>
        <w:rPr>
          <w:noProof/>
          <w:sz w:val="20"/>
          <w:szCs w:val="20"/>
        </w:rPr>
        <w:drawing>
          <wp:anchor distT="0" distB="0" distL="114300" distR="114300" simplePos="0" relativeHeight="251908096" behindDoc="1" locked="0" layoutInCell="0" allowOverlap="1">
            <wp:simplePos x="0" y="0"/>
            <wp:positionH relativeFrom="column">
              <wp:posOffset>-3651885</wp:posOffset>
            </wp:positionH>
            <wp:positionV relativeFrom="paragraph">
              <wp:posOffset>-713105</wp:posOffset>
            </wp:positionV>
            <wp:extent cx="7174865" cy="55880"/>
            <wp:effectExtent l="0" t="0" r="0" b="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noProof/>
          <w:sz w:val="20"/>
          <w:szCs w:val="20"/>
        </w:rPr>
        <w:drawing>
          <wp:anchor distT="0" distB="0" distL="114300" distR="114300" simplePos="0" relativeHeight="251909120" behindDoc="1" locked="0" layoutInCell="0" allowOverlap="1">
            <wp:simplePos x="0" y="0"/>
            <wp:positionH relativeFrom="column">
              <wp:posOffset>1717675</wp:posOffset>
            </wp:positionH>
            <wp:positionV relativeFrom="paragraph">
              <wp:posOffset>-156210</wp:posOffset>
            </wp:positionV>
            <wp:extent cx="1705610" cy="205740"/>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243" w:lineRule="exact"/>
        <w:rPr>
          <w:sz w:val="20"/>
          <w:szCs w:val="20"/>
        </w:rPr>
      </w:pPr>
    </w:p>
    <w:p w:rsidR="00A621E3" w:rsidRDefault="00EC630E">
      <w:pPr>
        <w:spacing w:line="260" w:lineRule="auto"/>
        <w:jc w:val="both"/>
        <w:rPr>
          <w:sz w:val="20"/>
          <w:szCs w:val="20"/>
        </w:rPr>
      </w:pPr>
      <w:r>
        <w:rPr>
          <w:rFonts w:ascii="Arial" w:eastAsia="Arial" w:hAnsi="Arial" w:cs="Arial"/>
          <w:sz w:val="18"/>
          <w:szCs w:val="18"/>
        </w:rPr>
        <w:t xml:space="preserve">relative measures, which required above-industry performance and results: target performance </w:t>
      </w:r>
      <w:r>
        <w:rPr>
          <w:rFonts w:ascii="Arial" w:eastAsia="Arial" w:hAnsi="Arial" w:cs="Arial"/>
          <w:sz w:val="18"/>
          <w:szCs w:val="18"/>
        </w:rPr>
        <w:t>for the rTSR measure required the Company to be at the 55</w:t>
      </w:r>
      <w:r>
        <w:rPr>
          <w:rFonts w:ascii="Arial" w:eastAsia="Arial" w:hAnsi="Arial" w:cs="Arial"/>
          <w:sz w:val="26"/>
          <w:szCs w:val="26"/>
          <w:vertAlign w:val="superscript"/>
        </w:rPr>
        <w:t>th</w:t>
      </w:r>
      <w:r>
        <w:rPr>
          <w:rFonts w:ascii="Arial" w:eastAsia="Arial" w:hAnsi="Arial" w:cs="Arial"/>
          <w:sz w:val="18"/>
          <w:szCs w:val="18"/>
        </w:rPr>
        <w:t xml:space="preserve"> percentile and target performance for the relative revenue growth metric required the Company’s total revenues, excluding foreign currency translation, to be at least 2% higher than that of the Ch</w:t>
      </w:r>
      <w:r>
        <w:rPr>
          <w:rFonts w:ascii="Arial" w:eastAsia="Arial" w:hAnsi="Arial" w:cs="Arial"/>
          <w:sz w:val="18"/>
          <w:szCs w:val="18"/>
        </w:rPr>
        <w:t>ina restaurant industry. The payout for the rTSR measure would have been capped at target if the Company’s TSR performance was negative. The Compensation Committee determined that this combination of performance metrics was aligned with the Company’s strat</w:t>
      </w:r>
      <w:r>
        <w:rPr>
          <w:rFonts w:ascii="Arial" w:eastAsia="Arial" w:hAnsi="Arial" w:cs="Arial"/>
          <w:sz w:val="18"/>
          <w:szCs w:val="18"/>
        </w:rPr>
        <w:t>egic actions to help protect the Company’s operating margin and profitability during this challenging time and appropriate to motivate management to focus on the successful execution of the Company’s operational plan.</w:t>
      </w:r>
    </w:p>
    <w:p w:rsidR="00A621E3" w:rsidRDefault="00EC630E">
      <w:pPr>
        <w:spacing w:line="20" w:lineRule="exact"/>
        <w:rPr>
          <w:sz w:val="20"/>
          <w:szCs w:val="20"/>
        </w:rPr>
      </w:pPr>
      <w:r>
        <w:rPr>
          <w:noProof/>
          <w:sz w:val="20"/>
          <w:szCs w:val="20"/>
        </w:rPr>
        <w:drawing>
          <wp:anchor distT="0" distB="0" distL="114300" distR="114300" simplePos="0" relativeHeight="251910144" behindDoc="1" locked="0" layoutInCell="0" allowOverlap="1">
            <wp:simplePos x="0" y="0"/>
            <wp:positionH relativeFrom="column">
              <wp:posOffset>-2670810</wp:posOffset>
            </wp:positionH>
            <wp:positionV relativeFrom="paragraph">
              <wp:posOffset>565150</wp:posOffset>
            </wp:positionV>
            <wp:extent cx="5194935" cy="2202815"/>
            <wp:effectExtent l="0" t="0" r="0" b="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6">
                      <a:extLst/>
                    </a:blip>
                    <a:srcRect/>
                    <a:stretch>
                      <a:fillRect/>
                    </a:stretch>
                  </pic:blipFill>
                  <pic:spPr bwMode="auto">
                    <a:xfrm>
                      <a:off x="0" y="0"/>
                      <a:ext cx="5194935" cy="220281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74" w:lineRule="exact"/>
        <w:rPr>
          <w:sz w:val="20"/>
          <w:szCs w:val="20"/>
        </w:rPr>
      </w:pPr>
    </w:p>
    <w:p w:rsidR="00A621E3" w:rsidRDefault="00EC630E">
      <w:pPr>
        <w:spacing w:line="321" w:lineRule="auto"/>
        <w:ind w:right="20"/>
        <w:jc w:val="both"/>
        <w:rPr>
          <w:sz w:val="20"/>
          <w:szCs w:val="20"/>
        </w:rPr>
      </w:pPr>
      <w:r>
        <w:rPr>
          <w:rFonts w:ascii="Arial" w:eastAsia="Arial" w:hAnsi="Arial" w:cs="Arial"/>
          <w:sz w:val="16"/>
          <w:szCs w:val="16"/>
        </w:rPr>
        <w:t xml:space="preserve">target will </w:t>
      </w:r>
      <w:r>
        <w:rPr>
          <w:rFonts w:ascii="Arial" w:eastAsia="Arial" w:hAnsi="Arial" w:cs="Arial"/>
          <w:sz w:val="16"/>
          <w:szCs w:val="16"/>
        </w:rPr>
        <w:t>have on the calculation of the annual bonus. This leverage increases the payouts when targets are exceeded, and reduces payouts when performance is below target, with a threshold level of performance required in order for any bonus associated with such met</w:t>
      </w:r>
      <w:r>
        <w:rPr>
          <w:rFonts w:ascii="Arial" w:eastAsia="Arial" w:hAnsi="Arial" w:cs="Arial"/>
          <w:sz w:val="16"/>
          <w:szCs w:val="16"/>
        </w:rPr>
        <w:t>ric to be paid and a cap on bonus payments.</w:t>
      </w:r>
    </w:p>
    <w:p w:rsidR="00A621E3" w:rsidRDefault="00A621E3">
      <w:pPr>
        <w:spacing w:line="200" w:lineRule="exact"/>
        <w:rPr>
          <w:sz w:val="20"/>
          <w:szCs w:val="20"/>
        </w:rPr>
      </w:pPr>
    </w:p>
    <w:p w:rsidR="00A621E3" w:rsidRDefault="00A621E3">
      <w:pPr>
        <w:spacing w:line="247" w:lineRule="exact"/>
        <w:rPr>
          <w:sz w:val="20"/>
          <w:szCs w:val="20"/>
        </w:rPr>
      </w:pPr>
    </w:p>
    <w:p w:rsidR="00A621E3" w:rsidRDefault="00EC630E">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57</w:t>
      </w:r>
    </w:p>
    <w:p w:rsidR="00A621E3" w:rsidRDefault="00EC630E">
      <w:pPr>
        <w:spacing w:line="20" w:lineRule="exact"/>
        <w:rPr>
          <w:sz w:val="20"/>
          <w:szCs w:val="20"/>
        </w:rPr>
      </w:pPr>
      <w:r>
        <w:rPr>
          <w:noProof/>
          <w:sz w:val="20"/>
          <w:szCs w:val="20"/>
        </w:rPr>
        <w:drawing>
          <wp:anchor distT="0" distB="0" distL="114300" distR="114300" simplePos="0" relativeHeight="251911168" behindDoc="1" locked="0" layoutInCell="0" allowOverlap="1">
            <wp:simplePos x="0" y="0"/>
            <wp:positionH relativeFrom="column">
              <wp:posOffset>3149600</wp:posOffset>
            </wp:positionH>
            <wp:positionV relativeFrom="paragraph">
              <wp:posOffset>-93345</wp:posOffset>
            </wp:positionV>
            <wp:extent cx="8255" cy="102870"/>
            <wp:effectExtent l="0" t="0" r="0" b="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63" w:name="page63"/>
      <w:bookmarkEnd w:id="63"/>
      <w:r>
        <w:rPr>
          <w:rFonts w:ascii="Arial" w:eastAsia="Arial" w:hAnsi="Arial" w:cs="Arial"/>
          <w:b/>
          <w:bCs/>
          <w:noProof/>
          <w:color w:val="0000EE"/>
          <w:sz w:val="18"/>
          <w:szCs w:val="18"/>
          <w:u w:val="single"/>
        </w:rPr>
        <w:drawing>
          <wp:anchor distT="0" distB="0" distL="114300" distR="114300" simplePos="0" relativeHeight="25191219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A621E3">
      <w:pPr>
        <w:spacing w:line="32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500"/>
        <w:gridCol w:w="2940"/>
        <w:gridCol w:w="5560"/>
      </w:tblGrid>
      <w:tr w:rsidR="00A621E3">
        <w:trPr>
          <w:trHeight w:val="304"/>
        </w:trPr>
        <w:tc>
          <w:tcPr>
            <w:tcW w:w="2500" w:type="dxa"/>
            <w:tcBorders>
              <w:bottom w:val="single" w:sz="8" w:space="0" w:color="CF0A2C"/>
            </w:tcBorders>
            <w:shd w:val="clear" w:color="auto" w:fill="CF0A2C"/>
            <w:vAlign w:val="bottom"/>
          </w:tcPr>
          <w:p w:rsidR="00A621E3" w:rsidRDefault="00EC630E">
            <w:pPr>
              <w:ind w:left="80"/>
              <w:rPr>
                <w:sz w:val="20"/>
                <w:szCs w:val="20"/>
              </w:rPr>
            </w:pPr>
            <w:r>
              <w:rPr>
                <w:rFonts w:ascii="Arial" w:eastAsia="Arial" w:hAnsi="Arial" w:cs="Arial"/>
                <w:b/>
                <w:bCs/>
                <w:color w:val="FFFFFF"/>
                <w:sz w:val="16"/>
                <w:szCs w:val="16"/>
              </w:rPr>
              <w:t>EXECUTIVE COMPENSATION</w:t>
            </w:r>
          </w:p>
        </w:tc>
        <w:tc>
          <w:tcPr>
            <w:tcW w:w="2940" w:type="dxa"/>
            <w:vAlign w:val="bottom"/>
          </w:tcPr>
          <w:p w:rsidR="00A621E3" w:rsidRDefault="00A621E3">
            <w:pPr>
              <w:rPr>
                <w:sz w:val="24"/>
                <w:szCs w:val="24"/>
              </w:rPr>
            </w:pPr>
          </w:p>
        </w:tc>
        <w:tc>
          <w:tcPr>
            <w:tcW w:w="5560" w:type="dxa"/>
            <w:vAlign w:val="bottom"/>
          </w:tcPr>
          <w:p w:rsidR="00A621E3" w:rsidRDefault="00A621E3">
            <w:pPr>
              <w:rPr>
                <w:sz w:val="24"/>
                <w:szCs w:val="24"/>
              </w:rPr>
            </w:pPr>
          </w:p>
        </w:tc>
      </w:tr>
      <w:tr w:rsidR="00A621E3">
        <w:trPr>
          <w:trHeight w:val="415"/>
        </w:trPr>
        <w:tc>
          <w:tcPr>
            <w:tcW w:w="5440" w:type="dxa"/>
            <w:gridSpan w:val="2"/>
            <w:vAlign w:val="bottom"/>
          </w:tcPr>
          <w:p w:rsidR="00A621E3" w:rsidRDefault="00EC630E">
            <w:pPr>
              <w:rPr>
                <w:sz w:val="20"/>
                <w:szCs w:val="20"/>
              </w:rPr>
            </w:pPr>
            <w:r>
              <w:rPr>
                <w:rFonts w:ascii="Arial" w:eastAsia="Arial" w:hAnsi="Arial" w:cs="Arial"/>
                <w:sz w:val="20"/>
                <w:szCs w:val="20"/>
              </w:rPr>
              <w:t>The  team  performance  threshold,  target  and  maximum</w:t>
            </w:r>
          </w:p>
        </w:tc>
        <w:tc>
          <w:tcPr>
            <w:tcW w:w="5560" w:type="dxa"/>
            <w:vAlign w:val="bottom"/>
          </w:tcPr>
          <w:p w:rsidR="00A621E3" w:rsidRDefault="00EC630E">
            <w:pPr>
              <w:ind w:left="180"/>
              <w:rPr>
                <w:sz w:val="20"/>
                <w:szCs w:val="20"/>
              </w:rPr>
            </w:pPr>
            <w:r>
              <w:rPr>
                <w:rFonts w:ascii="Arial" w:eastAsia="Arial" w:hAnsi="Arial" w:cs="Arial"/>
                <w:w w:val="89"/>
                <w:sz w:val="20"/>
                <w:szCs w:val="20"/>
              </w:rPr>
              <w:t>performance for each measure following the</w:t>
            </w:r>
            <w:r>
              <w:rPr>
                <w:rFonts w:ascii="Arial" w:eastAsia="Arial" w:hAnsi="Arial" w:cs="Arial"/>
                <w:w w:val="89"/>
                <w:sz w:val="20"/>
                <w:szCs w:val="20"/>
              </w:rPr>
              <w:t xml:space="preserve"> adjustments described</w:t>
            </w:r>
          </w:p>
        </w:tc>
      </w:tr>
      <w:tr w:rsidR="00A621E3">
        <w:trPr>
          <w:trHeight w:val="250"/>
        </w:trPr>
        <w:tc>
          <w:tcPr>
            <w:tcW w:w="5440" w:type="dxa"/>
            <w:gridSpan w:val="2"/>
            <w:vAlign w:val="bottom"/>
          </w:tcPr>
          <w:p w:rsidR="00A621E3" w:rsidRDefault="00EC630E">
            <w:pPr>
              <w:rPr>
                <w:sz w:val="20"/>
                <w:szCs w:val="20"/>
              </w:rPr>
            </w:pPr>
            <w:r>
              <w:rPr>
                <w:rFonts w:ascii="Arial" w:eastAsia="Arial" w:hAnsi="Arial" w:cs="Arial"/>
                <w:sz w:val="20"/>
                <w:szCs w:val="20"/>
              </w:rPr>
              <w:t>achievement levels, actual results, weights and overall</w:t>
            </w:r>
          </w:p>
        </w:tc>
        <w:tc>
          <w:tcPr>
            <w:tcW w:w="5560" w:type="dxa"/>
            <w:vAlign w:val="bottom"/>
          </w:tcPr>
          <w:p w:rsidR="00A621E3" w:rsidRDefault="00EC630E">
            <w:pPr>
              <w:ind w:left="180"/>
              <w:rPr>
                <w:sz w:val="20"/>
                <w:szCs w:val="20"/>
              </w:rPr>
            </w:pPr>
            <w:r>
              <w:rPr>
                <w:rFonts w:ascii="Arial" w:eastAsia="Arial" w:hAnsi="Arial" w:cs="Arial"/>
                <w:sz w:val="20"/>
                <w:szCs w:val="20"/>
              </w:rPr>
              <w:t>above are outlined below.</w:t>
            </w:r>
          </w:p>
        </w:tc>
      </w:tr>
    </w:tbl>
    <w:p w:rsidR="00A621E3" w:rsidRDefault="00A621E3">
      <w:pPr>
        <w:spacing w:line="200" w:lineRule="exact"/>
        <w:rPr>
          <w:sz w:val="20"/>
          <w:szCs w:val="20"/>
        </w:rPr>
      </w:pPr>
    </w:p>
    <w:p w:rsidR="00A621E3" w:rsidRDefault="00A621E3">
      <w:pPr>
        <w:spacing w:line="211" w:lineRule="exact"/>
        <w:rPr>
          <w:sz w:val="20"/>
          <w:szCs w:val="20"/>
        </w:rPr>
      </w:pPr>
    </w:p>
    <w:p w:rsidR="00A621E3" w:rsidRDefault="00EC630E">
      <w:pPr>
        <w:ind w:left="120"/>
        <w:rPr>
          <w:sz w:val="20"/>
          <w:szCs w:val="20"/>
        </w:rPr>
      </w:pPr>
      <w:r>
        <w:rPr>
          <w:rFonts w:ascii="Arial" w:eastAsia="Arial" w:hAnsi="Arial" w:cs="Arial"/>
          <w:b/>
          <w:bCs/>
          <w:color w:val="CF0A2C"/>
          <w:sz w:val="25"/>
          <w:szCs w:val="25"/>
        </w:rPr>
        <w:t>COMPANY</w:t>
      </w:r>
    </w:p>
    <w:p w:rsidR="00A621E3" w:rsidRDefault="00A621E3">
      <w:pPr>
        <w:spacing w:line="31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080"/>
        <w:gridCol w:w="240"/>
        <w:gridCol w:w="1020"/>
        <w:gridCol w:w="840"/>
        <w:gridCol w:w="1120"/>
        <w:gridCol w:w="860"/>
        <w:gridCol w:w="1260"/>
        <w:gridCol w:w="1240"/>
        <w:gridCol w:w="1180"/>
        <w:gridCol w:w="180"/>
      </w:tblGrid>
      <w:tr w:rsidR="00A621E3">
        <w:trPr>
          <w:trHeight w:val="184"/>
        </w:trPr>
        <w:tc>
          <w:tcPr>
            <w:tcW w:w="3080" w:type="dxa"/>
            <w:vAlign w:val="bottom"/>
          </w:tcPr>
          <w:p w:rsidR="00A621E3" w:rsidRDefault="00A621E3">
            <w:pPr>
              <w:rPr>
                <w:sz w:val="16"/>
                <w:szCs w:val="16"/>
              </w:rPr>
            </w:pPr>
          </w:p>
        </w:tc>
        <w:tc>
          <w:tcPr>
            <w:tcW w:w="240" w:type="dxa"/>
            <w:tcBorders>
              <w:top w:val="single" w:sz="8" w:space="0" w:color="CF0A2C"/>
            </w:tcBorders>
            <w:shd w:val="clear" w:color="auto" w:fill="FAE6E9"/>
            <w:vAlign w:val="bottom"/>
          </w:tcPr>
          <w:p w:rsidR="00A621E3" w:rsidRDefault="00A621E3">
            <w:pPr>
              <w:rPr>
                <w:sz w:val="16"/>
                <w:szCs w:val="16"/>
              </w:rPr>
            </w:pPr>
          </w:p>
        </w:tc>
        <w:tc>
          <w:tcPr>
            <w:tcW w:w="1020" w:type="dxa"/>
            <w:tcBorders>
              <w:top w:val="single" w:sz="8" w:space="0" w:color="CF0A2C"/>
            </w:tcBorders>
            <w:shd w:val="clear" w:color="auto" w:fill="FAE6E9"/>
            <w:vAlign w:val="bottom"/>
          </w:tcPr>
          <w:p w:rsidR="00A621E3" w:rsidRDefault="00A621E3">
            <w:pPr>
              <w:rPr>
                <w:sz w:val="16"/>
                <w:szCs w:val="16"/>
              </w:rPr>
            </w:pPr>
          </w:p>
        </w:tc>
        <w:tc>
          <w:tcPr>
            <w:tcW w:w="840" w:type="dxa"/>
            <w:tcBorders>
              <w:top w:val="single" w:sz="8" w:space="0" w:color="CF0A2C"/>
            </w:tcBorders>
            <w:shd w:val="clear" w:color="auto" w:fill="FAE6E9"/>
            <w:vAlign w:val="bottom"/>
          </w:tcPr>
          <w:p w:rsidR="00A621E3" w:rsidRDefault="00A621E3">
            <w:pPr>
              <w:rPr>
                <w:sz w:val="16"/>
                <w:szCs w:val="16"/>
              </w:rPr>
            </w:pPr>
          </w:p>
        </w:tc>
        <w:tc>
          <w:tcPr>
            <w:tcW w:w="1120" w:type="dxa"/>
            <w:tcBorders>
              <w:top w:val="single" w:sz="8" w:space="0" w:color="CF0A2C"/>
            </w:tcBorders>
            <w:shd w:val="clear" w:color="auto" w:fill="FAE6E9"/>
            <w:vAlign w:val="bottom"/>
          </w:tcPr>
          <w:p w:rsidR="00A621E3" w:rsidRDefault="00A621E3">
            <w:pPr>
              <w:rPr>
                <w:sz w:val="16"/>
                <w:szCs w:val="16"/>
              </w:rPr>
            </w:pPr>
          </w:p>
        </w:tc>
        <w:tc>
          <w:tcPr>
            <w:tcW w:w="860" w:type="dxa"/>
            <w:tcBorders>
              <w:top w:val="single" w:sz="8" w:space="0" w:color="CF0A2C"/>
            </w:tcBorders>
            <w:shd w:val="clear" w:color="auto" w:fill="FAE6E9"/>
            <w:vAlign w:val="bottom"/>
          </w:tcPr>
          <w:p w:rsidR="00A621E3" w:rsidRDefault="00A621E3">
            <w:pPr>
              <w:rPr>
                <w:sz w:val="16"/>
                <w:szCs w:val="16"/>
              </w:rPr>
            </w:pPr>
          </w:p>
        </w:tc>
        <w:tc>
          <w:tcPr>
            <w:tcW w:w="1260" w:type="dxa"/>
            <w:tcBorders>
              <w:top w:val="single" w:sz="8" w:space="0" w:color="CF0A2C"/>
            </w:tcBorders>
            <w:shd w:val="clear" w:color="auto" w:fill="FAE6E9"/>
            <w:vAlign w:val="bottom"/>
          </w:tcPr>
          <w:p w:rsidR="00A621E3" w:rsidRDefault="00EC630E">
            <w:pPr>
              <w:ind w:right="106"/>
              <w:jc w:val="right"/>
              <w:rPr>
                <w:sz w:val="20"/>
                <w:szCs w:val="20"/>
              </w:rPr>
            </w:pPr>
            <w:r>
              <w:rPr>
                <w:rFonts w:ascii="Arial" w:eastAsia="Arial" w:hAnsi="Arial" w:cs="Arial"/>
                <w:b/>
                <w:bCs/>
                <w:color w:val="CF0A2C"/>
                <w:sz w:val="16"/>
                <w:szCs w:val="16"/>
              </w:rPr>
              <w:t>Earned as a</w:t>
            </w:r>
          </w:p>
        </w:tc>
        <w:tc>
          <w:tcPr>
            <w:tcW w:w="1240" w:type="dxa"/>
            <w:tcBorders>
              <w:top w:val="single" w:sz="8" w:space="0" w:color="CF0A2C"/>
            </w:tcBorders>
            <w:shd w:val="clear" w:color="auto" w:fill="FAE6E9"/>
            <w:vAlign w:val="bottom"/>
          </w:tcPr>
          <w:p w:rsidR="00A621E3" w:rsidRDefault="00A621E3">
            <w:pPr>
              <w:rPr>
                <w:sz w:val="16"/>
                <w:szCs w:val="16"/>
              </w:rPr>
            </w:pPr>
          </w:p>
        </w:tc>
        <w:tc>
          <w:tcPr>
            <w:tcW w:w="1360" w:type="dxa"/>
            <w:gridSpan w:val="2"/>
            <w:tcBorders>
              <w:top w:val="single" w:sz="8" w:space="0" w:color="CF0A2C"/>
            </w:tcBorders>
            <w:shd w:val="clear" w:color="auto" w:fill="FAE6E9"/>
            <w:vAlign w:val="bottom"/>
          </w:tcPr>
          <w:p w:rsidR="00A621E3" w:rsidRDefault="00EC630E">
            <w:pPr>
              <w:ind w:right="260"/>
              <w:jc w:val="right"/>
              <w:rPr>
                <w:sz w:val="20"/>
                <w:szCs w:val="20"/>
              </w:rPr>
            </w:pPr>
            <w:r>
              <w:rPr>
                <w:rFonts w:ascii="Arial" w:eastAsia="Arial" w:hAnsi="Arial" w:cs="Arial"/>
                <w:b/>
                <w:bCs/>
                <w:color w:val="CF0A2C"/>
                <w:sz w:val="16"/>
                <w:szCs w:val="16"/>
              </w:rPr>
              <w:t>Final Team</w:t>
            </w:r>
          </w:p>
        </w:tc>
      </w:tr>
      <w:tr w:rsidR="00A621E3">
        <w:trPr>
          <w:trHeight w:val="201"/>
        </w:trPr>
        <w:tc>
          <w:tcPr>
            <w:tcW w:w="3080" w:type="dxa"/>
            <w:vAlign w:val="bottom"/>
          </w:tcPr>
          <w:p w:rsidR="00A621E3" w:rsidRDefault="00EC630E">
            <w:pPr>
              <w:rPr>
                <w:sz w:val="20"/>
                <w:szCs w:val="20"/>
              </w:rPr>
            </w:pPr>
            <w:r>
              <w:rPr>
                <w:rFonts w:ascii="Arial" w:eastAsia="Arial" w:hAnsi="Arial" w:cs="Arial"/>
                <w:b/>
                <w:bCs/>
                <w:color w:val="CF0A2C"/>
                <w:sz w:val="16"/>
                <w:szCs w:val="16"/>
              </w:rPr>
              <w:t>Team Performance Measures</w:t>
            </w:r>
          </w:p>
        </w:tc>
        <w:tc>
          <w:tcPr>
            <w:tcW w:w="240" w:type="dxa"/>
            <w:tcBorders>
              <w:bottom w:val="single" w:sz="8" w:space="0" w:color="CF0A2C"/>
            </w:tcBorders>
            <w:shd w:val="clear" w:color="auto" w:fill="FAE6E9"/>
            <w:vAlign w:val="bottom"/>
          </w:tcPr>
          <w:p w:rsidR="00A621E3" w:rsidRDefault="00A621E3">
            <w:pPr>
              <w:rPr>
                <w:sz w:val="17"/>
                <w:szCs w:val="17"/>
              </w:rPr>
            </w:pPr>
          </w:p>
        </w:tc>
        <w:tc>
          <w:tcPr>
            <w:tcW w:w="1020" w:type="dxa"/>
            <w:tcBorders>
              <w:bottom w:val="single" w:sz="8" w:space="0" w:color="CF0A2C"/>
            </w:tcBorders>
            <w:shd w:val="clear" w:color="auto" w:fill="FAE6E9"/>
            <w:vAlign w:val="bottom"/>
          </w:tcPr>
          <w:p w:rsidR="00A621E3" w:rsidRDefault="00EC630E">
            <w:pPr>
              <w:ind w:right="105"/>
              <w:jc w:val="right"/>
              <w:rPr>
                <w:sz w:val="20"/>
                <w:szCs w:val="20"/>
              </w:rPr>
            </w:pPr>
            <w:r>
              <w:rPr>
                <w:rFonts w:ascii="Arial" w:eastAsia="Arial" w:hAnsi="Arial" w:cs="Arial"/>
                <w:b/>
                <w:bCs/>
                <w:color w:val="CF0A2C"/>
                <w:sz w:val="16"/>
                <w:szCs w:val="16"/>
              </w:rPr>
              <w:t>Threshold</w:t>
            </w:r>
          </w:p>
        </w:tc>
        <w:tc>
          <w:tcPr>
            <w:tcW w:w="840" w:type="dxa"/>
            <w:tcBorders>
              <w:bottom w:val="single" w:sz="8" w:space="0" w:color="CF0A2C"/>
            </w:tcBorders>
            <w:shd w:val="clear" w:color="auto" w:fill="FAE6E9"/>
            <w:vAlign w:val="bottom"/>
          </w:tcPr>
          <w:p w:rsidR="00A621E3" w:rsidRDefault="00EC630E">
            <w:pPr>
              <w:ind w:right="107"/>
              <w:jc w:val="right"/>
              <w:rPr>
                <w:sz w:val="20"/>
                <w:szCs w:val="20"/>
              </w:rPr>
            </w:pPr>
            <w:r>
              <w:rPr>
                <w:rFonts w:ascii="Arial" w:eastAsia="Arial" w:hAnsi="Arial" w:cs="Arial"/>
                <w:b/>
                <w:bCs/>
                <w:color w:val="CF0A2C"/>
                <w:sz w:val="16"/>
                <w:szCs w:val="16"/>
              </w:rPr>
              <w:t>Target</w:t>
            </w:r>
          </w:p>
        </w:tc>
        <w:tc>
          <w:tcPr>
            <w:tcW w:w="1120" w:type="dxa"/>
            <w:tcBorders>
              <w:bottom w:val="single" w:sz="8" w:space="0" w:color="CF0A2C"/>
            </w:tcBorders>
            <w:shd w:val="clear" w:color="auto" w:fill="FAE6E9"/>
            <w:vAlign w:val="bottom"/>
          </w:tcPr>
          <w:p w:rsidR="00A621E3" w:rsidRDefault="00EC630E">
            <w:pPr>
              <w:ind w:right="127"/>
              <w:jc w:val="right"/>
              <w:rPr>
                <w:sz w:val="20"/>
                <w:szCs w:val="20"/>
              </w:rPr>
            </w:pPr>
            <w:r>
              <w:rPr>
                <w:rFonts w:ascii="Arial" w:eastAsia="Arial" w:hAnsi="Arial" w:cs="Arial"/>
                <w:b/>
                <w:bCs/>
                <w:color w:val="CF0A2C"/>
                <w:sz w:val="16"/>
                <w:szCs w:val="16"/>
              </w:rPr>
              <w:t>Maximum</w:t>
            </w:r>
          </w:p>
        </w:tc>
        <w:tc>
          <w:tcPr>
            <w:tcW w:w="860" w:type="dxa"/>
            <w:tcBorders>
              <w:bottom w:val="single" w:sz="8" w:space="0" w:color="CF0A2C"/>
            </w:tcBorders>
            <w:shd w:val="clear" w:color="auto" w:fill="FAE6E9"/>
            <w:vAlign w:val="bottom"/>
          </w:tcPr>
          <w:p w:rsidR="00A621E3" w:rsidRDefault="00EC630E">
            <w:pPr>
              <w:ind w:right="107"/>
              <w:jc w:val="right"/>
              <w:rPr>
                <w:sz w:val="20"/>
                <w:szCs w:val="20"/>
              </w:rPr>
            </w:pPr>
            <w:r>
              <w:rPr>
                <w:rFonts w:ascii="Arial" w:eastAsia="Arial" w:hAnsi="Arial" w:cs="Arial"/>
                <w:b/>
                <w:bCs/>
                <w:color w:val="CF0A2C"/>
                <w:sz w:val="16"/>
                <w:szCs w:val="16"/>
              </w:rPr>
              <w:t>Actual</w:t>
            </w:r>
          </w:p>
        </w:tc>
        <w:tc>
          <w:tcPr>
            <w:tcW w:w="1260" w:type="dxa"/>
            <w:tcBorders>
              <w:bottom w:val="single" w:sz="8" w:space="0" w:color="CF0A2C"/>
            </w:tcBorders>
            <w:shd w:val="clear" w:color="auto" w:fill="FAE6E9"/>
            <w:vAlign w:val="bottom"/>
          </w:tcPr>
          <w:p w:rsidR="00A621E3" w:rsidRDefault="00EC630E">
            <w:pPr>
              <w:ind w:right="126"/>
              <w:jc w:val="right"/>
              <w:rPr>
                <w:sz w:val="20"/>
                <w:szCs w:val="20"/>
              </w:rPr>
            </w:pPr>
            <w:r>
              <w:rPr>
                <w:rFonts w:ascii="Arial" w:eastAsia="Arial" w:hAnsi="Arial" w:cs="Arial"/>
                <w:b/>
                <w:bCs/>
                <w:color w:val="CF0A2C"/>
                <w:sz w:val="16"/>
                <w:szCs w:val="16"/>
              </w:rPr>
              <w:t>% of Target</w:t>
            </w:r>
          </w:p>
        </w:tc>
        <w:tc>
          <w:tcPr>
            <w:tcW w:w="1240" w:type="dxa"/>
            <w:tcBorders>
              <w:bottom w:val="single" w:sz="8" w:space="0" w:color="CF0A2C"/>
            </w:tcBorders>
            <w:shd w:val="clear" w:color="auto" w:fill="FAE6E9"/>
            <w:vAlign w:val="bottom"/>
          </w:tcPr>
          <w:p w:rsidR="00A621E3" w:rsidRDefault="00EC630E">
            <w:pPr>
              <w:ind w:right="127"/>
              <w:jc w:val="right"/>
              <w:rPr>
                <w:sz w:val="20"/>
                <w:szCs w:val="20"/>
              </w:rPr>
            </w:pPr>
            <w:r>
              <w:rPr>
                <w:rFonts w:ascii="Arial" w:eastAsia="Arial" w:hAnsi="Arial" w:cs="Arial"/>
                <w:b/>
                <w:bCs/>
                <w:color w:val="CF0A2C"/>
                <w:sz w:val="16"/>
                <w:szCs w:val="16"/>
              </w:rPr>
              <w:t>Weighting*</w:t>
            </w:r>
          </w:p>
        </w:tc>
        <w:tc>
          <w:tcPr>
            <w:tcW w:w="1360" w:type="dxa"/>
            <w:gridSpan w:val="2"/>
            <w:tcBorders>
              <w:bottom w:val="single" w:sz="8" w:space="0" w:color="CF0A2C"/>
            </w:tcBorders>
            <w:shd w:val="clear" w:color="auto" w:fill="FAE6E9"/>
            <w:vAlign w:val="bottom"/>
          </w:tcPr>
          <w:p w:rsidR="00A621E3" w:rsidRDefault="00EC630E">
            <w:pPr>
              <w:ind w:right="180"/>
              <w:jc w:val="right"/>
              <w:rPr>
                <w:sz w:val="20"/>
                <w:szCs w:val="20"/>
              </w:rPr>
            </w:pPr>
            <w:r>
              <w:rPr>
                <w:rFonts w:ascii="Arial" w:eastAsia="Arial" w:hAnsi="Arial" w:cs="Arial"/>
                <w:b/>
                <w:bCs/>
                <w:color w:val="CF0A2C"/>
                <w:sz w:val="16"/>
                <w:szCs w:val="16"/>
              </w:rPr>
              <w:t>Performance</w:t>
            </w:r>
          </w:p>
        </w:tc>
      </w:tr>
      <w:tr w:rsidR="00A621E3">
        <w:trPr>
          <w:trHeight w:val="157"/>
        </w:trPr>
        <w:tc>
          <w:tcPr>
            <w:tcW w:w="3080" w:type="dxa"/>
            <w:vAlign w:val="bottom"/>
          </w:tcPr>
          <w:p w:rsidR="00A621E3" w:rsidRDefault="00EC630E">
            <w:pPr>
              <w:spacing w:line="157" w:lineRule="exact"/>
              <w:rPr>
                <w:sz w:val="20"/>
                <w:szCs w:val="20"/>
              </w:rPr>
            </w:pPr>
            <w:r>
              <w:rPr>
                <w:rFonts w:ascii="Arial" w:eastAsia="Arial" w:hAnsi="Arial" w:cs="Arial"/>
                <w:b/>
                <w:bCs/>
                <w:color w:val="CF0A2C"/>
                <w:sz w:val="13"/>
                <w:szCs w:val="13"/>
              </w:rPr>
              <w:t xml:space="preserve">Adjusted </w:t>
            </w:r>
            <w:r>
              <w:rPr>
                <w:rFonts w:ascii="Arial" w:eastAsia="Arial" w:hAnsi="Arial" w:cs="Arial"/>
                <w:b/>
                <w:bCs/>
                <w:color w:val="CF0A2C"/>
                <w:sz w:val="13"/>
                <w:szCs w:val="13"/>
              </w:rPr>
              <w:t>Operating Profit Growth</w:t>
            </w:r>
            <w:r>
              <w:rPr>
                <w:rFonts w:ascii="Arial" w:eastAsia="Arial" w:hAnsi="Arial" w:cs="Arial"/>
                <w:b/>
                <w:bCs/>
                <w:color w:val="CF0A2C"/>
                <w:sz w:val="18"/>
                <w:szCs w:val="18"/>
                <w:vertAlign w:val="superscript"/>
              </w:rPr>
              <w:t>(1)</w:t>
            </w:r>
          </w:p>
        </w:tc>
        <w:tc>
          <w:tcPr>
            <w:tcW w:w="1260" w:type="dxa"/>
            <w:gridSpan w:val="2"/>
            <w:vAlign w:val="bottom"/>
          </w:tcPr>
          <w:p w:rsidR="00A621E3" w:rsidRDefault="00EC630E">
            <w:pPr>
              <w:spacing w:line="157" w:lineRule="exact"/>
              <w:ind w:right="105"/>
              <w:jc w:val="right"/>
              <w:rPr>
                <w:sz w:val="20"/>
                <w:szCs w:val="20"/>
              </w:rPr>
            </w:pPr>
            <w:r>
              <w:rPr>
                <w:rFonts w:ascii="Arial" w:eastAsia="Arial" w:hAnsi="Arial" w:cs="Arial"/>
                <w:color w:val="CF0A2C"/>
                <w:sz w:val="14"/>
                <w:szCs w:val="14"/>
              </w:rPr>
              <w:t>0%</w:t>
            </w:r>
          </w:p>
        </w:tc>
        <w:tc>
          <w:tcPr>
            <w:tcW w:w="840" w:type="dxa"/>
            <w:vAlign w:val="bottom"/>
          </w:tcPr>
          <w:p w:rsidR="00A621E3" w:rsidRDefault="00EC630E">
            <w:pPr>
              <w:spacing w:line="157" w:lineRule="exact"/>
              <w:ind w:right="107"/>
              <w:jc w:val="right"/>
              <w:rPr>
                <w:sz w:val="20"/>
                <w:szCs w:val="20"/>
              </w:rPr>
            </w:pPr>
            <w:r>
              <w:rPr>
                <w:rFonts w:ascii="Arial" w:eastAsia="Arial" w:hAnsi="Arial" w:cs="Arial"/>
                <w:color w:val="CF0A2C"/>
                <w:sz w:val="14"/>
                <w:szCs w:val="14"/>
              </w:rPr>
              <w:t>9.8%</w:t>
            </w:r>
          </w:p>
        </w:tc>
        <w:tc>
          <w:tcPr>
            <w:tcW w:w="1120" w:type="dxa"/>
            <w:vAlign w:val="bottom"/>
          </w:tcPr>
          <w:p w:rsidR="00A621E3" w:rsidRDefault="00EC630E">
            <w:pPr>
              <w:spacing w:line="157" w:lineRule="exact"/>
              <w:ind w:right="107"/>
              <w:jc w:val="right"/>
              <w:rPr>
                <w:sz w:val="20"/>
                <w:szCs w:val="20"/>
              </w:rPr>
            </w:pPr>
            <w:r>
              <w:rPr>
                <w:rFonts w:ascii="Arial" w:eastAsia="Arial" w:hAnsi="Arial" w:cs="Arial"/>
                <w:color w:val="CF0A2C"/>
                <w:sz w:val="14"/>
                <w:szCs w:val="14"/>
              </w:rPr>
              <w:t>25%</w:t>
            </w:r>
          </w:p>
        </w:tc>
        <w:tc>
          <w:tcPr>
            <w:tcW w:w="860" w:type="dxa"/>
            <w:vAlign w:val="bottom"/>
          </w:tcPr>
          <w:p w:rsidR="00A621E3" w:rsidRDefault="00EC630E">
            <w:pPr>
              <w:spacing w:line="157" w:lineRule="exact"/>
              <w:ind w:right="107"/>
              <w:jc w:val="right"/>
              <w:rPr>
                <w:sz w:val="20"/>
                <w:szCs w:val="20"/>
              </w:rPr>
            </w:pPr>
            <w:r>
              <w:rPr>
                <w:rFonts w:ascii="Arial" w:eastAsia="Arial" w:hAnsi="Arial" w:cs="Arial"/>
                <w:color w:val="CF0A2C"/>
                <w:sz w:val="14"/>
                <w:szCs w:val="14"/>
              </w:rPr>
              <w:t>-14%</w:t>
            </w:r>
          </w:p>
        </w:tc>
        <w:tc>
          <w:tcPr>
            <w:tcW w:w="1260" w:type="dxa"/>
            <w:vAlign w:val="bottom"/>
          </w:tcPr>
          <w:p w:rsidR="00A621E3" w:rsidRDefault="00EC630E">
            <w:pPr>
              <w:spacing w:line="157" w:lineRule="exact"/>
              <w:ind w:right="106"/>
              <w:jc w:val="right"/>
              <w:rPr>
                <w:sz w:val="20"/>
                <w:szCs w:val="20"/>
              </w:rPr>
            </w:pPr>
            <w:r>
              <w:rPr>
                <w:rFonts w:ascii="Arial" w:eastAsia="Arial" w:hAnsi="Arial" w:cs="Arial"/>
                <w:color w:val="CF0A2C"/>
                <w:sz w:val="14"/>
                <w:szCs w:val="14"/>
              </w:rPr>
              <w:t>0%</w:t>
            </w:r>
          </w:p>
        </w:tc>
        <w:tc>
          <w:tcPr>
            <w:tcW w:w="1240" w:type="dxa"/>
            <w:vAlign w:val="bottom"/>
          </w:tcPr>
          <w:p w:rsidR="00A621E3" w:rsidRDefault="00EC630E">
            <w:pPr>
              <w:spacing w:line="157" w:lineRule="exact"/>
              <w:ind w:right="127"/>
              <w:jc w:val="right"/>
              <w:rPr>
                <w:sz w:val="20"/>
                <w:szCs w:val="20"/>
              </w:rPr>
            </w:pPr>
            <w:r>
              <w:rPr>
                <w:rFonts w:ascii="Arial" w:eastAsia="Arial" w:hAnsi="Arial" w:cs="Arial"/>
                <w:color w:val="CF0A2C"/>
                <w:sz w:val="14"/>
                <w:szCs w:val="14"/>
              </w:rPr>
              <w:t>12%</w:t>
            </w:r>
          </w:p>
        </w:tc>
        <w:tc>
          <w:tcPr>
            <w:tcW w:w="1180" w:type="dxa"/>
            <w:vAlign w:val="bottom"/>
          </w:tcPr>
          <w:p w:rsidR="00A621E3" w:rsidRDefault="00EC630E">
            <w:pPr>
              <w:spacing w:line="157" w:lineRule="exact"/>
              <w:jc w:val="right"/>
              <w:rPr>
                <w:sz w:val="20"/>
                <w:szCs w:val="20"/>
              </w:rPr>
            </w:pPr>
            <w:r>
              <w:rPr>
                <w:rFonts w:ascii="Arial" w:eastAsia="Arial" w:hAnsi="Arial" w:cs="Arial"/>
                <w:color w:val="CF0A2C"/>
                <w:sz w:val="14"/>
                <w:szCs w:val="14"/>
              </w:rPr>
              <w:t>0%</w:t>
            </w:r>
          </w:p>
        </w:tc>
        <w:tc>
          <w:tcPr>
            <w:tcW w:w="180" w:type="dxa"/>
            <w:vAlign w:val="bottom"/>
          </w:tcPr>
          <w:p w:rsidR="00A621E3" w:rsidRDefault="00A621E3">
            <w:pPr>
              <w:rPr>
                <w:sz w:val="13"/>
                <w:szCs w:val="13"/>
              </w:rPr>
            </w:pPr>
          </w:p>
        </w:tc>
      </w:tr>
      <w:tr w:rsidR="00A621E3">
        <w:trPr>
          <w:trHeight w:val="189"/>
        </w:trPr>
        <w:tc>
          <w:tcPr>
            <w:tcW w:w="3080" w:type="dxa"/>
            <w:vAlign w:val="bottom"/>
          </w:tcPr>
          <w:p w:rsidR="00A621E3" w:rsidRDefault="00EC630E">
            <w:pPr>
              <w:rPr>
                <w:sz w:val="20"/>
                <w:szCs w:val="20"/>
              </w:rPr>
            </w:pPr>
            <w:r>
              <w:rPr>
                <w:rFonts w:ascii="Arial" w:eastAsia="Arial" w:hAnsi="Arial" w:cs="Arial"/>
                <w:b/>
                <w:bCs/>
                <w:color w:val="CF0A2C"/>
                <w:sz w:val="16"/>
                <w:szCs w:val="16"/>
              </w:rPr>
              <w:t>Same Store Sales Growth</w:t>
            </w:r>
          </w:p>
        </w:tc>
        <w:tc>
          <w:tcPr>
            <w:tcW w:w="1260" w:type="dxa"/>
            <w:gridSpan w:val="2"/>
            <w:vAlign w:val="bottom"/>
          </w:tcPr>
          <w:p w:rsidR="00A621E3" w:rsidRDefault="00EC630E">
            <w:pPr>
              <w:ind w:right="105"/>
              <w:jc w:val="right"/>
              <w:rPr>
                <w:sz w:val="20"/>
                <w:szCs w:val="20"/>
              </w:rPr>
            </w:pPr>
            <w:r>
              <w:rPr>
                <w:rFonts w:ascii="Arial" w:eastAsia="Arial" w:hAnsi="Arial" w:cs="Arial"/>
                <w:color w:val="CF0A2C"/>
                <w:sz w:val="14"/>
                <w:szCs w:val="14"/>
              </w:rPr>
              <w:t>0%</w:t>
            </w:r>
          </w:p>
        </w:tc>
        <w:tc>
          <w:tcPr>
            <w:tcW w:w="840" w:type="dxa"/>
            <w:vAlign w:val="bottom"/>
          </w:tcPr>
          <w:p w:rsidR="00A621E3" w:rsidRDefault="00EC630E">
            <w:pPr>
              <w:ind w:right="107"/>
              <w:jc w:val="right"/>
              <w:rPr>
                <w:sz w:val="20"/>
                <w:szCs w:val="20"/>
              </w:rPr>
            </w:pPr>
            <w:r>
              <w:rPr>
                <w:rFonts w:ascii="Arial" w:eastAsia="Arial" w:hAnsi="Arial" w:cs="Arial"/>
                <w:color w:val="CF0A2C"/>
                <w:sz w:val="14"/>
                <w:szCs w:val="14"/>
              </w:rPr>
              <w:t>2%</w:t>
            </w:r>
          </w:p>
        </w:tc>
        <w:tc>
          <w:tcPr>
            <w:tcW w:w="1120" w:type="dxa"/>
            <w:vAlign w:val="bottom"/>
          </w:tcPr>
          <w:p w:rsidR="00A621E3" w:rsidRDefault="00EC630E">
            <w:pPr>
              <w:ind w:right="107"/>
              <w:jc w:val="right"/>
              <w:rPr>
                <w:sz w:val="20"/>
                <w:szCs w:val="20"/>
              </w:rPr>
            </w:pPr>
            <w:r>
              <w:rPr>
                <w:rFonts w:ascii="Arial" w:eastAsia="Arial" w:hAnsi="Arial" w:cs="Arial"/>
                <w:color w:val="CF0A2C"/>
                <w:sz w:val="14"/>
                <w:szCs w:val="14"/>
              </w:rPr>
              <w:t>4%</w:t>
            </w:r>
          </w:p>
        </w:tc>
        <w:tc>
          <w:tcPr>
            <w:tcW w:w="860" w:type="dxa"/>
            <w:vAlign w:val="bottom"/>
          </w:tcPr>
          <w:p w:rsidR="00A621E3" w:rsidRDefault="00EC630E">
            <w:pPr>
              <w:ind w:right="107"/>
              <w:jc w:val="right"/>
              <w:rPr>
                <w:sz w:val="20"/>
                <w:szCs w:val="20"/>
              </w:rPr>
            </w:pPr>
            <w:r>
              <w:rPr>
                <w:rFonts w:ascii="Arial" w:eastAsia="Arial" w:hAnsi="Arial" w:cs="Arial"/>
                <w:color w:val="CF0A2C"/>
                <w:sz w:val="14"/>
                <w:szCs w:val="14"/>
              </w:rPr>
              <w:t>-7%</w:t>
            </w:r>
          </w:p>
        </w:tc>
        <w:tc>
          <w:tcPr>
            <w:tcW w:w="1260" w:type="dxa"/>
            <w:vAlign w:val="bottom"/>
          </w:tcPr>
          <w:p w:rsidR="00A621E3" w:rsidRDefault="00EC630E">
            <w:pPr>
              <w:ind w:right="106"/>
              <w:jc w:val="right"/>
              <w:rPr>
                <w:sz w:val="20"/>
                <w:szCs w:val="20"/>
              </w:rPr>
            </w:pPr>
            <w:r>
              <w:rPr>
                <w:rFonts w:ascii="Arial" w:eastAsia="Arial" w:hAnsi="Arial" w:cs="Arial"/>
                <w:color w:val="CF0A2C"/>
                <w:sz w:val="14"/>
                <w:szCs w:val="14"/>
              </w:rPr>
              <w:t>0%</w:t>
            </w:r>
          </w:p>
        </w:tc>
        <w:tc>
          <w:tcPr>
            <w:tcW w:w="1240" w:type="dxa"/>
            <w:vAlign w:val="bottom"/>
          </w:tcPr>
          <w:p w:rsidR="00A621E3" w:rsidRDefault="00EC630E">
            <w:pPr>
              <w:ind w:right="127"/>
              <w:jc w:val="right"/>
              <w:rPr>
                <w:sz w:val="20"/>
                <w:szCs w:val="20"/>
              </w:rPr>
            </w:pPr>
            <w:r>
              <w:rPr>
                <w:rFonts w:ascii="Arial" w:eastAsia="Arial" w:hAnsi="Arial" w:cs="Arial"/>
                <w:color w:val="CF0A2C"/>
                <w:sz w:val="14"/>
                <w:szCs w:val="14"/>
              </w:rPr>
              <w:t>4.5%</w:t>
            </w:r>
          </w:p>
        </w:tc>
        <w:tc>
          <w:tcPr>
            <w:tcW w:w="1180" w:type="dxa"/>
            <w:vAlign w:val="bottom"/>
          </w:tcPr>
          <w:p w:rsidR="00A621E3" w:rsidRDefault="00EC630E">
            <w:pPr>
              <w:jc w:val="right"/>
              <w:rPr>
                <w:sz w:val="20"/>
                <w:szCs w:val="20"/>
              </w:rPr>
            </w:pPr>
            <w:r>
              <w:rPr>
                <w:rFonts w:ascii="Arial" w:eastAsia="Arial" w:hAnsi="Arial" w:cs="Arial"/>
                <w:color w:val="CF0A2C"/>
                <w:sz w:val="14"/>
                <w:szCs w:val="14"/>
              </w:rPr>
              <w:t>0%</w:t>
            </w:r>
          </w:p>
        </w:tc>
        <w:tc>
          <w:tcPr>
            <w:tcW w:w="180" w:type="dxa"/>
            <w:vAlign w:val="bottom"/>
          </w:tcPr>
          <w:p w:rsidR="00A621E3" w:rsidRDefault="00A621E3">
            <w:pPr>
              <w:rPr>
                <w:sz w:val="16"/>
                <w:szCs w:val="16"/>
              </w:rPr>
            </w:pPr>
          </w:p>
        </w:tc>
      </w:tr>
      <w:tr w:rsidR="00A621E3">
        <w:trPr>
          <w:trHeight w:val="189"/>
        </w:trPr>
        <w:tc>
          <w:tcPr>
            <w:tcW w:w="3080" w:type="dxa"/>
            <w:vAlign w:val="bottom"/>
          </w:tcPr>
          <w:p w:rsidR="00A621E3" w:rsidRDefault="00EC630E">
            <w:pPr>
              <w:rPr>
                <w:sz w:val="20"/>
                <w:szCs w:val="20"/>
              </w:rPr>
            </w:pPr>
            <w:r>
              <w:rPr>
                <w:rFonts w:ascii="Arial" w:eastAsia="Arial" w:hAnsi="Arial" w:cs="Arial"/>
                <w:b/>
                <w:bCs/>
                <w:color w:val="CF0A2C"/>
                <w:sz w:val="16"/>
                <w:szCs w:val="16"/>
              </w:rPr>
              <w:t>Delivery Sales Growth</w:t>
            </w:r>
          </w:p>
        </w:tc>
        <w:tc>
          <w:tcPr>
            <w:tcW w:w="1260" w:type="dxa"/>
            <w:gridSpan w:val="2"/>
            <w:vAlign w:val="bottom"/>
          </w:tcPr>
          <w:p w:rsidR="00A621E3" w:rsidRDefault="00EC630E">
            <w:pPr>
              <w:ind w:right="105"/>
              <w:jc w:val="right"/>
              <w:rPr>
                <w:sz w:val="20"/>
                <w:szCs w:val="20"/>
              </w:rPr>
            </w:pPr>
            <w:r>
              <w:rPr>
                <w:rFonts w:ascii="Arial" w:eastAsia="Arial" w:hAnsi="Arial" w:cs="Arial"/>
                <w:color w:val="CF0A2C"/>
                <w:sz w:val="14"/>
                <w:szCs w:val="14"/>
              </w:rPr>
              <w:t>9%</w:t>
            </w:r>
          </w:p>
        </w:tc>
        <w:tc>
          <w:tcPr>
            <w:tcW w:w="840" w:type="dxa"/>
            <w:vAlign w:val="bottom"/>
          </w:tcPr>
          <w:p w:rsidR="00A621E3" w:rsidRDefault="00EC630E">
            <w:pPr>
              <w:ind w:right="107"/>
              <w:jc w:val="right"/>
              <w:rPr>
                <w:sz w:val="20"/>
                <w:szCs w:val="20"/>
              </w:rPr>
            </w:pPr>
            <w:r>
              <w:rPr>
                <w:rFonts w:ascii="Arial" w:eastAsia="Arial" w:hAnsi="Arial" w:cs="Arial"/>
                <w:color w:val="CF0A2C"/>
                <w:sz w:val="14"/>
                <w:szCs w:val="14"/>
              </w:rPr>
              <w:t>15%</w:t>
            </w:r>
          </w:p>
        </w:tc>
        <w:tc>
          <w:tcPr>
            <w:tcW w:w="1120" w:type="dxa"/>
            <w:vAlign w:val="bottom"/>
          </w:tcPr>
          <w:p w:rsidR="00A621E3" w:rsidRDefault="00EC630E">
            <w:pPr>
              <w:ind w:right="107"/>
              <w:jc w:val="right"/>
              <w:rPr>
                <w:sz w:val="20"/>
                <w:szCs w:val="20"/>
              </w:rPr>
            </w:pPr>
            <w:r>
              <w:rPr>
                <w:rFonts w:ascii="Arial" w:eastAsia="Arial" w:hAnsi="Arial" w:cs="Arial"/>
                <w:color w:val="CF0A2C"/>
                <w:sz w:val="14"/>
                <w:szCs w:val="14"/>
              </w:rPr>
              <w:t>21%</w:t>
            </w:r>
          </w:p>
        </w:tc>
        <w:tc>
          <w:tcPr>
            <w:tcW w:w="860" w:type="dxa"/>
            <w:vAlign w:val="bottom"/>
          </w:tcPr>
          <w:p w:rsidR="00A621E3" w:rsidRDefault="00EC630E">
            <w:pPr>
              <w:ind w:right="107"/>
              <w:jc w:val="right"/>
              <w:rPr>
                <w:sz w:val="20"/>
                <w:szCs w:val="20"/>
              </w:rPr>
            </w:pPr>
            <w:r>
              <w:rPr>
                <w:rFonts w:ascii="Arial" w:eastAsia="Arial" w:hAnsi="Arial" w:cs="Arial"/>
                <w:color w:val="CF0A2C"/>
                <w:sz w:val="14"/>
                <w:szCs w:val="14"/>
              </w:rPr>
              <w:t>17%</w:t>
            </w:r>
          </w:p>
        </w:tc>
        <w:tc>
          <w:tcPr>
            <w:tcW w:w="1260" w:type="dxa"/>
            <w:vAlign w:val="bottom"/>
          </w:tcPr>
          <w:p w:rsidR="00A621E3" w:rsidRDefault="00EC630E">
            <w:pPr>
              <w:ind w:right="106"/>
              <w:jc w:val="right"/>
              <w:rPr>
                <w:sz w:val="20"/>
                <w:szCs w:val="20"/>
              </w:rPr>
            </w:pPr>
            <w:r>
              <w:rPr>
                <w:rFonts w:ascii="Arial" w:eastAsia="Arial" w:hAnsi="Arial" w:cs="Arial"/>
                <w:color w:val="CF0A2C"/>
                <w:sz w:val="14"/>
                <w:szCs w:val="14"/>
              </w:rPr>
              <w:t>135%</w:t>
            </w:r>
          </w:p>
        </w:tc>
        <w:tc>
          <w:tcPr>
            <w:tcW w:w="1240" w:type="dxa"/>
            <w:vAlign w:val="bottom"/>
          </w:tcPr>
          <w:p w:rsidR="00A621E3" w:rsidRDefault="00EC630E">
            <w:pPr>
              <w:ind w:right="127"/>
              <w:jc w:val="right"/>
              <w:rPr>
                <w:sz w:val="20"/>
                <w:szCs w:val="20"/>
              </w:rPr>
            </w:pPr>
            <w:r>
              <w:rPr>
                <w:rFonts w:ascii="Arial" w:eastAsia="Arial" w:hAnsi="Arial" w:cs="Arial"/>
                <w:color w:val="CF0A2C"/>
                <w:sz w:val="14"/>
                <w:szCs w:val="14"/>
              </w:rPr>
              <w:t>4.5%</w:t>
            </w:r>
          </w:p>
        </w:tc>
        <w:tc>
          <w:tcPr>
            <w:tcW w:w="1180" w:type="dxa"/>
            <w:vAlign w:val="bottom"/>
          </w:tcPr>
          <w:p w:rsidR="00A621E3" w:rsidRDefault="00EC630E">
            <w:pPr>
              <w:jc w:val="right"/>
              <w:rPr>
                <w:sz w:val="20"/>
                <w:szCs w:val="20"/>
              </w:rPr>
            </w:pPr>
            <w:r>
              <w:rPr>
                <w:rFonts w:ascii="Arial" w:eastAsia="Arial" w:hAnsi="Arial" w:cs="Arial"/>
                <w:color w:val="CF0A2C"/>
                <w:sz w:val="14"/>
                <w:szCs w:val="14"/>
              </w:rPr>
              <w:t>6%</w:t>
            </w:r>
          </w:p>
        </w:tc>
        <w:tc>
          <w:tcPr>
            <w:tcW w:w="180" w:type="dxa"/>
            <w:vAlign w:val="bottom"/>
          </w:tcPr>
          <w:p w:rsidR="00A621E3" w:rsidRDefault="00A621E3">
            <w:pPr>
              <w:rPr>
                <w:sz w:val="16"/>
                <w:szCs w:val="16"/>
              </w:rPr>
            </w:pPr>
          </w:p>
        </w:tc>
      </w:tr>
      <w:tr w:rsidR="00A621E3">
        <w:trPr>
          <w:trHeight w:val="189"/>
        </w:trPr>
        <w:tc>
          <w:tcPr>
            <w:tcW w:w="3080" w:type="dxa"/>
            <w:vAlign w:val="bottom"/>
          </w:tcPr>
          <w:p w:rsidR="00A621E3" w:rsidRDefault="00EC630E">
            <w:pPr>
              <w:rPr>
                <w:sz w:val="20"/>
                <w:szCs w:val="20"/>
              </w:rPr>
            </w:pPr>
            <w:r>
              <w:rPr>
                <w:rFonts w:ascii="Arial" w:eastAsia="Arial" w:hAnsi="Arial" w:cs="Arial"/>
                <w:b/>
                <w:bCs/>
                <w:color w:val="CF0A2C"/>
                <w:sz w:val="16"/>
                <w:szCs w:val="16"/>
              </w:rPr>
              <w:t>System Net New Builds</w:t>
            </w:r>
          </w:p>
        </w:tc>
        <w:tc>
          <w:tcPr>
            <w:tcW w:w="1260" w:type="dxa"/>
            <w:gridSpan w:val="2"/>
            <w:vAlign w:val="bottom"/>
          </w:tcPr>
          <w:p w:rsidR="00A621E3" w:rsidRDefault="00EC630E">
            <w:pPr>
              <w:ind w:right="105"/>
              <w:jc w:val="right"/>
              <w:rPr>
                <w:sz w:val="20"/>
                <w:szCs w:val="20"/>
              </w:rPr>
            </w:pPr>
            <w:r>
              <w:rPr>
                <w:rFonts w:ascii="Arial" w:eastAsia="Arial" w:hAnsi="Arial" w:cs="Arial"/>
                <w:color w:val="CF0A2C"/>
                <w:sz w:val="14"/>
                <w:szCs w:val="14"/>
              </w:rPr>
              <w:t>1,080</w:t>
            </w:r>
          </w:p>
        </w:tc>
        <w:tc>
          <w:tcPr>
            <w:tcW w:w="840" w:type="dxa"/>
            <w:vAlign w:val="bottom"/>
          </w:tcPr>
          <w:p w:rsidR="00A621E3" w:rsidRDefault="00EC630E">
            <w:pPr>
              <w:ind w:right="107"/>
              <w:jc w:val="right"/>
              <w:rPr>
                <w:sz w:val="20"/>
                <w:szCs w:val="20"/>
              </w:rPr>
            </w:pPr>
            <w:r>
              <w:rPr>
                <w:rFonts w:ascii="Arial" w:eastAsia="Arial" w:hAnsi="Arial" w:cs="Arial"/>
                <w:color w:val="CF0A2C"/>
                <w:sz w:val="14"/>
                <w:szCs w:val="14"/>
              </w:rPr>
              <w:t>1,230</w:t>
            </w:r>
          </w:p>
        </w:tc>
        <w:tc>
          <w:tcPr>
            <w:tcW w:w="1120" w:type="dxa"/>
            <w:vAlign w:val="bottom"/>
          </w:tcPr>
          <w:p w:rsidR="00A621E3" w:rsidRDefault="00EC630E">
            <w:pPr>
              <w:ind w:right="107"/>
              <w:jc w:val="right"/>
              <w:rPr>
                <w:sz w:val="20"/>
                <w:szCs w:val="20"/>
              </w:rPr>
            </w:pPr>
            <w:r>
              <w:rPr>
                <w:rFonts w:ascii="Arial" w:eastAsia="Arial" w:hAnsi="Arial" w:cs="Arial"/>
                <w:color w:val="CF0A2C"/>
                <w:sz w:val="14"/>
                <w:szCs w:val="14"/>
              </w:rPr>
              <w:t>1,380</w:t>
            </w:r>
          </w:p>
        </w:tc>
        <w:tc>
          <w:tcPr>
            <w:tcW w:w="860" w:type="dxa"/>
            <w:vAlign w:val="bottom"/>
          </w:tcPr>
          <w:p w:rsidR="00A621E3" w:rsidRDefault="00EC630E">
            <w:pPr>
              <w:ind w:right="107"/>
              <w:jc w:val="right"/>
              <w:rPr>
                <w:sz w:val="20"/>
                <w:szCs w:val="20"/>
              </w:rPr>
            </w:pPr>
            <w:r>
              <w:rPr>
                <w:rFonts w:ascii="Arial" w:eastAsia="Arial" w:hAnsi="Arial" w:cs="Arial"/>
                <w:color w:val="CF0A2C"/>
                <w:sz w:val="14"/>
                <w:szCs w:val="14"/>
              </w:rPr>
              <w:t>1,159</w:t>
            </w:r>
          </w:p>
        </w:tc>
        <w:tc>
          <w:tcPr>
            <w:tcW w:w="1260" w:type="dxa"/>
            <w:vAlign w:val="bottom"/>
          </w:tcPr>
          <w:p w:rsidR="00A621E3" w:rsidRDefault="00EC630E">
            <w:pPr>
              <w:ind w:right="106"/>
              <w:jc w:val="right"/>
              <w:rPr>
                <w:sz w:val="20"/>
                <w:szCs w:val="20"/>
              </w:rPr>
            </w:pPr>
            <w:r>
              <w:rPr>
                <w:rFonts w:ascii="Arial" w:eastAsia="Arial" w:hAnsi="Arial" w:cs="Arial"/>
                <w:color w:val="CF0A2C"/>
                <w:sz w:val="14"/>
                <w:szCs w:val="14"/>
              </w:rPr>
              <w:t>76%</w:t>
            </w:r>
          </w:p>
        </w:tc>
        <w:tc>
          <w:tcPr>
            <w:tcW w:w="1240" w:type="dxa"/>
            <w:vAlign w:val="bottom"/>
          </w:tcPr>
          <w:p w:rsidR="00A621E3" w:rsidRDefault="00EC630E">
            <w:pPr>
              <w:ind w:right="127"/>
              <w:jc w:val="right"/>
              <w:rPr>
                <w:sz w:val="20"/>
                <w:szCs w:val="20"/>
              </w:rPr>
            </w:pPr>
            <w:r>
              <w:rPr>
                <w:rFonts w:ascii="Arial" w:eastAsia="Arial" w:hAnsi="Arial" w:cs="Arial"/>
                <w:color w:val="CF0A2C"/>
                <w:sz w:val="14"/>
                <w:szCs w:val="14"/>
              </w:rPr>
              <w:t>6%</w:t>
            </w:r>
          </w:p>
        </w:tc>
        <w:tc>
          <w:tcPr>
            <w:tcW w:w="1180" w:type="dxa"/>
            <w:vAlign w:val="bottom"/>
          </w:tcPr>
          <w:p w:rsidR="00A621E3" w:rsidRDefault="00EC630E">
            <w:pPr>
              <w:jc w:val="right"/>
              <w:rPr>
                <w:sz w:val="20"/>
                <w:szCs w:val="20"/>
              </w:rPr>
            </w:pPr>
            <w:r>
              <w:rPr>
                <w:rFonts w:ascii="Arial" w:eastAsia="Arial" w:hAnsi="Arial" w:cs="Arial"/>
                <w:color w:val="CF0A2C"/>
                <w:sz w:val="14"/>
                <w:szCs w:val="14"/>
              </w:rPr>
              <w:t>4%</w:t>
            </w:r>
          </w:p>
        </w:tc>
        <w:tc>
          <w:tcPr>
            <w:tcW w:w="180" w:type="dxa"/>
            <w:vAlign w:val="bottom"/>
          </w:tcPr>
          <w:p w:rsidR="00A621E3" w:rsidRDefault="00A621E3">
            <w:pPr>
              <w:rPr>
                <w:sz w:val="16"/>
                <w:szCs w:val="16"/>
              </w:rPr>
            </w:pPr>
          </w:p>
        </w:tc>
      </w:tr>
      <w:tr w:rsidR="00A621E3">
        <w:trPr>
          <w:trHeight w:val="189"/>
        </w:trPr>
        <w:tc>
          <w:tcPr>
            <w:tcW w:w="3080" w:type="dxa"/>
            <w:vAlign w:val="bottom"/>
          </w:tcPr>
          <w:p w:rsidR="00A621E3" w:rsidRDefault="00EC630E">
            <w:pPr>
              <w:spacing w:line="189" w:lineRule="exact"/>
              <w:rPr>
                <w:sz w:val="20"/>
                <w:szCs w:val="20"/>
              </w:rPr>
            </w:pPr>
            <w:r>
              <w:rPr>
                <w:rFonts w:ascii="Arial" w:eastAsia="Arial" w:hAnsi="Arial" w:cs="Arial"/>
                <w:b/>
                <w:bCs/>
                <w:color w:val="CF0A2C"/>
                <w:sz w:val="14"/>
                <w:szCs w:val="14"/>
              </w:rPr>
              <w:t>Member Activity</w:t>
            </w:r>
            <w:r>
              <w:rPr>
                <w:rFonts w:ascii="Arial" w:eastAsia="Arial" w:hAnsi="Arial" w:cs="Arial"/>
                <w:b/>
                <w:bCs/>
                <w:color w:val="CF0A2C"/>
                <w:sz w:val="21"/>
                <w:szCs w:val="21"/>
                <w:vertAlign w:val="superscript"/>
              </w:rPr>
              <w:t>(2)</w:t>
            </w:r>
          </w:p>
        </w:tc>
        <w:tc>
          <w:tcPr>
            <w:tcW w:w="240" w:type="dxa"/>
            <w:vAlign w:val="bottom"/>
          </w:tcPr>
          <w:p w:rsidR="00A621E3" w:rsidRDefault="00A621E3">
            <w:pPr>
              <w:rPr>
                <w:sz w:val="16"/>
                <w:szCs w:val="16"/>
              </w:rPr>
            </w:pPr>
          </w:p>
        </w:tc>
        <w:tc>
          <w:tcPr>
            <w:tcW w:w="1020" w:type="dxa"/>
            <w:vAlign w:val="bottom"/>
          </w:tcPr>
          <w:p w:rsidR="00A621E3" w:rsidRDefault="00EC630E">
            <w:pPr>
              <w:ind w:right="185"/>
              <w:jc w:val="right"/>
              <w:rPr>
                <w:sz w:val="20"/>
                <w:szCs w:val="20"/>
              </w:rPr>
            </w:pPr>
            <w:r>
              <w:rPr>
                <w:rFonts w:ascii="Arial" w:eastAsia="Arial" w:hAnsi="Arial" w:cs="Arial"/>
                <w:color w:val="CF0A2C"/>
                <w:sz w:val="14"/>
                <w:szCs w:val="14"/>
              </w:rPr>
              <w:t>—</w:t>
            </w:r>
          </w:p>
        </w:tc>
        <w:tc>
          <w:tcPr>
            <w:tcW w:w="840" w:type="dxa"/>
            <w:vAlign w:val="bottom"/>
          </w:tcPr>
          <w:p w:rsidR="00A621E3" w:rsidRDefault="00EC630E">
            <w:pPr>
              <w:ind w:right="187"/>
              <w:jc w:val="right"/>
              <w:rPr>
                <w:sz w:val="20"/>
                <w:szCs w:val="20"/>
              </w:rPr>
            </w:pPr>
            <w:r>
              <w:rPr>
                <w:rFonts w:ascii="Arial" w:eastAsia="Arial" w:hAnsi="Arial" w:cs="Arial"/>
                <w:color w:val="CF0A2C"/>
                <w:sz w:val="14"/>
                <w:szCs w:val="14"/>
              </w:rPr>
              <w:t>—</w:t>
            </w:r>
          </w:p>
        </w:tc>
        <w:tc>
          <w:tcPr>
            <w:tcW w:w="1120" w:type="dxa"/>
            <w:vAlign w:val="bottom"/>
          </w:tcPr>
          <w:p w:rsidR="00A621E3" w:rsidRDefault="00EC630E">
            <w:pPr>
              <w:ind w:right="187"/>
              <w:jc w:val="right"/>
              <w:rPr>
                <w:sz w:val="20"/>
                <w:szCs w:val="20"/>
              </w:rPr>
            </w:pPr>
            <w:r>
              <w:rPr>
                <w:rFonts w:ascii="Arial" w:eastAsia="Arial" w:hAnsi="Arial" w:cs="Arial"/>
                <w:color w:val="CF0A2C"/>
                <w:sz w:val="14"/>
                <w:szCs w:val="14"/>
              </w:rPr>
              <w:t>—</w:t>
            </w:r>
          </w:p>
        </w:tc>
        <w:tc>
          <w:tcPr>
            <w:tcW w:w="860" w:type="dxa"/>
            <w:vAlign w:val="bottom"/>
          </w:tcPr>
          <w:p w:rsidR="00A621E3" w:rsidRDefault="00EC630E">
            <w:pPr>
              <w:ind w:right="187"/>
              <w:jc w:val="right"/>
              <w:rPr>
                <w:sz w:val="20"/>
                <w:szCs w:val="20"/>
              </w:rPr>
            </w:pPr>
            <w:r>
              <w:rPr>
                <w:rFonts w:ascii="Arial" w:eastAsia="Arial" w:hAnsi="Arial" w:cs="Arial"/>
                <w:color w:val="CF0A2C"/>
                <w:sz w:val="14"/>
                <w:szCs w:val="14"/>
              </w:rPr>
              <w:t>—</w:t>
            </w:r>
          </w:p>
        </w:tc>
        <w:tc>
          <w:tcPr>
            <w:tcW w:w="1260" w:type="dxa"/>
            <w:vAlign w:val="bottom"/>
          </w:tcPr>
          <w:p w:rsidR="00A621E3" w:rsidRDefault="00EC630E">
            <w:pPr>
              <w:ind w:right="106"/>
              <w:jc w:val="right"/>
              <w:rPr>
                <w:sz w:val="20"/>
                <w:szCs w:val="20"/>
              </w:rPr>
            </w:pPr>
            <w:r>
              <w:rPr>
                <w:rFonts w:ascii="Arial" w:eastAsia="Arial" w:hAnsi="Arial" w:cs="Arial"/>
                <w:color w:val="CF0A2C"/>
                <w:sz w:val="14"/>
                <w:szCs w:val="14"/>
              </w:rPr>
              <w:t>0%</w:t>
            </w:r>
          </w:p>
        </w:tc>
        <w:tc>
          <w:tcPr>
            <w:tcW w:w="1240" w:type="dxa"/>
            <w:vAlign w:val="bottom"/>
          </w:tcPr>
          <w:p w:rsidR="00A621E3" w:rsidRDefault="00EC630E">
            <w:pPr>
              <w:ind w:right="127"/>
              <w:jc w:val="right"/>
              <w:rPr>
                <w:sz w:val="20"/>
                <w:szCs w:val="20"/>
              </w:rPr>
            </w:pPr>
            <w:r>
              <w:rPr>
                <w:rFonts w:ascii="Arial" w:eastAsia="Arial" w:hAnsi="Arial" w:cs="Arial"/>
                <w:color w:val="CF0A2C"/>
                <w:sz w:val="14"/>
                <w:szCs w:val="14"/>
              </w:rPr>
              <w:t>3%</w:t>
            </w:r>
          </w:p>
        </w:tc>
        <w:tc>
          <w:tcPr>
            <w:tcW w:w="1180" w:type="dxa"/>
            <w:vAlign w:val="bottom"/>
          </w:tcPr>
          <w:p w:rsidR="00A621E3" w:rsidRDefault="00EC630E">
            <w:pPr>
              <w:jc w:val="right"/>
              <w:rPr>
                <w:sz w:val="20"/>
                <w:szCs w:val="20"/>
              </w:rPr>
            </w:pPr>
            <w:r>
              <w:rPr>
                <w:rFonts w:ascii="Arial" w:eastAsia="Arial" w:hAnsi="Arial" w:cs="Arial"/>
                <w:color w:val="CF0A2C"/>
                <w:sz w:val="14"/>
                <w:szCs w:val="14"/>
              </w:rPr>
              <w:t>0%</w:t>
            </w:r>
          </w:p>
        </w:tc>
        <w:tc>
          <w:tcPr>
            <w:tcW w:w="180" w:type="dxa"/>
            <w:vAlign w:val="bottom"/>
          </w:tcPr>
          <w:p w:rsidR="00A621E3" w:rsidRDefault="00A621E3">
            <w:pPr>
              <w:rPr>
                <w:sz w:val="16"/>
                <w:szCs w:val="16"/>
              </w:rPr>
            </w:pPr>
          </w:p>
        </w:tc>
      </w:tr>
      <w:tr w:rsidR="00A621E3">
        <w:trPr>
          <w:trHeight w:val="189"/>
        </w:trPr>
        <w:tc>
          <w:tcPr>
            <w:tcW w:w="3080" w:type="dxa"/>
            <w:vAlign w:val="bottom"/>
          </w:tcPr>
          <w:p w:rsidR="00A621E3" w:rsidRDefault="00EC630E">
            <w:pPr>
              <w:spacing w:line="189" w:lineRule="exact"/>
              <w:rPr>
                <w:sz w:val="20"/>
                <w:szCs w:val="20"/>
              </w:rPr>
            </w:pPr>
            <w:r>
              <w:rPr>
                <w:rFonts w:ascii="Arial" w:eastAsia="Arial" w:hAnsi="Arial" w:cs="Arial"/>
                <w:b/>
                <w:bCs/>
                <w:color w:val="CF0A2C"/>
                <w:sz w:val="14"/>
                <w:szCs w:val="14"/>
              </w:rPr>
              <w:t>Commodity Cost Growth</w:t>
            </w:r>
            <w:r>
              <w:rPr>
                <w:rFonts w:ascii="Arial" w:eastAsia="Arial" w:hAnsi="Arial" w:cs="Arial"/>
                <w:b/>
                <w:bCs/>
                <w:color w:val="CF0A2C"/>
                <w:sz w:val="21"/>
                <w:szCs w:val="21"/>
                <w:vertAlign w:val="superscript"/>
              </w:rPr>
              <w:t>(3)</w:t>
            </w:r>
          </w:p>
        </w:tc>
        <w:tc>
          <w:tcPr>
            <w:tcW w:w="1260" w:type="dxa"/>
            <w:gridSpan w:val="2"/>
            <w:vAlign w:val="bottom"/>
          </w:tcPr>
          <w:p w:rsidR="00A621E3" w:rsidRDefault="00EC630E">
            <w:pPr>
              <w:ind w:right="105"/>
              <w:jc w:val="right"/>
              <w:rPr>
                <w:sz w:val="20"/>
                <w:szCs w:val="20"/>
              </w:rPr>
            </w:pPr>
            <w:r>
              <w:rPr>
                <w:rFonts w:ascii="Arial" w:eastAsia="Arial" w:hAnsi="Arial" w:cs="Arial"/>
                <w:color w:val="CF0A2C"/>
                <w:sz w:val="14"/>
                <w:szCs w:val="14"/>
              </w:rPr>
              <w:t>4%</w:t>
            </w:r>
          </w:p>
        </w:tc>
        <w:tc>
          <w:tcPr>
            <w:tcW w:w="840" w:type="dxa"/>
            <w:vAlign w:val="bottom"/>
          </w:tcPr>
          <w:p w:rsidR="00A621E3" w:rsidRDefault="00EC630E">
            <w:pPr>
              <w:ind w:right="107"/>
              <w:jc w:val="right"/>
              <w:rPr>
                <w:sz w:val="20"/>
                <w:szCs w:val="20"/>
              </w:rPr>
            </w:pPr>
            <w:r>
              <w:rPr>
                <w:rFonts w:ascii="Arial" w:eastAsia="Arial" w:hAnsi="Arial" w:cs="Arial"/>
                <w:color w:val="CF0A2C"/>
                <w:sz w:val="14"/>
                <w:szCs w:val="14"/>
              </w:rPr>
              <w:t>2%</w:t>
            </w:r>
          </w:p>
        </w:tc>
        <w:tc>
          <w:tcPr>
            <w:tcW w:w="1120" w:type="dxa"/>
            <w:vAlign w:val="bottom"/>
          </w:tcPr>
          <w:p w:rsidR="00A621E3" w:rsidRDefault="00EC630E">
            <w:pPr>
              <w:ind w:right="107"/>
              <w:jc w:val="right"/>
              <w:rPr>
                <w:sz w:val="20"/>
                <w:szCs w:val="20"/>
              </w:rPr>
            </w:pPr>
            <w:r>
              <w:rPr>
                <w:rFonts w:ascii="Arial" w:eastAsia="Arial" w:hAnsi="Arial" w:cs="Arial"/>
                <w:color w:val="CF0A2C"/>
                <w:sz w:val="14"/>
                <w:szCs w:val="14"/>
              </w:rPr>
              <w:t>0%</w:t>
            </w:r>
          </w:p>
        </w:tc>
        <w:tc>
          <w:tcPr>
            <w:tcW w:w="860" w:type="dxa"/>
            <w:vAlign w:val="bottom"/>
          </w:tcPr>
          <w:p w:rsidR="00A621E3" w:rsidRDefault="00EC630E">
            <w:pPr>
              <w:ind w:right="107"/>
              <w:jc w:val="right"/>
              <w:rPr>
                <w:sz w:val="20"/>
                <w:szCs w:val="20"/>
              </w:rPr>
            </w:pPr>
            <w:r>
              <w:rPr>
                <w:rFonts w:ascii="Arial" w:eastAsia="Arial" w:hAnsi="Arial" w:cs="Arial"/>
                <w:color w:val="CF0A2C"/>
                <w:sz w:val="14"/>
                <w:szCs w:val="14"/>
              </w:rPr>
              <w:t>2.1%</w:t>
            </w:r>
          </w:p>
        </w:tc>
        <w:tc>
          <w:tcPr>
            <w:tcW w:w="1260" w:type="dxa"/>
            <w:vAlign w:val="bottom"/>
          </w:tcPr>
          <w:p w:rsidR="00A621E3" w:rsidRDefault="00EC630E">
            <w:pPr>
              <w:ind w:right="106"/>
              <w:jc w:val="right"/>
              <w:rPr>
                <w:sz w:val="20"/>
                <w:szCs w:val="20"/>
              </w:rPr>
            </w:pPr>
            <w:r>
              <w:rPr>
                <w:rFonts w:ascii="Arial" w:eastAsia="Arial" w:hAnsi="Arial" w:cs="Arial"/>
                <w:color w:val="CF0A2C"/>
                <w:sz w:val="14"/>
                <w:szCs w:val="14"/>
              </w:rPr>
              <w:t>98%</w:t>
            </w:r>
          </w:p>
        </w:tc>
        <w:tc>
          <w:tcPr>
            <w:tcW w:w="1240" w:type="dxa"/>
            <w:vAlign w:val="bottom"/>
          </w:tcPr>
          <w:p w:rsidR="00A621E3" w:rsidRDefault="00EC630E">
            <w:pPr>
              <w:ind w:right="127"/>
              <w:jc w:val="right"/>
              <w:rPr>
                <w:sz w:val="20"/>
                <w:szCs w:val="20"/>
              </w:rPr>
            </w:pPr>
            <w:r>
              <w:rPr>
                <w:rFonts w:ascii="Arial" w:eastAsia="Arial" w:hAnsi="Arial" w:cs="Arial"/>
                <w:color w:val="CF0A2C"/>
                <w:sz w:val="14"/>
                <w:szCs w:val="14"/>
              </w:rPr>
              <w:t>15%</w:t>
            </w:r>
          </w:p>
        </w:tc>
        <w:tc>
          <w:tcPr>
            <w:tcW w:w="1180" w:type="dxa"/>
            <w:vAlign w:val="bottom"/>
          </w:tcPr>
          <w:p w:rsidR="00A621E3" w:rsidRDefault="00EC630E">
            <w:pPr>
              <w:jc w:val="right"/>
              <w:rPr>
                <w:sz w:val="20"/>
                <w:szCs w:val="20"/>
              </w:rPr>
            </w:pPr>
            <w:r>
              <w:rPr>
                <w:rFonts w:ascii="Arial" w:eastAsia="Arial" w:hAnsi="Arial" w:cs="Arial"/>
                <w:color w:val="CF0A2C"/>
                <w:sz w:val="14"/>
                <w:szCs w:val="14"/>
              </w:rPr>
              <w:t>15%</w:t>
            </w:r>
          </w:p>
        </w:tc>
        <w:tc>
          <w:tcPr>
            <w:tcW w:w="180" w:type="dxa"/>
            <w:vAlign w:val="bottom"/>
          </w:tcPr>
          <w:p w:rsidR="00A621E3" w:rsidRDefault="00A621E3">
            <w:pPr>
              <w:rPr>
                <w:sz w:val="16"/>
                <w:szCs w:val="16"/>
              </w:rPr>
            </w:pPr>
          </w:p>
        </w:tc>
      </w:tr>
      <w:tr w:rsidR="00A621E3">
        <w:trPr>
          <w:trHeight w:val="189"/>
        </w:trPr>
        <w:tc>
          <w:tcPr>
            <w:tcW w:w="3080" w:type="dxa"/>
            <w:vAlign w:val="bottom"/>
          </w:tcPr>
          <w:p w:rsidR="00A621E3" w:rsidRDefault="00EC630E">
            <w:pPr>
              <w:spacing w:line="189" w:lineRule="exact"/>
              <w:rPr>
                <w:sz w:val="20"/>
                <w:szCs w:val="20"/>
              </w:rPr>
            </w:pPr>
            <w:r>
              <w:rPr>
                <w:rFonts w:ascii="Arial" w:eastAsia="Arial" w:hAnsi="Arial" w:cs="Arial"/>
                <w:b/>
                <w:bCs/>
                <w:color w:val="CF0A2C"/>
                <w:sz w:val="14"/>
                <w:szCs w:val="14"/>
              </w:rPr>
              <w:t>Labor Cost Growth</w:t>
            </w:r>
            <w:r>
              <w:rPr>
                <w:rFonts w:ascii="Arial" w:eastAsia="Arial" w:hAnsi="Arial" w:cs="Arial"/>
                <w:b/>
                <w:bCs/>
                <w:color w:val="CF0A2C"/>
                <w:sz w:val="21"/>
                <w:szCs w:val="21"/>
                <w:vertAlign w:val="superscript"/>
              </w:rPr>
              <w:t>(4)</w:t>
            </w:r>
          </w:p>
        </w:tc>
        <w:tc>
          <w:tcPr>
            <w:tcW w:w="1260" w:type="dxa"/>
            <w:gridSpan w:val="2"/>
            <w:vAlign w:val="bottom"/>
          </w:tcPr>
          <w:p w:rsidR="00A621E3" w:rsidRDefault="00EC630E">
            <w:pPr>
              <w:ind w:right="105"/>
              <w:jc w:val="right"/>
              <w:rPr>
                <w:sz w:val="20"/>
                <w:szCs w:val="20"/>
              </w:rPr>
            </w:pPr>
            <w:r>
              <w:rPr>
                <w:rFonts w:ascii="Arial" w:eastAsia="Arial" w:hAnsi="Arial" w:cs="Arial"/>
                <w:color w:val="CF0A2C"/>
                <w:sz w:val="14"/>
                <w:szCs w:val="14"/>
              </w:rPr>
              <w:t>5%</w:t>
            </w:r>
          </w:p>
        </w:tc>
        <w:tc>
          <w:tcPr>
            <w:tcW w:w="840" w:type="dxa"/>
            <w:vAlign w:val="bottom"/>
          </w:tcPr>
          <w:p w:rsidR="00A621E3" w:rsidRDefault="00EC630E">
            <w:pPr>
              <w:ind w:right="107"/>
              <w:jc w:val="right"/>
              <w:rPr>
                <w:sz w:val="20"/>
                <w:szCs w:val="20"/>
              </w:rPr>
            </w:pPr>
            <w:r>
              <w:rPr>
                <w:rFonts w:ascii="Arial" w:eastAsia="Arial" w:hAnsi="Arial" w:cs="Arial"/>
                <w:color w:val="CF0A2C"/>
                <w:sz w:val="14"/>
                <w:szCs w:val="14"/>
              </w:rPr>
              <w:t>0%</w:t>
            </w:r>
          </w:p>
        </w:tc>
        <w:tc>
          <w:tcPr>
            <w:tcW w:w="1120" w:type="dxa"/>
            <w:vAlign w:val="bottom"/>
          </w:tcPr>
          <w:p w:rsidR="00A621E3" w:rsidRDefault="00EC630E">
            <w:pPr>
              <w:ind w:right="107"/>
              <w:jc w:val="right"/>
              <w:rPr>
                <w:sz w:val="20"/>
                <w:szCs w:val="20"/>
              </w:rPr>
            </w:pPr>
            <w:r>
              <w:rPr>
                <w:rFonts w:ascii="Arial" w:eastAsia="Arial" w:hAnsi="Arial" w:cs="Arial"/>
                <w:color w:val="CF0A2C"/>
                <w:sz w:val="14"/>
                <w:szCs w:val="14"/>
              </w:rPr>
              <w:t>-5%</w:t>
            </w:r>
          </w:p>
        </w:tc>
        <w:tc>
          <w:tcPr>
            <w:tcW w:w="860" w:type="dxa"/>
            <w:vAlign w:val="bottom"/>
          </w:tcPr>
          <w:p w:rsidR="00A621E3" w:rsidRDefault="00EC630E">
            <w:pPr>
              <w:ind w:right="107"/>
              <w:jc w:val="right"/>
              <w:rPr>
                <w:sz w:val="20"/>
                <w:szCs w:val="20"/>
              </w:rPr>
            </w:pPr>
            <w:r>
              <w:rPr>
                <w:rFonts w:ascii="Arial" w:eastAsia="Arial" w:hAnsi="Arial" w:cs="Arial"/>
                <w:color w:val="CF0A2C"/>
                <w:sz w:val="14"/>
                <w:szCs w:val="14"/>
              </w:rPr>
              <w:t>-7%</w:t>
            </w:r>
          </w:p>
        </w:tc>
        <w:tc>
          <w:tcPr>
            <w:tcW w:w="1260" w:type="dxa"/>
            <w:vAlign w:val="bottom"/>
          </w:tcPr>
          <w:p w:rsidR="00A621E3" w:rsidRDefault="00EC630E">
            <w:pPr>
              <w:ind w:right="106"/>
              <w:jc w:val="right"/>
              <w:rPr>
                <w:sz w:val="20"/>
                <w:szCs w:val="20"/>
              </w:rPr>
            </w:pPr>
            <w:r>
              <w:rPr>
                <w:rFonts w:ascii="Arial" w:eastAsia="Arial" w:hAnsi="Arial" w:cs="Arial"/>
                <w:color w:val="CF0A2C"/>
                <w:sz w:val="14"/>
                <w:szCs w:val="14"/>
              </w:rPr>
              <w:t>200%</w:t>
            </w:r>
          </w:p>
        </w:tc>
        <w:tc>
          <w:tcPr>
            <w:tcW w:w="1240" w:type="dxa"/>
            <w:vAlign w:val="bottom"/>
          </w:tcPr>
          <w:p w:rsidR="00A621E3" w:rsidRDefault="00EC630E">
            <w:pPr>
              <w:ind w:right="127"/>
              <w:jc w:val="right"/>
              <w:rPr>
                <w:sz w:val="20"/>
                <w:szCs w:val="20"/>
              </w:rPr>
            </w:pPr>
            <w:r>
              <w:rPr>
                <w:rFonts w:ascii="Arial" w:eastAsia="Arial" w:hAnsi="Arial" w:cs="Arial"/>
                <w:color w:val="CF0A2C"/>
                <w:sz w:val="14"/>
                <w:szCs w:val="14"/>
              </w:rPr>
              <w:t>15%</w:t>
            </w:r>
          </w:p>
        </w:tc>
        <w:tc>
          <w:tcPr>
            <w:tcW w:w="1180" w:type="dxa"/>
            <w:vAlign w:val="bottom"/>
          </w:tcPr>
          <w:p w:rsidR="00A621E3" w:rsidRDefault="00EC630E">
            <w:pPr>
              <w:jc w:val="right"/>
              <w:rPr>
                <w:sz w:val="20"/>
                <w:szCs w:val="20"/>
              </w:rPr>
            </w:pPr>
            <w:r>
              <w:rPr>
                <w:rFonts w:ascii="Arial" w:eastAsia="Arial" w:hAnsi="Arial" w:cs="Arial"/>
                <w:color w:val="CF0A2C"/>
                <w:sz w:val="14"/>
                <w:szCs w:val="14"/>
              </w:rPr>
              <w:t>30%</w:t>
            </w:r>
          </w:p>
        </w:tc>
        <w:tc>
          <w:tcPr>
            <w:tcW w:w="180" w:type="dxa"/>
            <w:vAlign w:val="bottom"/>
          </w:tcPr>
          <w:p w:rsidR="00A621E3" w:rsidRDefault="00A621E3">
            <w:pPr>
              <w:rPr>
                <w:sz w:val="16"/>
                <w:szCs w:val="16"/>
              </w:rPr>
            </w:pPr>
          </w:p>
        </w:tc>
      </w:tr>
      <w:tr w:rsidR="00A621E3">
        <w:trPr>
          <w:trHeight w:val="189"/>
        </w:trPr>
        <w:tc>
          <w:tcPr>
            <w:tcW w:w="3080" w:type="dxa"/>
            <w:vAlign w:val="bottom"/>
          </w:tcPr>
          <w:p w:rsidR="00A621E3" w:rsidRDefault="00EC630E">
            <w:pPr>
              <w:spacing w:line="189" w:lineRule="exact"/>
              <w:rPr>
                <w:sz w:val="20"/>
                <w:szCs w:val="20"/>
              </w:rPr>
            </w:pPr>
            <w:r>
              <w:rPr>
                <w:rFonts w:ascii="Arial" w:eastAsia="Arial" w:hAnsi="Arial" w:cs="Arial"/>
                <w:b/>
                <w:bCs/>
                <w:color w:val="CF0A2C"/>
                <w:sz w:val="14"/>
                <w:szCs w:val="14"/>
              </w:rPr>
              <w:t>Relative Revenue Growth</w:t>
            </w:r>
            <w:r>
              <w:rPr>
                <w:rFonts w:ascii="Arial" w:eastAsia="Arial" w:hAnsi="Arial" w:cs="Arial"/>
                <w:b/>
                <w:bCs/>
                <w:color w:val="CF0A2C"/>
                <w:sz w:val="21"/>
                <w:szCs w:val="21"/>
                <w:vertAlign w:val="superscript"/>
              </w:rPr>
              <w:t>(5)</w:t>
            </w:r>
          </w:p>
        </w:tc>
        <w:tc>
          <w:tcPr>
            <w:tcW w:w="1260" w:type="dxa"/>
            <w:gridSpan w:val="2"/>
            <w:vAlign w:val="bottom"/>
          </w:tcPr>
          <w:p w:rsidR="00A621E3" w:rsidRDefault="00EC630E">
            <w:pPr>
              <w:ind w:right="105"/>
              <w:jc w:val="right"/>
              <w:rPr>
                <w:sz w:val="20"/>
                <w:szCs w:val="20"/>
              </w:rPr>
            </w:pPr>
            <w:r>
              <w:rPr>
                <w:rFonts w:ascii="Arial" w:eastAsia="Arial" w:hAnsi="Arial" w:cs="Arial"/>
                <w:color w:val="CF0A2C"/>
                <w:sz w:val="14"/>
                <w:szCs w:val="14"/>
              </w:rPr>
              <w:t>1%</w:t>
            </w:r>
          </w:p>
        </w:tc>
        <w:tc>
          <w:tcPr>
            <w:tcW w:w="840" w:type="dxa"/>
            <w:vAlign w:val="bottom"/>
          </w:tcPr>
          <w:p w:rsidR="00A621E3" w:rsidRDefault="00EC630E">
            <w:pPr>
              <w:ind w:right="107"/>
              <w:jc w:val="right"/>
              <w:rPr>
                <w:sz w:val="20"/>
                <w:szCs w:val="20"/>
              </w:rPr>
            </w:pPr>
            <w:r>
              <w:rPr>
                <w:rFonts w:ascii="Arial" w:eastAsia="Arial" w:hAnsi="Arial" w:cs="Arial"/>
                <w:color w:val="CF0A2C"/>
                <w:sz w:val="14"/>
                <w:szCs w:val="14"/>
              </w:rPr>
              <w:t>2%</w:t>
            </w:r>
          </w:p>
        </w:tc>
        <w:tc>
          <w:tcPr>
            <w:tcW w:w="1120" w:type="dxa"/>
            <w:vAlign w:val="bottom"/>
          </w:tcPr>
          <w:p w:rsidR="00A621E3" w:rsidRDefault="00EC630E">
            <w:pPr>
              <w:ind w:right="107"/>
              <w:jc w:val="right"/>
              <w:rPr>
                <w:sz w:val="20"/>
                <w:szCs w:val="20"/>
              </w:rPr>
            </w:pPr>
            <w:r>
              <w:rPr>
                <w:rFonts w:ascii="Arial" w:eastAsia="Arial" w:hAnsi="Arial" w:cs="Arial"/>
                <w:color w:val="CF0A2C"/>
                <w:sz w:val="14"/>
                <w:szCs w:val="14"/>
              </w:rPr>
              <w:t>4%</w:t>
            </w:r>
          </w:p>
        </w:tc>
        <w:tc>
          <w:tcPr>
            <w:tcW w:w="860" w:type="dxa"/>
            <w:vAlign w:val="bottom"/>
          </w:tcPr>
          <w:p w:rsidR="00A621E3" w:rsidRDefault="00EC630E">
            <w:pPr>
              <w:ind w:right="107"/>
              <w:jc w:val="right"/>
              <w:rPr>
                <w:sz w:val="20"/>
                <w:szCs w:val="20"/>
              </w:rPr>
            </w:pPr>
            <w:r>
              <w:rPr>
                <w:rFonts w:ascii="Arial" w:eastAsia="Arial" w:hAnsi="Arial" w:cs="Arial"/>
                <w:color w:val="CF0A2C"/>
                <w:sz w:val="14"/>
                <w:szCs w:val="14"/>
              </w:rPr>
              <w:t>7%</w:t>
            </w:r>
          </w:p>
        </w:tc>
        <w:tc>
          <w:tcPr>
            <w:tcW w:w="1260" w:type="dxa"/>
            <w:vAlign w:val="bottom"/>
          </w:tcPr>
          <w:p w:rsidR="00A621E3" w:rsidRDefault="00EC630E">
            <w:pPr>
              <w:ind w:right="106"/>
              <w:jc w:val="right"/>
              <w:rPr>
                <w:sz w:val="20"/>
                <w:szCs w:val="20"/>
              </w:rPr>
            </w:pPr>
            <w:r>
              <w:rPr>
                <w:rFonts w:ascii="Arial" w:eastAsia="Arial" w:hAnsi="Arial" w:cs="Arial"/>
                <w:color w:val="CF0A2C"/>
                <w:sz w:val="14"/>
                <w:szCs w:val="14"/>
              </w:rPr>
              <w:t>200%</w:t>
            </w:r>
          </w:p>
        </w:tc>
        <w:tc>
          <w:tcPr>
            <w:tcW w:w="1240" w:type="dxa"/>
            <w:vAlign w:val="bottom"/>
          </w:tcPr>
          <w:p w:rsidR="00A621E3" w:rsidRDefault="00EC630E">
            <w:pPr>
              <w:ind w:right="127"/>
              <w:jc w:val="right"/>
              <w:rPr>
                <w:sz w:val="20"/>
                <w:szCs w:val="20"/>
              </w:rPr>
            </w:pPr>
            <w:r>
              <w:rPr>
                <w:rFonts w:ascii="Arial" w:eastAsia="Arial" w:hAnsi="Arial" w:cs="Arial"/>
                <w:color w:val="CF0A2C"/>
                <w:sz w:val="14"/>
                <w:szCs w:val="14"/>
              </w:rPr>
              <w:t>20%</w:t>
            </w:r>
          </w:p>
        </w:tc>
        <w:tc>
          <w:tcPr>
            <w:tcW w:w="1180" w:type="dxa"/>
            <w:vAlign w:val="bottom"/>
          </w:tcPr>
          <w:p w:rsidR="00A621E3" w:rsidRDefault="00EC630E">
            <w:pPr>
              <w:jc w:val="right"/>
              <w:rPr>
                <w:sz w:val="20"/>
                <w:szCs w:val="20"/>
              </w:rPr>
            </w:pPr>
            <w:r>
              <w:rPr>
                <w:rFonts w:ascii="Arial" w:eastAsia="Arial" w:hAnsi="Arial" w:cs="Arial"/>
                <w:color w:val="CF0A2C"/>
                <w:sz w:val="14"/>
                <w:szCs w:val="14"/>
              </w:rPr>
              <w:t>40%</w:t>
            </w:r>
          </w:p>
        </w:tc>
        <w:tc>
          <w:tcPr>
            <w:tcW w:w="180" w:type="dxa"/>
            <w:vAlign w:val="bottom"/>
          </w:tcPr>
          <w:p w:rsidR="00A621E3" w:rsidRDefault="00A621E3">
            <w:pPr>
              <w:rPr>
                <w:sz w:val="16"/>
                <w:szCs w:val="16"/>
              </w:rPr>
            </w:pPr>
          </w:p>
        </w:tc>
      </w:tr>
      <w:tr w:rsidR="00A621E3">
        <w:trPr>
          <w:trHeight w:val="207"/>
        </w:trPr>
        <w:tc>
          <w:tcPr>
            <w:tcW w:w="3080" w:type="dxa"/>
            <w:vAlign w:val="bottom"/>
          </w:tcPr>
          <w:p w:rsidR="00A621E3" w:rsidRDefault="00EC630E">
            <w:pPr>
              <w:spacing w:line="207" w:lineRule="exact"/>
              <w:rPr>
                <w:sz w:val="20"/>
                <w:szCs w:val="20"/>
              </w:rPr>
            </w:pPr>
            <w:r>
              <w:rPr>
                <w:rFonts w:ascii="Arial" w:eastAsia="Arial" w:hAnsi="Arial" w:cs="Arial"/>
                <w:b/>
                <w:bCs/>
                <w:color w:val="CF0A2C"/>
                <w:sz w:val="16"/>
                <w:szCs w:val="16"/>
              </w:rPr>
              <w:t>R-TSR</w:t>
            </w:r>
            <w:r>
              <w:rPr>
                <w:rFonts w:ascii="Arial" w:eastAsia="Arial" w:hAnsi="Arial" w:cs="Arial"/>
                <w:b/>
                <w:bCs/>
                <w:color w:val="CF0A2C"/>
                <w:sz w:val="24"/>
                <w:szCs w:val="24"/>
                <w:vertAlign w:val="superscript"/>
              </w:rPr>
              <w:t>(6)</w:t>
            </w:r>
          </w:p>
        </w:tc>
        <w:tc>
          <w:tcPr>
            <w:tcW w:w="240" w:type="dxa"/>
            <w:vAlign w:val="bottom"/>
          </w:tcPr>
          <w:p w:rsidR="00A621E3" w:rsidRDefault="00A621E3">
            <w:pPr>
              <w:rPr>
                <w:sz w:val="18"/>
                <w:szCs w:val="18"/>
              </w:rPr>
            </w:pPr>
          </w:p>
        </w:tc>
        <w:tc>
          <w:tcPr>
            <w:tcW w:w="1020" w:type="dxa"/>
            <w:tcBorders>
              <w:bottom w:val="single" w:sz="8" w:space="0" w:color="CF0A2C"/>
            </w:tcBorders>
            <w:vAlign w:val="bottom"/>
          </w:tcPr>
          <w:p w:rsidR="00A621E3" w:rsidRDefault="00EC630E">
            <w:pPr>
              <w:spacing w:line="207" w:lineRule="exact"/>
              <w:ind w:right="105"/>
              <w:jc w:val="right"/>
              <w:rPr>
                <w:sz w:val="20"/>
                <w:szCs w:val="20"/>
              </w:rPr>
            </w:pPr>
            <w:r>
              <w:rPr>
                <w:rFonts w:ascii="Arial" w:eastAsia="Arial" w:hAnsi="Arial" w:cs="Arial"/>
                <w:color w:val="CF0A2C"/>
                <w:sz w:val="14"/>
                <w:szCs w:val="14"/>
              </w:rPr>
              <w:t>40</w:t>
            </w:r>
            <w:r>
              <w:rPr>
                <w:rFonts w:ascii="Arial" w:eastAsia="Arial" w:hAnsi="Arial" w:cs="Arial"/>
                <w:color w:val="CF0A2C"/>
                <w:sz w:val="21"/>
                <w:szCs w:val="21"/>
                <w:vertAlign w:val="superscript"/>
              </w:rPr>
              <w:t>th</w:t>
            </w:r>
          </w:p>
        </w:tc>
        <w:tc>
          <w:tcPr>
            <w:tcW w:w="840" w:type="dxa"/>
            <w:tcBorders>
              <w:bottom w:val="single" w:sz="8" w:space="0" w:color="CF0A2C"/>
            </w:tcBorders>
            <w:vAlign w:val="bottom"/>
          </w:tcPr>
          <w:p w:rsidR="00A621E3" w:rsidRDefault="00EC630E">
            <w:pPr>
              <w:spacing w:line="207" w:lineRule="exact"/>
              <w:ind w:right="107"/>
              <w:jc w:val="right"/>
              <w:rPr>
                <w:sz w:val="20"/>
                <w:szCs w:val="20"/>
              </w:rPr>
            </w:pPr>
            <w:r>
              <w:rPr>
                <w:rFonts w:ascii="Arial" w:eastAsia="Arial" w:hAnsi="Arial" w:cs="Arial"/>
                <w:color w:val="CF0A2C"/>
                <w:sz w:val="14"/>
                <w:szCs w:val="14"/>
              </w:rPr>
              <w:t>55</w:t>
            </w:r>
            <w:r>
              <w:rPr>
                <w:rFonts w:ascii="Arial" w:eastAsia="Arial" w:hAnsi="Arial" w:cs="Arial"/>
                <w:color w:val="CF0A2C"/>
                <w:sz w:val="21"/>
                <w:szCs w:val="21"/>
                <w:vertAlign w:val="superscript"/>
              </w:rPr>
              <w:t>th</w:t>
            </w:r>
          </w:p>
        </w:tc>
        <w:tc>
          <w:tcPr>
            <w:tcW w:w="1120" w:type="dxa"/>
            <w:tcBorders>
              <w:bottom w:val="single" w:sz="8" w:space="0" w:color="CF0A2C"/>
            </w:tcBorders>
            <w:vAlign w:val="bottom"/>
          </w:tcPr>
          <w:p w:rsidR="00A621E3" w:rsidRDefault="00EC630E">
            <w:pPr>
              <w:spacing w:line="207" w:lineRule="exact"/>
              <w:ind w:right="107"/>
              <w:jc w:val="right"/>
              <w:rPr>
                <w:sz w:val="20"/>
                <w:szCs w:val="20"/>
              </w:rPr>
            </w:pPr>
            <w:r>
              <w:rPr>
                <w:rFonts w:ascii="Arial" w:eastAsia="Arial" w:hAnsi="Arial" w:cs="Arial"/>
                <w:color w:val="CF0A2C"/>
                <w:sz w:val="14"/>
                <w:szCs w:val="14"/>
              </w:rPr>
              <w:t>85</w:t>
            </w:r>
            <w:r>
              <w:rPr>
                <w:rFonts w:ascii="Arial" w:eastAsia="Arial" w:hAnsi="Arial" w:cs="Arial"/>
                <w:color w:val="CF0A2C"/>
                <w:sz w:val="21"/>
                <w:szCs w:val="21"/>
                <w:vertAlign w:val="superscript"/>
              </w:rPr>
              <w:t>th</w:t>
            </w:r>
          </w:p>
        </w:tc>
        <w:tc>
          <w:tcPr>
            <w:tcW w:w="860" w:type="dxa"/>
            <w:tcBorders>
              <w:bottom w:val="single" w:sz="8" w:space="0" w:color="CF0A2C"/>
            </w:tcBorders>
            <w:vAlign w:val="bottom"/>
          </w:tcPr>
          <w:p w:rsidR="00A621E3" w:rsidRDefault="00EC630E">
            <w:pPr>
              <w:spacing w:line="207" w:lineRule="exact"/>
              <w:ind w:right="107"/>
              <w:jc w:val="right"/>
              <w:rPr>
                <w:sz w:val="20"/>
                <w:szCs w:val="20"/>
              </w:rPr>
            </w:pPr>
            <w:r>
              <w:rPr>
                <w:rFonts w:ascii="Arial" w:eastAsia="Arial" w:hAnsi="Arial" w:cs="Arial"/>
                <w:color w:val="CF0A2C"/>
                <w:sz w:val="14"/>
                <w:szCs w:val="14"/>
              </w:rPr>
              <w:t>93.65</w:t>
            </w:r>
            <w:r>
              <w:rPr>
                <w:rFonts w:ascii="Arial" w:eastAsia="Arial" w:hAnsi="Arial" w:cs="Arial"/>
                <w:color w:val="CF0A2C"/>
                <w:sz w:val="21"/>
                <w:szCs w:val="21"/>
                <w:vertAlign w:val="superscript"/>
              </w:rPr>
              <w:t>th</w:t>
            </w:r>
          </w:p>
        </w:tc>
        <w:tc>
          <w:tcPr>
            <w:tcW w:w="1260" w:type="dxa"/>
            <w:tcBorders>
              <w:bottom w:val="single" w:sz="8" w:space="0" w:color="CF0A2C"/>
            </w:tcBorders>
            <w:vAlign w:val="bottom"/>
          </w:tcPr>
          <w:p w:rsidR="00A621E3" w:rsidRDefault="00EC630E">
            <w:pPr>
              <w:ind w:right="106"/>
              <w:jc w:val="right"/>
              <w:rPr>
                <w:sz w:val="20"/>
                <w:szCs w:val="20"/>
              </w:rPr>
            </w:pPr>
            <w:r>
              <w:rPr>
                <w:rFonts w:ascii="Arial" w:eastAsia="Arial" w:hAnsi="Arial" w:cs="Arial"/>
                <w:color w:val="CF0A2C"/>
                <w:sz w:val="14"/>
                <w:szCs w:val="14"/>
              </w:rPr>
              <w:t>200%</w:t>
            </w:r>
          </w:p>
        </w:tc>
        <w:tc>
          <w:tcPr>
            <w:tcW w:w="1240" w:type="dxa"/>
            <w:tcBorders>
              <w:bottom w:val="single" w:sz="8" w:space="0" w:color="CF0A2C"/>
            </w:tcBorders>
            <w:vAlign w:val="bottom"/>
          </w:tcPr>
          <w:p w:rsidR="00A621E3" w:rsidRDefault="00EC630E">
            <w:pPr>
              <w:ind w:right="127"/>
              <w:jc w:val="right"/>
              <w:rPr>
                <w:sz w:val="20"/>
                <w:szCs w:val="20"/>
              </w:rPr>
            </w:pPr>
            <w:r>
              <w:rPr>
                <w:rFonts w:ascii="Arial" w:eastAsia="Arial" w:hAnsi="Arial" w:cs="Arial"/>
                <w:color w:val="CF0A2C"/>
                <w:sz w:val="14"/>
                <w:szCs w:val="14"/>
              </w:rPr>
              <w:t>20%</w:t>
            </w:r>
          </w:p>
        </w:tc>
        <w:tc>
          <w:tcPr>
            <w:tcW w:w="1180" w:type="dxa"/>
            <w:tcBorders>
              <w:bottom w:val="single" w:sz="8" w:space="0" w:color="CF0A2C"/>
            </w:tcBorders>
            <w:vAlign w:val="bottom"/>
          </w:tcPr>
          <w:p w:rsidR="00A621E3" w:rsidRDefault="00EC630E">
            <w:pPr>
              <w:jc w:val="right"/>
              <w:rPr>
                <w:sz w:val="20"/>
                <w:szCs w:val="20"/>
              </w:rPr>
            </w:pPr>
            <w:r>
              <w:rPr>
                <w:rFonts w:ascii="Arial" w:eastAsia="Arial" w:hAnsi="Arial" w:cs="Arial"/>
                <w:color w:val="CF0A2C"/>
                <w:sz w:val="14"/>
                <w:szCs w:val="14"/>
              </w:rPr>
              <w:t>40%</w:t>
            </w:r>
          </w:p>
        </w:tc>
        <w:tc>
          <w:tcPr>
            <w:tcW w:w="180" w:type="dxa"/>
            <w:vAlign w:val="bottom"/>
          </w:tcPr>
          <w:p w:rsidR="00A621E3" w:rsidRDefault="00A621E3">
            <w:pPr>
              <w:rPr>
                <w:sz w:val="18"/>
                <w:szCs w:val="18"/>
              </w:rPr>
            </w:pPr>
          </w:p>
        </w:tc>
      </w:tr>
      <w:tr w:rsidR="00A621E3">
        <w:trPr>
          <w:trHeight w:val="196"/>
        </w:trPr>
        <w:tc>
          <w:tcPr>
            <w:tcW w:w="3080" w:type="dxa"/>
            <w:vAlign w:val="bottom"/>
          </w:tcPr>
          <w:p w:rsidR="00A621E3" w:rsidRDefault="00EC630E">
            <w:pPr>
              <w:rPr>
                <w:sz w:val="20"/>
                <w:szCs w:val="20"/>
              </w:rPr>
            </w:pPr>
            <w:r>
              <w:rPr>
                <w:rFonts w:ascii="Arial" w:eastAsia="Arial" w:hAnsi="Arial" w:cs="Arial"/>
                <w:b/>
                <w:bCs/>
                <w:color w:val="CF0A2C"/>
                <w:sz w:val="16"/>
                <w:szCs w:val="16"/>
              </w:rPr>
              <w:t>FINAL COMPANY TEAM FACTOR</w:t>
            </w:r>
          </w:p>
        </w:tc>
        <w:tc>
          <w:tcPr>
            <w:tcW w:w="240" w:type="dxa"/>
            <w:vAlign w:val="bottom"/>
          </w:tcPr>
          <w:p w:rsidR="00A621E3" w:rsidRDefault="00A621E3">
            <w:pPr>
              <w:rPr>
                <w:sz w:val="17"/>
                <w:szCs w:val="17"/>
              </w:rPr>
            </w:pPr>
          </w:p>
        </w:tc>
        <w:tc>
          <w:tcPr>
            <w:tcW w:w="1020" w:type="dxa"/>
            <w:vAlign w:val="bottom"/>
          </w:tcPr>
          <w:p w:rsidR="00A621E3" w:rsidRDefault="00A621E3">
            <w:pPr>
              <w:rPr>
                <w:sz w:val="17"/>
                <w:szCs w:val="17"/>
              </w:rPr>
            </w:pPr>
          </w:p>
        </w:tc>
        <w:tc>
          <w:tcPr>
            <w:tcW w:w="840" w:type="dxa"/>
            <w:vAlign w:val="bottom"/>
          </w:tcPr>
          <w:p w:rsidR="00A621E3" w:rsidRDefault="00A621E3">
            <w:pPr>
              <w:rPr>
                <w:sz w:val="17"/>
                <w:szCs w:val="17"/>
              </w:rPr>
            </w:pPr>
          </w:p>
        </w:tc>
        <w:tc>
          <w:tcPr>
            <w:tcW w:w="1120" w:type="dxa"/>
            <w:vAlign w:val="bottom"/>
          </w:tcPr>
          <w:p w:rsidR="00A621E3" w:rsidRDefault="00A621E3">
            <w:pPr>
              <w:rPr>
                <w:sz w:val="17"/>
                <w:szCs w:val="17"/>
              </w:rPr>
            </w:pPr>
          </w:p>
        </w:tc>
        <w:tc>
          <w:tcPr>
            <w:tcW w:w="860" w:type="dxa"/>
            <w:vAlign w:val="bottom"/>
          </w:tcPr>
          <w:p w:rsidR="00A621E3" w:rsidRDefault="00A621E3">
            <w:pPr>
              <w:rPr>
                <w:sz w:val="17"/>
                <w:szCs w:val="17"/>
              </w:rPr>
            </w:pPr>
          </w:p>
        </w:tc>
        <w:tc>
          <w:tcPr>
            <w:tcW w:w="1260" w:type="dxa"/>
            <w:vAlign w:val="bottom"/>
          </w:tcPr>
          <w:p w:rsidR="00A621E3" w:rsidRDefault="00A621E3">
            <w:pPr>
              <w:rPr>
                <w:sz w:val="17"/>
                <w:szCs w:val="17"/>
              </w:rPr>
            </w:pPr>
          </w:p>
        </w:tc>
        <w:tc>
          <w:tcPr>
            <w:tcW w:w="1240" w:type="dxa"/>
            <w:vAlign w:val="bottom"/>
          </w:tcPr>
          <w:p w:rsidR="00A621E3" w:rsidRDefault="00A621E3">
            <w:pPr>
              <w:rPr>
                <w:sz w:val="17"/>
                <w:szCs w:val="17"/>
              </w:rPr>
            </w:pPr>
          </w:p>
        </w:tc>
        <w:tc>
          <w:tcPr>
            <w:tcW w:w="1360" w:type="dxa"/>
            <w:gridSpan w:val="2"/>
            <w:vAlign w:val="bottom"/>
          </w:tcPr>
          <w:p w:rsidR="00A621E3" w:rsidRDefault="00EC630E">
            <w:pPr>
              <w:ind w:right="60"/>
              <w:jc w:val="right"/>
              <w:rPr>
                <w:sz w:val="20"/>
                <w:szCs w:val="20"/>
              </w:rPr>
            </w:pPr>
            <w:r>
              <w:rPr>
                <w:rFonts w:ascii="Arial" w:eastAsia="Arial" w:hAnsi="Arial" w:cs="Arial"/>
                <w:color w:val="CF0A2C"/>
                <w:sz w:val="14"/>
                <w:szCs w:val="14"/>
              </w:rPr>
              <w:t>135%</w:t>
            </w:r>
          </w:p>
        </w:tc>
      </w:tr>
      <w:tr w:rsidR="00A621E3">
        <w:trPr>
          <w:trHeight w:val="20"/>
        </w:trPr>
        <w:tc>
          <w:tcPr>
            <w:tcW w:w="3080" w:type="dxa"/>
            <w:vAlign w:val="bottom"/>
          </w:tcPr>
          <w:p w:rsidR="00A621E3" w:rsidRDefault="00A621E3">
            <w:pPr>
              <w:spacing w:line="20" w:lineRule="exact"/>
              <w:rPr>
                <w:sz w:val="1"/>
                <w:szCs w:val="1"/>
              </w:rPr>
            </w:pPr>
          </w:p>
        </w:tc>
        <w:tc>
          <w:tcPr>
            <w:tcW w:w="240" w:type="dxa"/>
            <w:vAlign w:val="bottom"/>
          </w:tcPr>
          <w:p w:rsidR="00A621E3" w:rsidRDefault="00A621E3">
            <w:pPr>
              <w:spacing w:line="20" w:lineRule="exact"/>
              <w:rPr>
                <w:sz w:val="1"/>
                <w:szCs w:val="1"/>
              </w:rPr>
            </w:pPr>
          </w:p>
        </w:tc>
        <w:tc>
          <w:tcPr>
            <w:tcW w:w="102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84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112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86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126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124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118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180" w:type="dxa"/>
            <w:vAlign w:val="bottom"/>
          </w:tcPr>
          <w:p w:rsidR="00A621E3" w:rsidRDefault="00A621E3">
            <w:pPr>
              <w:spacing w:line="20" w:lineRule="exact"/>
              <w:rPr>
                <w:sz w:val="1"/>
                <w:szCs w:val="1"/>
              </w:rPr>
            </w:pPr>
          </w:p>
        </w:tc>
      </w:tr>
    </w:tbl>
    <w:p w:rsidR="00A621E3" w:rsidRDefault="00A621E3">
      <w:pPr>
        <w:spacing w:line="274" w:lineRule="exact"/>
        <w:rPr>
          <w:sz w:val="20"/>
          <w:szCs w:val="20"/>
        </w:rPr>
      </w:pPr>
    </w:p>
    <w:p w:rsidR="00A621E3" w:rsidRDefault="00EC630E">
      <w:pPr>
        <w:ind w:left="120"/>
        <w:rPr>
          <w:sz w:val="20"/>
          <w:szCs w:val="20"/>
        </w:rPr>
      </w:pPr>
      <w:r>
        <w:rPr>
          <w:rFonts w:ascii="Arial" w:eastAsia="Arial" w:hAnsi="Arial" w:cs="Arial"/>
          <w:b/>
          <w:bCs/>
          <w:color w:val="CF0A2C"/>
          <w:sz w:val="20"/>
          <w:szCs w:val="20"/>
        </w:rPr>
        <w:t>KFC</w:t>
      </w:r>
      <w:r>
        <w:rPr>
          <w:rFonts w:ascii="Arial" w:eastAsia="Arial" w:hAnsi="Arial" w:cs="Arial"/>
          <w:b/>
          <w:bCs/>
          <w:color w:val="CF0A2C"/>
          <w:sz w:val="29"/>
          <w:szCs w:val="29"/>
          <w:vertAlign w:val="superscript"/>
        </w:rPr>
        <w:t>(7)</w:t>
      </w:r>
    </w:p>
    <w:p w:rsidR="00A621E3" w:rsidRDefault="00A621E3">
      <w:pPr>
        <w:spacing w:line="142"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640"/>
        <w:gridCol w:w="240"/>
        <w:gridCol w:w="1120"/>
        <w:gridCol w:w="920"/>
        <w:gridCol w:w="1200"/>
        <w:gridCol w:w="960"/>
        <w:gridCol w:w="1380"/>
        <w:gridCol w:w="1320"/>
        <w:gridCol w:w="1180"/>
        <w:gridCol w:w="60"/>
        <w:gridCol w:w="20"/>
      </w:tblGrid>
      <w:tr w:rsidR="00A621E3">
        <w:trPr>
          <w:trHeight w:val="184"/>
        </w:trPr>
        <w:tc>
          <w:tcPr>
            <w:tcW w:w="2640" w:type="dxa"/>
            <w:vAlign w:val="bottom"/>
          </w:tcPr>
          <w:p w:rsidR="00A621E3" w:rsidRDefault="00A621E3">
            <w:pPr>
              <w:rPr>
                <w:sz w:val="16"/>
                <w:szCs w:val="16"/>
              </w:rPr>
            </w:pPr>
          </w:p>
        </w:tc>
        <w:tc>
          <w:tcPr>
            <w:tcW w:w="240" w:type="dxa"/>
            <w:tcBorders>
              <w:top w:val="single" w:sz="8" w:space="0" w:color="CF0A2C"/>
            </w:tcBorders>
            <w:shd w:val="clear" w:color="auto" w:fill="FAE6E9"/>
            <w:vAlign w:val="bottom"/>
          </w:tcPr>
          <w:p w:rsidR="00A621E3" w:rsidRDefault="00A621E3">
            <w:pPr>
              <w:rPr>
                <w:sz w:val="16"/>
                <w:szCs w:val="16"/>
              </w:rPr>
            </w:pPr>
          </w:p>
        </w:tc>
        <w:tc>
          <w:tcPr>
            <w:tcW w:w="1120" w:type="dxa"/>
            <w:tcBorders>
              <w:top w:val="single" w:sz="8" w:space="0" w:color="CF0A2C"/>
            </w:tcBorders>
            <w:shd w:val="clear" w:color="auto" w:fill="FAE6E9"/>
            <w:vAlign w:val="bottom"/>
          </w:tcPr>
          <w:p w:rsidR="00A621E3" w:rsidRDefault="00A621E3">
            <w:pPr>
              <w:rPr>
                <w:sz w:val="16"/>
                <w:szCs w:val="16"/>
              </w:rPr>
            </w:pPr>
          </w:p>
        </w:tc>
        <w:tc>
          <w:tcPr>
            <w:tcW w:w="920" w:type="dxa"/>
            <w:tcBorders>
              <w:top w:val="single" w:sz="8" w:space="0" w:color="CF0A2C"/>
            </w:tcBorders>
            <w:shd w:val="clear" w:color="auto" w:fill="FAE6E9"/>
            <w:vAlign w:val="bottom"/>
          </w:tcPr>
          <w:p w:rsidR="00A621E3" w:rsidRDefault="00A621E3">
            <w:pPr>
              <w:rPr>
                <w:sz w:val="16"/>
                <w:szCs w:val="16"/>
              </w:rPr>
            </w:pPr>
          </w:p>
        </w:tc>
        <w:tc>
          <w:tcPr>
            <w:tcW w:w="1200" w:type="dxa"/>
            <w:tcBorders>
              <w:top w:val="single" w:sz="8" w:space="0" w:color="CF0A2C"/>
            </w:tcBorders>
            <w:shd w:val="clear" w:color="auto" w:fill="FAE6E9"/>
            <w:vAlign w:val="bottom"/>
          </w:tcPr>
          <w:p w:rsidR="00A621E3" w:rsidRDefault="00A621E3">
            <w:pPr>
              <w:rPr>
                <w:sz w:val="16"/>
                <w:szCs w:val="16"/>
              </w:rPr>
            </w:pPr>
          </w:p>
        </w:tc>
        <w:tc>
          <w:tcPr>
            <w:tcW w:w="960" w:type="dxa"/>
            <w:tcBorders>
              <w:top w:val="single" w:sz="8" w:space="0" w:color="CF0A2C"/>
            </w:tcBorders>
            <w:shd w:val="clear" w:color="auto" w:fill="FAE6E9"/>
            <w:vAlign w:val="bottom"/>
          </w:tcPr>
          <w:p w:rsidR="00A621E3" w:rsidRDefault="00A621E3">
            <w:pPr>
              <w:rPr>
                <w:sz w:val="16"/>
                <w:szCs w:val="16"/>
              </w:rPr>
            </w:pPr>
          </w:p>
        </w:tc>
        <w:tc>
          <w:tcPr>
            <w:tcW w:w="1380" w:type="dxa"/>
            <w:tcBorders>
              <w:top w:val="single" w:sz="8" w:space="0" w:color="CF0A2C"/>
            </w:tcBorders>
            <w:shd w:val="clear" w:color="auto" w:fill="FAE6E9"/>
            <w:vAlign w:val="bottom"/>
          </w:tcPr>
          <w:p w:rsidR="00A621E3" w:rsidRDefault="00EC630E">
            <w:pPr>
              <w:ind w:right="226"/>
              <w:jc w:val="right"/>
              <w:rPr>
                <w:sz w:val="20"/>
                <w:szCs w:val="20"/>
              </w:rPr>
            </w:pPr>
            <w:r>
              <w:rPr>
                <w:rFonts w:ascii="Arial" w:eastAsia="Arial" w:hAnsi="Arial" w:cs="Arial"/>
                <w:b/>
                <w:bCs/>
                <w:color w:val="CF0A2C"/>
                <w:sz w:val="16"/>
                <w:szCs w:val="16"/>
              </w:rPr>
              <w:t>Earned as a</w:t>
            </w:r>
          </w:p>
        </w:tc>
        <w:tc>
          <w:tcPr>
            <w:tcW w:w="1320" w:type="dxa"/>
            <w:tcBorders>
              <w:top w:val="single" w:sz="8" w:space="0" w:color="CF0A2C"/>
            </w:tcBorders>
            <w:shd w:val="clear" w:color="auto" w:fill="FAE6E9"/>
            <w:vAlign w:val="bottom"/>
          </w:tcPr>
          <w:p w:rsidR="00A621E3" w:rsidRDefault="00A621E3">
            <w:pPr>
              <w:rPr>
                <w:sz w:val="16"/>
                <w:szCs w:val="16"/>
              </w:rPr>
            </w:pPr>
          </w:p>
        </w:tc>
        <w:tc>
          <w:tcPr>
            <w:tcW w:w="1240" w:type="dxa"/>
            <w:gridSpan w:val="2"/>
            <w:tcBorders>
              <w:top w:val="single" w:sz="8" w:space="0" w:color="CF0A2C"/>
            </w:tcBorders>
            <w:shd w:val="clear" w:color="auto" w:fill="FAE6E9"/>
            <w:vAlign w:val="bottom"/>
          </w:tcPr>
          <w:p w:rsidR="00A621E3" w:rsidRDefault="00EC630E">
            <w:pPr>
              <w:ind w:left="47"/>
              <w:jc w:val="center"/>
              <w:rPr>
                <w:sz w:val="20"/>
                <w:szCs w:val="20"/>
              </w:rPr>
            </w:pPr>
            <w:r>
              <w:rPr>
                <w:rFonts w:ascii="Arial" w:eastAsia="Arial" w:hAnsi="Arial" w:cs="Arial"/>
                <w:b/>
                <w:bCs/>
                <w:color w:val="CF0A2C"/>
                <w:sz w:val="16"/>
                <w:szCs w:val="16"/>
              </w:rPr>
              <w:t>Final Team</w:t>
            </w:r>
          </w:p>
        </w:tc>
        <w:tc>
          <w:tcPr>
            <w:tcW w:w="0" w:type="dxa"/>
            <w:vAlign w:val="bottom"/>
          </w:tcPr>
          <w:p w:rsidR="00A621E3" w:rsidRDefault="00A621E3">
            <w:pPr>
              <w:rPr>
                <w:sz w:val="1"/>
                <w:szCs w:val="1"/>
              </w:rPr>
            </w:pPr>
          </w:p>
        </w:tc>
      </w:tr>
      <w:tr w:rsidR="00A621E3">
        <w:trPr>
          <w:trHeight w:val="207"/>
        </w:trPr>
        <w:tc>
          <w:tcPr>
            <w:tcW w:w="2640" w:type="dxa"/>
            <w:vAlign w:val="bottom"/>
          </w:tcPr>
          <w:p w:rsidR="00A621E3" w:rsidRDefault="00EC630E">
            <w:pPr>
              <w:rPr>
                <w:sz w:val="20"/>
                <w:szCs w:val="20"/>
              </w:rPr>
            </w:pPr>
            <w:r>
              <w:rPr>
                <w:rFonts w:ascii="Arial" w:eastAsia="Arial" w:hAnsi="Arial" w:cs="Arial"/>
                <w:b/>
                <w:bCs/>
                <w:color w:val="CF0A2C"/>
                <w:sz w:val="16"/>
                <w:szCs w:val="16"/>
              </w:rPr>
              <w:t>Team Performance Measures</w:t>
            </w:r>
          </w:p>
        </w:tc>
        <w:tc>
          <w:tcPr>
            <w:tcW w:w="240" w:type="dxa"/>
            <w:tcBorders>
              <w:bottom w:val="single" w:sz="8" w:space="0" w:color="CF0A2C"/>
            </w:tcBorders>
            <w:shd w:val="clear" w:color="auto" w:fill="FAE6E9"/>
            <w:vAlign w:val="bottom"/>
          </w:tcPr>
          <w:p w:rsidR="00A621E3" w:rsidRDefault="00A621E3">
            <w:pPr>
              <w:rPr>
                <w:sz w:val="18"/>
                <w:szCs w:val="18"/>
              </w:rPr>
            </w:pPr>
          </w:p>
        </w:tc>
        <w:tc>
          <w:tcPr>
            <w:tcW w:w="1120" w:type="dxa"/>
            <w:tcBorders>
              <w:bottom w:val="single" w:sz="8" w:space="0" w:color="CF0A2C"/>
            </w:tcBorders>
            <w:shd w:val="clear" w:color="auto" w:fill="FAE6E9"/>
            <w:vAlign w:val="bottom"/>
          </w:tcPr>
          <w:p w:rsidR="00A621E3" w:rsidRDefault="00EC630E">
            <w:pPr>
              <w:ind w:right="204"/>
              <w:jc w:val="right"/>
              <w:rPr>
                <w:sz w:val="20"/>
                <w:szCs w:val="20"/>
              </w:rPr>
            </w:pPr>
            <w:r>
              <w:rPr>
                <w:rFonts w:ascii="Arial" w:eastAsia="Arial" w:hAnsi="Arial" w:cs="Arial"/>
                <w:b/>
                <w:bCs/>
                <w:color w:val="CF0A2C"/>
                <w:sz w:val="16"/>
                <w:szCs w:val="16"/>
              </w:rPr>
              <w:t>Threshold</w:t>
            </w:r>
          </w:p>
        </w:tc>
        <w:tc>
          <w:tcPr>
            <w:tcW w:w="920" w:type="dxa"/>
            <w:tcBorders>
              <w:bottom w:val="single" w:sz="8" w:space="0" w:color="CF0A2C"/>
            </w:tcBorders>
            <w:shd w:val="clear" w:color="auto" w:fill="FAE6E9"/>
            <w:vAlign w:val="bottom"/>
          </w:tcPr>
          <w:p w:rsidR="00A621E3" w:rsidRDefault="00EC630E">
            <w:pPr>
              <w:ind w:right="187"/>
              <w:jc w:val="right"/>
              <w:rPr>
                <w:sz w:val="20"/>
                <w:szCs w:val="20"/>
              </w:rPr>
            </w:pPr>
            <w:r>
              <w:rPr>
                <w:rFonts w:ascii="Arial" w:eastAsia="Arial" w:hAnsi="Arial" w:cs="Arial"/>
                <w:b/>
                <w:bCs/>
                <w:color w:val="CF0A2C"/>
                <w:sz w:val="16"/>
                <w:szCs w:val="16"/>
              </w:rPr>
              <w:t>Target</w:t>
            </w:r>
          </w:p>
        </w:tc>
        <w:tc>
          <w:tcPr>
            <w:tcW w:w="1200" w:type="dxa"/>
            <w:tcBorders>
              <w:bottom w:val="single" w:sz="8" w:space="0" w:color="CF0A2C"/>
            </w:tcBorders>
            <w:shd w:val="clear" w:color="auto" w:fill="FAE6E9"/>
            <w:vAlign w:val="bottom"/>
          </w:tcPr>
          <w:p w:rsidR="00A621E3" w:rsidRDefault="00EC630E">
            <w:pPr>
              <w:ind w:right="187"/>
              <w:jc w:val="right"/>
              <w:rPr>
                <w:sz w:val="20"/>
                <w:szCs w:val="20"/>
              </w:rPr>
            </w:pPr>
            <w:r>
              <w:rPr>
                <w:rFonts w:ascii="Arial" w:eastAsia="Arial" w:hAnsi="Arial" w:cs="Arial"/>
                <w:b/>
                <w:bCs/>
                <w:color w:val="CF0A2C"/>
                <w:sz w:val="16"/>
                <w:szCs w:val="16"/>
              </w:rPr>
              <w:t>Maximum</w:t>
            </w:r>
          </w:p>
        </w:tc>
        <w:tc>
          <w:tcPr>
            <w:tcW w:w="960" w:type="dxa"/>
            <w:tcBorders>
              <w:bottom w:val="single" w:sz="8" w:space="0" w:color="CF0A2C"/>
            </w:tcBorders>
            <w:shd w:val="clear" w:color="auto" w:fill="FAE6E9"/>
            <w:vAlign w:val="bottom"/>
          </w:tcPr>
          <w:p w:rsidR="00A621E3" w:rsidRDefault="00EC630E">
            <w:pPr>
              <w:ind w:right="207"/>
              <w:jc w:val="right"/>
              <w:rPr>
                <w:sz w:val="20"/>
                <w:szCs w:val="20"/>
              </w:rPr>
            </w:pPr>
            <w:r>
              <w:rPr>
                <w:rFonts w:ascii="Arial" w:eastAsia="Arial" w:hAnsi="Arial" w:cs="Arial"/>
                <w:b/>
                <w:bCs/>
                <w:color w:val="CF0A2C"/>
                <w:sz w:val="16"/>
                <w:szCs w:val="16"/>
              </w:rPr>
              <w:t>Actual</w:t>
            </w:r>
          </w:p>
        </w:tc>
        <w:tc>
          <w:tcPr>
            <w:tcW w:w="1380" w:type="dxa"/>
            <w:tcBorders>
              <w:bottom w:val="single" w:sz="8" w:space="0" w:color="CF0A2C"/>
            </w:tcBorders>
            <w:shd w:val="clear" w:color="auto" w:fill="FAE6E9"/>
            <w:vAlign w:val="bottom"/>
          </w:tcPr>
          <w:p w:rsidR="00A621E3" w:rsidRDefault="00EC630E">
            <w:pPr>
              <w:ind w:right="246"/>
              <w:jc w:val="right"/>
              <w:rPr>
                <w:sz w:val="20"/>
                <w:szCs w:val="20"/>
              </w:rPr>
            </w:pPr>
            <w:r>
              <w:rPr>
                <w:rFonts w:ascii="Arial" w:eastAsia="Arial" w:hAnsi="Arial" w:cs="Arial"/>
                <w:b/>
                <w:bCs/>
                <w:color w:val="CF0A2C"/>
                <w:sz w:val="16"/>
                <w:szCs w:val="16"/>
              </w:rPr>
              <w:t>% of Target</w:t>
            </w:r>
          </w:p>
        </w:tc>
        <w:tc>
          <w:tcPr>
            <w:tcW w:w="1320" w:type="dxa"/>
            <w:tcBorders>
              <w:bottom w:val="single" w:sz="8" w:space="0" w:color="CF0A2C"/>
            </w:tcBorders>
            <w:shd w:val="clear" w:color="auto" w:fill="FAE6E9"/>
            <w:vAlign w:val="bottom"/>
          </w:tcPr>
          <w:p w:rsidR="00A621E3" w:rsidRDefault="00EC630E">
            <w:pPr>
              <w:ind w:right="227"/>
              <w:jc w:val="right"/>
              <w:rPr>
                <w:sz w:val="20"/>
                <w:szCs w:val="20"/>
              </w:rPr>
            </w:pPr>
            <w:r>
              <w:rPr>
                <w:rFonts w:ascii="Arial" w:eastAsia="Arial" w:hAnsi="Arial" w:cs="Arial"/>
                <w:b/>
                <w:bCs/>
                <w:color w:val="CF0A2C"/>
                <w:sz w:val="16"/>
                <w:szCs w:val="16"/>
              </w:rPr>
              <w:t>Weighting*</w:t>
            </w:r>
          </w:p>
        </w:tc>
        <w:tc>
          <w:tcPr>
            <w:tcW w:w="1240" w:type="dxa"/>
            <w:gridSpan w:val="2"/>
            <w:tcBorders>
              <w:bottom w:val="single" w:sz="8" w:space="0" w:color="CF0A2C"/>
            </w:tcBorders>
            <w:shd w:val="clear" w:color="auto" w:fill="FAE6E9"/>
            <w:vAlign w:val="bottom"/>
          </w:tcPr>
          <w:p w:rsidR="00A621E3" w:rsidRDefault="00EC630E">
            <w:pPr>
              <w:ind w:left="47"/>
              <w:jc w:val="center"/>
              <w:rPr>
                <w:sz w:val="20"/>
                <w:szCs w:val="20"/>
              </w:rPr>
            </w:pPr>
            <w:r>
              <w:rPr>
                <w:rFonts w:ascii="Arial" w:eastAsia="Arial" w:hAnsi="Arial" w:cs="Arial"/>
                <w:b/>
                <w:bCs/>
                <w:color w:val="CF0A2C"/>
                <w:sz w:val="16"/>
                <w:szCs w:val="16"/>
              </w:rPr>
              <w:t>Performance</w:t>
            </w:r>
          </w:p>
        </w:tc>
        <w:tc>
          <w:tcPr>
            <w:tcW w:w="0" w:type="dxa"/>
            <w:vAlign w:val="bottom"/>
          </w:tcPr>
          <w:p w:rsidR="00A621E3" w:rsidRDefault="00A621E3">
            <w:pPr>
              <w:rPr>
                <w:sz w:val="1"/>
                <w:szCs w:val="1"/>
              </w:rPr>
            </w:pPr>
          </w:p>
        </w:tc>
      </w:tr>
      <w:tr w:rsidR="00A621E3">
        <w:trPr>
          <w:trHeight w:val="151"/>
        </w:trPr>
        <w:tc>
          <w:tcPr>
            <w:tcW w:w="2640" w:type="dxa"/>
            <w:vAlign w:val="bottom"/>
          </w:tcPr>
          <w:p w:rsidR="00A621E3" w:rsidRDefault="00EC630E">
            <w:pPr>
              <w:spacing w:line="151" w:lineRule="exact"/>
              <w:rPr>
                <w:sz w:val="20"/>
                <w:szCs w:val="20"/>
              </w:rPr>
            </w:pPr>
            <w:r>
              <w:rPr>
                <w:rFonts w:ascii="Arial" w:eastAsia="Arial" w:hAnsi="Arial" w:cs="Arial"/>
                <w:b/>
                <w:bCs/>
                <w:color w:val="CF0A2C"/>
                <w:sz w:val="16"/>
                <w:szCs w:val="16"/>
              </w:rPr>
              <w:t>Adjusted Operating Profit Growth</w:t>
            </w:r>
          </w:p>
        </w:tc>
        <w:tc>
          <w:tcPr>
            <w:tcW w:w="240" w:type="dxa"/>
            <w:vAlign w:val="bottom"/>
          </w:tcPr>
          <w:p w:rsidR="00A621E3" w:rsidRDefault="00A621E3">
            <w:pPr>
              <w:rPr>
                <w:sz w:val="13"/>
                <w:szCs w:val="13"/>
              </w:rPr>
            </w:pPr>
          </w:p>
        </w:tc>
        <w:tc>
          <w:tcPr>
            <w:tcW w:w="1120" w:type="dxa"/>
            <w:vAlign w:val="bottom"/>
          </w:tcPr>
          <w:p w:rsidR="00A621E3" w:rsidRDefault="00A621E3">
            <w:pPr>
              <w:rPr>
                <w:sz w:val="13"/>
                <w:szCs w:val="13"/>
              </w:rPr>
            </w:pPr>
          </w:p>
        </w:tc>
        <w:tc>
          <w:tcPr>
            <w:tcW w:w="920" w:type="dxa"/>
            <w:vAlign w:val="bottom"/>
          </w:tcPr>
          <w:p w:rsidR="00A621E3" w:rsidRDefault="00A621E3">
            <w:pPr>
              <w:rPr>
                <w:sz w:val="13"/>
                <w:szCs w:val="13"/>
              </w:rPr>
            </w:pPr>
          </w:p>
        </w:tc>
        <w:tc>
          <w:tcPr>
            <w:tcW w:w="1200" w:type="dxa"/>
            <w:vAlign w:val="bottom"/>
          </w:tcPr>
          <w:p w:rsidR="00A621E3" w:rsidRDefault="00A621E3">
            <w:pPr>
              <w:rPr>
                <w:sz w:val="13"/>
                <w:szCs w:val="13"/>
              </w:rPr>
            </w:pPr>
          </w:p>
        </w:tc>
        <w:tc>
          <w:tcPr>
            <w:tcW w:w="960" w:type="dxa"/>
            <w:vAlign w:val="bottom"/>
          </w:tcPr>
          <w:p w:rsidR="00A621E3" w:rsidRDefault="00A621E3">
            <w:pPr>
              <w:rPr>
                <w:sz w:val="13"/>
                <w:szCs w:val="13"/>
              </w:rPr>
            </w:pPr>
          </w:p>
        </w:tc>
        <w:tc>
          <w:tcPr>
            <w:tcW w:w="1380" w:type="dxa"/>
            <w:vAlign w:val="bottom"/>
          </w:tcPr>
          <w:p w:rsidR="00A621E3" w:rsidRDefault="00A621E3">
            <w:pPr>
              <w:rPr>
                <w:sz w:val="13"/>
                <w:szCs w:val="13"/>
              </w:rPr>
            </w:pPr>
          </w:p>
        </w:tc>
        <w:tc>
          <w:tcPr>
            <w:tcW w:w="1320" w:type="dxa"/>
            <w:vAlign w:val="bottom"/>
          </w:tcPr>
          <w:p w:rsidR="00A621E3" w:rsidRDefault="00A621E3">
            <w:pPr>
              <w:rPr>
                <w:sz w:val="13"/>
                <w:szCs w:val="13"/>
              </w:rPr>
            </w:pPr>
          </w:p>
        </w:tc>
        <w:tc>
          <w:tcPr>
            <w:tcW w:w="1180" w:type="dxa"/>
            <w:vAlign w:val="bottom"/>
          </w:tcPr>
          <w:p w:rsidR="00A621E3" w:rsidRDefault="00A621E3">
            <w:pPr>
              <w:rPr>
                <w:sz w:val="13"/>
                <w:szCs w:val="13"/>
              </w:rPr>
            </w:pPr>
          </w:p>
        </w:tc>
        <w:tc>
          <w:tcPr>
            <w:tcW w:w="60" w:type="dxa"/>
            <w:vAlign w:val="bottom"/>
          </w:tcPr>
          <w:p w:rsidR="00A621E3" w:rsidRDefault="00A621E3">
            <w:pPr>
              <w:rPr>
                <w:sz w:val="13"/>
                <w:szCs w:val="13"/>
              </w:rPr>
            </w:pPr>
          </w:p>
        </w:tc>
        <w:tc>
          <w:tcPr>
            <w:tcW w:w="0" w:type="dxa"/>
            <w:vAlign w:val="bottom"/>
          </w:tcPr>
          <w:p w:rsidR="00A621E3" w:rsidRDefault="00A621E3">
            <w:pPr>
              <w:rPr>
                <w:sz w:val="1"/>
                <w:szCs w:val="1"/>
              </w:rPr>
            </w:pPr>
          </w:p>
        </w:tc>
      </w:tr>
      <w:tr w:rsidR="00A621E3">
        <w:trPr>
          <w:trHeight w:val="189"/>
        </w:trPr>
        <w:tc>
          <w:tcPr>
            <w:tcW w:w="2640" w:type="dxa"/>
            <w:vAlign w:val="bottom"/>
          </w:tcPr>
          <w:p w:rsidR="00A621E3" w:rsidRDefault="00EC630E">
            <w:pPr>
              <w:spacing w:line="189" w:lineRule="exact"/>
              <w:ind w:left="160"/>
              <w:rPr>
                <w:sz w:val="20"/>
                <w:szCs w:val="20"/>
              </w:rPr>
            </w:pPr>
            <w:r>
              <w:rPr>
                <w:rFonts w:ascii="Arial" w:eastAsia="Arial" w:hAnsi="Arial" w:cs="Arial"/>
                <w:b/>
                <w:bCs/>
                <w:color w:val="CF0A2C"/>
                <w:sz w:val="14"/>
                <w:szCs w:val="14"/>
              </w:rPr>
              <w:t>(KFC)</w:t>
            </w:r>
            <w:r>
              <w:rPr>
                <w:rFonts w:ascii="Arial" w:eastAsia="Arial" w:hAnsi="Arial" w:cs="Arial"/>
                <w:b/>
                <w:bCs/>
                <w:color w:val="CF0A2C"/>
                <w:sz w:val="21"/>
                <w:szCs w:val="21"/>
                <w:vertAlign w:val="superscript"/>
              </w:rPr>
              <w:t>(1)</w:t>
            </w:r>
          </w:p>
        </w:tc>
        <w:tc>
          <w:tcPr>
            <w:tcW w:w="1360" w:type="dxa"/>
            <w:gridSpan w:val="2"/>
            <w:vAlign w:val="bottom"/>
          </w:tcPr>
          <w:p w:rsidR="00A621E3" w:rsidRDefault="00EC630E">
            <w:pPr>
              <w:ind w:right="104"/>
              <w:jc w:val="right"/>
              <w:rPr>
                <w:sz w:val="20"/>
                <w:szCs w:val="20"/>
              </w:rPr>
            </w:pPr>
            <w:r>
              <w:rPr>
                <w:rFonts w:ascii="Arial" w:eastAsia="Arial" w:hAnsi="Arial" w:cs="Arial"/>
                <w:color w:val="CF0A2C"/>
                <w:sz w:val="14"/>
                <w:szCs w:val="14"/>
              </w:rPr>
              <w:t>1%</w:t>
            </w:r>
          </w:p>
        </w:tc>
        <w:tc>
          <w:tcPr>
            <w:tcW w:w="920" w:type="dxa"/>
            <w:vAlign w:val="bottom"/>
          </w:tcPr>
          <w:p w:rsidR="00A621E3" w:rsidRDefault="00EC630E">
            <w:pPr>
              <w:ind w:right="107"/>
              <w:jc w:val="right"/>
              <w:rPr>
                <w:sz w:val="20"/>
                <w:szCs w:val="20"/>
              </w:rPr>
            </w:pPr>
            <w:r>
              <w:rPr>
                <w:rFonts w:ascii="Arial" w:eastAsia="Arial" w:hAnsi="Arial" w:cs="Arial"/>
                <w:color w:val="CF0A2C"/>
                <w:sz w:val="14"/>
                <w:szCs w:val="14"/>
              </w:rPr>
              <w:t>12%</w:t>
            </w:r>
          </w:p>
        </w:tc>
        <w:tc>
          <w:tcPr>
            <w:tcW w:w="1200" w:type="dxa"/>
            <w:vAlign w:val="bottom"/>
          </w:tcPr>
          <w:p w:rsidR="00A621E3" w:rsidRDefault="00EC630E">
            <w:pPr>
              <w:ind w:right="107"/>
              <w:jc w:val="right"/>
              <w:rPr>
                <w:sz w:val="20"/>
                <w:szCs w:val="20"/>
              </w:rPr>
            </w:pPr>
            <w:r>
              <w:rPr>
                <w:rFonts w:ascii="Arial" w:eastAsia="Arial" w:hAnsi="Arial" w:cs="Arial"/>
                <w:color w:val="CF0A2C"/>
                <w:sz w:val="14"/>
                <w:szCs w:val="14"/>
              </w:rPr>
              <w:t>28%</w:t>
            </w:r>
          </w:p>
        </w:tc>
        <w:tc>
          <w:tcPr>
            <w:tcW w:w="960" w:type="dxa"/>
            <w:vAlign w:val="bottom"/>
          </w:tcPr>
          <w:p w:rsidR="00A621E3" w:rsidRDefault="00EC630E">
            <w:pPr>
              <w:ind w:right="107"/>
              <w:jc w:val="right"/>
              <w:rPr>
                <w:sz w:val="20"/>
                <w:szCs w:val="20"/>
              </w:rPr>
            </w:pPr>
            <w:r>
              <w:rPr>
                <w:rFonts w:ascii="Arial" w:eastAsia="Arial" w:hAnsi="Arial" w:cs="Arial"/>
                <w:color w:val="CF0A2C"/>
                <w:sz w:val="14"/>
                <w:szCs w:val="14"/>
              </w:rPr>
              <w:t>-1%</w:t>
            </w:r>
          </w:p>
        </w:tc>
        <w:tc>
          <w:tcPr>
            <w:tcW w:w="1380" w:type="dxa"/>
            <w:vAlign w:val="bottom"/>
          </w:tcPr>
          <w:p w:rsidR="00A621E3" w:rsidRDefault="00EC630E">
            <w:pPr>
              <w:ind w:right="86"/>
              <w:jc w:val="right"/>
              <w:rPr>
                <w:sz w:val="20"/>
                <w:szCs w:val="20"/>
              </w:rPr>
            </w:pPr>
            <w:r>
              <w:rPr>
                <w:rFonts w:ascii="Arial" w:eastAsia="Arial" w:hAnsi="Arial" w:cs="Arial"/>
                <w:color w:val="CF0A2C"/>
                <w:sz w:val="14"/>
                <w:szCs w:val="14"/>
              </w:rPr>
              <w:t>0%</w:t>
            </w:r>
          </w:p>
        </w:tc>
        <w:tc>
          <w:tcPr>
            <w:tcW w:w="1320" w:type="dxa"/>
            <w:vAlign w:val="bottom"/>
          </w:tcPr>
          <w:p w:rsidR="00A621E3" w:rsidRDefault="00EC630E">
            <w:pPr>
              <w:ind w:right="87"/>
              <w:jc w:val="right"/>
              <w:rPr>
                <w:sz w:val="20"/>
                <w:szCs w:val="20"/>
              </w:rPr>
            </w:pPr>
            <w:r>
              <w:rPr>
                <w:rFonts w:ascii="Arial" w:eastAsia="Arial" w:hAnsi="Arial" w:cs="Arial"/>
                <w:color w:val="CF0A2C"/>
                <w:sz w:val="14"/>
                <w:szCs w:val="14"/>
              </w:rPr>
              <w:t>12%</w:t>
            </w:r>
          </w:p>
        </w:tc>
        <w:tc>
          <w:tcPr>
            <w:tcW w:w="1240" w:type="dxa"/>
            <w:gridSpan w:val="2"/>
            <w:vAlign w:val="bottom"/>
          </w:tcPr>
          <w:p w:rsidR="00A621E3" w:rsidRDefault="00EC630E">
            <w:pPr>
              <w:ind w:right="60"/>
              <w:jc w:val="right"/>
              <w:rPr>
                <w:sz w:val="20"/>
                <w:szCs w:val="20"/>
              </w:rPr>
            </w:pPr>
            <w:r>
              <w:rPr>
                <w:rFonts w:ascii="Arial" w:eastAsia="Arial" w:hAnsi="Arial" w:cs="Arial"/>
                <w:color w:val="CF0A2C"/>
                <w:sz w:val="14"/>
                <w:szCs w:val="14"/>
              </w:rPr>
              <w:t>0%</w:t>
            </w:r>
          </w:p>
        </w:tc>
        <w:tc>
          <w:tcPr>
            <w:tcW w:w="0" w:type="dxa"/>
            <w:vAlign w:val="bottom"/>
          </w:tcPr>
          <w:p w:rsidR="00A621E3" w:rsidRDefault="00A621E3">
            <w:pPr>
              <w:rPr>
                <w:sz w:val="1"/>
                <w:szCs w:val="1"/>
              </w:rPr>
            </w:pPr>
          </w:p>
        </w:tc>
      </w:tr>
      <w:tr w:rsidR="00A621E3">
        <w:trPr>
          <w:trHeight w:val="189"/>
        </w:trPr>
        <w:tc>
          <w:tcPr>
            <w:tcW w:w="2640" w:type="dxa"/>
            <w:vAlign w:val="bottom"/>
          </w:tcPr>
          <w:p w:rsidR="00A621E3" w:rsidRDefault="00EC630E">
            <w:pPr>
              <w:rPr>
                <w:sz w:val="20"/>
                <w:szCs w:val="20"/>
              </w:rPr>
            </w:pPr>
            <w:r>
              <w:rPr>
                <w:rFonts w:ascii="Arial" w:eastAsia="Arial" w:hAnsi="Arial" w:cs="Arial"/>
                <w:b/>
                <w:bCs/>
                <w:color w:val="CF0A2C"/>
                <w:sz w:val="16"/>
                <w:szCs w:val="16"/>
              </w:rPr>
              <w:t>Same Store Sales Growth (KFC)</w:t>
            </w:r>
          </w:p>
        </w:tc>
        <w:tc>
          <w:tcPr>
            <w:tcW w:w="1360" w:type="dxa"/>
            <w:gridSpan w:val="2"/>
            <w:vAlign w:val="bottom"/>
          </w:tcPr>
          <w:p w:rsidR="00A621E3" w:rsidRDefault="00EC630E">
            <w:pPr>
              <w:ind w:right="104"/>
              <w:jc w:val="right"/>
              <w:rPr>
                <w:sz w:val="20"/>
                <w:szCs w:val="20"/>
              </w:rPr>
            </w:pPr>
            <w:r>
              <w:rPr>
                <w:rFonts w:ascii="Arial" w:eastAsia="Arial" w:hAnsi="Arial" w:cs="Arial"/>
                <w:color w:val="CF0A2C"/>
                <w:sz w:val="14"/>
                <w:szCs w:val="14"/>
              </w:rPr>
              <w:t>0%</w:t>
            </w:r>
          </w:p>
        </w:tc>
        <w:tc>
          <w:tcPr>
            <w:tcW w:w="920" w:type="dxa"/>
            <w:vAlign w:val="bottom"/>
          </w:tcPr>
          <w:p w:rsidR="00A621E3" w:rsidRDefault="00EC630E">
            <w:pPr>
              <w:ind w:right="107"/>
              <w:jc w:val="right"/>
              <w:rPr>
                <w:sz w:val="20"/>
                <w:szCs w:val="20"/>
              </w:rPr>
            </w:pPr>
            <w:r>
              <w:rPr>
                <w:rFonts w:ascii="Arial" w:eastAsia="Arial" w:hAnsi="Arial" w:cs="Arial"/>
                <w:color w:val="CF0A2C"/>
                <w:sz w:val="14"/>
                <w:szCs w:val="14"/>
              </w:rPr>
              <w:t>2%</w:t>
            </w:r>
          </w:p>
        </w:tc>
        <w:tc>
          <w:tcPr>
            <w:tcW w:w="1200" w:type="dxa"/>
            <w:vAlign w:val="bottom"/>
          </w:tcPr>
          <w:p w:rsidR="00A621E3" w:rsidRDefault="00EC630E">
            <w:pPr>
              <w:ind w:right="107"/>
              <w:jc w:val="right"/>
              <w:rPr>
                <w:sz w:val="20"/>
                <w:szCs w:val="20"/>
              </w:rPr>
            </w:pPr>
            <w:r>
              <w:rPr>
                <w:rFonts w:ascii="Arial" w:eastAsia="Arial" w:hAnsi="Arial" w:cs="Arial"/>
                <w:color w:val="CF0A2C"/>
                <w:sz w:val="14"/>
                <w:szCs w:val="14"/>
              </w:rPr>
              <w:t>4%</w:t>
            </w:r>
          </w:p>
        </w:tc>
        <w:tc>
          <w:tcPr>
            <w:tcW w:w="960" w:type="dxa"/>
            <w:vAlign w:val="bottom"/>
          </w:tcPr>
          <w:p w:rsidR="00A621E3" w:rsidRDefault="00EC630E">
            <w:pPr>
              <w:ind w:right="107"/>
              <w:jc w:val="right"/>
              <w:rPr>
                <w:sz w:val="20"/>
                <w:szCs w:val="20"/>
              </w:rPr>
            </w:pPr>
            <w:r>
              <w:rPr>
                <w:rFonts w:ascii="Arial" w:eastAsia="Arial" w:hAnsi="Arial" w:cs="Arial"/>
                <w:color w:val="CF0A2C"/>
                <w:sz w:val="14"/>
                <w:szCs w:val="14"/>
              </w:rPr>
              <w:t>-7%</w:t>
            </w:r>
          </w:p>
        </w:tc>
        <w:tc>
          <w:tcPr>
            <w:tcW w:w="1380" w:type="dxa"/>
            <w:vAlign w:val="bottom"/>
          </w:tcPr>
          <w:p w:rsidR="00A621E3" w:rsidRDefault="00EC630E">
            <w:pPr>
              <w:ind w:right="86"/>
              <w:jc w:val="right"/>
              <w:rPr>
                <w:sz w:val="20"/>
                <w:szCs w:val="20"/>
              </w:rPr>
            </w:pPr>
            <w:r>
              <w:rPr>
                <w:rFonts w:ascii="Arial" w:eastAsia="Arial" w:hAnsi="Arial" w:cs="Arial"/>
                <w:color w:val="CF0A2C"/>
                <w:sz w:val="14"/>
                <w:szCs w:val="14"/>
              </w:rPr>
              <w:t>0%</w:t>
            </w:r>
          </w:p>
        </w:tc>
        <w:tc>
          <w:tcPr>
            <w:tcW w:w="1320" w:type="dxa"/>
            <w:vAlign w:val="bottom"/>
          </w:tcPr>
          <w:p w:rsidR="00A621E3" w:rsidRDefault="00EC630E">
            <w:pPr>
              <w:ind w:right="87"/>
              <w:jc w:val="right"/>
              <w:rPr>
                <w:sz w:val="20"/>
                <w:szCs w:val="20"/>
              </w:rPr>
            </w:pPr>
            <w:r>
              <w:rPr>
                <w:rFonts w:ascii="Arial" w:eastAsia="Arial" w:hAnsi="Arial" w:cs="Arial"/>
                <w:color w:val="CF0A2C"/>
                <w:sz w:val="14"/>
                <w:szCs w:val="14"/>
              </w:rPr>
              <w:t>4.5%</w:t>
            </w:r>
          </w:p>
        </w:tc>
        <w:tc>
          <w:tcPr>
            <w:tcW w:w="1240" w:type="dxa"/>
            <w:gridSpan w:val="2"/>
            <w:vAlign w:val="bottom"/>
          </w:tcPr>
          <w:p w:rsidR="00A621E3" w:rsidRDefault="00EC630E">
            <w:pPr>
              <w:ind w:right="60"/>
              <w:jc w:val="right"/>
              <w:rPr>
                <w:sz w:val="20"/>
                <w:szCs w:val="20"/>
              </w:rPr>
            </w:pPr>
            <w:r>
              <w:rPr>
                <w:rFonts w:ascii="Arial" w:eastAsia="Arial" w:hAnsi="Arial" w:cs="Arial"/>
                <w:color w:val="CF0A2C"/>
                <w:sz w:val="14"/>
                <w:szCs w:val="14"/>
              </w:rPr>
              <w:t>0%</w:t>
            </w:r>
          </w:p>
        </w:tc>
        <w:tc>
          <w:tcPr>
            <w:tcW w:w="0" w:type="dxa"/>
            <w:vAlign w:val="bottom"/>
          </w:tcPr>
          <w:p w:rsidR="00A621E3" w:rsidRDefault="00A621E3">
            <w:pPr>
              <w:rPr>
                <w:sz w:val="1"/>
                <w:szCs w:val="1"/>
              </w:rPr>
            </w:pPr>
          </w:p>
        </w:tc>
      </w:tr>
      <w:tr w:rsidR="00A621E3">
        <w:trPr>
          <w:trHeight w:val="189"/>
        </w:trPr>
        <w:tc>
          <w:tcPr>
            <w:tcW w:w="2640" w:type="dxa"/>
            <w:vAlign w:val="bottom"/>
          </w:tcPr>
          <w:p w:rsidR="00A621E3" w:rsidRDefault="00EC630E">
            <w:pPr>
              <w:rPr>
                <w:sz w:val="20"/>
                <w:szCs w:val="20"/>
              </w:rPr>
            </w:pPr>
            <w:r>
              <w:rPr>
                <w:rFonts w:ascii="Arial" w:eastAsia="Arial" w:hAnsi="Arial" w:cs="Arial"/>
                <w:b/>
                <w:bCs/>
                <w:color w:val="CF0A2C"/>
                <w:sz w:val="16"/>
                <w:szCs w:val="16"/>
              </w:rPr>
              <w:t>Delivery Sales Growth (KFC)</w:t>
            </w:r>
          </w:p>
        </w:tc>
        <w:tc>
          <w:tcPr>
            <w:tcW w:w="1360" w:type="dxa"/>
            <w:gridSpan w:val="2"/>
            <w:vAlign w:val="bottom"/>
          </w:tcPr>
          <w:p w:rsidR="00A621E3" w:rsidRDefault="00EC630E">
            <w:pPr>
              <w:ind w:right="104"/>
              <w:jc w:val="right"/>
              <w:rPr>
                <w:sz w:val="20"/>
                <w:szCs w:val="20"/>
              </w:rPr>
            </w:pPr>
            <w:r>
              <w:rPr>
                <w:rFonts w:ascii="Arial" w:eastAsia="Arial" w:hAnsi="Arial" w:cs="Arial"/>
                <w:color w:val="CF0A2C"/>
                <w:sz w:val="14"/>
                <w:szCs w:val="14"/>
              </w:rPr>
              <w:t>9%</w:t>
            </w:r>
          </w:p>
        </w:tc>
        <w:tc>
          <w:tcPr>
            <w:tcW w:w="920" w:type="dxa"/>
            <w:vAlign w:val="bottom"/>
          </w:tcPr>
          <w:p w:rsidR="00A621E3" w:rsidRDefault="00EC630E">
            <w:pPr>
              <w:ind w:right="107"/>
              <w:jc w:val="right"/>
              <w:rPr>
                <w:sz w:val="20"/>
                <w:szCs w:val="20"/>
              </w:rPr>
            </w:pPr>
            <w:r>
              <w:rPr>
                <w:rFonts w:ascii="Arial" w:eastAsia="Arial" w:hAnsi="Arial" w:cs="Arial"/>
                <w:color w:val="CF0A2C"/>
                <w:sz w:val="14"/>
                <w:szCs w:val="14"/>
              </w:rPr>
              <w:t>15%</w:t>
            </w:r>
          </w:p>
        </w:tc>
        <w:tc>
          <w:tcPr>
            <w:tcW w:w="1200" w:type="dxa"/>
            <w:vAlign w:val="bottom"/>
          </w:tcPr>
          <w:p w:rsidR="00A621E3" w:rsidRDefault="00EC630E">
            <w:pPr>
              <w:ind w:right="107"/>
              <w:jc w:val="right"/>
              <w:rPr>
                <w:sz w:val="20"/>
                <w:szCs w:val="20"/>
              </w:rPr>
            </w:pPr>
            <w:r>
              <w:rPr>
                <w:rFonts w:ascii="Arial" w:eastAsia="Arial" w:hAnsi="Arial" w:cs="Arial"/>
                <w:color w:val="CF0A2C"/>
                <w:sz w:val="14"/>
                <w:szCs w:val="14"/>
              </w:rPr>
              <w:t>21%</w:t>
            </w:r>
          </w:p>
        </w:tc>
        <w:tc>
          <w:tcPr>
            <w:tcW w:w="960" w:type="dxa"/>
            <w:vAlign w:val="bottom"/>
          </w:tcPr>
          <w:p w:rsidR="00A621E3" w:rsidRDefault="00EC630E">
            <w:pPr>
              <w:ind w:right="107"/>
              <w:jc w:val="right"/>
              <w:rPr>
                <w:sz w:val="20"/>
                <w:szCs w:val="20"/>
              </w:rPr>
            </w:pPr>
            <w:r>
              <w:rPr>
                <w:rFonts w:ascii="Arial" w:eastAsia="Arial" w:hAnsi="Arial" w:cs="Arial"/>
                <w:color w:val="CF0A2C"/>
                <w:sz w:val="14"/>
                <w:szCs w:val="14"/>
              </w:rPr>
              <w:t>18%</w:t>
            </w:r>
          </w:p>
        </w:tc>
        <w:tc>
          <w:tcPr>
            <w:tcW w:w="1380" w:type="dxa"/>
            <w:vAlign w:val="bottom"/>
          </w:tcPr>
          <w:p w:rsidR="00A621E3" w:rsidRDefault="00EC630E">
            <w:pPr>
              <w:ind w:right="86"/>
              <w:jc w:val="right"/>
              <w:rPr>
                <w:sz w:val="20"/>
                <w:szCs w:val="20"/>
              </w:rPr>
            </w:pPr>
            <w:r>
              <w:rPr>
                <w:rFonts w:ascii="Arial" w:eastAsia="Arial" w:hAnsi="Arial" w:cs="Arial"/>
                <w:color w:val="CF0A2C"/>
                <w:sz w:val="14"/>
                <w:szCs w:val="14"/>
              </w:rPr>
              <w:t>143%</w:t>
            </w:r>
          </w:p>
        </w:tc>
        <w:tc>
          <w:tcPr>
            <w:tcW w:w="1320" w:type="dxa"/>
            <w:vAlign w:val="bottom"/>
          </w:tcPr>
          <w:p w:rsidR="00A621E3" w:rsidRDefault="00EC630E">
            <w:pPr>
              <w:ind w:right="87"/>
              <w:jc w:val="right"/>
              <w:rPr>
                <w:sz w:val="20"/>
                <w:szCs w:val="20"/>
              </w:rPr>
            </w:pPr>
            <w:r>
              <w:rPr>
                <w:rFonts w:ascii="Arial" w:eastAsia="Arial" w:hAnsi="Arial" w:cs="Arial"/>
                <w:color w:val="CF0A2C"/>
                <w:sz w:val="14"/>
                <w:szCs w:val="14"/>
              </w:rPr>
              <w:t>4.5%</w:t>
            </w:r>
          </w:p>
        </w:tc>
        <w:tc>
          <w:tcPr>
            <w:tcW w:w="1240" w:type="dxa"/>
            <w:gridSpan w:val="2"/>
            <w:vAlign w:val="bottom"/>
          </w:tcPr>
          <w:p w:rsidR="00A621E3" w:rsidRDefault="00EC630E">
            <w:pPr>
              <w:ind w:right="60"/>
              <w:jc w:val="right"/>
              <w:rPr>
                <w:sz w:val="20"/>
                <w:szCs w:val="20"/>
              </w:rPr>
            </w:pPr>
            <w:r>
              <w:rPr>
                <w:rFonts w:ascii="Arial" w:eastAsia="Arial" w:hAnsi="Arial" w:cs="Arial"/>
                <w:color w:val="CF0A2C"/>
                <w:sz w:val="14"/>
                <w:szCs w:val="14"/>
              </w:rPr>
              <w:t>6%</w:t>
            </w:r>
          </w:p>
        </w:tc>
        <w:tc>
          <w:tcPr>
            <w:tcW w:w="0" w:type="dxa"/>
            <w:vAlign w:val="bottom"/>
          </w:tcPr>
          <w:p w:rsidR="00A621E3" w:rsidRDefault="00A621E3">
            <w:pPr>
              <w:rPr>
                <w:sz w:val="1"/>
                <w:szCs w:val="1"/>
              </w:rPr>
            </w:pPr>
          </w:p>
        </w:tc>
      </w:tr>
      <w:tr w:rsidR="00A621E3">
        <w:trPr>
          <w:trHeight w:val="189"/>
        </w:trPr>
        <w:tc>
          <w:tcPr>
            <w:tcW w:w="2640" w:type="dxa"/>
            <w:vAlign w:val="bottom"/>
          </w:tcPr>
          <w:p w:rsidR="00A621E3" w:rsidRDefault="00EC630E">
            <w:pPr>
              <w:rPr>
                <w:sz w:val="20"/>
                <w:szCs w:val="20"/>
              </w:rPr>
            </w:pPr>
            <w:r>
              <w:rPr>
                <w:rFonts w:ascii="Arial" w:eastAsia="Arial" w:hAnsi="Arial" w:cs="Arial"/>
                <w:b/>
                <w:bCs/>
                <w:color w:val="CF0A2C"/>
                <w:sz w:val="16"/>
                <w:szCs w:val="16"/>
              </w:rPr>
              <w:t>System Net New Builds (KFC)</w:t>
            </w:r>
          </w:p>
        </w:tc>
        <w:tc>
          <w:tcPr>
            <w:tcW w:w="1360" w:type="dxa"/>
            <w:gridSpan w:val="2"/>
            <w:vAlign w:val="bottom"/>
          </w:tcPr>
          <w:p w:rsidR="00A621E3" w:rsidRDefault="00EC630E">
            <w:pPr>
              <w:ind w:right="104"/>
              <w:jc w:val="right"/>
              <w:rPr>
                <w:sz w:val="20"/>
                <w:szCs w:val="20"/>
              </w:rPr>
            </w:pPr>
            <w:r>
              <w:rPr>
                <w:rFonts w:ascii="Arial" w:eastAsia="Arial" w:hAnsi="Arial" w:cs="Arial"/>
                <w:color w:val="CF0A2C"/>
                <w:sz w:val="14"/>
                <w:szCs w:val="14"/>
              </w:rPr>
              <w:t>700</w:t>
            </w:r>
          </w:p>
        </w:tc>
        <w:tc>
          <w:tcPr>
            <w:tcW w:w="920" w:type="dxa"/>
            <w:vAlign w:val="bottom"/>
          </w:tcPr>
          <w:p w:rsidR="00A621E3" w:rsidRDefault="00EC630E">
            <w:pPr>
              <w:ind w:right="107"/>
              <w:jc w:val="right"/>
              <w:rPr>
                <w:sz w:val="20"/>
                <w:szCs w:val="20"/>
              </w:rPr>
            </w:pPr>
            <w:r>
              <w:rPr>
                <w:rFonts w:ascii="Arial" w:eastAsia="Arial" w:hAnsi="Arial" w:cs="Arial"/>
                <w:color w:val="CF0A2C"/>
                <w:sz w:val="14"/>
                <w:szCs w:val="14"/>
              </w:rPr>
              <w:t>800</w:t>
            </w:r>
          </w:p>
        </w:tc>
        <w:tc>
          <w:tcPr>
            <w:tcW w:w="1200" w:type="dxa"/>
            <w:vAlign w:val="bottom"/>
          </w:tcPr>
          <w:p w:rsidR="00A621E3" w:rsidRDefault="00EC630E">
            <w:pPr>
              <w:ind w:right="107"/>
              <w:jc w:val="right"/>
              <w:rPr>
                <w:sz w:val="20"/>
                <w:szCs w:val="20"/>
              </w:rPr>
            </w:pPr>
            <w:r>
              <w:rPr>
                <w:rFonts w:ascii="Arial" w:eastAsia="Arial" w:hAnsi="Arial" w:cs="Arial"/>
                <w:color w:val="CF0A2C"/>
                <w:sz w:val="14"/>
                <w:szCs w:val="14"/>
              </w:rPr>
              <w:t>900</w:t>
            </w:r>
          </w:p>
        </w:tc>
        <w:tc>
          <w:tcPr>
            <w:tcW w:w="960" w:type="dxa"/>
            <w:vAlign w:val="bottom"/>
          </w:tcPr>
          <w:p w:rsidR="00A621E3" w:rsidRDefault="00EC630E">
            <w:pPr>
              <w:ind w:right="107"/>
              <w:jc w:val="right"/>
              <w:rPr>
                <w:sz w:val="20"/>
                <w:szCs w:val="20"/>
              </w:rPr>
            </w:pPr>
            <w:r>
              <w:rPr>
                <w:rFonts w:ascii="Arial" w:eastAsia="Arial" w:hAnsi="Arial" w:cs="Arial"/>
                <w:color w:val="CF0A2C"/>
                <w:sz w:val="14"/>
                <w:szCs w:val="14"/>
              </w:rPr>
              <w:t>926</w:t>
            </w:r>
          </w:p>
        </w:tc>
        <w:tc>
          <w:tcPr>
            <w:tcW w:w="1380" w:type="dxa"/>
            <w:vAlign w:val="bottom"/>
          </w:tcPr>
          <w:p w:rsidR="00A621E3" w:rsidRDefault="00EC630E">
            <w:pPr>
              <w:ind w:right="86"/>
              <w:jc w:val="right"/>
              <w:rPr>
                <w:sz w:val="20"/>
                <w:szCs w:val="20"/>
              </w:rPr>
            </w:pPr>
            <w:r>
              <w:rPr>
                <w:rFonts w:ascii="Arial" w:eastAsia="Arial" w:hAnsi="Arial" w:cs="Arial"/>
                <w:color w:val="CF0A2C"/>
                <w:sz w:val="14"/>
                <w:szCs w:val="14"/>
              </w:rPr>
              <w:t>200%</w:t>
            </w:r>
          </w:p>
        </w:tc>
        <w:tc>
          <w:tcPr>
            <w:tcW w:w="1320" w:type="dxa"/>
            <w:vAlign w:val="bottom"/>
          </w:tcPr>
          <w:p w:rsidR="00A621E3" w:rsidRDefault="00EC630E">
            <w:pPr>
              <w:ind w:right="87"/>
              <w:jc w:val="right"/>
              <w:rPr>
                <w:sz w:val="20"/>
                <w:szCs w:val="20"/>
              </w:rPr>
            </w:pPr>
            <w:r>
              <w:rPr>
                <w:rFonts w:ascii="Arial" w:eastAsia="Arial" w:hAnsi="Arial" w:cs="Arial"/>
                <w:color w:val="CF0A2C"/>
                <w:sz w:val="14"/>
                <w:szCs w:val="14"/>
              </w:rPr>
              <w:t>6%</w:t>
            </w:r>
          </w:p>
        </w:tc>
        <w:tc>
          <w:tcPr>
            <w:tcW w:w="1240" w:type="dxa"/>
            <w:gridSpan w:val="2"/>
            <w:vAlign w:val="bottom"/>
          </w:tcPr>
          <w:p w:rsidR="00A621E3" w:rsidRDefault="00EC630E">
            <w:pPr>
              <w:ind w:right="60"/>
              <w:jc w:val="right"/>
              <w:rPr>
                <w:sz w:val="20"/>
                <w:szCs w:val="20"/>
              </w:rPr>
            </w:pPr>
            <w:r>
              <w:rPr>
                <w:rFonts w:ascii="Arial" w:eastAsia="Arial" w:hAnsi="Arial" w:cs="Arial"/>
                <w:color w:val="CF0A2C"/>
                <w:sz w:val="14"/>
                <w:szCs w:val="14"/>
              </w:rPr>
              <w:t>12%</w:t>
            </w:r>
          </w:p>
        </w:tc>
        <w:tc>
          <w:tcPr>
            <w:tcW w:w="0" w:type="dxa"/>
            <w:vAlign w:val="bottom"/>
          </w:tcPr>
          <w:p w:rsidR="00A621E3" w:rsidRDefault="00A621E3">
            <w:pPr>
              <w:rPr>
                <w:sz w:val="1"/>
                <w:szCs w:val="1"/>
              </w:rPr>
            </w:pPr>
          </w:p>
        </w:tc>
      </w:tr>
      <w:tr w:rsidR="00A621E3">
        <w:trPr>
          <w:trHeight w:val="189"/>
        </w:trPr>
        <w:tc>
          <w:tcPr>
            <w:tcW w:w="2640" w:type="dxa"/>
            <w:vAlign w:val="bottom"/>
          </w:tcPr>
          <w:p w:rsidR="00A621E3" w:rsidRDefault="00EC630E">
            <w:pPr>
              <w:spacing w:line="189" w:lineRule="exact"/>
              <w:rPr>
                <w:sz w:val="20"/>
                <w:szCs w:val="20"/>
              </w:rPr>
            </w:pPr>
            <w:r>
              <w:rPr>
                <w:rFonts w:ascii="Arial" w:eastAsia="Arial" w:hAnsi="Arial" w:cs="Arial"/>
                <w:b/>
                <w:bCs/>
                <w:color w:val="CF0A2C"/>
                <w:sz w:val="14"/>
                <w:szCs w:val="14"/>
              </w:rPr>
              <w:t>Member Activity (KFC)</w:t>
            </w:r>
            <w:r>
              <w:rPr>
                <w:rFonts w:ascii="Arial" w:eastAsia="Arial" w:hAnsi="Arial" w:cs="Arial"/>
                <w:b/>
                <w:bCs/>
                <w:color w:val="CF0A2C"/>
                <w:sz w:val="21"/>
                <w:szCs w:val="21"/>
                <w:vertAlign w:val="superscript"/>
              </w:rPr>
              <w:t>(2)</w:t>
            </w:r>
          </w:p>
        </w:tc>
        <w:tc>
          <w:tcPr>
            <w:tcW w:w="1360" w:type="dxa"/>
            <w:gridSpan w:val="2"/>
            <w:vAlign w:val="bottom"/>
          </w:tcPr>
          <w:p w:rsidR="00A621E3" w:rsidRDefault="00EC630E">
            <w:pPr>
              <w:ind w:right="104"/>
              <w:jc w:val="right"/>
              <w:rPr>
                <w:sz w:val="20"/>
                <w:szCs w:val="20"/>
              </w:rPr>
            </w:pPr>
            <w:r>
              <w:rPr>
                <w:rFonts w:ascii="Arial" w:eastAsia="Arial" w:hAnsi="Arial" w:cs="Arial"/>
                <w:color w:val="CF0A2C"/>
                <w:sz w:val="14"/>
                <w:szCs w:val="14"/>
              </w:rPr>
              <w:t>0%</w:t>
            </w:r>
          </w:p>
        </w:tc>
        <w:tc>
          <w:tcPr>
            <w:tcW w:w="920" w:type="dxa"/>
            <w:vAlign w:val="bottom"/>
          </w:tcPr>
          <w:p w:rsidR="00A621E3" w:rsidRDefault="00EC630E">
            <w:pPr>
              <w:ind w:right="107"/>
              <w:jc w:val="right"/>
              <w:rPr>
                <w:sz w:val="20"/>
                <w:szCs w:val="20"/>
              </w:rPr>
            </w:pPr>
            <w:r>
              <w:rPr>
                <w:rFonts w:ascii="Arial" w:eastAsia="Arial" w:hAnsi="Arial" w:cs="Arial"/>
                <w:color w:val="CF0A2C"/>
                <w:sz w:val="14"/>
                <w:szCs w:val="14"/>
              </w:rPr>
              <w:t>6.4%</w:t>
            </w:r>
          </w:p>
        </w:tc>
        <w:tc>
          <w:tcPr>
            <w:tcW w:w="1200" w:type="dxa"/>
            <w:vAlign w:val="bottom"/>
          </w:tcPr>
          <w:p w:rsidR="00A621E3" w:rsidRDefault="00EC630E">
            <w:pPr>
              <w:ind w:right="107"/>
              <w:jc w:val="right"/>
              <w:rPr>
                <w:sz w:val="20"/>
                <w:szCs w:val="20"/>
              </w:rPr>
            </w:pPr>
            <w:r>
              <w:rPr>
                <w:rFonts w:ascii="Arial" w:eastAsia="Arial" w:hAnsi="Arial" w:cs="Arial"/>
                <w:color w:val="CF0A2C"/>
                <w:sz w:val="14"/>
                <w:szCs w:val="14"/>
              </w:rPr>
              <w:t>12.9%</w:t>
            </w:r>
          </w:p>
        </w:tc>
        <w:tc>
          <w:tcPr>
            <w:tcW w:w="960" w:type="dxa"/>
            <w:vAlign w:val="bottom"/>
          </w:tcPr>
          <w:p w:rsidR="00A621E3" w:rsidRDefault="00EC630E">
            <w:pPr>
              <w:ind w:right="107"/>
              <w:jc w:val="right"/>
              <w:rPr>
                <w:sz w:val="20"/>
                <w:szCs w:val="20"/>
              </w:rPr>
            </w:pPr>
            <w:r>
              <w:rPr>
                <w:rFonts w:ascii="Arial" w:eastAsia="Arial" w:hAnsi="Arial" w:cs="Arial"/>
                <w:color w:val="CF0A2C"/>
                <w:sz w:val="14"/>
                <w:szCs w:val="14"/>
              </w:rPr>
              <w:t>-0.2%</w:t>
            </w:r>
          </w:p>
        </w:tc>
        <w:tc>
          <w:tcPr>
            <w:tcW w:w="1380" w:type="dxa"/>
            <w:vAlign w:val="bottom"/>
          </w:tcPr>
          <w:p w:rsidR="00A621E3" w:rsidRDefault="00EC630E">
            <w:pPr>
              <w:ind w:right="86"/>
              <w:jc w:val="right"/>
              <w:rPr>
                <w:sz w:val="20"/>
                <w:szCs w:val="20"/>
              </w:rPr>
            </w:pPr>
            <w:r>
              <w:rPr>
                <w:rFonts w:ascii="Arial" w:eastAsia="Arial" w:hAnsi="Arial" w:cs="Arial"/>
                <w:color w:val="CF0A2C"/>
                <w:sz w:val="14"/>
                <w:szCs w:val="14"/>
              </w:rPr>
              <w:t>0%</w:t>
            </w:r>
          </w:p>
        </w:tc>
        <w:tc>
          <w:tcPr>
            <w:tcW w:w="1320" w:type="dxa"/>
            <w:vAlign w:val="bottom"/>
          </w:tcPr>
          <w:p w:rsidR="00A621E3" w:rsidRDefault="00EC630E">
            <w:pPr>
              <w:ind w:right="87"/>
              <w:jc w:val="right"/>
              <w:rPr>
                <w:sz w:val="20"/>
                <w:szCs w:val="20"/>
              </w:rPr>
            </w:pPr>
            <w:r>
              <w:rPr>
                <w:rFonts w:ascii="Arial" w:eastAsia="Arial" w:hAnsi="Arial" w:cs="Arial"/>
                <w:color w:val="CF0A2C"/>
                <w:sz w:val="14"/>
                <w:szCs w:val="14"/>
              </w:rPr>
              <w:t>3%</w:t>
            </w:r>
          </w:p>
        </w:tc>
        <w:tc>
          <w:tcPr>
            <w:tcW w:w="1240" w:type="dxa"/>
            <w:gridSpan w:val="2"/>
            <w:vAlign w:val="bottom"/>
          </w:tcPr>
          <w:p w:rsidR="00A621E3" w:rsidRDefault="00EC630E">
            <w:pPr>
              <w:ind w:right="60"/>
              <w:jc w:val="right"/>
              <w:rPr>
                <w:sz w:val="20"/>
                <w:szCs w:val="20"/>
              </w:rPr>
            </w:pPr>
            <w:r>
              <w:rPr>
                <w:rFonts w:ascii="Arial" w:eastAsia="Arial" w:hAnsi="Arial" w:cs="Arial"/>
                <w:color w:val="CF0A2C"/>
                <w:sz w:val="14"/>
                <w:szCs w:val="14"/>
              </w:rPr>
              <w:t>0%</w:t>
            </w:r>
          </w:p>
        </w:tc>
        <w:tc>
          <w:tcPr>
            <w:tcW w:w="0" w:type="dxa"/>
            <w:vAlign w:val="bottom"/>
          </w:tcPr>
          <w:p w:rsidR="00A621E3" w:rsidRDefault="00A621E3">
            <w:pPr>
              <w:rPr>
                <w:sz w:val="1"/>
                <w:szCs w:val="1"/>
              </w:rPr>
            </w:pPr>
          </w:p>
        </w:tc>
      </w:tr>
      <w:tr w:rsidR="00A621E3">
        <w:trPr>
          <w:trHeight w:val="191"/>
        </w:trPr>
        <w:tc>
          <w:tcPr>
            <w:tcW w:w="2640" w:type="dxa"/>
            <w:vAlign w:val="bottom"/>
          </w:tcPr>
          <w:p w:rsidR="00A621E3" w:rsidRDefault="00EC630E">
            <w:pPr>
              <w:rPr>
                <w:sz w:val="20"/>
                <w:szCs w:val="20"/>
              </w:rPr>
            </w:pPr>
            <w:r>
              <w:rPr>
                <w:rFonts w:ascii="Arial" w:eastAsia="Arial" w:hAnsi="Arial" w:cs="Arial"/>
                <w:b/>
                <w:bCs/>
                <w:color w:val="CF0A2C"/>
                <w:sz w:val="16"/>
                <w:szCs w:val="16"/>
              </w:rPr>
              <w:t>Commodity Cost Growth (YUMC)</w:t>
            </w:r>
          </w:p>
        </w:tc>
        <w:tc>
          <w:tcPr>
            <w:tcW w:w="1360" w:type="dxa"/>
            <w:gridSpan w:val="2"/>
            <w:vMerge w:val="restart"/>
            <w:vAlign w:val="bottom"/>
          </w:tcPr>
          <w:p w:rsidR="00A621E3" w:rsidRDefault="00EC630E">
            <w:pPr>
              <w:ind w:right="104"/>
              <w:jc w:val="right"/>
              <w:rPr>
                <w:sz w:val="20"/>
                <w:szCs w:val="20"/>
              </w:rPr>
            </w:pPr>
            <w:r>
              <w:rPr>
                <w:rFonts w:ascii="Arial" w:eastAsia="Arial" w:hAnsi="Arial" w:cs="Arial"/>
                <w:color w:val="CF0A2C"/>
                <w:sz w:val="14"/>
                <w:szCs w:val="14"/>
              </w:rPr>
              <w:t>4%</w:t>
            </w:r>
          </w:p>
        </w:tc>
        <w:tc>
          <w:tcPr>
            <w:tcW w:w="920" w:type="dxa"/>
            <w:vMerge w:val="restart"/>
            <w:vAlign w:val="bottom"/>
          </w:tcPr>
          <w:p w:rsidR="00A621E3" w:rsidRDefault="00EC630E">
            <w:pPr>
              <w:ind w:right="107"/>
              <w:jc w:val="right"/>
              <w:rPr>
                <w:sz w:val="20"/>
                <w:szCs w:val="20"/>
              </w:rPr>
            </w:pPr>
            <w:r>
              <w:rPr>
                <w:rFonts w:ascii="Arial" w:eastAsia="Arial" w:hAnsi="Arial" w:cs="Arial"/>
                <w:color w:val="CF0A2C"/>
                <w:sz w:val="14"/>
                <w:szCs w:val="14"/>
              </w:rPr>
              <w:t>2%</w:t>
            </w:r>
          </w:p>
        </w:tc>
        <w:tc>
          <w:tcPr>
            <w:tcW w:w="1200" w:type="dxa"/>
            <w:vMerge w:val="restart"/>
            <w:vAlign w:val="bottom"/>
          </w:tcPr>
          <w:p w:rsidR="00A621E3" w:rsidRDefault="00EC630E">
            <w:pPr>
              <w:ind w:right="107"/>
              <w:jc w:val="right"/>
              <w:rPr>
                <w:sz w:val="20"/>
                <w:szCs w:val="20"/>
              </w:rPr>
            </w:pPr>
            <w:r>
              <w:rPr>
                <w:rFonts w:ascii="Arial" w:eastAsia="Arial" w:hAnsi="Arial" w:cs="Arial"/>
                <w:color w:val="CF0A2C"/>
                <w:sz w:val="14"/>
                <w:szCs w:val="14"/>
              </w:rPr>
              <w:t>0%</w:t>
            </w:r>
          </w:p>
        </w:tc>
        <w:tc>
          <w:tcPr>
            <w:tcW w:w="960" w:type="dxa"/>
            <w:vMerge w:val="restart"/>
            <w:vAlign w:val="bottom"/>
          </w:tcPr>
          <w:p w:rsidR="00A621E3" w:rsidRDefault="00EC630E">
            <w:pPr>
              <w:ind w:right="107"/>
              <w:jc w:val="right"/>
              <w:rPr>
                <w:sz w:val="20"/>
                <w:szCs w:val="20"/>
              </w:rPr>
            </w:pPr>
            <w:r>
              <w:rPr>
                <w:rFonts w:ascii="Arial" w:eastAsia="Arial" w:hAnsi="Arial" w:cs="Arial"/>
                <w:color w:val="CF0A2C"/>
                <w:sz w:val="14"/>
                <w:szCs w:val="14"/>
              </w:rPr>
              <w:t>2.1%</w:t>
            </w:r>
          </w:p>
        </w:tc>
        <w:tc>
          <w:tcPr>
            <w:tcW w:w="1380" w:type="dxa"/>
            <w:vMerge w:val="restart"/>
            <w:vAlign w:val="bottom"/>
          </w:tcPr>
          <w:p w:rsidR="00A621E3" w:rsidRDefault="00EC630E">
            <w:pPr>
              <w:ind w:right="86"/>
              <w:jc w:val="right"/>
              <w:rPr>
                <w:sz w:val="20"/>
                <w:szCs w:val="20"/>
              </w:rPr>
            </w:pPr>
            <w:r>
              <w:rPr>
                <w:rFonts w:ascii="Arial" w:eastAsia="Arial" w:hAnsi="Arial" w:cs="Arial"/>
                <w:color w:val="CF0A2C"/>
                <w:sz w:val="14"/>
                <w:szCs w:val="14"/>
              </w:rPr>
              <w:t>98%</w:t>
            </w:r>
          </w:p>
        </w:tc>
        <w:tc>
          <w:tcPr>
            <w:tcW w:w="1320" w:type="dxa"/>
            <w:vMerge w:val="restart"/>
            <w:vAlign w:val="bottom"/>
          </w:tcPr>
          <w:p w:rsidR="00A621E3" w:rsidRDefault="00EC630E">
            <w:pPr>
              <w:ind w:right="87"/>
              <w:jc w:val="right"/>
              <w:rPr>
                <w:sz w:val="20"/>
                <w:szCs w:val="20"/>
              </w:rPr>
            </w:pPr>
            <w:r>
              <w:rPr>
                <w:rFonts w:ascii="Arial" w:eastAsia="Arial" w:hAnsi="Arial" w:cs="Arial"/>
                <w:color w:val="CF0A2C"/>
                <w:sz w:val="14"/>
                <w:szCs w:val="14"/>
              </w:rPr>
              <w:t>15%</w:t>
            </w:r>
          </w:p>
        </w:tc>
        <w:tc>
          <w:tcPr>
            <w:tcW w:w="1240" w:type="dxa"/>
            <w:gridSpan w:val="2"/>
            <w:vMerge w:val="restart"/>
            <w:vAlign w:val="bottom"/>
          </w:tcPr>
          <w:p w:rsidR="00A621E3" w:rsidRDefault="00EC630E">
            <w:pPr>
              <w:ind w:right="60"/>
              <w:jc w:val="right"/>
              <w:rPr>
                <w:sz w:val="20"/>
                <w:szCs w:val="20"/>
              </w:rPr>
            </w:pPr>
            <w:r>
              <w:rPr>
                <w:rFonts w:ascii="Arial" w:eastAsia="Arial" w:hAnsi="Arial" w:cs="Arial"/>
                <w:color w:val="CF0A2C"/>
                <w:sz w:val="14"/>
                <w:szCs w:val="14"/>
              </w:rPr>
              <w:t>15%</w:t>
            </w:r>
          </w:p>
        </w:tc>
        <w:tc>
          <w:tcPr>
            <w:tcW w:w="0" w:type="dxa"/>
            <w:vAlign w:val="bottom"/>
          </w:tcPr>
          <w:p w:rsidR="00A621E3" w:rsidRDefault="00A621E3">
            <w:pPr>
              <w:rPr>
                <w:sz w:val="1"/>
                <w:szCs w:val="1"/>
              </w:rPr>
            </w:pPr>
          </w:p>
        </w:tc>
      </w:tr>
      <w:tr w:rsidR="00A621E3">
        <w:trPr>
          <w:trHeight w:val="133"/>
        </w:trPr>
        <w:tc>
          <w:tcPr>
            <w:tcW w:w="2640" w:type="dxa"/>
            <w:vAlign w:val="bottom"/>
          </w:tcPr>
          <w:p w:rsidR="00A621E3" w:rsidRDefault="00EC630E">
            <w:pPr>
              <w:spacing w:line="133" w:lineRule="exact"/>
              <w:ind w:left="160"/>
              <w:rPr>
                <w:sz w:val="20"/>
                <w:szCs w:val="20"/>
              </w:rPr>
            </w:pPr>
            <w:r>
              <w:rPr>
                <w:rFonts w:ascii="Arial" w:eastAsia="Arial" w:hAnsi="Arial" w:cs="Arial"/>
                <w:b/>
                <w:bCs/>
                <w:color w:val="CF0A2C"/>
                <w:sz w:val="12"/>
                <w:szCs w:val="12"/>
              </w:rPr>
              <w:t>(3)</w:t>
            </w:r>
          </w:p>
        </w:tc>
        <w:tc>
          <w:tcPr>
            <w:tcW w:w="1360" w:type="dxa"/>
            <w:gridSpan w:val="2"/>
            <w:vMerge/>
            <w:vAlign w:val="bottom"/>
          </w:tcPr>
          <w:p w:rsidR="00A621E3" w:rsidRDefault="00A621E3">
            <w:pPr>
              <w:rPr>
                <w:sz w:val="11"/>
                <w:szCs w:val="11"/>
              </w:rPr>
            </w:pPr>
          </w:p>
        </w:tc>
        <w:tc>
          <w:tcPr>
            <w:tcW w:w="920" w:type="dxa"/>
            <w:vMerge/>
            <w:vAlign w:val="bottom"/>
          </w:tcPr>
          <w:p w:rsidR="00A621E3" w:rsidRDefault="00A621E3">
            <w:pPr>
              <w:rPr>
                <w:sz w:val="11"/>
                <w:szCs w:val="11"/>
              </w:rPr>
            </w:pPr>
          </w:p>
        </w:tc>
        <w:tc>
          <w:tcPr>
            <w:tcW w:w="1200" w:type="dxa"/>
            <w:vMerge/>
            <w:vAlign w:val="bottom"/>
          </w:tcPr>
          <w:p w:rsidR="00A621E3" w:rsidRDefault="00A621E3">
            <w:pPr>
              <w:rPr>
                <w:sz w:val="11"/>
                <w:szCs w:val="11"/>
              </w:rPr>
            </w:pPr>
          </w:p>
        </w:tc>
        <w:tc>
          <w:tcPr>
            <w:tcW w:w="960" w:type="dxa"/>
            <w:vMerge/>
            <w:vAlign w:val="bottom"/>
          </w:tcPr>
          <w:p w:rsidR="00A621E3" w:rsidRDefault="00A621E3">
            <w:pPr>
              <w:rPr>
                <w:sz w:val="11"/>
                <w:szCs w:val="11"/>
              </w:rPr>
            </w:pPr>
          </w:p>
        </w:tc>
        <w:tc>
          <w:tcPr>
            <w:tcW w:w="1380" w:type="dxa"/>
            <w:vMerge/>
            <w:vAlign w:val="bottom"/>
          </w:tcPr>
          <w:p w:rsidR="00A621E3" w:rsidRDefault="00A621E3">
            <w:pPr>
              <w:rPr>
                <w:sz w:val="11"/>
                <w:szCs w:val="11"/>
              </w:rPr>
            </w:pPr>
          </w:p>
        </w:tc>
        <w:tc>
          <w:tcPr>
            <w:tcW w:w="1320" w:type="dxa"/>
            <w:vMerge/>
            <w:vAlign w:val="bottom"/>
          </w:tcPr>
          <w:p w:rsidR="00A621E3" w:rsidRDefault="00A621E3">
            <w:pPr>
              <w:rPr>
                <w:sz w:val="11"/>
                <w:szCs w:val="11"/>
              </w:rPr>
            </w:pPr>
          </w:p>
        </w:tc>
        <w:tc>
          <w:tcPr>
            <w:tcW w:w="1240" w:type="dxa"/>
            <w:gridSpan w:val="2"/>
            <w:vMerge/>
            <w:vAlign w:val="bottom"/>
          </w:tcPr>
          <w:p w:rsidR="00A621E3" w:rsidRDefault="00A621E3">
            <w:pPr>
              <w:rPr>
                <w:sz w:val="11"/>
                <w:szCs w:val="11"/>
              </w:rPr>
            </w:pPr>
          </w:p>
        </w:tc>
        <w:tc>
          <w:tcPr>
            <w:tcW w:w="0" w:type="dxa"/>
            <w:vAlign w:val="bottom"/>
          </w:tcPr>
          <w:p w:rsidR="00A621E3" w:rsidRDefault="00A621E3">
            <w:pPr>
              <w:rPr>
                <w:sz w:val="1"/>
                <w:szCs w:val="1"/>
              </w:rPr>
            </w:pPr>
          </w:p>
        </w:tc>
      </w:tr>
      <w:tr w:rsidR="00A621E3">
        <w:trPr>
          <w:trHeight w:val="189"/>
        </w:trPr>
        <w:tc>
          <w:tcPr>
            <w:tcW w:w="2640" w:type="dxa"/>
            <w:vAlign w:val="bottom"/>
          </w:tcPr>
          <w:p w:rsidR="00A621E3" w:rsidRDefault="00EC630E">
            <w:pPr>
              <w:spacing w:line="189" w:lineRule="exact"/>
              <w:rPr>
                <w:sz w:val="20"/>
                <w:szCs w:val="20"/>
              </w:rPr>
            </w:pPr>
            <w:r>
              <w:rPr>
                <w:rFonts w:ascii="Arial" w:eastAsia="Arial" w:hAnsi="Arial" w:cs="Arial"/>
                <w:b/>
                <w:bCs/>
                <w:color w:val="CF0A2C"/>
                <w:sz w:val="14"/>
                <w:szCs w:val="14"/>
              </w:rPr>
              <w:t>Labor Cost Growth (YUMC)</w:t>
            </w:r>
            <w:r>
              <w:rPr>
                <w:rFonts w:ascii="Arial" w:eastAsia="Arial" w:hAnsi="Arial" w:cs="Arial"/>
                <w:b/>
                <w:bCs/>
                <w:color w:val="CF0A2C"/>
                <w:sz w:val="21"/>
                <w:szCs w:val="21"/>
                <w:vertAlign w:val="superscript"/>
              </w:rPr>
              <w:t>(4)</w:t>
            </w:r>
          </w:p>
        </w:tc>
        <w:tc>
          <w:tcPr>
            <w:tcW w:w="1360" w:type="dxa"/>
            <w:gridSpan w:val="2"/>
            <w:vAlign w:val="bottom"/>
          </w:tcPr>
          <w:p w:rsidR="00A621E3" w:rsidRDefault="00EC630E">
            <w:pPr>
              <w:ind w:right="104"/>
              <w:jc w:val="right"/>
              <w:rPr>
                <w:sz w:val="20"/>
                <w:szCs w:val="20"/>
              </w:rPr>
            </w:pPr>
            <w:r>
              <w:rPr>
                <w:rFonts w:ascii="Arial" w:eastAsia="Arial" w:hAnsi="Arial" w:cs="Arial"/>
                <w:color w:val="CF0A2C"/>
                <w:sz w:val="14"/>
                <w:szCs w:val="14"/>
              </w:rPr>
              <w:t>5%</w:t>
            </w:r>
          </w:p>
        </w:tc>
        <w:tc>
          <w:tcPr>
            <w:tcW w:w="920" w:type="dxa"/>
            <w:vAlign w:val="bottom"/>
          </w:tcPr>
          <w:p w:rsidR="00A621E3" w:rsidRDefault="00EC630E">
            <w:pPr>
              <w:ind w:right="107"/>
              <w:jc w:val="right"/>
              <w:rPr>
                <w:sz w:val="20"/>
                <w:szCs w:val="20"/>
              </w:rPr>
            </w:pPr>
            <w:r>
              <w:rPr>
                <w:rFonts w:ascii="Arial" w:eastAsia="Arial" w:hAnsi="Arial" w:cs="Arial"/>
                <w:color w:val="CF0A2C"/>
                <w:sz w:val="14"/>
                <w:szCs w:val="14"/>
              </w:rPr>
              <w:t>0%</w:t>
            </w:r>
          </w:p>
        </w:tc>
        <w:tc>
          <w:tcPr>
            <w:tcW w:w="1200" w:type="dxa"/>
            <w:vAlign w:val="bottom"/>
          </w:tcPr>
          <w:p w:rsidR="00A621E3" w:rsidRDefault="00EC630E">
            <w:pPr>
              <w:ind w:right="107"/>
              <w:jc w:val="right"/>
              <w:rPr>
                <w:sz w:val="20"/>
                <w:szCs w:val="20"/>
              </w:rPr>
            </w:pPr>
            <w:r>
              <w:rPr>
                <w:rFonts w:ascii="Arial" w:eastAsia="Arial" w:hAnsi="Arial" w:cs="Arial"/>
                <w:color w:val="CF0A2C"/>
                <w:sz w:val="14"/>
                <w:szCs w:val="14"/>
              </w:rPr>
              <w:t>-5%</w:t>
            </w:r>
          </w:p>
        </w:tc>
        <w:tc>
          <w:tcPr>
            <w:tcW w:w="960" w:type="dxa"/>
            <w:vAlign w:val="bottom"/>
          </w:tcPr>
          <w:p w:rsidR="00A621E3" w:rsidRDefault="00EC630E">
            <w:pPr>
              <w:ind w:right="107"/>
              <w:jc w:val="right"/>
              <w:rPr>
                <w:sz w:val="20"/>
                <w:szCs w:val="20"/>
              </w:rPr>
            </w:pPr>
            <w:r>
              <w:rPr>
                <w:rFonts w:ascii="Arial" w:eastAsia="Arial" w:hAnsi="Arial" w:cs="Arial"/>
                <w:color w:val="CF0A2C"/>
                <w:sz w:val="14"/>
                <w:szCs w:val="14"/>
              </w:rPr>
              <w:t>-7%</w:t>
            </w:r>
          </w:p>
        </w:tc>
        <w:tc>
          <w:tcPr>
            <w:tcW w:w="1380" w:type="dxa"/>
            <w:vAlign w:val="bottom"/>
          </w:tcPr>
          <w:p w:rsidR="00A621E3" w:rsidRDefault="00EC630E">
            <w:pPr>
              <w:ind w:right="86"/>
              <w:jc w:val="right"/>
              <w:rPr>
                <w:sz w:val="20"/>
                <w:szCs w:val="20"/>
              </w:rPr>
            </w:pPr>
            <w:r>
              <w:rPr>
                <w:rFonts w:ascii="Arial" w:eastAsia="Arial" w:hAnsi="Arial" w:cs="Arial"/>
                <w:color w:val="CF0A2C"/>
                <w:sz w:val="14"/>
                <w:szCs w:val="14"/>
              </w:rPr>
              <w:t>200%</w:t>
            </w:r>
          </w:p>
        </w:tc>
        <w:tc>
          <w:tcPr>
            <w:tcW w:w="1320" w:type="dxa"/>
            <w:vAlign w:val="bottom"/>
          </w:tcPr>
          <w:p w:rsidR="00A621E3" w:rsidRDefault="00EC630E">
            <w:pPr>
              <w:ind w:right="87"/>
              <w:jc w:val="right"/>
              <w:rPr>
                <w:sz w:val="20"/>
                <w:szCs w:val="20"/>
              </w:rPr>
            </w:pPr>
            <w:r>
              <w:rPr>
                <w:rFonts w:ascii="Arial" w:eastAsia="Arial" w:hAnsi="Arial" w:cs="Arial"/>
                <w:color w:val="CF0A2C"/>
                <w:sz w:val="14"/>
                <w:szCs w:val="14"/>
              </w:rPr>
              <w:t>15%</w:t>
            </w:r>
          </w:p>
        </w:tc>
        <w:tc>
          <w:tcPr>
            <w:tcW w:w="1240" w:type="dxa"/>
            <w:gridSpan w:val="2"/>
            <w:vAlign w:val="bottom"/>
          </w:tcPr>
          <w:p w:rsidR="00A621E3" w:rsidRDefault="00EC630E">
            <w:pPr>
              <w:ind w:right="60"/>
              <w:jc w:val="right"/>
              <w:rPr>
                <w:sz w:val="20"/>
                <w:szCs w:val="20"/>
              </w:rPr>
            </w:pPr>
            <w:r>
              <w:rPr>
                <w:rFonts w:ascii="Arial" w:eastAsia="Arial" w:hAnsi="Arial" w:cs="Arial"/>
                <w:color w:val="CF0A2C"/>
                <w:sz w:val="14"/>
                <w:szCs w:val="14"/>
              </w:rPr>
              <w:t>30%</w:t>
            </w:r>
          </w:p>
        </w:tc>
        <w:tc>
          <w:tcPr>
            <w:tcW w:w="0" w:type="dxa"/>
            <w:vAlign w:val="bottom"/>
          </w:tcPr>
          <w:p w:rsidR="00A621E3" w:rsidRDefault="00A621E3">
            <w:pPr>
              <w:rPr>
                <w:sz w:val="1"/>
                <w:szCs w:val="1"/>
              </w:rPr>
            </w:pPr>
          </w:p>
        </w:tc>
      </w:tr>
      <w:tr w:rsidR="00A621E3">
        <w:trPr>
          <w:trHeight w:val="191"/>
        </w:trPr>
        <w:tc>
          <w:tcPr>
            <w:tcW w:w="2640" w:type="dxa"/>
            <w:vAlign w:val="bottom"/>
          </w:tcPr>
          <w:p w:rsidR="00A621E3" w:rsidRDefault="00EC630E">
            <w:pPr>
              <w:rPr>
                <w:sz w:val="20"/>
                <w:szCs w:val="20"/>
              </w:rPr>
            </w:pPr>
            <w:r>
              <w:rPr>
                <w:rFonts w:ascii="Arial" w:eastAsia="Arial" w:hAnsi="Arial" w:cs="Arial"/>
                <w:b/>
                <w:bCs/>
                <w:color w:val="CF0A2C"/>
                <w:sz w:val="16"/>
                <w:szCs w:val="16"/>
              </w:rPr>
              <w:t>Relative Revenue Growth (YUMC)</w:t>
            </w:r>
          </w:p>
        </w:tc>
        <w:tc>
          <w:tcPr>
            <w:tcW w:w="1360" w:type="dxa"/>
            <w:gridSpan w:val="2"/>
            <w:vMerge w:val="restart"/>
            <w:vAlign w:val="bottom"/>
          </w:tcPr>
          <w:p w:rsidR="00A621E3" w:rsidRDefault="00EC630E">
            <w:pPr>
              <w:ind w:right="104"/>
              <w:jc w:val="right"/>
              <w:rPr>
                <w:sz w:val="20"/>
                <w:szCs w:val="20"/>
              </w:rPr>
            </w:pPr>
            <w:r>
              <w:rPr>
                <w:rFonts w:ascii="Arial" w:eastAsia="Arial" w:hAnsi="Arial" w:cs="Arial"/>
                <w:color w:val="CF0A2C"/>
                <w:sz w:val="14"/>
                <w:szCs w:val="14"/>
              </w:rPr>
              <w:t>1%</w:t>
            </w:r>
          </w:p>
        </w:tc>
        <w:tc>
          <w:tcPr>
            <w:tcW w:w="920" w:type="dxa"/>
            <w:vMerge w:val="restart"/>
            <w:vAlign w:val="bottom"/>
          </w:tcPr>
          <w:p w:rsidR="00A621E3" w:rsidRDefault="00EC630E">
            <w:pPr>
              <w:ind w:right="107"/>
              <w:jc w:val="right"/>
              <w:rPr>
                <w:sz w:val="20"/>
                <w:szCs w:val="20"/>
              </w:rPr>
            </w:pPr>
            <w:r>
              <w:rPr>
                <w:rFonts w:ascii="Arial" w:eastAsia="Arial" w:hAnsi="Arial" w:cs="Arial"/>
                <w:color w:val="CF0A2C"/>
                <w:sz w:val="14"/>
                <w:szCs w:val="14"/>
              </w:rPr>
              <w:t>2%</w:t>
            </w:r>
          </w:p>
        </w:tc>
        <w:tc>
          <w:tcPr>
            <w:tcW w:w="1200" w:type="dxa"/>
            <w:vMerge w:val="restart"/>
            <w:vAlign w:val="bottom"/>
          </w:tcPr>
          <w:p w:rsidR="00A621E3" w:rsidRDefault="00EC630E">
            <w:pPr>
              <w:ind w:right="107"/>
              <w:jc w:val="right"/>
              <w:rPr>
                <w:sz w:val="20"/>
                <w:szCs w:val="20"/>
              </w:rPr>
            </w:pPr>
            <w:r>
              <w:rPr>
                <w:rFonts w:ascii="Arial" w:eastAsia="Arial" w:hAnsi="Arial" w:cs="Arial"/>
                <w:color w:val="CF0A2C"/>
                <w:sz w:val="14"/>
                <w:szCs w:val="14"/>
              </w:rPr>
              <w:t>4%</w:t>
            </w:r>
          </w:p>
        </w:tc>
        <w:tc>
          <w:tcPr>
            <w:tcW w:w="960" w:type="dxa"/>
            <w:vMerge w:val="restart"/>
            <w:vAlign w:val="bottom"/>
          </w:tcPr>
          <w:p w:rsidR="00A621E3" w:rsidRDefault="00EC630E">
            <w:pPr>
              <w:ind w:right="107"/>
              <w:jc w:val="right"/>
              <w:rPr>
                <w:sz w:val="20"/>
                <w:szCs w:val="20"/>
              </w:rPr>
            </w:pPr>
            <w:r>
              <w:rPr>
                <w:rFonts w:ascii="Arial" w:eastAsia="Arial" w:hAnsi="Arial" w:cs="Arial"/>
                <w:color w:val="CF0A2C"/>
                <w:sz w:val="14"/>
                <w:szCs w:val="14"/>
              </w:rPr>
              <w:t>7%</w:t>
            </w:r>
          </w:p>
        </w:tc>
        <w:tc>
          <w:tcPr>
            <w:tcW w:w="1380" w:type="dxa"/>
            <w:vMerge w:val="restart"/>
            <w:vAlign w:val="bottom"/>
          </w:tcPr>
          <w:p w:rsidR="00A621E3" w:rsidRDefault="00EC630E">
            <w:pPr>
              <w:ind w:right="86"/>
              <w:jc w:val="right"/>
              <w:rPr>
                <w:sz w:val="20"/>
                <w:szCs w:val="20"/>
              </w:rPr>
            </w:pPr>
            <w:r>
              <w:rPr>
                <w:rFonts w:ascii="Arial" w:eastAsia="Arial" w:hAnsi="Arial" w:cs="Arial"/>
                <w:color w:val="CF0A2C"/>
                <w:sz w:val="14"/>
                <w:szCs w:val="14"/>
              </w:rPr>
              <w:t>200%</w:t>
            </w:r>
          </w:p>
        </w:tc>
        <w:tc>
          <w:tcPr>
            <w:tcW w:w="1320" w:type="dxa"/>
            <w:vMerge w:val="restart"/>
            <w:vAlign w:val="bottom"/>
          </w:tcPr>
          <w:p w:rsidR="00A621E3" w:rsidRDefault="00EC630E">
            <w:pPr>
              <w:ind w:right="87"/>
              <w:jc w:val="right"/>
              <w:rPr>
                <w:sz w:val="20"/>
                <w:szCs w:val="20"/>
              </w:rPr>
            </w:pPr>
            <w:r>
              <w:rPr>
                <w:rFonts w:ascii="Arial" w:eastAsia="Arial" w:hAnsi="Arial" w:cs="Arial"/>
                <w:color w:val="CF0A2C"/>
                <w:sz w:val="14"/>
                <w:szCs w:val="14"/>
              </w:rPr>
              <w:t>20%</w:t>
            </w:r>
          </w:p>
        </w:tc>
        <w:tc>
          <w:tcPr>
            <w:tcW w:w="1240" w:type="dxa"/>
            <w:gridSpan w:val="2"/>
            <w:vMerge w:val="restart"/>
            <w:vAlign w:val="bottom"/>
          </w:tcPr>
          <w:p w:rsidR="00A621E3" w:rsidRDefault="00EC630E">
            <w:pPr>
              <w:ind w:right="60"/>
              <w:jc w:val="right"/>
              <w:rPr>
                <w:sz w:val="20"/>
                <w:szCs w:val="20"/>
              </w:rPr>
            </w:pPr>
            <w:r>
              <w:rPr>
                <w:rFonts w:ascii="Arial" w:eastAsia="Arial" w:hAnsi="Arial" w:cs="Arial"/>
                <w:color w:val="CF0A2C"/>
                <w:sz w:val="14"/>
                <w:szCs w:val="14"/>
              </w:rPr>
              <w:t>40%</w:t>
            </w:r>
          </w:p>
        </w:tc>
        <w:tc>
          <w:tcPr>
            <w:tcW w:w="0" w:type="dxa"/>
            <w:vAlign w:val="bottom"/>
          </w:tcPr>
          <w:p w:rsidR="00A621E3" w:rsidRDefault="00A621E3">
            <w:pPr>
              <w:rPr>
                <w:sz w:val="1"/>
                <w:szCs w:val="1"/>
              </w:rPr>
            </w:pPr>
          </w:p>
        </w:tc>
      </w:tr>
      <w:tr w:rsidR="00A621E3">
        <w:trPr>
          <w:trHeight w:val="133"/>
        </w:trPr>
        <w:tc>
          <w:tcPr>
            <w:tcW w:w="2640" w:type="dxa"/>
            <w:vAlign w:val="bottom"/>
          </w:tcPr>
          <w:p w:rsidR="00A621E3" w:rsidRDefault="00EC630E">
            <w:pPr>
              <w:spacing w:line="133" w:lineRule="exact"/>
              <w:ind w:left="160"/>
              <w:rPr>
                <w:sz w:val="20"/>
                <w:szCs w:val="20"/>
              </w:rPr>
            </w:pPr>
            <w:r>
              <w:rPr>
                <w:rFonts w:ascii="Arial" w:eastAsia="Arial" w:hAnsi="Arial" w:cs="Arial"/>
                <w:b/>
                <w:bCs/>
                <w:color w:val="CF0A2C"/>
                <w:sz w:val="12"/>
                <w:szCs w:val="12"/>
              </w:rPr>
              <w:t>(5)</w:t>
            </w:r>
          </w:p>
        </w:tc>
        <w:tc>
          <w:tcPr>
            <w:tcW w:w="1360" w:type="dxa"/>
            <w:gridSpan w:val="2"/>
            <w:vMerge/>
            <w:vAlign w:val="bottom"/>
          </w:tcPr>
          <w:p w:rsidR="00A621E3" w:rsidRDefault="00A621E3">
            <w:pPr>
              <w:rPr>
                <w:sz w:val="11"/>
                <w:szCs w:val="11"/>
              </w:rPr>
            </w:pPr>
          </w:p>
        </w:tc>
        <w:tc>
          <w:tcPr>
            <w:tcW w:w="920" w:type="dxa"/>
            <w:vMerge/>
            <w:vAlign w:val="bottom"/>
          </w:tcPr>
          <w:p w:rsidR="00A621E3" w:rsidRDefault="00A621E3">
            <w:pPr>
              <w:rPr>
                <w:sz w:val="11"/>
                <w:szCs w:val="11"/>
              </w:rPr>
            </w:pPr>
          </w:p>
        </w:tc>
        <w:tc>
          <w:tcPr>
            <w:tcW w:w="1200" w:type="dxa"/>
            <w:vMerge/>
            <w:vAlign w:val="bottom"/>
          </w:tcPr>
          <w:p w:rsidR="00A621E3" w:rsidRDefault="00A621E3">
            <w:pPr>
              <w:rPr>
                <w:sz w:val="11"/>
                <w:szCs w:val="11"/>
              </w:rPr>
            </w:pPr>
          </w:p>
        </w:tc>
        <w:tc>
          <w:tcPr>
            <w:tcW w:w="960" w:type="dxa"/>
            <w:vMerge/>
            <w:vAlign w:val="bottom"/>
          </w:tcPr>
          <w:p w:rsidR="00A621E3" w:rsidRDefault="00A621E3">
            <w:pPr>
              <w:rPr>
                <w:sz w:val="11"/>
                <w:szCs w:val="11"/>
              </w:rPr>
            </w:pPr>
          </w:p>
        </w:tc>
        <w:tc>
          <w:tcPr>
            <w:tcW w:w="1380" w:type="dxa"/>
            <w:vMerge/>
            <w:vAlign w:val="bottom"/>
          </w:tcPr>
          <w:p w:rsidR="00A621E3" w:rsidRDefault="00A621E3">
            <w:pPr>
              <w:rPr>
                <w:sz w:val="11"/>
                <w:szCs w:val="11"/>
              </w:rPr>
            </w:pPr>
          </w:p>
        </w:tc>
        <w:tc>
          <w:tcPr>
            <w:tcW w:w="1320" w:type="dxa"/>
            <w:vMerge/>
            <w:vAlign w:val="bottom"/>
          </w:tcPr>
          <w:p w:rsidR="00A621E3" w:rsidRDefault="00A621E3">
            <w:pPr>
              <w:rPr>
                <w:sz w:val="11"/>
                <w:szCs w:val="11"/>
              </w:rPr>
            </w:pPr>
          </w:p>
        </w:tc>
        <w:tc>
          <w:tcPr>
            <w:tcW w:w="1240" w:type="dxa"/>
            <w:gridSpan w:val="2"/>
            <w:vMerge/>
            <w:vAlign w:val="bottom"/>
          </w:tcPr>
          <w:p w:rsidR="00A621E3" w:rsidRDefault="00A621E3">
            <w:pPr>
              <w:rPr>
                <w:sz w:val="11"/>
                <w:szCs w:val="11"/>
              </w:rPr>
            </w:pPr>
          </w:p>
        </w:tc>
        <w:tc>
          <w:tcPr>
            <w:tcW w:w="0" w:type="dxa"/>
            <w:vAlign w:val="bottom"/>
          </w:tcPr>
          <w:p w:rsidR="00A621E3" w:rsidRDefault="00A621E3">
            <w:pPr>
              <w:rPr>
                <w:sz w:val="1"/>
                <w:szCs w:val="1"/>
              </w:rPr>
            </w:pPr>
          </w:p>
        </w:tc>
      </w:tr>
      <w:tr w:rsidR="00A621E3">
        <w:trPr>
          <w:trHeight w:val="207"/>
        </w:trPr>
        <w:tc>
          <w:tcPr>
            <w:tcW w:w="2640" w:type="dxa"/>
            <w:vAlign w:val="bottom"/>
          </w:tcPr>
          <w:p w:rsidR="00A621E3" w:rsidRDefault="00EC630E">
            <w:pPr>
              <w:spacing w:line="207" w:lineRule="exact"/>
              <w:rPr>
                <w:sz w:val="20"/>
                <w:szCs w:val="20"/>
              </w:rPr>
            </w:pPr>
            <w:r>
              <w:rPr>
                <w:rFonts w:ascii="Arial" w:eastAsia="Arial" w:hAnsi="Arial" w:cs="Arial"/>
                <w:b/>
                <w:bCs/>
                <w:color w:val="CF0A2C"/>
                <w:sz w:val="16"/>
                <w:szCs w:val="16"/>
              </w:rPr>
              <w:t>R-TSR (YUMC)</w:t>
            </w:r>
            <w:r>
              <w:rPr>
                <w:rFonts w:ascii="Arial" w:eastAsia="Arial" w:hAnsi="Arial" w:cs="Arial"/>
                <w:b/>
                <w:bCs/>
                <w:color w:val="CF0A2C"/>
                <w:sz w:val="24"/>
                <w:szCs w:val="24"/>
                <w:vertAlign w:val="superscript"/>
              </w:rPr>
              <w:t>(6)</w:t>
            </w:r>
          </w:p>
        </w:tc>
        <w:tc>
          <w:tcPr>
            <w:tcW w:w="240" w:type="dxa"/>
            <w:vAlign w:val="bottom"/>
          </w:tcPr>
          <w:p w:rsidR="00A621E3" w:rsidRDefault="00A621E3">
            <w:pPr>
              <w:rPr>
                <w:sz w:val="18"/>
                <w:szCs w:val="18"/>
              </w:rPr>
            </w:pPr>
          </w:p>
        </w:tc>
        <w:tc>
          <w:tcPr>
            <w:tcW w:w="1120" w:type="dxa"/>
            <w:vAlign w:val="bottom"/>
          </w:tcPr>
          <w:p w:rsidR="00A621E3" w:rsidRDefault="00EC630E">
            <w:pPr>
              <w:spacing w:line="207" w:lineRule="exact"/>
              <w:ind w:right="104"/>
              <w:jc w:val="right"/>
              <w:rPr>
                <w:sz w:val="20"/>
                <w:szCs w:val="20"/>
              </w:rPr>
            </w:pPr>
            <w:r>
              <w:rPr>
                <w:rFonts w:ascii="Arial" w:eastAsia="Arial" w:hAnsi="Arial" w:cs="Arial"/>
                <w:color w:val="CF0A2C"/>
                <w:sz w:val="14"/>
                <w:szCs w:val="14"/>
              </w:rPr>
              <w:t>40</w:t>
            </w:r>
            <w:r>
              <w:rPr>
                <w:rFonts w:ascii="Arial" w:eastAsia="Arial" w:hAnsi="Arial" w:cs="Arial"/>
                <w:color w:val="CF0A2C"/>
                <w:sz w:val="21"/>
                <w:szCs w:val="21"/>
                <w:vertAlign w:val="superscript"/>
              </w:rPr>
              <w:t>th</w:t>
            </w:r>
          </w:p>
        </w:tc>
        <w:tc>
          <w:tcPr>
            <w:tcW w:w="920" w:type="dxa"/>
            <w:vAlign w:val="bottom"/>
          </w:tcPr>
          <w:p w:rsidR="00A621E3" w:rsidRDefault="00EC630E">
            <w:pPr>
              <w:spacing w:line="207" w:lineRule="exact"/>
              <w:ind w:right="107"/>
              <w:jc w:val="right"/>
              <w:rPr>
                <w:sz w:val="20"/>
                <w:szCs w:val="20"/>
              </w:rPr>
            </w:pPr>
            <w:r>
              <w:rPr>
                <w:rFonts w:ascii="Arial" w:eastAsia="Arial" w:hAnsi="Arial" w:cs="Arial"/>
                <w:color w:val="CF0A2C"/>
                <w:sz w:val="14"/>
                <w:szCs w:val="14"/>
              </w:rPr>
              <w:t>55</w:t>
            </w:r>
            <w:r>
              <w:rPr>
                <w:rFonts w:ascii="Arial" w:eastAsia="Arial" w:hAnsi="Arial" w:cs="Arial"/>
                <w:color w:val="CF0A2C"/>
                <w:sz w:val="21"/>
                <w:szCs w:val="21"/>
                <w:vertAlign w:val="superscript"/>
              </w:rPr>
              <w:t>th</w:t>
            </w:r>
          </w:p>
        </w:tc>
        <w:tc>
          <w:tcPr>
            <w:tcW w:w="1200" w:type="dxa"/>
            <w:vAlign w:val="bottom"/>
          </w:tcPr>
          <w:p w:rsidR="00A621E3" w:rsidRDefault="00EC630E">
            <w:pPr>
              <w:spacing w:line="207" w:lineRule="exact"/>
              <w:ind w:right="107"/>
              <w:jc w:val="right"/>
              <w:rPr>
                <w:sz w:val="20"/>
                <w:szCs w:val="20"/>
              </w:rPr>
            </w:pPr>
            <w:r>
              <w:rPr>
                <w:rFonts w:ascii="Arial" w:eastAsia="Arial" w:hAnsi="Arial" w:cs="Arial"/>
                <w:color w:val="CF0A2C"/>
                <w:sz w:val="14"/>
                <w:szCs w:val="14"/>
              </w:rPr>
              <w:t>85</w:t>
            </w:r>
            <w:r>
              <w:rPr>
                <w:rFonts w:ascii="Arial" w:eastAsia="Arial" w:hAnsi="Arial" w:cs="Arial"/>
                <w:color w:val="CF0A2C"/>
                <w:sz w:val="21"/>
                <w:szCs w:val="21"/>
                <w:vertAlign w:val="superscript"/>
              </w:rPr>
              <w:t>th</w:t>
            </w:r>
          </w:p>
        </w:tc>
        <w:tc>
          <w:tcPr>
            <w:tcW w:w="960" w:type="dxa"/>
            <w:vAlign w:val="bottom"/>
          </w:tcPr>
          <w:p w:rsidR="00A621E3" w:rsidRDefault="00EC630E">
            <w:pPr>
              <w:spacing w:line="207" w:lineRule="exact"/>
              <w:ind w:right="107"/>
              <w:jc w:val="right"/>
              <w:rPr>
                <w:sz w:val="20"/>
                <w:szCs w:val="20"/>
              </w:rPr>
            </w:pPr>
            <w:r>
              <w:rPr>
                <w:rFonts w:ascii="Arial" w:eastAsia="Arial" w:hAnsi="Arial" w:cs="Arial"/>
                <w:color w:val="CF0A2C"/>
                <w:sz w:val="14"/>
                <w:szCs w:val="14"/>
              </w:rPr>
              <w:t>93.65</w:t>
            </w:r>
            <w:r>
              <w:rPr>
                <w:rFonts w:ascii="Arial" w:eastAsia="Arial" w:hAnsi="Arial" w:cs="Arial"/>
                <w:color w:val="CF0A2C"/>
                <w:sz w:val="21"/>
                <w:szCs w:val="21"/>
                <w:vertAlign w:val="superscript"/>
              </w:rPr>
              <w:t>th</w:t>
            </w:r>
          </w:p>
        </w:tc>
        <w:tc>
          <w:tcPr>
            <w:tcW w:w="1380" w:type="dxa"/>
            <w:vAlign w:val="bottom"/>
          </w:tcPr>
          <w:p w:rsidR="00A621E3" w:rsidRDefault="00EC630E">
            <w:pPr>
              <w:ind w:right="86"/>
              <w:jc w:val="right"/>
              <w:rPr>
                <w:sz w:val="20"/>
                <w:szCs w:val="20"/>
              </w:rPr>
            </w:pPr>
            <w:r>
              <w:rPr>
                <w:rFonts w:ascii="Arial" w:eastAsia="Arial" w:hAnsi="Arial" w:cs="Arial"/>
                <w:color w:val="CF0A2C"/>
                <w:sz w:val="14"/>
                <w:szCs w:val="14"/>
              </w:rPr>
              <w:t>200%</w:t>
            </w:r>
          </w:p>
        </w:tc>
        <w:tc>
          <w:tcPr>
            <w:tcW w:w="1320" w:type="dxa"/>
            <w:vAlign w:val="bottom"/>
          </w:tcPr>
          <w:p w:rsidR="00A621E3" w:rsidRDefault="00EC630E">
            <w:pPr>
              <w:ind w:right="87"/>
              <w:jc w:val="right"/>
              <w:rPr>
                <w:sz w:val="20"/>
                <w:szCs w:val="20"/>
              </w:rPr>
            </w:pPr>
            <w:r>
              <w:rPr>
                <w:rFonts w:ascii="Arial" w:eastAsia="Arial" w:hAnsi="Arial" w:cs="Arial"/>
                <w:color w:val="CF0A2C"/>
                <w:sz w:val="14"/>
                <w:szCs w:val="14"/>
              </w:rPr>
              <w:t>20%</w:t>
            </w:r>
          </w:p>
        </w:tc>
        <w:tc>
          <w:tcPr>
            <w:tcW w:w="1240" w:type="dxa"/>
            <w:gridSpan w:val="2"/>
            <w:vAlign w:val="bottom"/>
          </w:tcPr>
          <w:p w:rsidR="00A621E3" w:rsidRDefault="00EC630E">
            <w:pPr>
              <w:ind w:right="60"/>
              <w:jc w:val="right"/>
              <w:rPr>
                <w:sz w:val="20"/>
                <w:szCs w:val="20"/>
              </w:rPr>
            </w:pPr>
            <w:r>
              <w:rPr>
                <w:rFonts w:ascii="Arial" w:eastAsia="Arial" w:hAnsi="Arial" w:cs="Arial"/>
                <w:color w:val="CF0A2C"/>
                <w:sz w:val="14"/>
                <w:szCs w:val="14"/>
              </w:rPr>
              <w:t>40%</w:t>
            </w:r>
          </w:p>
        </w:tc>
        <w:tc>
          <w:tcPr>
            <w:tcW w:w="0" w:type="dxa"/>
            <w:vAlign w:val="bottom"/>
          </w:tcPr>
          <w:p w:rsidR="00A621E3" w:rsidRDefault="00A621E3">
            <w:pPr>
              <w:rPr>
                <w:sz w:val="1"/>
                <w:szCs w:val="1"/>
              </w:rPr>
            </w:pPr>
          </w:p>
        </w:tc>
      </w:tr>
      <w:tr w:rsidR="00A621E3">
        <w:trPr>
          <w:trHeight w:val="196"/>
        </w:trPr>
        <w:tc>
          <w:tcPr>
            <w:tcW w:w="2640" w:type="dxa"/>
            <w:vAlign w:val="bottom"/>
          </w:tcPr>
          <w:p w:rsidR="00A621E3" w:rsidRDefault="00EC630E">
            <w:pPr>
              <w:rPr>
                <w:sz w:val="20"/>
                <w:szCs w:val="20"/>
              </w:rPr>
            </w:pPr>
            <w:r>
              <w:rPr>
                <w:rFonts w:ascii="Arial" w:eastAsia="Arial" w:hAnsi="Arial" w:cs="Arial"/>
                <w:b/>
                <w:bCs/>
                <w:color w:val="CF0A2C"/>
                <w:sz w:val="16"/>
                <w:szCs w:val="16"/>
              </w:rPr>
              <w:t>FINAL KFC TEAM FACTOR</w:t>
            </w:r>
          </w:p>
        </w:tc>
        <w:tc>
          <w:tcPr>
            <w:tcW w:w="240" w:type="dxa"/>
            <w:vAlign w:val="bottom"/>
          </w:tcPr>
          <w:p w:rsidR="00A621E3" w:rsidRDefault="00A621E3">
            <w:pPr>
              <w:rPr>
                <w:sz w:val="17"/>
                <w:szCs w:val="17"/>
              </w:rPr>
            </w:pPr>
          </w:p>
        </w:tc>
        <w:tc>
          <w:tcPr>
            <w:tcW w:w="1120" w:type="dxa"/>
            <w:tcBorders>
              <w:top w:val="single" w:sz="8" w:space="0" w:color="CF0A2C"/>
              <w:bottom w:val="single" w:sz="8" w:space="0" w:color="CF0A2C"/>
            </w:tcBorders>
            <w:vAlign w:val="bottom"/>
          </w:tcPr>
          <w:p w:rsidR="00A621E3" w:rsidRDefault="00A621E3">
            <w:pPr>
              <w:rPr>
                <w:sz w:val="17"/>
                <w:szCs w:val="17"/>
              </w:rPr>
            </w:pPr>
          </w:p>
        </w:tc>
        <w:tc>
          <w:tcPr>
            <w:tcW w:w="920" w:type="dxa"/>
            <w:tcBorders>
              <w:top w:val="single" w:sz="8" w:space="0" w:color="CF0A2C"/>
              <w:bottom w:val="single" w:sz="8" w:space="0" w:color="CF0A2C"/>
            </w:tcBorders>
            <w:vAlign w:val="bottom"/>
          </w:tcPr>
          <w:p w:rsidR="00A621E3" w:rsidRDefault="00A621E3">
            <w:pPr>
              <w:rPr>
                <w:sz w:val="17"/>
                <w:szCs w:val="17"/>
              </w:rPr>
            </w:pPr>
          </w:p>
        </w:tc>
        <w:tc>
          <w:tcPr>
            <w:tcW w:w="1200" w:type="dxa"/>
            <w:tcBorders>
              <w:top w:val="single" w:sz="8" w:space="0" w:color="CF0A2C"/>
              <w:bottom w:val="single" w:sz="8" w:space="0" w:color="CF0A2C"/>
            </w:tcBorders>
            <w:vAlign w:val="bottom"/>
          </w:tcPr>
          <w:p w:rsidR="00A621E3" w:rsidRDefault="00A621E3">
            <w:pPr>
              <w:rPr>
                <w:sz w:val="17"/>
                <w:szCs w:val="17"/>
              </w:rPr>
            </w:pPr>
          </w:p>
        </w:tc>
        <w:tc>
          <w:tcPr>
            <w:tcW w:w="960" w:type="dxa"/>
            <w:tcBorders>
              <w:top w:val="single" w:sz="8" w:space="0" w:color="CF0A2C"/>
              <w:bottom w:val="single" w:sz="8" w:space="0" w:color="CF0A2C"/>
            </w:tcBorders>
            <w:vAlign w:val="bottom"/>
          </w:tcPr>
          <w:p w:rsidR="00A621E3" w:rsidRDefault="00A621E3">
            <w:pPr>
              <w:rPr>
                <w:sz w:val="17"/>
                <w:szCs w:val="17"/>
              </w:rPr>
            </w:pPr>
          </w:p>
        </w:tc>
        <w:tc>
          <w:tcPr>
            <w:tcW w:w="1380" w:type="dxa"/>
            <w:tcBorders>
              <w:top w:val="single" w:sz="8" w:space="0" w:color="CF0A2C"/>
              <w:bottom w:val="single" w:sz="8" w:space="0" w:color="CF0A2C"/>
            </w:tcBorders>
            <w:vAlign w:val="bottom"/>
          </w:tcPr>
          <w:p w:rsidR="00A621E3" w:rsidRDefault="00A621E3">
            <w:pPr>
              <w:rPr>
                <w:sz w:val="17"/>
                <w:szCs w:val="17"/>
              </w:rPr>
            </w:pPr>
          </w:p>
        </w:tc>
        <w:tc>
          <w:tcPr>
            <w:tcW w:w="1320" w:type="dxa"/>
            <w:tcBorders>
              <w:top w:val="single" w:sz="8" w:space="0" w:color="CF0A2C"/>
              <w:bottom w:val="single" w:sz="8" w:space="0" w:color="CF0A2C"/>
            </w:tcBorders>
            <w:vAlign w:val="bottom"/>
          </w:tcPr>
          <w:p w:rsidR="00A621E3" w:rsidRDefault="00A621E3">
            <w:pPr>
              <w:rPr>
                <w:sz w:val="17"/>
                <w:szCs w:val="17"/>
              </w:rPr>
            </w:pPr>
          </w:p>
        </w:tc>
        <w:tc>
          <w:tcPr>
            <w:tcW w:w="1180" w:type="dxa"/>
            <w:tcBorders>
              <w:top w:val="single" w:sz="8" w:space="0" w:color="CF0A2C"/>
              <w:bottom w:val="single" w:sz="8" w:space="0" w:color="CF0A2C"/>
            </w:tcBorders>
            <w:vAlign w:val="bottom"/>
          </w:tcPr>
          <w:p w:rsidR="00A621E3" w:rsidRDefault="00EC630E">
            <w:pPr>
              <w:jc w:val="right"/>
              <w:rPr>
                <w:sz w:val="20"/>
                <w:szCs w:val="20"/>
              </w:rPr>
            </w:pPr>
            <w:r>
              <w:rPr>
                <w:rFonts w:ascii="Arial" w:eastAsia="Arial" w:hAnsi="Arial" w:cs="Arial"/>
                <w:color w:val="CF0A2C"/>
                <w:sz w:val="14"/>
                <w:szCs w:val="14"/>
              </w:rPr>
              <w:t>143%</w:t>
            </w:r>
          </w:p>
        </w:tc>
        <w:tc>
          <w:tcPr>
            <w:tcW w:w="60" w:type="dxa"/>
            <w:vAlign w:val="bottom"/>
          </w:tcPr>
          <w:p w:rsidR="00A621E3" w:rsidRDefault="00A621E3">
            <w:pPr>
              <w:rPr>
                <w:sz w:val="17"/>
                <w:szCs w:val="17"/>
              </w:rPr>
            </w:pPr>
          </w:p>
        </w:tc>
        <w:tc>
          <w:tcPr>
            <w:tcW w:w="0" w:type="dxa"/>
            <w:vAlign w:val="bottom"/>
          </w:tcPr>
          <w:p w:rsidR="00A621E3" w:rsidRDefault="00A621E3">
            <w:pPr>
              <w:rPr>
                <w:sz w:val="1"/>
                <w:szCs w:val="1"/>
              </w:rPr>
            </w:pPr>
          </w:p>
        </w:tc>
      </w:tr>
      <w:tr w:rsidR="00A621E3">
        <w:trPr>
          <w:trHeight w:val="20"/>
        </w:trPr>
        <w:tc>
          <w:tcPr>
            <w:tcW w:w="2640" w:type="dxa"/>
            <w:vAlign w:val="bottom"/>
          </w:tcPr>
          <w:p w:rsidR="00A621E3" w:rsidRDefault="00A621E3">
            <w:pPr>
              <w:spacing w:line="20" w:lineRule="exact"/>
              <w:rPr>
                <w:sz w:val="1"/>
                <w:szCs w:val="1"/>
              </w:rPr>
            </w:pPr>
          </w:p>
        </w:tc>
        <w:tc>
          <w:tcPr>
            <w:tcW w:w="240" w:type="dxa"/>
            <w:vAlign w:val="bottom"/>
          </w:tcPr>
          <w:p w:rsidR="00A621E3" w:rsidRDefault="00A621E3">
            <w:pPr>
              <w:spacing w:line="20" w:lineRule="exact"/>
              <w:rPr>
                <w:sz w:val="1"/>
                <w:szCs w:val="1"/>
              </w:rPr>
            </w:pPr>
          </w:p>
        </w:tc>
        <w:tc>
          <w:tcPr>
            <w:tcW w:w="1120" w:type="dxa"/>
            <w:tcBorders>
              <w:bottom w:val="single" w:sz="8" w:space="0" w:color="CF0A2C"/>
            </w:tcBorders>
            <w:vAlign w:val="bottom"/>
          </w:tcPr>
          <w:p w:rsidR="00A621E3" w:rsidRDefault="00A621E3">
            <w:pPr>
              <w:spacing w:line="20" w:lineRule="exact"/>
              <w:rPr>
                <w:sz w:val="1"/>
                <w:szCs w:val="1"/>
              </w:rPr>
            </w:pPr>
          </w:p>
        </w:tc>
        <w:tc>
          <w:tcPr>
            <w:tcW w:w="920" w:type="dxa"/>
            <w:tcBorders>
              <w:bottom w:val="single" w:sz="8" w:space="0" w:color="CF0A2C"/>
            </w:tcBorders>
            <w:vAlign w:val="bottom"/>
          </w:tcPr>
          <w:p w:rsidR="00A621E3" w:rsidRDefault="00A621E3">
            <w:pPr>
              <w:spacing w:line="20" w:lineRule="exact"/>
              <w:rPr>
                <w:sz w:val="1"/>
                <w:szCs w:val="1"/>
              </w:rPr>
            </w:pPr>
          </w:p>
        </w:tc>
        <w:tc>
          <w:tcPr>
            <w:tcW w:w="1200" w:type="dxa"/>
            <w:tcBorders>
              <w:bottom w:val="single" w:sz="8" w:space="0" w:color="CF0A2C"/>
            </w:tcBorders>
            <w:vAlign w:val="bottom"/>
          </w:tcPr>
          <w:p w:rsidR="00A621E3" w:rsidRDefault="00A621E3">
            <w:pPr>
              <w:spacing w:line="20" w:lineRule="exact"/>
              <w:rPr>
                <w:sz w:val="1"/>
                <w:szCs w:val="1"/>
              </w:rPr>
            </w:pPr>
          </w:p>
        </w:tc>
        <w:tc>
          <w:tcPr>
            <w:tcW w:w="960" w:type="dxa"/>
            <w:tcBorders>
              <w:bottom w:val="single" w:sz="8" w:space="0" w:color="CF0A2C"/>
            </w:tcBorders>
            <w:vAlign w:val="bottom"/>
          </w:tcPr>
          <w:p w:rsidR="00A621E3" w:rsidRDefault="00A621E3">
            <w:pPr>
              <w:spacing w:line="20" w:lineRule="exact"/>
              <w:rPr>
                <w:sz w:val="1"/>
                <w:szCs w:val="1"/>
              </w:rPr>
            </w:pPr>
          </w:p>
        </w:tc>
        <w:tc>
          <w:tcPr>
            <w:tcW w:w="1380" w:type="dxa"/>
            <w:tcBorders>
              <w:bottom w:val="single" w:sz="8" w:space="0" w:color="CF0A2C"/>
            </w:tcBorders>
            <w:vAlign w:val="bottom"/>
          </w:tcPr>
          <w:p w:rsidR="00A621E3" w:rsidRDefault="00A621E3">
            <w:pPr>
              <w:spacing w:line="20" w:lineRule="exact"/>
              <w:rPr>
                <w:sz w:val="1"/>
                <w:szCs w:val="1"/>
              </w:rPr>
            </w:pPr>
          </w:p>
        </w:tc>
        <w:tc>
          <w:tcPr>
            <w:tcW w:w="1320" w:type="dxa"/>
            <w:tcBorders>
              <w:bottom w:val="single" w:sz="8" w:space="0" w:color="CF0A2C"/>
            </w:tcBorders>
            <w:vAlign w:val="bottom"/>
          </w:tcPr>
          <w:p w:rsidR="00A621E3" w:rsidRDefault="00A621E3">
            <w:pPr>
              <w:spacing w:line="20" w:lineRule="exact"/>
              <w:rPr>
                <w:sz w:val="1"/>
                <w:szCs w:val="1"/>
              </w:rPr>
            </w:pPr>
          </w:p>
        </w:tc>
        <w:tc>
          <w:tcPr>
            <w:tcW w:w="1180" w:type="dxa"/>
            <w:tcBorders>
              <w:bottom w:val="single" w:sz="8" w:space="0" w:color="CF0A2C"/>
            </w:tcBorders>
            <w:vAlign w:val="bottom"/>
          </w:tcPr>
          <w:p w:rsidR="00A621E3" w:rsidRDefault="00A621E3">
            <w:pPr>
              <w:spacing w:line="20" w:lineRule="exact"/>
              <w:rPr>
                <w:sz w:val="1"/>
                <w:szCs w:val="1"/>
              </w:rPr>
            </w:pPr>
          </w:p>
        </w:tc>
        <w:tc>
          <w:tcPr>
            <w:tcW w:w="60" w:type="dxa"/>
            <w:vAlign w:val="bottom"/>
          </w:tcPr>
          <w:p w:rsidR="00A621E3" w:rsidRDefault="00A621E3">
            <w:pPr>
              <w:spacing w:line="20" w:lineRule="exact"/>
              <w:rPr>
                <w:sz w:val="1"/>
                <w:szCs w:val="1"/>
              </w:rPr>
            </w:pPr>
          </w:p>
        </w:tc>
        <w:tc>
          <w:tcPr>
            <w:tcW w:w="0" w:type="dxa"/>
            <w:vAlign w:val="bottom"/>
          </w:tcPr>
          <w:p w:rsidR="00A621E3" w:rsidRDefault="00A621E3">
            <w:pPr>
              <w:spacing w:line="20" w:lineRule="exact"/>
              <w:rPr>
                <w:sz w:val="1"/>
                <w:szCs w:val="1"/>
              </w:rPr>
            </w:pPr>
          </w:p>
        </w:tc>
      </w:tr>
    </w:tbl>
    <w:p w:rsidR="00A621E3" w:rsidRDefault="00A621E3">
      <w:pPr>
        <w:spacing w:line="240" w:lineRule="exact"/>
        <w:rPr>
          <w:sz w:val="20"/>
          <w:szCs w:val="20"/>
        </w:rPr>
      </w:pPr>
    </w:p>
    <w:p w:rsidR="00A621E3" w:rsidRDefault="00EC630E">
      <w:pPr>
        <w:numPr>
          <w:ilvl w:val="0"/>
          <w:numId w:val="74"/>
        </w:numPr>
        <w:tabs>
          <w:tab w:val="left" w:pos="760"/>
        </w:tabs>
        <w:spacing w:line="246" w:lineRule="auto"/>
        <w:ind w:left="760" w:hanging="644"/>
        <w:jc w:val="both"/>
        <w:rPr>
          <w:rFonts w:ascii="Arial" w:eastAsia="Arial" w:hAnsi="Arial" w:cs="Arial"/>
          <w:color w:val="CF0A2C"/>
          <w:sz w:val="20"/>
          <w:szCs w:val="20"/>
        </w:rPr>
      </w:pPr>
      <w:r>
        <w:rPr>
          <w:rFonts w:ascii="Arial" w:eastAsia="Arial" w:hAnsi="Arial" w:cs="Arial"/>
          <w:sz w:val="20"/>
          <w:szCs w:val="20"/>
        </w:rPr>
        <w:t xml:space="preserve">The original </w:t>
      </w:r>
      <w:r>
        <w:rPr>
          <w:rFonts w:ascii="Arial" w:eastAsia="Arial" w:hAnsi="Arial" w:cs="Arial"/>
          <w:sz w:val="20"/>
          <w:szCs w:val="20"/>
        </w:rPr>
        <w:t>weighting established at the beginning of 2022 and prior to the July 2022 adjustments by the Compensation Committee was Adjusted Operating Profit Growth – 40%, Same Store Sales Growth – 15%, Delivery Sales Growth – 15%, System Net New Builds – 20%, and Mem</w:t>
      </w:r>
      <w:r>
        <w:rPr>
          <w:rFonts w:ascii="Arial" w:eastAsia="Arial" w:hAnsi="Arial" w:cs="Arial"/>
          <w:sz w:val="20"/>
          <w:szCs w:val="20"/>
        </w:rPr>
        <w:t>ber Activity – 10%, based on which the team factor results of the Company and KFC would have been 36% and 62%, respectively.</w:t>
      </w:r>
    </w:p>
    <w:p w:rsidR="00A621E3" w:rsidRDefault="00A621E3">
      <w:pPr>
        <w:spacing w:line="218" w:lineRule="exact"/>
        <w:rPr>
          <w:sz w:val="20"/>
          <w:szCs w:val="20"/>
        </w:rPr>
      </w:pPr>
    </w:p>
    <w:p w:rsidR="00A621E3" w:rsidRDefault="00EC630E">
      <w:pPr>
        <w:numPr>
          <w:ilvl w:val="0"/>
          <w:numId w:val="75"/>
        </w:numPr>
        <w:tabs>
          <w:tab w:val="left" w:pos="760"/>
        </w:tabs>
        <w:spacing w:line="250" w:lineRule="auto"/>
        <w:ind w:left="760" w:right="20" w:hanging="644"/>
        <w:jc w:val="both"/>
        <w:rPr>
          <w:rFonts w:ascii="Arial" w:eastAsia="Arial" w:hAnsi="Arial" w:cs="Arial"/>
          <w:color w:val="CF0A2C"/>
          <w:sz w:val="20"/>
          <w:szCs w:val="20"/>
        </w:rPr>
      </w:pPr>
      <w:r>
        <w:rPr>
          <w:rFonts w:ascii="Arial" w:eastAsia="Arial" w:hAnsi="Arial" w:cs="Arial"/>
          <w:sz w:val="20"/>
          <w:szCs w:val="20"/>
        </w:rPr>
        <w:t>Adjusted Operating Profit Growth as a team performance factor is the adjusted operating profit growth, excluding the effects of fo</w:t>
      </w:r>
      <w:r>
        <w:rPr>
          <w:rFonts w:ascii="Arial" w:eastAsia="Arial" w:hAnsi="Arial" w:cs="Arial"/>
          <w:sz w:val="20"/>
          <w:szCs w:val="20"/>
        </w:rPr>
        <w:t>reign currency translations (either positive or negative) because we believe that changes in the foreign exchange rate can cause operating profit growth to appear more or less favorable than business results indicate.</w:t>
      </w:r>
    </w:p>
    <w:p w:rsidR="00A621E3" w:rsidRDefault="00A621E3">
      <w:pPr>
        <w:spacing w:line="212" w:lineRule="exact"/>
        <w:rPr>
          <w:rFonts w:ascii="Arial" w:eastAsia="Arial" w:hAnsi="Arial" w:cs="Arial"/>
          <w:color w:val="CF0A2C"/>
          <w:sz w:val="20"/>
          <w:szCs w:val="20"/>
        </w:rPr>
      </w:pPr>
    </w:p>
    <w:p w:rsidR="00A621E3" w:rsidRDefault="00EC630E">
      <w:pPr>
        <w:numPr>
          <w:ilvl w:val="0"/>
          <w:numId w:val="75"/>
        </w:numPr>
        <w:tabs>
          <w:tab w:val="left" w:pos="760"/>
        </w:tabs>
        <w:spacing w:line="250" w:lineRule="auto"/>
        <w:ind w:left="760" w:right="20" w:hanging="644"/>
        <w:jc w:val="both"/>
        <w:rPr>
          <w:rFonts w:ascii="Arial" w:eastAsia="Arial" w:hAnsi="Arial" w:cs="Arial"/>
          <w:color w:val="CF0A2C"/>
          <w:sz w:val="20"/>
          <w:szCs w:val="20"/>
        </w:rPr>
      </w:pPr>
      <w:r>
        <w:rPr>
          <w:rFonts w:ascii="Arial" w:eastAsia="Arial" w:hAnsi="Arial" w:cs="Arial"/>
          <w:sz w:val="20"/>
          <w:szCs w:val="20"/>
        </w:rPr>
        <w:t>Member Activity as a Company team per</w:t>
      </w:r>
      <w:r>
        <w:rPr>
          <w:rFonts w:ascii="Arial" w:eastAsia="Arial" w:hAnsi="Arial" w:cs="Arial"/>
          <w:sz w:val="20"/>
          <w:szCs w:val="20"/>
        </w:rPr>
        <w:t>formance factor is defined as the weighted average results of KFC and Pizza Hut active member spending indices. The active member spending index of each of KFC and Pizza Hut measures the year-over-year growth rate of member sales, excluding foreign currenc</w:t>
      </w:r>
      <w:r>
        <w:rPr>
          <w:rFonts w:ascii="Arial" w:eastAsia="Arial" w:hAnsi="Arial" w:cs="Arial"/>
          <w:sz w:val="20"/>
          <w:szCs w:val="20"/>
        </w:rPr>
        <w:t>y translation.</w:t>
      </w:r>
    </w:p>
    <w:p w:rsidR="00A621E3" w:rsidRDefault="00A621E3">
      <w:pPr>
        <w:spacing w:line="212" w:lineRule="exact"/>
        <w:rPr>
          <w:rFonts w:ascii="Arial" w:eastAsia="Arial" w:hAnsi="Arial" w:cs="Arial"/>
          <w:color w:val="CF0A2C"/>
          <w:sz w:val="20"/>
          <w:szCs w:val="20"/>
        </w:rPr>
      </w:pPr>
    </w:p>
    <w:p w:rsidR="00A621E3" w:rsidRDefault="00EC630E">
      <w:pPr>
        <w:numPr>
          <w:ilvl w:val="0"/>
          <w:numId w:val="75"/>
        </w:numPr>
        <w:tabs>
          <w:tab w:val="left" w:pos="760"/>
        </w:tabs>
        <w:spacing w:line="250" w:lineRule="auto"/>
        <w:ind w:left="760" w:right="20" w:hanging="644"/>
        <w:jc w:val="both"/>
        <w:rPr>
          <w:rFonts w:ascii="Arial" w:eastAsia="Arial" w:hAnsi="Arial" w:cs="Arial"/>
          <w:color w:val="CF0A2C"/>
          <w:sz w:val="20"/>
          <w:szCs w:val="20"/>
        </w:rPr>
      </w:pPr>
      <w:r>
        <w:rPr>
          <w:rFonts w:ascii="Arial" w:eastAsia="Arial" w:hAnsi="Arial" w:cs="Arial"/>
          <w:sz w:val="20"/>
          <w:szCs w:val="20"/>
        </w:rPr>
        <w:t>Commodity Cost Growth measures the year-over-year change in purchase costs of the key commodities purchased by the Company, excluding foreign currency translation, with a lower or negative growth rate resulting in higher achievement against</w:t>
      </w:r>
      <w:r>
        <w:rPr>
          <w:rFonts w:ascii="Arial" w:eastAsia="Arial" w:hAnsi="Arial" w:cs="Arial"/>
          <w:sz w:val="20"/>
          <w:szCs w:val="20"/>
        </w:rPr>
        <w:t xml:space="preserve"> target.</w:t>
      </w:r>
    </w:p>
    <w:p w:rsidR="00A621E3" w:rsidRDefault="00A621E3">
      <w:pPr>
        <w:spacing w:line="212" w:lineRule="exact"/>
        <w:rPr>
          <w:rFonts w:ascii="Arial" w:eastAsia="Arial" w:hAnsi="Arial" w:cs="Arial"/>
          <w:color w:val="CF0A2C"/>
          <w:sz w:val="20"/>
          <w:szCs w:val="20"/>
        </w:rPr>
      </w:pPr>
    </w:p>
    <w:p w:rsidR="00A621E3" w:rsidRDefault="00EC630E">
      <w:pPr>
        <w:numPr>
          <w:ilvl w:val="0"/>
          <w:numId w:val="75"/>
        </w:numPr>
        <w:tabs>
          <w:tab w:val="left" w:pos="760"/>
        </w:tabs>
        <w:spacing w:line="291" w:lineRule="auto"/>
        <w:ind w:left="760" w:hanging="644"/>
        <w:jc w:val="both"/>
        <w:rPr>
          <w:rFonts w:ascii="Arial" w:eastAsia="Arial" w:hAnsi="Arial" w:cs="Arial"/>
          <w:color w:val="CF0A2C"/>
          <w:sz w:val="18"/>
          <w:szCs w:val="18"/>
        </w:rPr>
      </w:pPr>
      <w:r>
        <w:rPr>
          <w:rFonts w:ascii="Arial" w:eastAsia="Arial" w:hAnsi="Arial" w:cs="Arial"/>
          <w:sz w:val="18"/>
          <w:szCs w:val="18"/>
        </w:rPr>
        <w:t xml:space="preserve">Labor Cost Growth measures the year-over-year change in labor costs, excluding foreign currency translation, for crews and restaurant management teams of the Company at the store level, with the impact from temporary store closures normalized in </w:t>
      </w:r>
      <w:r>
        <w:rPr>
          <w:rFonts w:ascii="Arial" w:eastAsia="Arial" w:hAnsi="Arial" w:cs="Arial"/>
          <w:sz w:val="18"/>
          <w:szCs w:val="18"/>
        </w:rPr>
        <w:t>the calculation by excluding such periods. A lower or negative growth rate will result in higher achievement against target.</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92" w:lineRule="exact"/>
        <w:rPr>
          <w:sz w:val="20"/>
          <w:szCs w:val="20"/>
        </w:rPr>
      </w:pPr>
    </w:p>
    <w:p w:rsidR="00A621E3" w:rsidRDefault="00EC630E">
      <w:pPr>
        <w:numPr>
          <w:ilvl w:val="0"/>
          <w:numId w:val="76"/>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913216"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64" w:name="page64"/>
      <w:bookmarkEnd w:id="64"/>
      <w:r>
        <w:rPr>
          <w:rFonts w:ascii="Arial" w:eastAsia="Arial" w:hAnsi="Arial" w:cs="Arial"/>
          <w:b/>
          <w:bCs/>
          <w:noProof/>
          <w:color w:val="0000EE"/>
          <w:sz w:val="18"/>
          <w:szCs w:val="18"/>
          <w:u w:val="single"/>
        </w:rPr>
        <w:drawing>
          <wp:anchor distT="0" distB="0" distL="114300" distR="114300" simplePos="0" relativeHeight="25191424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15264"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680"/>
        <w:rPr>
          <w:sz w:val="20"/>
          <w:szCs w:val="20"/>
        </w:rPr>
      </w:pPr>
      <w:r>
        <w:rPr>
          <w:rFonts w:ascii="Arial" w:eastAsia="Arial" w:hAnsi="Arial" w:cs="Arial"/>
          <w:b/>
          <w:bCs/>
          <w:color w:val="FFFFFF"/>
          <w:sz w:val="16"/>
          <w:szCs w:val="16"/>
        </w:rPr>
        <w:t>EXECUTIVE COMPENSATION</w:t>
      </w:r>
    </w:p>
    <w:p w:rsidR="00A621E3" w:rsidRDefault="00A621E3">
      <w:pPr>
        <w:spacing w:line="209" w:lineRule="exact"/>
        <w:rPr>
          <w:sz w:val="20"/>
          <w:szCs w:val="20"/>
        </w:rPr>
      </w:pPr>
    </w:p>
    <w:p w:rsidR="00A621E3" w:rsidRDefault="00EC630E">
      <w:pPr>
        <w:numPr>
          <w:ilvl w:val="0"/>
          <w:numId w:val="77"/>
        </w:numPr>
        <w:tabs>
          <w:tab w:val="left" w:pos="760"/>
        </w:tabs>
        <w:spacing w:line="260" w:lineRule="auto"/>
        <w:ind w:left="760" w:right="20" w:hanging="644"/>
        <w:rPr>
          <w:rFonts w:ascii="Arial" w:eastAsia="Arial" w:hAnsi="Arial" w:cs="Arial"/>
          <w:color w:val="CF0A2C"/>
          <w:sz w:val="20"/>
          <w:szCs w:val="20"/>
        </w:rPr>
      </w:pPr>
      <w:r>
        <w:rPr>
          <w:rFonts w:ascii="Arial" w:eastAsia="Arial" w:hAnsi="Arial" w:cs="Arial"/>
          <w:sz w:val="20"/>
          <w:szCs w:val="20"/>
        </w:rPr>
        <w:t>Relative Revenue Growth represents the excess of the Company’s 2022 year-over-year growth rate in total revenues, excluding foreign currency translation, over that of the China restaurant industry.</w:t>
      </w:r>
    </w:p>
    <w:p w:rsidR="00A621E3" w:rsidRDefault="00A621E3">
      <w:pPr>
        <w:spacing w:line="203" w:lineRule="exact"/>
        <w:rPr>
          <w:rFonts w:ascii="Arial" w:eastAsia="Arial" w:hAnsi="Arial" w:cs="Arial"/>
          <w:color w:val="CF0A2C"/>
          <w:sz w:val="20"/>
          <w:szCs w:val="20"/>
        </w:rPr>
      </w:pPr>
    </w:p>
    <w:p w:rsidR="00A621E3" w:rsidRDefault="00EC630E">
      <w:pPr>
        <w:numPr>
          <w:ilvl w:val="0"/>
          <w:numId w:val="77"/>
        </w:numPr>
        <w:tabs>
          <w:tab w:val="left" w:pos="760"/>
        </w:tabs>
        <w:spacing w:line="282" w:lineRule="auto"/>
        <w:ind w:left="760" w:right="20" w:hanging="644"/>
        <w:jc w:val="both"/>
        <w:rPr>
          <w:rFonts w:ascii="Arial" w:eastAsia="Arial" w:hAnsi="Arial" w:cs="Arial"/>
          <w:color w:val="CF0A2C"/>
          <w:sz w:val="18"/>
          <w:szCs w:val="18"/>
        </w:rPr>
      </w:pPr>
      <w:r>
        <w:rPr>
          <w:rFonts w:ascii="Arial" w:eastAsia="Arial" w:hAnsi="Arial" w:cs="Arial"/>
          <w:sz w:val="18"/>
          <w:szCs w:val="18"/>
        </w:rPr>
        <w:t>The rTSR is measured as the Company’s achievement of tota</w:t>
      </w:r>
      <w:r>
        <w:rPr>
          <w:rFonts w:ascii="Arial" w:eastAsia="Arial" w:hAnsi="Arial" w:cs="Arial"/>
          <w:sz w:val="18"/>
          <w:szCs w:val="18"/>
        </w:rPr>
        <w:t>l shareholder return compared against the constituents of the MSCI China Index. TSR percentile rank was calculated based on the 20 trading day average closing prices up to and including January 1, 2022 and the 20 day average closing prices up to and includ</w:t>
      </w:r>
      <w:r>
        <w:rPr>
          <w:rFonts w:ascii="Arial" w:eastAsia="Arial" w:hAnsi="Arial" w:cs="Arial"/>
          <w:sz w:val="18"/>
          <w:szCs w:val="18"/>
        </w:rPr>
        <w:t>ing December 31, 2022 and assumes reinvestment of dividends. The payout for the rTSR measure would be capped at target if the Company’s TSR performance is negative.</w:t>
      </w:r>
    </w:p>
    <w:p w:rsidR="00A621E3" w:rsidRDefault="00A621E3">
      <w:pPr>
        <w:spacing w:line="188" w:lineRule="exact"/>
        <w:rPr>
          <w:rFonts w:ascii="Arial" w:eastAsia="Arial" w:hAnsi="Arial" w:cs="Arial"/>
          <w:color w:val="CF0A2C"/>
          <w:sz w:val="18"/>
          <w:szCs w:val="18"/>
        </w:rPr>
      </w:pPr>
    </w:p>
    <w:p w:rsidR="00A621E3" w:rsidRDefault="00EC630E">
      <w:pPr>
        <w:numPr>
          <w:ilvl w:val="0"/>
          <w:numId w:val="77"/>
        </w:numPr>
        <w:tabs>
          <w:tab w:val="left" w:pos="760"/>
        </w:tabs>
        <w:spacing w:line="250" w:lineRule="auto"/>
        <w:ind w:left="760" w:right="20" w:hanging="644"/>
        <w:jc w:val="both"/>
        <w:rPr>
          <w:rFonts w:ascii="Arial" w:eastAsia="Arial" w:hAnsi="Arial" w:cs="Arial"/>
          <w:color w:val="CF0A2C"/>
          <w:sz w:val="20"/>
          <w:szCs w:val="20"/>
        </w:rPr>
      </w:pPr>
      <w:r>
        <w:rPr>
          <w:rFonts w:ascii="Arial" w:eastAsia="Arial" w:hAnsi="Arial" w:cs="Arial"/>
          <w:sz w:val="20"/>
          <w:szCs w:val="20"/>
        </w:rPr>
        <w:t xml:space="preserve">The KFC Team Factor was determined based on a combination of Company (YUMC) and KFC goals </w:t>
      </w:r>
      <w:r>
        <w:rPr>
          <w:rFonts w:ascii="Arial" w:eastAsia="Arial" w:hAnsi="Arial" w:cs="Arial"/>
          <w:sz w:val="20"/>
          <w:szCs w:val="20"/>
        </w:rPr>
        <w:t>as noted in the table above. The Compensation Committee believed that this combination of goals incentivized specific KFC goals but also aligned KFC participants with the broader efforts of the Company as a whole.</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321" w:lineRule="exact"/>
        <w:rPr>
          <w:sz w:val="20"/>
          <w:szCs w:val="20"/>
        </w:rPr>
      </w:pPr>
    </w:p>
    <w:p w:rsidR="00A621E3" w:rsidRDefault="00EC630E">
      <w:pPr>
        <w:spacing w:line="321" w:lineRule="auto"/>
        <w:ind w:left="120"/>
        <w:jc w:val="both"/>
        <w:rPr>
          <w:sz w:val="20"/>
          <w:szCs w:val="20"/>
        </w:rPr>
      </w:pPr>
      <w:r>
        <w:rPr>
          <w:rFonts w:ascii="Arial" w:eastAsia="Arial" w:hAnsi="Arial" w:cs="Arial"/>
          <w:sz w:val="16"/>
          <w:szCs w:val="16"/>
        </w:rPr>
        <w:t>As noted above, a Com</w:t>
      </w:r>
      <w:r>
        <w:rPr>
          <w:rFonts w:ascii="Arial" w:eastAsia="Arial" w:hAnsi="Arial" w:cs="Arial"/>
          <w:sz w:val="16"/>
          <w:szCs w:val="16"/>
        </w:rPr>
        <w:t>pany team factor of 135% and a KFC team factor of 143% were achieved based on the performance metrics and weighting. The Compensation Committee applied discretion to reduce the results and approved a final team factor of 120% for Company performance and 12</w:t>
      </w:r>
      <w:r>
        <w:rPr>
          <w:rFonts w:ascii="Arial" w:eastAsia="Arial" w:hAnsi="Arial" w:cs="Arial"/>
          <w:sz w:val="16"/>
          <w:szCs w:val="16"/>
        </w:rPr>
        <w:t>5% for KFC performance.</w:t>
      </w:r>
    </w:p>
    <w:p w:rsidR="00A621E3" w:rsidRDefault="00A621E3">
      <w:pPr>
        <w:spacing w:line="174" w:lineRule="exact"/>
        <w:rPr>
          <w:sz w:val="20"/>
          <w:szCs w:val="20"/>
        </w:rPr>
      </w:pPr>
    </w:p>
    <w:p w:rsidR="00A621E3" w:rsidRDefault="00EC630E">
      <w:pPr>
        <w:ind w:left="120"/>
        <w:rPr>
          <w:sz w:val="20"/>
          <w:szCs w:val="20"/>
        </w:rPr>
      </w:pPr>
      <w:r>
        <w:rPr>
          <w:rFonts w:ascii="Arial" w:eastAsia="Arial" w:hAnsi="Arial" w:cs="Arial"/>
          <w:i/>
          <w:iCs/>
          <w:color w:val="CF0A2C"/>
          <w:sz w:val="20"/>
          <w:szCs w:val="20"/>
        </w:rPr>
        <w:t>Individual Performance Factors</w:t>
      </w:r>
    </w:p>
    <w:p w:rsidR="00A621E3" w:rsidRDefault="00A621E3">
      <w:pPr>
        <w:spacing w:line="256" w:lineRule="exact"/>
        <w:rPr>
          <w:sz w:val="20"/>
          <w:szCs w:val="20"/>
        </w:rPr>
      </w:pPr>
    </w:p>
    <w:p w:rsidR="00A621E3" w:rsidRDefault="00EC630E">
      <w:pPr>
        <w:spacing w:line="254" w:lineRule="auto"/>
        <w:ind w:left="120"/>
        <w:jc w:val="both"/>
        <w:rPr>
          <w:sz w:val="20"/>
          <w:szCs w:val="20"/>
        </w:rPr>
      </w:pPr>
      <w:r>
        <w:rPr>
          <w:rFonts w:ascii="Arial" w:eastAsia="Arial" w:hAnsi="Arial" w:cs="Arial"/>
          <w:sz w:val="19"/>
          <w:szCs w:val="19"/>
        </w:rPr>
        <w:t>In February 2022, the Compensation Committee approved the performance goals that would be used to determine the Individual Performance Factor for the CEO and provided input on the performance goals r</w:t>
      </w:r>
      <w:r>
        <w:rPr>
          <w:rFonts w:ascii="Arial" w:eastAsia="Arial" w:hAnsi="Arial" w:cs="Arial"/>
          <w:sz w:val="19"/>
          <w:szCs w:val="19"/>
        </w:rPr>
        <w:t>ecommended by the CEO for the other NEOs, which would subsequently be used by the CEO to recommend to the Compensation Committee as the Individual Performance Factor for each NEO. As part of the Company’s annual performance evaluation process, the CEO, aft</w:t>
      </w:r>
      <w:r>
        <w:rPr>
          <w:rFonts w:ascii="Arial" w:eastAsia="Arial" w:hAnsi="Arial" w:cs="Arial"/>
          <w:sz w:val="19"/>
          <w:szCs w:val="19"/>
        </w:rPr>
        <w:t xml:space="preserve">er having received input from the Compensation Committee and after consultation with each NEO, establishes that NEO’s performance objectives for the coming year, which are ultimately approved by the Compensation Committee. These performance objectives are </w:t>
      </w:r>
      <w:r>
        <w:rPr>
          <w:rFonts w:ascii="Arial" w:eastAsia="Arial" w:hAnsi="Arial" w:cs="Arial"/>
          <w:sz w:val="19"/>
          <w:szCs w:val="19"/>
        </w:rPr>
        <w:t>not intended to be rigid or formulaic, but rather to serve as the framework upon which the CEO evaluates the NEO’s overall performance.</w:t>
      </w:r>
    </w:p>
    <w:p w:rsidR="00A621E3" w:rsidRDefault="00A621E3">
      <w:pPr>
        <w:spacing w:line="217"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 xml:space="preserve">These annual performance goals generally fell within the performance categories of mitigating the impact of the </w:t>
      </w:r>
      <w:r>
        <w:rPr>
          <w:rFonts w:ascii="Arial" w:eastAsia="Arial" w:hAnsi="Arial" w:cs="Arial"/>
          <w:sz w:val="20"/>
          <w:szCs w:val="20"/>
        </w:rPr>
        <w:t>COVID-19 pandemic, increasing stockholder returns, accelerating the growth of our brands, driving new business initiatives, effectively managing costs, and achieving ESG and other strategic objectives. Under each performance goal category, each NEO has a n</w:t>
      </w:r>
      <w:r>
        <w:rPr>
          <w:rFonts w:ascii="Arial" w:eastAsia="Arial" w:hAnsi="Arial" w:cs="Arial"/>
          <w:sz w:val="20"/>
          <w:szCs w:val="20"/>
        </w:rPr>
        <w:t>umber of under-</w:t>
      </w:r>
    </w:p>
    <w:p w:rsidR="00A621E3" w:rsidRDefault="00EC630E">
      <w:pPr>
        <w:spacing w:line="20" w:lineRule="exact"/>
        <w:rPr>
          <w:sz w:val="20"/>
          <w:szCs w:val="20"/>
        </w:rPr>
      </w:pPr>
      <w:r>
        <w:rPr>
          <w:sz w:val="20"/>
          <w:szCs w:val="20"/>
        </w:rPr>
        <w:br w:type="column"/>
      </w:r>
    </w:p>
    <w:p w:rsidR="00A621E3" w:rsidRDefault="00A621E3">
      <w:pPr>
        <w:spacing w:line="301" w:lineRule="exact"/>
        <w:rPr>
          <w:sz w:val="20"/>
          <w:szCs w:val="20"/>
        </w:rPr>
      </w:pPr>
    </w:p>
    <w:p w:rsidR="00A621E3" w:rsidRDefault="00EC630E">
      <w:pPr>
        <w:spacing w:line="271" w:lineRule="auto"/>
        <w:jc w:val="both"/>
        <w:rPr>
          <w:sz w:val="20"/>
          <w:szCs w:val="20"/>
        </w:rPr>
      </w:pPr>
      <w:r>
        <w:rPr>
          <w:rFonts w:ascii="Arial" w:eastAsia="Arial" w:hAnsi="Arial" w:cs="Arial"/>
          <w:sz w:val="18"/>
          <w:szCs w:val="18"/>
        </w:rPr>
        <w:t>lying pre-established goals against which the NEO’s performance is assessed to determine whether the NEO has achieved the overall performance goal. The evaluation of an executive’s performance relative to these goals is inherently subjec</w:t>
      </w:r>
      <w:r>
        <w:rPr>
          <w:rFonts w:ascii="Arial" w:eastAsia="Arial" w:hAnsi="Arial" w:cs="Arial"/>
          <w:sz w:val="18"/>
          <w:szCs w:val="18"/>
        </w:rPr>
        <w:t xml:space="preserve">tive, involving a high degree of judgment based on the CEO’s observations of, and interactions with, the executive throughout the year. As an additional input to the evaluation of an executive’s performance, the CEO assesses the overall performance of the </w:t>
      </w:r>
      <w:r>
        <w:rPr>
          <w:rFonts w:ascii="Arial" w:eastAsia="Arial" w:hAnsi="Arial" w:cs="Arial"/>
          <w:sz w:val="18"/>
          <w:szCs w:val="18"/>
        </w:rPr>
        <w:t>Company in light of the dynamics of the China market. As a result, no single performance goal or group of goals is determinative for the CEO’s evaluation of the executive’s performance.</w:t>
      </w:r>
    </w:p>
    <w:p w:rsidR="00A621E3" w:rsidRDefault="00A621E3">
      <w:pPr>
        <w:spacing w:line="210" w:lineRule="exact"/>
        <w:rPr>
          <w:sz w:val="20"/>
          <w:szCs w:val="20"/>
        </w:rPr>
      </w:pPr>
    </w:p>
    <w:p w:rsidR="00A621E3" w:rsidRDefault="00EC630E">
      <w:pPr>
        <w:spacing w:line="257" w:lineRule="auto"/>
        <w:ind w:right="20"/>
        <w:jc w:val="both"/>
        <w:rPr>
          <w:sz w:val="20"/>
          <w:szCs w:val="20"/>
        </w:rPr>
      </w:pPr>
      <w:r>
        <w:rPr>
          <w:rFonts w:ascii="Arial" w:eastAsia="Arial" w:hAnsi="Arial" w:cs="Arial"/>
          <w:sz w:val="19"/>
          <w:szCs w:val="19"/>
        </w:rPr>
        <w:t xml:space="preserve">The above evaluation provides the basis for the CEO’s recommendation </w:t>
      </w:r>
      <w:r>
        <w:rPr>
          <w:rFonts w:ascii="Arial" w:eastAsia="Arial" w:hAnsi="Arial" w:cs="Arial"/>
          <w:sz w:val="19"/>
          <w:szCs w:val="19"/>
        </w:rPr>
        <w:t>to the Compensation Committee for the executive’s Individual Performance Factor. The Compensation Committee then meets with the CEO and discusses the CEO’s recommendations, and meets separately in executive session and makes a determination of the Individu</w:t>
      </w:r>
      <w:r>
        <w:rPr>
          <w:rFonts w:ascii="Arial" w:eastAsia="Arial" w:hAnsi="Arial" w:cs="Arial"/>
          <w:sz w:val="19"/>
          <w:szCs w:val="19"/>
        </w:rPr>
        <w:t>al Performance Factor for the NEOs, excluding the CEO.</w:t>
      </w:r>
    </w:p>
    <w:p w:rsidR="00A621E3" w:rsidRDefault="00A621E3">
      <w:pPr>
        <w:spacing w:line="225" w:lineRule="exact"/>
        <w:rPr>
          <w:sz w:val="20"/>
          <w:szCs w:val="20"/>
        </w:rPr>
      </w:pPr>
    </w:p>
    <w:p w:rsidR="00A621E3" w:rsidRDefault="00EC630E">
      <w:pPr>
        <w:spacing w:line="256" w:lineRule="auto"/>
        <w:ind w:right="20"/>
        <w:jc w:val="both"/>
        <w:rPr>
          <w:sz w:val="20"/>
          <w:szCs w:val="20"/>
        </w:rPr>
      </w:pPr>
      <w:r>
        <w:rPr>
          <w:rFonts w:ascii="Arial" w:eastAsia="Arial" w:hAnsi="Arial" w:cs="Arial"/>
          <w:sz w:val="19"/>
          <w:szCs w:val="19"/>
        </w:rPr>
        <w:t>The Compensation Committee applies similar factors in determining the Individual Performance Factor for the CEO. The Compensation Committee meets in executive session to discuss the CEO’s individual p</w:t>
      </w:r>
      <w:r>
        <w:rPr>
          <w:rFonts w:ascii="Arial" w:eastAsia="Arial" w:hAnsi="Arial" w:cs="Arial"/>
          <w:sz w:val="19"/>
          <w:szCs w:val="19"/>
        </w:rPr>
        <w:t xml:space="preserve">erformance and then consults with the Chairman of the Board for their collective determination of the CEO’s Individual Performance Factor. The evaluation of the CEO’s overall performance relative to these factors is also inherently subjective, involving a </w:t>
      </w:r>
      <w:r>
        <w:rPr>
          <w:rFonts w:ascii="Arial" w:eastAsia="Arial" w:hAnsi="Arial" w:cs="Arial"/>
          <w:sz w:val="19"/>
          <w:szCs w:val="19"/>
        </w:rPr>
        <w:t>high degree of judgment. The Compensation Committee and the other independent</w:t>
      </w:r>
    </w:p>
    <w:p w:rsidR="00A621E3" w:rsidRDefault="00A621E3">
      <w:pPr>
        <w:spacing w:line="663"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77"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59</w:t>
      </w:r>
    </w:p>
    <w:p w:rsidR="00A621E3" w:rsidRDefault="00EC630E">
      <w:pPr>
        <w:spacing w:line="20" w:lineRule="exact"/>
        <w:rPr>
          <w:sz w:val="20"/>
          <w:szCs w:val="20"/>
        </w:rPr>
      </w:pPr>
      <w:r>
        <w:rPr>
          <w:noProof/>
          <w:sz w:val="20"/>
          <w:szCs w:val="20"/>
        </w:rPr>
        <w:drawing>
          <wp:anchor distT="0" distB="0" distL="114300" distR="114300" simplePos="0" relativeHeight="251916288"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65" w:name="page65"/>
      <w:bookmarkEnd w:id="65"/>
      <w:r>
        <w:rPr>
          <w:rFonts w:ascii="Arial" w:eastAsia="Arial" w:hAnsi="Arial" w:cs="Arial"/>
          <w:b/>
          <w:bCs/>
          <w:noProof/>
          <w:color w:val="0000EE"/>
          <w:sz w:val="18"/>
          <w:szCs w:val="18"/>
          <w:u w:val="single"/>
        </w:rPr>
        <w:drawing>
          <wp:anchor distT="0" distB="0" distL="114300" distR="114300" simplePos="0" relativeHeight="25191731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18336"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63" w:lineRule="exact"/>
        <w:rPr>
          <w:sz w:val="20"/>
          <w:szCs w:val="20"/>
        </w:rPr>
      </w:pPr>
    </w:p>
    <w:p w:rsidR="00A621E3" w:rsidRDefault="00EC630E">
      <w:pPr>
        <w:spacing w:line="328" w:lineRule="auto"/>
        <w:ind w:left="120"/>
        <w:jc w:val="both"/>
        <w:rPr>
          <w:sz w:val="20"/>
          <w:szCs w:val="20"/>
        </w:rPr>
      </w:pPr>
      <w:r>
        <w:rPr>
          <w:rFonts w:ascii="Arial" w:eastAsia="Arial" w:hAnsi="Arial" w:cs="Arial"/>
          <w:sz w:val="16"/>
          <w:szCs w:val="16"/>
        </w:rPr>
        <w:t xml:space="preserve">directors assess the </w:t>
      </w:r>
      <w:r>
        <w:rPr>
          <w:rFonts w:ascii="Arial" w:eastAsia="Arial" w:hAnsi="Arial" w:cs="Arial"/>
          <w:sz w:val="16"/>
          <w:szCs w:val="16"/>
        </w:rPr>
        <w:t>overall performance of the Company in light of the dynamics of the China market in which the Company operates. As a result, no single performance goal or group of goals is determinative for the evaluation of the CEO’s performance.</w:t>
      </w:r>
    </w:p>
    <w:p w:rsidR="00A621E3" w:rsidRDefault="00A621E3">
      <w:pPr>
        <w:spacing w:line="169" w:lineRule="exact"/>
        <w:rPr>
          <w:sz w:val="20"/>
          <w:szCs w:val="20"/>
        </w:rPr>
      </w:pPr>
    </w:p>
    <w:p w:rsidR="00A621E3" w:rsidRDefault="00EC630E">
      <w:pPr>
        <w:spacing w:line="244" w:lineRule="auto"/>
        <w:ind w:left="120"/>
        <w:jc w:val="both"/>
        <w:rPr>
          <w:sz w:val="20"/>
          <w:szCs w:val="20"/>
        </w:rPr>
      </w:pPr>
      <w:r>
        <w:rPr>
          <w:rFonts w:ascii="Arial" w:eastAsia="Arial" w:hAnsi="Arial" w:cs="Arial"/>
          <w:sz w:val="20"/>
          <w:szCs w:val="20"/>
        </w:rPr>
        <w:t xml:space="preserve">The use of Individual </w:t>
      </w:r>
      <w:r>
        <w:rPr>
          <w:rFonts w:ascii="Arial" w:eastAsia="Arial" w:hAnsi="Arial" w:cs="Arial"/>
          <w:sz w:val="20"/>
          <w:szCs w:val="20"/>
        </w:rPr>
        <w:t>Performance Factors provides the Company with a degree of flexibility to recognize performance and reward contributions to strategic business initiatives and the building of organizational capabilities supportive of the creation of long-term value.</w:t>
      </w:r>
    </w:p>
    <w:p w:rsidR="00A621E3" w:rsidRDefault="00A621E3">
      <w:pPr>
        <w:spacing w:line="235" w:lineRule="exact"/>
        <w:rPr>
          <w:sz w:val="20"/>
          <w:szCs w:val="20"/>
        </w:rPr>
      </w:pPr>
    </w:p>
    <w:p w:rsidR="00A621E3" w:rsidRDefault="00EC630E">
      <w:pPr>
        <w:spacing w:line="263" w:lineRule="auto"/>
        <w:ind w:left="120"/>
        <w:jc w:val="both"/>
        <w:rPr>
          <w:sz w:val="20"/>
          <w:szCs w:val="20"/>
        </w:rPr>
      </w:pPr>
      <w:r>
        <w:rPr>
          <w:rFonts w:ascii="Arial" w:eastAsia="Arial" w:hAnsi="Arial" w:cs="Arial"/>
          <w:sz w:val="19"/>
          <w:szCs w:val="19"/>
        </w:rPr>
        <w:t xml:space="preserve">Based </w:t>
      </w:r>
      <w:r>
        <w:rPr>
          <w:rFonts w:ascii="Arial" w:eastAsia="Arial" w:hAnsi="Arial" w:cs="Arial"/>
          <w:sz w:val="19"/>
          <w:szCs w:val="19"/>
        </w:rPr>
        <w:t>on the foregoing, the Compensation Committee assigned 2022 Individual Performance Factors for the NEOs ranging from 80% to 140%, as described below under “2022 NEO Compensation and Performance Summary.”</w:t>
      </w:r>
    </w:p>
    <w:p w:rsidR="00A621E3" w:rsidRDefault="00A621E3">
      <w:pPr>
        <w:spacing w:line="197" w:lineRule="exact"/>
        <w:rPr>
          <w:sz w:val="20"/>
          <w:szCs w:val="20"/>
        </w:rPr>
      </w:pPr>
    </w:p>
    <w:p w:rsidR="00A621E3" w:rsidRDefault="00EC630E">
      <w:pPr>
        <w:ind w:left="120"/>
        <w:rPr>
          <w:sz w:val="20"/>
          <w:szCs w:val="20"/>
        </w:rPr>
      </w:pPr>
      <w:r>
        <w:rPr>
          <w:rFonts w:ascii="Arial" w:eastAsia="Arial" w:hAnsi="Arial" w:cs="Arial"/>
          <w:b/>
          <w:bCs/>
          <w:color w:val="CF0A2C"/>
          <w:sz w:val="20"/>
          <w:szCs w:val="20"/>
        </w:rPr>
        <w:t>Long-Term Equity Incentives</w:t>
      </w:r>
    </w:p>
    <w:p w:rsidR="00A621E3" w:rsidRDefault="00A621E3">
      <w:pPr>
        <w:spacing w:line="262" w:lineRule="exact"/>
        <w:rPr>
          <w:sz w:val="20"/>
          <w:szCs w:val="20"/>
        </w:rPr>
      </w:pPr>
    </w:p>
    <w:p w:rsidR="00A621E3" w:rsidRDefault="00EC630E">
      <w:pPr>
        <w:spacing w:line="244" w:lineRule="auto"/>
        <w:ind w:left="120"/>
        <w:jc w:val="both"/>
        <w:rPr>
          <w:sz w:val="20"/>
          <w:szCs w:val="20"/>
        </w:rPr>
      </w:pPr>
      <w:r>
        <w:rPr>
          <w:rFonts w:ascii="Arial" w:eastAsia="Arial" w:hAnsi="Arial" w:cs="Arial"/>
          <w:sz w:val="20"/>
          <w:szCs w:val="20"/>
        </w:rPr>
        <w:t>The Company provides lo</w:t>
      </w:r>
      <w:r>
        <w:rPr>
          <w:rFonts w:ascii="Arial" w:eastAsia="Arial" w:hAnsi="Arial" w:cs="Arial"/>
          <w:sz w:val="20"/>
          <w:szCs w:val="20"/>
        </w:rPr>
        <w:t>ng-term equity compensation to its executives to encourage decision-making that creates long-term sustainable stockholder value. In determining the size of the annual equity awards, the Compensation Committee considers the following:</w:t>
      </w:r>
    </w:p>
    <w:p w:rsidR="00A621E3" w:rsidRDefault="00A621E3">
      <w:pPr>
        <w:spacing w:line="275" w:lineRule="exact"/>
        <w:rPr>
          <w:sz w:val="20"/>
          <w:szCs w:val="20"/>
        </w:rPr>
      </w:pPr>
    </w:p>
    <w:p w:rsidR="00A621E3" w:rsidRDefault="00EC630E">
      <w:pPr>
        <w:numPr>
          <w:ilvl w:val="0"/>
          <w:numId w:val="78"/>
        </w:numPr>
        <w:tabs>
          <w:tab w:val="left" w:pos="360"/>
        </w:tabs>
        <w:ind w:left="360" w:hanging="190"/>
        <w:rPr>
          <w:rFonts w:ascii="Arial" w:eastAsia="Arial" w:hAnsi="Arial" w:cs="Arial"/>
          <w:color w:val="CF0A2C"/>
          <w:sz w:val="20"/>
          <w:szCs w:val="20"/>
        </w:rPr>
      </w:pPr>
      <w:r>
        <w:rPr>
          <w:rFonts w:ascii="Arial" w:eastAsia="Arial" w:hAnsi="Arial" w:cs="Arial"/>
          <w:sz w:val="20"/>
          <w:szCs w:val="20"/>
        </w:rPr>
        <w:t>Prior year individual</w:t>
      </w:r>
      <w:r>
        <w:rPr>
          <w:rFonts w:ascii="Arial" w:eastAsia="Arial" w:hAnsi="Arial" w:cs="Arial"/>
          <w:sz w:val="20"/>
          <w:szCs w:val="20"/>
        </w:rPr>
        <w:t xml:space="preserve"> and team performance;</w:t>
      </w:r>
    </w:p>
    <w:p w:rsidR="00A621E3" w:rsidRDefault="00A621E3">
      <w:pPr>
        <w:spacing w:line="296" w:lineRule="exact"/>
        <w:rPr>
          <w:rFonts w:ascii="Arial" w:eastAsia="Arial" w:hAnsi="Arial" w:cs="Arial"/>
          <w:color w:val="CF0A2C"/>
          <w:sz w:val="20"/>
          <w:szCs w:val="20"/>
        </w:rPr>
      </w:pPr>
    </w:p>
    <w:p w:rsidR="00A621E3" w:rsidRDefault="00EC630E">
      <w:pPr>
        <w:numPr>
          <w:ilvl w:val="0"/>
          <w:numId w:val="78"/>
        </w:numPr>
        <w:tabs>
          <w:tab w:val="left" w:pos="360"/>
        </w:tabs>
        <w:ind w:left="360" w:hanging="190"/>
        <w:rPr>
          <w:rFonts w:ascii="Arial" w:eastAsia="Arial" w:hAnsi="Arial" w:cs="Arial"/>
          <w:color w:val="CF0A2C"/>
          <w:sz w:val="20"/>
          <w:szCs w:val="20"/>
        </w:rPr>
      </w:pPr>
      <w:r>
        <w:rPr>
          <w:rFonts w:ascii="Arial" w:eastAsia="Arial" w:hAnsi="Arial" w:cs="Arial"/>
          <w:sz w:val="20"/>
          <w:szCs w:val="20"/>
        </w:rPr>
        <w:t>Expected contributions in future years;</w:t>
      </w:r>
    </w:p>
    <w:p w:rsidR="00A621E3" w:rsidRDefault="00A621E3">
      <w:pPr>
        <w:spacing w:line="296" w:lineRule="exact"/>
        <w:rPr>
          <w:rFonts w:ascii="Arial" w:eastAsia="Arial" w:hAnsi="Arial" w:cs="Arial"/>
          <w:color w:val="CF0A2C"/>
          <w:sz w:val="20"/>
          <w:szCs w:val="20"/>
        </w:rPr>
      </w:pPr>
    </w:p>
    <w:p w:rsidR="00A621E3" w:rsidRDefault="00EC630E">
      <w:pPr>
        <w:numPr>
          <w:ilvl w:val="0"/>
          <w:numId w:val="78"/>
        </w:numPr>
        <w:tabs>
          <w:tab w:val="left" w:pos="360"/>
        </w:tabs>
        <w:spacing w:line="250" w:lineRule="auto"/>
        <w:ind w:left="360" w:right="20" w:hanging="190"/>
        <w:jc w:val="both"/>
        <w:rPr>
          <w:rFonts w:ascii="Arial" w:eastAsia="Arial" w:hAnsi="Arial" w:cs="Arial"/>
          <w:color w:val="CF0A2C"/>
          <w:sz w:val="20"/>
          <w:szCs w:val="20"/>
        </w:rPr>
      </w:pPr>
      <w:r>
        <w:rPr>
          <w:rFonts w:ascii="Arial" w:eastAsia="Arial" w:hAnsi="Arial" w:cs="Arial"/>
          <w:sz w:val="20"/>
          <w:szCs w:val="20"/>
        </w:rPr>
        <w:t>The market value of the executive’s role compared with similar roles in the Company’s peer group or based on compensation survey data; and</w:t>
      </w:r>
    </w:p>
    <w:p w:rsidR="00A621E3" w:rsidRDefault="00A621E3">
      <w:pPr>
        <w:spacing w:line="266" w:lineRule="exact"/>
        <w:rPr>
          <w:rFonts w:ascii="Arial" w:eastAsia="Arial" w:hAnsi="Arial" w:cs="Arial"/>
          <w:color w:val="CF0A2C"/>
          <w:sz w:val="20"/>
          <w:szCs w:val="20"/>
        </w:rPr>
      </w:pPr>
    </w:p>
    <w:p w:rsidR="00A621E3" w:rsidRDefault="00EC630E">
      <w:pPr>
        <w:numPr>
          <w:ilvl w:val="0"/>
          <w:numId w:val="78"/>
        </w:numPr>
        <w:tabs>
          <w:tab w:val="left" w:pos="360"/>
        </w:tabs>
        <w:ind w:left="360" w:hanging="190"/>
        <w:rPr>
          <w:rFonts w:ascii="Arial" w:eastAsia="Arial" w:hAnsi="Arial" w:cs="Arial"/>
          <w:color w:val="CF0A2C"/>
          <w:sz w:val="19"/>
          <w:szCs w:val="19"/>
        </w:rPr>
      </w:pPr>
      <w:r>
        <w:rPr>
          <w:rFonts w:ascii="Arial" w:eastAsia="Arial" w:hAnsi="Arial" w:cs="Arial"/>
          <w:sz w:val="19"/>
          <w:szCs w:val="19"/>
        </w:rPr>
        <w:t>Achievement of the Company’s stock ownership guidel</w:t>
      </w:r>
      <w:r>
        <w:rPr>
          <w:rFonts w:ascii="Arial" w:eastAsia="Arial" w:hAnsi="Arial" w:cs="Arial"/>
          <w:sz w:val="19"/>
          <w:szCs w:val="19"/>
        </w:rPr>
        <w:t>ines.</w:t>
      </w:r>
    </w:p>
    <w:p w:rsidR="00A621E3" w:rsidRDefault="00EC630E">
      <w:pPr>
        <w:spacing w:line="20" w:lineRule="exact"/>
        <w:rPr>
          <w:sz w:val="20"/>
          <w:szCs w:val="20"/>
        </w:rPr>
      </w:pPr>
      <w:r>
        <w:rPr>
          <w:sz w:val="20"/>
          <w:szCs w:val="20"/>
        </w:rPr>
        <w:br w:type="column"/>
      </w:r>
    </w:p>
    <w:p w:rsidR="00A621E3" w:rsidRDefault="00A621E3">
      <w:pPr>
        <w:spacing w:line="243" w:lineRule="exact"/>
        <w:rPr>
          <w:sz w:val="20"/>
          <w:szCs w:val="20"/>
        </w:rPr>
      </w:pPr>
    </w:p>
    <w:p w:rsidR="00A621E3" w:rsidRDefault="00EC630E">
      <w:pPr>
        <w:spacing w:line="270" w:lineRule="auto"/>
        <w:jc w:val="both"/>
        <w:rPr>
          <w:sz w:val="20"/>
          <w:szCs w:val="20"/>
        </w:rPr>
      </w:pPr>
      <w:r>
        <w:rPr>
          <w:rFonts w:ascii="Arial" w:eastAsia="Arial" w:hAnsi="Arial" w:cs="Arial"/>
          <w:sz w:val="18"/>
          <w:szCs w:val="18"/>
        </w:rPr>
        <w:t xml:space="preserve">For 2022, the Compensation Committee granted annual equity awards in the form of SARs, PSUs and RSUs, weighted 50%, 30% and 20%, respectively. Eighty percent of the 2022 annual equity grant is considered by the Compensation Committee to be </w:t>
      </w:r>
      <w:r>
        <w:rPr>
          <w:rFonts w:ascii="Arial" w:eastAsia="Arial" w:hAnsi="Arial" w:cs="Arial"/>
          <w:sz w:val="18"/>
          <w:szCs w:val="18"/>
        </w:rPr>
        <w:t>performance-based as the PSUs will vest based only on the Company’s achievement of performance goals relating to rTSR, and the SARs will realize value only to the extent the Company’s stock price increases from the date of grant. The SARs and RSUs vest ann</w:t>
      </w:r>
      <w:r>
        <w:rPr>
          <w:rFonts w:ascii="Arial" w:eastAsia="Arial" w:hAnsi="Arial" w:cs="Arial"/>
          <w:sz w:val="18"/>
          <w:szCs w:val="18"/>
        </w:rPr>
        <w:t>ually in equal installments of 25%, beginning on the first anniversary of the grant date and generally subject to continued employment through the applicable vesting date. The exercise price of each SAR grant is based on the closing market price of the und</w:t>
      </w:r>
      <w:r>
        <w:rPr>
          <w:rFonts w:ascii="Arial" w:eastAsia="Arial" w:hAnsi="Arial" w:cs="Arial"/>
          <w:sz w:val="18"/>
          <w:szCs w:val="18"/>
        </w:rPr>
        <w:t>erlying Company stock on the date of grant.</w:t>
      </w:r>
    </w:p>
    <w:p w:rsidR="00A621E3" w:rsidRDefault="00A621E3">
      <w:pPr>
        <w:spacing w:line="213" w:lineRule="exact"/>
        <w:rPr>
          <w:sz w:val="20"/>
          <w:szCs w:val="20"/>
        </w:rPr>
      </w:pPr>
    </w:p>
    <w:p w:rsidR="00A621E3" w:rsidRDefault="00EC630E">
      <w:pPr>
        <w:spacing w:line="269" w:lineRule="auto"/>
        <w:jc w:val="both"/>
        <w:rPr>
          <w:sz w:val="20"/>
          <w:szCs w:val="20"/>
        </w:rPr>
      </w:pPr>
      <w:r>
        <w:rPr>
          <w:rFonts w:ascii="Arial" w:eastAsia="Arial" w:hAnsi="Arial" w:cs="Arial"/>
          <w:sz w:val="18"/>
          <w:szCs w:val="18"/>
        </w:rPr>
        <w:t xml:space="preserve">The 2022 Annual PSU Awards are designed to incentivize each NEO’s performance over the performance period from January 1, 2022 to December 31, 2024 and to further align their interests with the interests of our </w:t>
      </w:r>
      <w:r>
        <w:rPr>
          <w:rFonts w:ascii="Arial" w:eastAsia="Arial" w:hAnsi="Arial" w:cs="Arial"/>
          <w:sz w:val="18"/>
          <w:szCs w:val="18"/>
        </w:rPr>
        <w:t>stockholders through the use of an rTSR performance goal. The rTSR performance goal for the three-year performance period is measured as achievement compared against the constituents of the MSCI China Index. This index was selected as the companies include</w:t>
      </w:r>
      <w:r>
        <w:rPr>
          <w:rFonts w:ascii="Arial" w:eastAsia="Arial" w:hAnsi="Arial" w:cs="Arial"/>
          <w:sz w:val="18"/>
          <w:szCs w:val="18"/>
        </w:rPr>
        <w:t>d are generally impacted by the same market conditions as the Company. TSR is based on the average closing price over the 20 trading days up to and including the start and end of the performance period. Vesting of the PSUs will be capped at target if the C</w:t>
      </w:r>
      <w:r>
        <w:rPr>
          <w:rFonts w:ascii="Arial" w:eastAsia="Arial" w:hAnsi="Arial" w:cs="Arial"/>
          <w:sz w:val="18"/>
          <w:szCs w:val="18"/>
        </w:rPr>
        <w:t>ompany’s TSR performance is negative over the performance period regardless of how well the Company performs as compared to the index. The following table sets forth the TSR vesting schedule for the 2022 Annual PSU Awards.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62" w:lineRule="exact"/>
        <w:rPr>
          <w:sz w:val="20"/>
          <w:szCs w:val="20"/>
        </w:rPr>
      </w:pPr>
    </w:p>
    <w:p w:rsidR="00A621E3" w:rsidRDefault="00EC630E">
      <w:pPr>
        <w:tabs>
          <w:tab w:val="left" w:pos="3120"/>
          <w:tab w:val="left" w:pos="4420"/>
        </w:tabs>
        <w:ind w:left="1540"/>
        <w:rPr>
          <w:sz w:val="20"/>
          <w:szCs w:val="20"/>
        </w:rPr>
      </w:pPr>
      <w:r>
        <w:rPr>
          <w:rFonts w:ascii="Arial" w:eastAsia="Arial" w:hAnsi="Arial" w:cs="Arial"/>
          <w:b/>
          <w:bCs/>
          <w:color w:val="CF0A2C"/>
          <w:sz w:val="16"/>
          <w:szCs w:val="16"/>
        </w:rPr>
        <w:t>Threshold</w:t>
      </w:r>
      <w:r>
        <w:rPr>
          <w:sz w:val="20"/>
          <w:szCs w:val="20"/>
        </w:rPr>
        <w:tab/>
      </w:r>
      <w:r>
        <w:rPr>
          <w:rFonts w:ascii="Arial" w:eastAsia="Arial" w:hAnsi="Arial" w:cs="Arial"/>
          <w:b/>
          <w:bCs/>
          <w:color w:val="CF0A2C"/>
          <w:sz w:val="16"/>
          <w:szCs w:val="16"/>
        </w:rPr>
        <w:t>Target</w:t>
      </w:r>
      <w:r>
        <w:rPr>
          <w:sz w:val="20"/>
          <w:szCs w:val="20"/>
        </w:rPr>
        <w:tab/>
      </w:r>
      <w:r>
        <w:rPr>
          <w:rFonts w:ascii="Arial" w:eastAsia="Arial" w:hAnsi="Arial" w:cs="Arial"/>
          <w:b/>
          <w:bCs/>
          <w:color w:val="CF0A2C"/>
          <w:sz w:val="16"/>
          <w:szCs w:val="16"/>
        </w:rPr>
        <w:t>Maximum</w:t>
      </w:r>
    </w:p>
    <w:p w:rsidR="00A621E3" w:rsidRDefault="00A621E3">
      <w:pPr>
        <w:spacing w:line="23"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tbl>
      <w:tblPr>
        <w:tblW w:w="0" w:type="auto"/>
        <w:tblInd w:w="120" w:type="dxa"/>
        <w:tblLayout w:type="fixed"/>
        <w:tblCellMar>
          <w:left w:w="0" w:type="dxa"/>
          <w:right w:w="0" w:type="dxa"/>
        </w:tblCellMar>
        <w:tblLook w:val="04A0" w:firstRow="1" w:lastRow="0" w:firstColumn="1" w:lastColumn="0" w:noHBand="0" w:noVBand="1"/>
      </w:tblPr>
      <w:tblGrid>
        <w:gridCol w:w="4100"/>
        <w:gridCol w:w="2860"/>
        <w:gridCol w:w="1580"/>
        <w:gridCol w:w="1420"/>
        <w:gridCol w:w="1060"/>
      </w:tblGrid>
      <w:tr w:rsidR="00A621E3">
        <w:trPr>
          <w:trHeight w:val="183"/>
        </w:trPr>
        <w:tc>
          <w:tcPr>
            <w:tcW w:w="4100" w:type="dxa"/>
            <w:tcBorders>
              <w:top w:val="single" w:sz="8" w:space="0" w:color="CF0A2C"/>
              <w:bottom w:val="single" w:sz="8" w:space="0" w:color="CF0A2C"/>
            </w:tcBorders>
            <w:vAlign w:val="bottom"/>
          </w:tcPr>
          <w:p w:rsidR="00A621E3" w:rsidRDefault="00EC630E">
            <w:pPr>
              <w:spacing w:line="183" w:lineRule="exact"/>
              <w:rPr>
                <w:sz w:val="20"/>
                <w:szCs w:val="20"/>
              </w:rPr>
            </w:pPr>
            <w:r>
              <w:rPr>
                <w:rFonts w:ascii="Arial" w:eastAsia="Arial" w:hAnsi="Arial" w:cs="Arial"/>
                <w:color w:val="CF0A2C"/>
                <w:sz w:val="16"/>
                <w:szCs w:val="16"/>
              </w:rPr>
              <w:t>TSR Percentile Rank Achieved</w:t>
            </w:r>
          </w:p>
        </w:tc>
        <w:tc>
          <w:tcPr>
            <w:tcW w:w="2860" w:type="dxa"/>
            <w:tcBorders>
              <w:top w:val="single" w:sz="8" w:space="0" w:color="CF0A2C"/>
              <w:bottom w:val="single" w:sz="8" w:space="0" w:color="CF0A2C"/>
            </w:tcBorders>
            <w:vAlign w:val="bottom"/>
          </w:tcPr>
          <w:p w:rsidR="00A621E3" w:rsidRDefault="00EC630E">
            <w:pPr>
              <w:spacing w:line="183" w:lineRule="exact"/>
              <w:ind w:right="739"/>
              <w:jc w:val="right"/>
              <w:rPr>
                <w:sz w:val="20"/>
                <w:szCs w:val="20"/>
              </w:rPr>
            </w:pPr>
            <w:r>
              <w:rPr>
                <w:rFonts w:ascii="Arial" w:eastAsia="Arial" w:hAnsi="Arial" w:cs="Arial"/>
                <w:sz w:val="16"/>
                <w:szCs w:val="16"/>
              </w:rPr>
              <w:t>&lt;25%</w:t>
            </w:r>
          </w:p>
        </w:tc>
        <w:tc>
          <w:tcPr>
            <w:tcW w:w="1580" w:type="dxa"/>
            <w:tcBorders>
              <w:top w:val="single" w:sz="8" w:space="0" w:color="CF0A2C"/>
              <w:bottom w:val="single" w:sz="8" w:space="0" w:color="CF0A2C"/>
            </w:tcBorders>
            <w:vAlign w:val="bottom"/>
          </w:tcPr>
          <w:p w:rsidR="00A621E3" w:rsidRDefault="00EC630E">
            <w:pPr>
              <w:spacing w:line="183" w:lineRule="exact"/>
              <w:ind w:right="359"/>
              <w:jc w:val="right"/>
              <w:rPr>
                <w:sz w:val="20"/>
                <w:szCs w:val="20"/>
              </w:rPr>
            </w:pPr>
            <w:r>
              <w:rPr>
                <w:rFonts w:ascii="Arial" w:eastAsia="Arial" w:hAnsi="Arial" w:cs="Arial"/>
                <w:sz w:val="16"/>
                <w:szCs w:val="16"/>
              </w:rPr>
              <w:t>25%</w:t>
            </w:r>
          </w:p>
        </w:tc>
        <w:tc>
          <w:tcPr>
            <w:tcW w:w="1420" w:type="dxa"/>
            <w:tcBorders>
              <w:top w:val="single" w:sz="8" w:space="0" w:color="CF0A2C"/>
              <w:bottom w:val="single" w:sz="8" w:space="0" w:color="CF0A2C"/>
            </w:tcBorders>
            <w:vAlign w:val="bottom"/>
          </w:tcPr>
          <w:p w:rsidR="00A621E3" w:rsidRDefault="00EC630E">
            <w:pPr>
              <w:spacing w:line="183" w:lineRule="exact"/>
              <w:ind w:right="499"/>
              <w:jc w:val="right"/>
              <w:rPr>
                <w:sz w:val="20"/>
                <w:szCs w:val="20"/>
              </w:rPr>
            </w:pPr>
            <w:r>
              <w:rPr>
                <w:rFonts w:ascii="Arial" w:eastAsia="Arial" w:hAnsi="Arial" w:cs="Arial"/>
                <w:sz w:val="16"/>
                <w:szCs w:val="16"/>
              </w:rPr>
              <w:t>55%</w:t>
            </w:r>
          </w:p>
        </w:tc>
        <w:tc>
          <w:tcPr>
            <w:tcW w:w="1060" w:type="dxa"/>
            <w:tcBorders>
              <w:top w:val="single" w:sz="8" w:space="0" w:color="CF0A2C"/>
              <w:bottom w:val="single" w:sz="8" w:space="0" w:color="CF0A2C"/>
            </w:tcBorders>
            <w:vAlign w:val="bottom"/>
          </w:tcPr>
          <w:p w:rsidR="00A621E3" w:rsidRDefault="00EC630E">
            <w:pPr>
              <w:spacing w:line="183" w:lineRule="exact"/>
              <w:jc w:val="right"/>
              <w:rPr>
                <w:sz w:val="20"/>
                <w:szCs w:val="20"/>
              </w:rPr>
            </w:pPr>
            <w:r>
              <w:rPr>
                <w:rFonts w:ascii="Arial" w:eastAsia="Arial" w:hAnsi="Arial" w:cs="Arial"/>
                <w:sz w:val="16"/>
                <w:szCs w:val="16"/>
              </w:rPr>
              <w:t>85%</w:t>
            </w:r>
          </w:p>
        </w:tc>
      </w:tr>
      <w:tr w:rsidR="00A621E3">
        <w:trPr>
          <w:trHeight w:val="183"/>
        </w:trPr>
        <w:tc>
          <w:tcPr>
            <w:tcW w:w="4100" w:type="dxa"/>
            <w:tcBorders>
              <w:bottom w:val="single" w:sz="8" w:space="0" w:color="CF0A2C"/>
            </w:tcBorders>
            <w:vAlign w:val="bottom"/>
          </w:tcPr>
          <w:p w:rsidR="00A621E3" w:rsidRDefault="00EC630E">
            <w:pPr>
              <w:spacing w:line="183" w:lineRule="exact"/>
              <w:rPr>
                <w:sz w:val="20"/>
                <w:szCs w:val="20"/>
              </w:rPr>
            </w:pPr>
            <w:r>
              <w:rPr>
                <w:rFonts w:ascii="Arial" w:eastAsia="Arial" w:hAnsi="Arial" w:cs="Arial"/>
                <w:color w:val="CF0A2C"/>
                <w:sz w:val="16"/>
                <w:szCs w:val="16"/>
              </w:rPr>
              <w:t>Proportion of Target Award Vesting</w:t>
            </w:r>
          </w:p>
        </w:tc>
        <w:tc>
          <w:tcPr>
            <w:tcW w:w="2860" w:type="dxa"/>
            <w:tcBorders>
              <w:bottom w:val="single" w:sz="8" w:space="0" w:color="CF0A2C"/>
            </w:tcBorders>
            <w:vAlign w:val="bottom"/>
          </w:tcPr>
          <w:p w:rsidR="00A621E3" w:rsidRDefault="00EC630E">
            <w:pPr>
              <w:spacing w:line="183" w:lineRule="exact"/>
              <w:ind w:right="739"/>
              <w:jc w:val="right"/>
              <w:rPr>
                <w:sz w:val="20"/>
                <w:szCs w:val="20"/>
              </w:rPr>
            </w:pPr>
            <w:r>
              <w:rPr>
                <w:rFonts w:ascii="Arial" w:eastAsia="Arial" w:hAnsi="Arial" w:cs="Arial"/>
                <w:sz w:val="16"/>
                <w:szCs w:val="16"/>
              </w:rPr>
              <w:t>0%</w:t>
            </w:r>
          </w:p>
        </w:tc>
        <w:tc>
          <w:tcPr>
            <w:tcW w:w="1580" w:type="dxa"/>
            <w:tcBorders>
              <w:bottom w:val="single" w:sz="8" w:space="0" w:color="CF0A2C"/>
            </w:tcBorders>
            <w:vAlign w:val="bottom"/>
          </w:tcPr>
          <w:p w:rsidR="00A621E3" w:rsidRDefault="00EC630E">
            <w:pPr>
              <w:spacing w:line="183" w:lineRule="exact"/>
              <w:ind w:right="359"/>
              <w:jc w:val="right"/>
              <w:rPr>
                <w:sz w:val="20"/>
                <w:szCs w:val="20"/>
              </w:rPr>
            </w:pPr>
            <w:r>
              <w:rPr>
                <w:rFonts w:ascii="Arial" w:eastAsia="Arial" w:hAnsi="Arial" w:cs="Arial"/>
                <w:sz w:val="16"/>
                <w:szCs w:val="16"/>
              </w:rPr>
              <w:t>40%</w:t>
            </w:r>
          </w:p>
        </w:tc>
        <w:tc>
          <w:tcPr>
            <w:tcW w:w="1420" w:type="dxa"/>
            <w:tcBorders>
              <w:bottom w:val="single" w:sz="8" w:space="0" w:color="CF0A2C"/>
            </w:tcBorders>
            <w:vAlign w:val="bottom"/>
          </w:tcPr>
          <w:p w:rsidR="00A621E3" w:rsidRDefault="00EC630E">
            <w:pPr>
              <w:spacing w:line="183" w:lineRule="exact"/>
              <w:ind w:right="499"/>
              <w:jc w:val="right"/>
              <w:rPr>
                <w:sz w:val="20"/>
                <w:szCs w:val="20"/>
              </w:rPr>
            </w:pPr>
            <w:r>
              <w:rPr>
                <w:rFonts w:ascii="Arial" w:eastAsia="Arial" w:hAnsi="Arial" w:cs="Arial"/>
                <w:sz w:val="16"/>
                <w:szCs w:val="16"/>
              </w:rPr>
              <w:t>100%</w:t>
            </w:r>
          </w:p>
        </w:tc>
        <w:tc>
          <w:tcPr>
            <w:tcW w:w="1060" w:type="dxa"/>
            <w:tcBorders>
              <w:bottom w:val="single" w:sz="8" w:space="0" w:color="CF0A2C"/>
            </w:tcBorders>
            <w:vAlign w:val="bottom"/>
          </w:tcPr>
          <w:p w:rsidR="00A621E3" w:rsidRDefault="00EC630E">
            <w:pPr>
              <w:spacing w:line="183" w:lineRule="exact"/>
              <w:jc w:val="right"/>
              <w:rPr>
                <w:sz w:val="20"/>
                <w:szCs w:val="20"/>
              </w:rPr>
            </w:pPr>
            <w:r>
              <w:rPr>
                <w:rFonts w:ascii="Arial" w:eastAsia="Arial" w:hAnsi="Arial" w:cs="Arial"/>
                <w:sz w:val="16"/>
                <w:szCs w:val="16"/>
              </w:rPr>
              <w:t>200%</w:t>
            </w:r>
          </w:p>
        </w:tc>
      </w:tr>
    </w:tbl>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6" w:lineRule="exact"/>
        <w:rPr>
          <w:sz w:val="20"/>
          <w:szCs w:val="20"/>
        </w:rPr>
      </w:pPr>
    </w:p>
    <w:p w:rsidR="00A621E3" w:rsidRDefault="00EC630E">
      <w:pPr>
        <w:ind w:left="120"/>
        <w:rPr>
          <w:sz w:val="20"/>
          <w:szCs w:val="20"/>
        </w:rPr>
      </w:pPr>
      <w:r>
        <w:rPr>
          <w:rFonts w:ascii="Arial" w:eastAsia="Arial" w:hAnsi="Arial" w:cs="Arial"/>
          <w:i/>
          <w:iCs/>
          <w:color w:val="CF0A2C"/>
          <w:sz w:val="20"/>
          <w:szCs w:val="20"/>
        </w:rPr>
        <w:t>2020 Annual PSUs</w:t>
      </w:r>
    </w:p>
    <w:p w:rsidR="00A621E3" w:rsidRDefault="00A621E3">
      <w:pPr>
        <w:spacing w:line="351" w:lineRule="exact"/>
        <w:rPr>
          <w:sz w:val="20"/>
          <w:szCs w:val="20"/>
        </w:rPr>
      </w:pPr>
    </w:p>
    <w:p w:rsidR="00A621E3" w:rsidRDefault="00EC630E">
      <w:pPr>
        <w:spacing w:line="246" w:lineRule="auto"/>
        <w:ind w:left="120"/>
        <w:jc w:val="both"/>
        <w:rPr>
          <w:sz w:val="20"/>
          <w:szCs w:val="20"/>
        </w:rPr>
      </w:pPr>
      <w:r>
        <w:rPr>
          <w:rFonts w:ascii="Arial" w:eastAsia="Arial" w:hAnsi="Arial" w:cs="Arial"/>
          <w:sz w:val="20"/>
          <w:szCs w:val="20"/>
        </w:rPr>
        <w:t xml:space="preserve">Beginning with the 2020 annual equity grants, the group of recipients of PSUs had </w:t>
      </w:r>
      <w:r>
        <w:rPr>
          <w:rFonts w:ascii="Arial" w:eastAsia="Arial" w:hAnsi="Arial" w:cs="Arial"/>
          <w:sz w:val="20"/>
          <w:szCs w:val="20"/>
        </w:rPr>
        <w:t>been expanded to include all of the Company’s leadership team, including the NEOs. Under the 2020 Annual PSU program, PSUs would be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87" w:lineRule="exact"/>
        <w:rPr>
          <w:sz w:val="20"/>
          <w:szCs w:val="20"/>
        </w:rPr>
      </w:pPr>
    </w:p>
    <w:p w:rsidR="00A621E3" w:rsidRDefault="00EC630E">
      <w:pPr>
        <w:spacing w:line="246" w:lineRule="auto"/>
        <w:ind w:right="20"/>
        <w:jc w:val="both"/>
        <w:rPr>
          <w:sz w:val="20"/>
          <w:szCs w:val="20"/>
        </w:rPr>
      </w:pPr>
      <w:r>
        <w:rPr>
          <w:rFonts w:ascii="Arial" w:eastAsia="Arial" w:hAnsi="Arial" w:cs="Arial"/>
          <w:sz w:val="20"/>
          <w:szCs w:val="20"/>
        </w:rPr>
        <w:t>settled in shares of our common stock based on continued service and the achievement of the underlying performance goals</w:t>
      </w:r>
      <w:r>
        <w:rPr>
          <w:rFonts w:ascii="Arial" w:eastAsia="Arial" w:hAnsi="Arial" w:cs="Arial"/>
          <w:sz w:val="20"/>
          <w:szCs w:val="20"/>
        </w:rPr>
        <w:t xml:space="preserve"> during the three-year performance period. Unlike the 2019 PSUs where only a relative measure was</w:t>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80" w:lineRule="exact"/>
        <w:rPr>
          <w:sz w:val="20"/>
          <w:szCs w:val="20"/>
        </w:rPr>
      </w:pPr>
    </w:p>
    <w:p w:rsidR="00A621E3" w:rsidRDefault="00EC630E">
      <w:pPr>
        <w:numPr>
          <w:ilvl w:val="0"/>
          <w:numId w:val="79"/>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91936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66" w:name="page66"/>
      <w:bookmarkEnd w:id="66"/>
      <w:r>
        <w:rPr>
          <w:rFonts w:ascii="Arial" w:eastAsia="Arial" w:hAnsi="Arial" w:cs="Arial"/>
          <w:b/>
          <w:bCs/>
          <w:color w:val="0000EE"/>
          <w:sz w:val="18"/>
          <w:szCs w:val="18"/>
          <w:u w:val="single"/>
        </w:rPr>
        <w:t>Table of Contents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3" w:lineRule="exact"/>
        <w:rPr>
          <w:sz w:val="20"/>
          <w:szCs w:val="20"/>
        </w:rPr>
      </w:pPr>
    </w:p>
    <w:p w:rsidR="00A621E3" w:rsidRDefault="00EC630E">
      <w:pPr>
        <w:spacing w:line="269" w:lineRule="auto"/>
        <w:ind w:left="120"/>
        <w:jc w:val="both"/>
        <w:rPr>
          <w:sz w:val="20"/>
          <w:szCs w:val="20"/>
        </w:rPr>
      </w:pPr>
      <w:r>
        <w:rPr>
          <w:rFonts w:ascii="Arial" w:eastAsia="Arial" w:hAnsi="Arial" w:cs="Arial"/>
          <w:sz w:val="18"/>
          <w:szCs w:val="18"/>
        </w:rPr>
        <w:t xml:space="preserve">used, the performance metrics and goals for the </w:t>
      </w:r>
      <w:r>
        <w:rPr>
          <w:rFonts w:ascii="Arial" w:eastAsia="Arial" w:hAnsi="Arial" w:cs="Arial"/>
          <w:sz w:val="18"/>
          <w:szCs w:val="18"/>
        </w:rPr>
        <w:t>2020 Annual PSUs adopted two absolute growth targets, including adjusted total revenue growth (weighted 60%) and adjusted diluted EPS growth (weighted 40%). A relative measure, the Company’s rTSR compared to the MSCI China Index, was included only as a mod</w:t>
      </w:r>
      <w:r>
        <w:rPr>
          <w:rFonts w:ascii="Arial" w:eastAsia="Arial" w:hAnsi="Arial" w:cs="Arial"/>
          <w:sz w:val="18"/>
          <w:szCs w:val="18"/>
        </w:rPr>
        <w:t>ifier to increase or decrease the number of units to be earned by up to 20%. Based on performance, vesting could range from 0% to 240% of the target number of shares subject to the 2020 Annual PSUs. In 2021 and 2022, the Compensation Committee closely moni</w:t>
      </w:r>
      <w:r>
        <w:rPr>
          <w:rFonts w:ascii="Arial" w:eastAsia="Arial" w:hAnsi="Arial" w:cs="Arial"/>
          <w:sz w:val="18"/>
          <w:szCs w:val="18"/>
        </w:rPr>
        <w:t>tored the impact of the pandemic on the Company’s performance and considered different alternatives to fairly assess and reward management for their performance during the three-year performance period of the 2020 Annual PSUs. 2022 represented the final ye</w:t>
      </w:r>
      <w:r>
        <w:rPr>
          <w:rFonts w:ascii="Arial" w:eastAsia="Arial" w:hAnsi="Arial" w:cs="Arial"/>
          <w:sz w:val="18"/>
          <w:szCs w:val="18"/>
        </w:rPr>
        <w:t>ar of the 2020-2022 performance period for the 2020 Annual PSUs.</w:t>
      </w:r>
    </w:p>
    <w:p w:rsidR="00A621E3" w:rsidRDefault="00A621E3">
      <w:pPr>
        <w:spacing w:line="219" w:lineRule="exact"/>
        <w:rPr>
          <w:sz w:val="20"/>
          <w:szCs w:val="20"/>
        </w:rPr>
      </w:pPr>
    </w:p>
    <w:p w:rsidR="00A621E3" w:rsidRDefault="00EC630E">
      <w:pPr>
        <w:spacing w:line="271" w:lineRule="auto"/>
        <w:ind w:left="120"/>
        <w:jc w:val="both"/>
        <w:rPr>
          <w:sz w:val="20"/>
          <w:szCs w:val="20"/>
        </w:rPr>
      </w:pPr>
      <w:r>
        <w:rPr>
          <w:rFonts w:ascii="Arial" w:eastAsia="Arial" w:hAnsi="Arial" w:cs="Arial"/>
          <w:sz w:val="18"/>
          <w:szCs w:val="18"/>
        </w:rPr>
        <w:t>The absolute targets for the 2020 Annual PSUs were established in early 2020 at a time when the Company could not have anticipated or known the duration or impact of the COVID-19 pandemic on</w:t>
      </w:r>
      <w:r>
        <w:rPr>
          <w:rFonts w:ascii="Arial" w:eastAsia="Arial" w:hAnsi="Arial" w:cs="Arial"/>
          <w:sz w:val="18"/>
          <w:szCs w:val="18"/>
        </w:rPr>
        <w:t xml:space="preserve"> the market in which the Company operates. Due to the ongoing impact of COVID-19, the Company was operating in a volatile and unpredictable market during the duration of the performance period. Compared to 2019, the 2022 total revenue for the China restaur</w:t>
      </w:r>
      <w:r>
        <w:rPr>
          <w:rFonts w:ascii="Arial" w:eastAsia="Arial" w:hAnsi="Arial" w:cs="Arial"/>
          <w:sz w:val="18"/>
          <w:szCs w:val="18"/>
        </w:rPr>
        <w:t>ant industry declined by 6%, with a negative CAGR of 2% from 2019 to 2022. As a result, the original absolute growth goals set for the 2020 Annual PSUs became less effective in incentivizing management</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4" w:lineRule="exact"/>
        <w:rPr>
          <w:sz w:val="20"/>
          <w:szCs w:val="20"/>
        </w:rPr>
      </w:pPr>
    </w:p>
    <w:p w:rsidR="00A621E3" w:rsidRDefault="00EC630E">
      <w:pPr>
        <w:ind w:left="2940"/>
        <w:rPr>
          <w:sz w:val="20"/>
          <w:szCs w:val="20"/>
        </w:rPr>
      </w:pPr>
      <w:r>
        <w:rPr>
          <w:rFonts w:ascii="Arial" w:eastAsia="Arial" w:hAnsi="Arial" w:cs="Arial"/>
          <w:b/>
          <w:bCs/>
          <w:color w:val="FFFFFF"/>
          <w:sz w:val="16"/>
          <w:szCs w:val="16"/>
        </w:rPr>
        <w:t>EXECUTIVE COMPENSATION</w:t>
      </w:r>
    </w:p>
    <w:p w:rsidR="00A621E3" w:rsidRDefault="00EC630E">
      <w:pPr>
        <w:spacing w:line="20" w:lineRule="exact"/>
        <w:rPr>
          <w:sz w:val="20"/>
          <w:szCs w:val="20"/>
        </w:rPr>
      </w:pPr>
      <w:r>
        <w:rPr>
          <w:noProof/>
          <w:sz w:val="20"/>
          <w:szCs w:val="20"/>
        </w:rPr>
        <w:drawing>
          <wp:anchor distT="0" distB="0" distL="114300" distR="114300" simplePos="0" relativeHeight="251920384" behindDoc="1" locked="0" layoutInCell="0" allowOverlap="1">
            <wp:simplePos x="0" y="0"/>
            <wp:positionH relativeFrom="column">
              <wp:posOffset>-3651885</wp:posOffset>
            </wp:positionH>
            <wp:positionV relativeFrom="paragraph">
              <wp:posOffset>-713105</wp:posOffset>
            </wp:positionV>
            <wp:extent cx="7174865" cy="55880"/>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noProof/>
          <w:sz w:val="20"/>
          <w:szCs w:val="20"/>
        </w:rPr>
        <w:drawing>
          <wp:anchor distT="0" distB="0" distL="114300" distR="114300" simplePos="0" relativeHeight="251921408" behindDoc="1" locked="0" layoutInCell="0" allowOverlap="1">
            <wp:simplePos x="0" y="0"/>
            <wp:positionH relativeFrom="column">
              <wp:posOffset>1717675</wp:posOffset>
            </wp:positionH>
            <wp:positionV relativeFrom="paragraph">
              <wp:posOffset>-156210</wp:posOffset>
            </wp:positionV>
            <wp:extent cx="1705610" cy="20574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243" w:lineRule="exact"/>
        <w:rPr>
          <w:sz w:val="20"/>
          <w:szCs w:val="20"/>
        </w:rPr>
      </w:pPr>
    </w:p>
    <w:p w:rsidR="00A621E3" w:rsidRDefault="00EC630E">
      <w:pPr>
        <w:spacing w:line="260" w:lineRule="auto"/>
        <w:ind w:right="20"/>
        <w:jc w:val="both"/>
        <w:rPr>
          <w:sz w:val="20"/>
          <w:szCs w:val="20"/>
        </w:rPr>
      </w:pPr>
      <w:r>
        <w:rPr>
          <w:rFonts w:ascii="Arial" w:eastAsia="Arial" w:hAnsi="Arial" w:cs="Arial"/>
          <w:sz w:val="20"/>
          <w:szCs w:val="20"/>
        </w:rPr>
        <w:t>and recognizing actions</w:t>
      </w:r>
      <w:r>
        <w:rPr>
          <w:rFonts w:ascii="Arial" w:eastAsia="Arial" w:hAnsi="Arial" w:cs="Arial"/>
          <w:sz w:val="20"/>
          <w:szCs w:val="20"/>
        </w:rPr>
        <w:t xml:space="preserve"> that would enable the Company to navigate the pandemic and emerge stronger.</w:t>
      </w:r>
    </w:p>
    <w:p w:rsidR="00A621E3" w:rsidRDefault="00A621E3">
      <w:pPr>
        <w:spacing w:line="217" w:lineRule="exact"/>
        <w:rPr>
          <w:sz w:val="20"/>
          <w:szCs w:val="20"/>
        </w:rPr>
      </w:pPr>
    </w:p>
    <w:p w:rsidR="00A621E3" w:rsidRDefault="00EC630E">
      <w:pPr>
        <w:spacing w:line="271" w:lineRule="auto"/>
        <w:jc w:val="both"/>
        <w:rPr>
          <w:sz w:val="20"/>
          <w:szCs w:val="20"/>
        </w:rPr>
      </w:pPr>
      <w:r>
        <w:rPr>
          <w:rFonts w:ascii="Arial" w:eastAsia="Arial" w:hAnsi="Arial" w:cs="Arial"/>
          <w:sz w:val="18"/>
          <w:szCs w:val="18"/>
        </w:rPr>
        <w:t xml:space="preserve">As noted above, during the three-year period impacted by the COVID-19, we stayed nimble and quickly adapted to the rapidly-changing operating environment. With the tremendous </w:t>
      </w:r>
      <w:r>
        <w:rPr>
          <w:rFonts w:ascii="Arial" w:eastAsia="Arial" w:hAnsi="Arial" w:cs="Arial"/>
          <w:sz w:val="18"/>
          <w:szCs w:val="18"/>
        </w:rPr>
        <w:t>efforts from our employees led by the leadership team, our revenue growth rate outperformed that of the China restaurant industry. The CAGR of our total revenue growth (excluding foreign currency translation) from 2019 to 2022 was 2%, compared to a negativ</w:t>
      </w:r>
      <w:r>
        <w:rPr>
          <w:rFonts w:ascii="Arial" w:eastAsia="Arial" w:hAnsi="Arial" w:cs="Arial"/>
          <w:sz w:val="18"/>
          <w:szCs w:val="18"/>
        </w:rPr>
        <w:t>e CAGR of 2% in the total revenue of the China Restaurant industry over the same period. In addition, compared to the constituents of the MSCI China Index, the Company’s TSR ranked at the 68.91 percentile over the three-year period from 2020 to 2022.</w:t>
      </w:r>
    </w:p>
    <w:p w:rsidR="00A621E3" w:rsidRDefault="00A621E3">
      <w:pPr>
        <w:spacing w:line="210" w:lineRule="exact"/>
        <w:rPr>
          <w:sz w:val="20"/>
          <w:szCs w:val="20"/>
        </w:rPr>
      </w:pPr>
    </w:p>
    <w:p w:rsidR="00A621E3" w:rsidRDefault="00EC630E">
      <w:pPr>
        <w:spacing w:line="271" w:lineRule="auto"/>
        <w:jc w:val="both"/>
        <w:rPr>
          <w:sz w:val="20"/>
          <w:szCs w:val="20"/>
        </w:rPr>
      </w:pPr>
      <w:r>
        <w:rPr>
          <w:rFonts w:ascii="Arial" w:eastAsia="Arial" w:hAnsi="Arial" w:cs="Arial"/>
          <w:sz w:val="18"/>
          <w:szCs w:val="18"/>
        </w:rPr>
        <w:t>In l</w:t>
      </w:r>
      <w:r>
        <w:rPr>
          <w:rFonts w:ascii="Arial" w:eastAsia="Arial" w:hAnsi="Arial" w:cs="Arial"/>
          <w:sz w:val="18"/>
          <w:szCs w:val="18"/>
        </w:rPr>
        <w:t>ight of the Company’s strong performance against its peers despite the COVID-19 pandemic and considering that keeping the original design of the 2020 Annual PSUs potentially would have resulted in zero payout, which the Compensation Committee believed woul</w:t>
      </w:r>
      <w:r>
        <w:rPr>
          <w:rFonts w:ascii="Arial" w:eastAsia="Arial" w:hAnsi="Arial" w:cs="Arial"/>
          <w:sz w:val="18"/>
          <w:szCs w:val="18"/>
        </w:rPr>
        <w:t xml:space="preserve">d not appropriately reflect management’s performance and incentivize management in directing the Company to continue to navigate the pandemic, the Compensation Committee determined to adjust the weighting of the performance metrics of the 2020 Annual PSUs </w:t>
      </w:r>
      <w:r>
        <w:rPr>
          <w:rFonts w:ascii="Arial" w:eastAsia="Arial" w:hAnsi="Arial" w:cs="Arial"/>
          <w:sz w:val="18"/>
          <w:szCs w:val="18"/>
        </w:rPr>
        <w:t>in December 2022. The following graph illustrates the reallocation of the weighting of the performance metrics before and after the adjustment.</w:t>
      </w:r>
    </w:p>
    <w:p w:rsidR="00A621E3" w:rsidRDefault="00EC630E">
      <w:pPr>
        <w:spacing w:line="20" w:lineRule="exact"/>
        <w:rPr>
          <w:sz w:val="20"/>
          <w:szCs w:val="20"/>
        </w:rPr>
      </w:pPr>
      <w:r>
        <w:rPr>
          <w:noProof/>
          <w:sz w:val="20"/>
          <w:szCs w:val="20"/>
        </w:rPr>
        <w:drawing>
          <wp:anchor distT="0" distB="0" distL="114300" distR="114300" simplePos="0" relativeHeight="251922432" behindDoc="1" locked="0" layoutInCell="0" allowOverlap="1">
            <wp:simplePos x="0" y="0"/>
            <wp:positionH relativeFrom="column">
              <wp:posOffset>-2661920</wp:posOffset>
            </wp:positionH>
            <wp:positionV relativeFrom="paragraph">
              <wp:posOffset>392430</wp:posOffset>
            </wp:positionV>
            <wp:extent cx="5186045" cy="2040255"/>
            <wp:effectExtent l="0" t="0" r="0"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47">
                      <a:extLst/>
                    </a:blip>
                    <a:srcRect/>
                    <a:stretch>
                      <a:fillRect/>
                    </a:stretch>
                  </pic:blipFill>
                  <pic:spPr bwMode="auto">
                    <a:xfrm>
                      <a:off x="0" y="0"/>
                      <a:ext cx="5186045" cy="2040255"/>
                    </a:xfrm>
                    <a:prstGeom prst="rect">
                      <a:avLst/>
                    </a:prstGeom>
                    <a:noFill/>
                  </pic:spPr>
                </pic:pic>
              </a:graphicData>
            </a:graphic>
          </wp:anchor>
        </w:drawing>
      </w:r>
    </w:p>
    <w:p w:rsidR="00A621E3" w:rsidRDefault="00A621E3">
      <w:pPr>
        <w:spacing w:line="402" w:lineRule="exact"/>
        <w:rPr>
          <w:sz w:val="20"/>
          <w:szCs w:val="20"/>
        </w:rPr>
      </w:pP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64"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61</w:t>
      </w:r>
    </w:p>
    <w:p w:rsidR="00A621E3" w:rsidRDefault="00EC630E">
      <w:pPr>
        <w:spacing w:line="20" w:lineRule="exact"/>
        <w:rPr>
          <w:sz w:val="20"/>
          <w:szCs w:val="20"/>
        </w:rPr>
      </w:pPr>
      <w:r>
        <w:rPr>
          <w:noProof/>
          <w:sz w:val="20"/>
          <w:szCs w:val="20"/>
        </w:rPr>
        <w:drawing>
          <wp:anchor distT="0" distB="0" distL="114300" distR="114300" simplePos="0" relativeHeight="251923456"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67" w:name="page67"/>
      <w:bookmarkEnd w:id="67"/>
      <w:r>
        <w:rPr>
          <w:rFonts w:ascii="Arial" w:eastAsia="Arial" w:hAnsi="Arial" w:cs="Arial"/>
          <w:b/>
          <w:bCs/>
          <w:noProof/>
          <w:color w:val="0000EE"/>
          <w:sz w:val="18"/>
          <w:szCs w:val="18"/>
          <w:u w:val="single"/>
        </w:rPr>
        <w:drawing>
          <wp:anchor distT="0" distB="0" distL="114300" distR="114300" simplePos="0" relativeHeight="25192448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25504"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209" w:lineRule="exact"/>
        <w:rPr>
          <w:sz w:val="20"/>
          <w:szCs w:val="20"/>
        </w:rPr>
      </w:pPr>
    </w:p>
    <w:p w:rsidR="00A621E3" w:rsidRDefault="00EC630E">
      <w:pPr>
        <w:numPr>
          <w:ilvl w:val="0"/>
          <w:numId w:val="80"/>
        </w:numPr>
        <w:tabs>
          <w:tab w:val="left" w:pos="760"/>
        </w:tabs>
        <w:spacing w:line="260" w:lineRule="auto"/>
        <w:ind w:left="760" w:right="20" w:hanging="644"/>
        <w:rPr>
          <w:rFonts w:ascii="Arial" w:eastAsia="Arial" w:hAnsi="Arial" w:cs="Arial"/>
          <w:color w:val="CF0A2C"/>
          <w:sz w:val="20"/>
          <w:szCs w:val="20"/>
        </w:rPr>
      </w:pPr>
      <w:r>
        <w:rPr>
          <w:rFonts w:ascii="Arial" w:eastAsia="Arial" w:hAnsi="Arial" w:cs="Arial"/>
          <w:sz w:val="20"/>
          <w:szCs w:val="20"/>
        </w:rPr>
        <w:t>The number of performance units that vest shall be modified by up to +20% for outperformance, or up to -20% for underperformance, as compared to the MSCI China Index.</w:t>
      </w:r>
    </w:p>
    <w:p w:rsidR="00A621E3" w:rsidRDefault="00A621E3">
      <w:pPr>
        <w:spacing w:line="257" w:lineRule="exact"/>
        <w:rPr>
          <w:rFonts w:ascii="Arial" w:eastAsia="Arial" w:hAnsi="Arial" w:cs="Arial"/>
          <w:color w:val="CF0A2C"/>
          <w:sz w:val="20"/>
          <w:szCs w:val="20"/>
        </w:rPr>
      </w:pPr>
    </w:p>
    <w:p w:rsidR="00A621E3" w:rsidRDefault="00EC630E">
      <w:pPr>
        <w:numPr>
          <w:ilvl w:val="0"/>
          <w:numId w:val="80"/>
        </w:numPr>
        <w:tabs>
          <w:tab w:val="left" w:pos="760"/>
        </w:tabs>
        <w:ind w:left="760" w:hanging="644"/>
        <w:rPr>
          <w:rFonts w:ascii="Arial" w:eastAsia="Arial" w:hAnsi="Arial" w:cs="Arial"/>
          <w:color w:val="CF0A2C"/>
          <w:sz w:val="20"/>
          <w:szCs w:val="20"/>
        </w:rPr>
      </w:pPr>
      <w:r>
        <w:rPr>
          <w:rFonts w:ascii="Arial" w:eastAsia="Arial" w:hAnsi="Arial" w:cs="Arial"/>
          <w:sz w:val="20"/>
          <w:szCs w:val="20"/>
        </w:rPr>
        <w:t>The following table sets forth the rTSR ves</w:t>
      </w:r>
      <w:r>
        <w:rPr>
          <w:rFonts w:ascii="Arial" w:eastAsia="Arial" w:hAnsi="Arial" w:cs="Arial"/>
          <w:sz w:val="20"/>
          <w:szCs w:val="20"/>
        </w:rPr>
        <w:t>ting schedule for the 2020 Annual PSUs after the adjustment:</w:t>
      </w:r>
    </w:p>
    <w:p w:rsidR="00A621E3" w:rsidRDefault="00A621E3">
      <w:pPr>
        <w:spacing w:line="295"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140"/>
        <w:gridCol w:w="2500"/>
        <w:gridCol w:w="1780"/>
        <w:gridCol w:w="1300"/>
        <w:gridCol w:w="1300"/>
      </w:tblGrid>
      <w:tr w:rsidR="00A621E3">
        <w:trPr>
          <w:trHeight w:val="207"/>
        </w:trPr>
        <w:tc>
          <w:tcPr>
            <w:tcW w:w="4140" w:type="dxa"/>
            <w:tcBorders>
              <w:bottom w:val="single" w:sz="8" w:space="0" w:color="CF0A2C"/>
            </w:tcBorders>
            <w:vAlign w:val="bottom"/>
          </w:tcPr>
          <w:p w:rsidR="00A621E3" w:rsidRDefault="00A621E3">
            <w:pPr>
              <w:rPr>
                <w:sz w:val="18"/>
                <w:szCs w:val="18"/>
              </w:rPr>
            </w:pPr>
          </w:p>
        </w:tc>
        <w:tc>
          <w:tcPr>
            <w:tcW w:w="2500" w:type="dxa"/>
            <w:tcBorders>
              <w:bottom w:val="single" w:sz="8" w:space="0" w:color="CF0A2C"/>
            </w:tcBorders>
            <w:vAlign w:val="bottom"/>
          </w:tcPr>
          <w:p w:rsidR="00A621E3" w:rsidRDefault="00A621E3">
            <w:pPr>
              <w:rPr>
                <w:sz w:val="18"/>
                <w:szCs w:val="18"/>
              </w:rPr>
            </w:pPr>
          </w:p>
        </w:tc>
        <w:tc>
          <w:tcPr>
            <w:tcW w:w="1780" w:type="dxa"/>
            <w:tcBorders>
              <w:bottom w:val="single" w:sz="8" w:space="0" w:color="CF0A2C"/>
            </w:tcBorders>
            <w:vAlign w:val="bottom"/>
          </w:tcPr>
          <w:p w:rsidR="00A621E3" w:rsidRDefault="00EC630E">
            <w:pPr>
              <w:ind w:right="399"/>
              <w:jc w:val="right"/>
              <w:rPr>
                <w:sz w:val="20"/>
                <w:szCs w:val="20"/>
              </w:rPr>
            </w:pPr>
            <w:r>
              <w:rPr>
                <w:rFonts w:ascii="Arial" w:eastAsia="Arial" w:hAnsi="Arial" w:cs="Arial"/>
                <w:b/>
                <w:bCs/>
                <w:color w:val="CF0A2C"/>
                <w:sz w:val="16"/>
                <w:szCs w:val="16"/>
              </w:rPr>
              <w:t>Threshold</w:t>
            </w:r>
          </w:p>
        </w:tc>
        <w:tc>
          <w:tcPr>
            <w:tcW w:w="1300" w:type="dxa"/>
            <w:tcBorders>
              <w:bottom w:val="single" w:sz="8" w:space="0" w:color="CF0A2C"/>
            </w:tcBorders>
            <w:vAlign w:val="bottom"/>
          </w:tcPr>
          <w:p w:rsidR="00A621E3" w:rsidRDefault="00EC630E">
            <w:pPr>
              <w:ind w:right="399"/>
              <w:jc w:val="right"/>
              <w:rPr>
                <w:sz w:val="20"/>
                <w:szCs w:val="20"/>
              </w:rPr>
            </w:pPr>
            <w:r>
              <w:rPr>
                <w:rFonts w:ascii="Arial" w:eastAsia="Arial" w:hAnsi="Arial" w:cs="Arial"/>
                <w:b/>
                <w:bCs/>
                <w:color w:val="CF0A2C"/>
                <w:sz w:val="16"/>
                <w:szCs w:val="16"/>
              </w:rPr>
              <w:t>Target</w:t>
            </w:r>
          </w:p>
        </w:tc>
        <w:tc>
          <w:tcPr>
            <w:tcW w:w="1300" w:type="dxa"/>
            <w:tcBorders>
              <w:bottom w:val="single" w:sz="8" w:space="0" w:color="CF0A2C"/>
            </w:tcBorders>
            <w:vAlign w:val="bottom"/>
          </w:tcPr>
          <w:p w:rsidR="00A621E3" w:rsidRDefault="00EC630E">
            <w:pPr>
              <w:ind w:right="139"/>
              <w:jc w:val="right"/>
              <w:rPr>
                <w:sz w:val="20"/>
                <w:szCs w:val="20"/>
              </w:rPr>
            </w:pPr>
            <w:r>
              <w:rPr>
                <w:rFonts w:ascii="Arial" w:eastAsia="Arial" w:hAnsi="Arial" w:cs="Arial"/>
                <w:b/>
                <w:bCs/>
                <w:color w:val="CF0A2C"/>
                <w:sz w:val="16"/>
                <w:szCs w:val="16"/>
              </w:rPr>
              <w:t>Maximum</w:t>
            </w:r>
          </w:p>
        </w:tc>
      </w:tr>
      <w:tr w:rsidR="00A621E3">
        <w:trPr>
          <w:trHeight w:val="183"/>
        </w:trPr>
        <w:tc>
          <w:tcPr>
            <w:tcW w:w="4140" w:type="dxa"/>
            <w:tcBorders>
              <w:bottom w:val="single" w:sz="8" w:space="0" w:color="CF0A2C"/>
            </w:tcBorders>
            <w:vAlign w:val="bottom"/>
          </w:tcPr>
          <w:p w:rsidR="00A621E3" w:rsidRDefault="00EC630E">
            <w:pPr>
              <w:spacing w:line="183" w:lineRule="exact"/>
              <w:rPr>
                <w:sz w:val="20"/>
                <w:szCs w:val="20"/>
              </w:rPr>
            </w:pPr>
            <w:r>
              <w:rPr>
                <w:rFonts w:ascii="Arial" w:eastAsia="Arial" w:hAnsi="Arial" w:cs="Arial"/>
                <w:color w:val="CF0A2C"/>
                <w:sz w:val="16"/>
                <w:szCs w:val="16"/>
              </w:rPr>
              <w:t>TSR Percentile Rank Achieved</w:t>
            </w:r>
          </w:p>
        </w:tc>
        <w:tc>
          <w:tcPr>
            <w:tcW w:w="2500" w:type="dxa"/>
            <w:tcBorders>
              <w:bottom w:val="single" w:sz="8" w:space="0" w:color="CF0A2C"/>
            </w:tcBorders>
            <w:vAlign w:val="bottom"/>
          </w:tcPr>
          <w:p w:rsidR="00A621E3" w:rsidRDefault="00EC630E">
            <w:pPr>
              <w:spacing w:line="183" w:lineRule="exact"/>
              <w:ind w:right="419"/>
              <w:jc w:val="right"/>
              <w:rPr>
                <w:sz w:val="20"/>
                <w:szCs w:val="20"/>
              </w:rPr>
            </w:pPr>
            <w:r>
              <w:rPr>
                <w:rFonts w:ascii="Arial" w:eastAsia="Arial" w:hAnsi="Arial" w:cs="Arial"/>
                <w:sz w:val="16"/>
                <w:szCs w:val="16"/>
              </w:rPr>
              <w:t>&lt;25%</w:t>
            </w:r>
          </w:p>
        </w:tc>
        <w:tc>
          <w:tcPr>
            <w:tcW w:w="1780" w:type="dxa"/>
            <w:tcBorders>
              <w:bottom w:val="single" w:sz="8" w:space="0" w:color="CF0A2C"/>
            </w:tcBorders>
            <w:vAlign w:val="bottom"/>
          </w:tcPr>
          <w:p w:rsidR="00A621E3" w:rsidRDefault="00EC630E">
            <w:pPr>
              <w:spacing w:line="183" w:lineRule="exact"/>
              <w:ind w:right="239"/>
              <w:jc w:val="right"/>
              <w:rPr>
                <w:sz w:val="20"/>
                <w:szCs w:val="20"/>
              </w:rPr>
            </w:pPr>
            <w:r>
              <w:rPr>
                <w:rFonts w:ascii="Arial" w:eastAsia="Arial" w:hAnsi="Arial" w:cs="Arial"/>
                <w:sz w:val="16"/>
                <w:szCs w:val="16"/>
              </w:rPr>
              <w:t>25%</w:t>
            </w:r>
          </w:p>
        </w:tc>
        <w:tc>
          <w:tcPr>
            <w:tcW w:w="1300" w:type="dxa"/>
            <w:tcBorders>
              <w:bottom w:val="single" w:sz="8" w:space="0" w:color="CF0A2C"/>
            </w:tcBorders>
            <w:vAlign w:val="bottom"/>
          </w:tcPr>
          <w:p w:rsidR="00A621E3" w:rsidRDefault="00EC630E">
            <w:pPr>
              <w:spacing w:line="183" w:lineRule="exact"/>
              <w:ind w:right="259"/>
              <w:jc w:val="right"/>
              <w:rPr>
                <w:sz w:val="20"/>
                <w:szCs w:val="20"/>
              </w:rPr>
            </w:pPr>
            <w:r>
              <w:rPr>
                <w:rFonts w:ascii="Arial" w:eastAsia="Arial" w:hAnsi="Arial" w:cs="Arial"/>
                <w:sz w:val="16"/>
                <w:szCs w:val="16"/>
              </w:rPr>
              <w:t>55%</w:t>
            </w:r>
          </w:p>
        </w:tc>
        <w:tc>
          <w:tcPr>
            <w:tcW w:w="1300" w:type="dxa"/>
            <w:tcBorders>
              <w:bottom w:val="single" w:sz="8" w:space="0" w:color="CF0A2C"/>
            </w:tcBorders>
            <w:vAlign w:val="bottom"/>
          </w:tcPr>
          <w:p w:rsidR="00A621E3" w:rsidRDefault="00EC630E">
            <w:pPr>
              <w:spacing w:line="183" w:lineRule="exact"/>
              <w:jc w:val="right"/>
              <w:rPr>
                <w:sz w:val="20"/>
                <w:szCs w:val="20"/>
              </w:rPr>
            </w:pPr>
            <w:r>
              <w:rPr>
                <w:rFonts w:ascii="Arial" w:eastAsia="Arial" w:hAnsi="Arial" w:cs="Arial"/>
                <w:sz w:val="16"/>
                <w:szCs w:val="16"/>
              </w:rPr>
              <w:t>85%</w:t>
            </w:r>
          </w:p>
        </w:tc>
      </w:tr>
      <w:tr w:rsidR="00A621E3">
        <w:trPr>
          <w:trHeight w:val="183"/>
        </w:trPr>
        <w:tc>
          <w:tcPr>
            <w:tcW w:w="4140" w:type="dxa"/>
            <w:tcBorders>
              <w:bottom w:val="single" w:sz="8" w:space="0" w:color="CF0A2C"/>
            </w:tcBorders>
            <w:vAlign w:val="bottom"/>
          </w:tcPr>
          <w:p w:rsidR="00A621E3" w:rsidRDefault="00EC630E">
            <w:pPr>
              <w:spacing w:line="183" w:lineRule="exact"/>
              <w:rPr>
                <w:sz w:val="20"/>
                <w:szCs w:val="20"/>
              </w:rPr>
            </w:pPr>
            <w:r>
              <w:rPr>
                <w:rFonts w:ascii="Arial" w:eastAsia="Arial" w:hAnsi="Arial" w:cs="Arial"/>
                <w:color w:val="CF0A2C"/>
                <w:sz w:val="16"/>
                <w:szCs w:val="16"/>
              </w:rPr>
              <w:t>Proportion of Target Award Vesting*</w:t>
            </w:r>
          </w:p>
        </w:tc>
        <w:tc>
          <w:tcPr>
            <w:tcW w:w="2500" w:type="dxa"/>
            <w:tcBorders>
              <w:bottom w:val="single" w:sz="8" w:space="0" w:color="CF0A2C"/>
            </w:tcBorders>
            <w:vAlign w:val="bottom"/>
          </w:tcPr>
          <w:p w:rsidR="00A621E3" w:rsidRDefault="00EC630E">
            <w:pPr>
              <w:spacing w:line="183" w:lineRule="exact"/>
              <w:ind w:right="419"/>
              <w:jc w:val="right"/>
              <w:rPr>
                <w:sz w:val="20"/>
                <w:szCs w:val="20"/>
              </w:rPr>
            </w:pPr>
            <w:r>
              <w:rPr>
                <w:rFonts w:ascii="Arial" w:eastAsia="Arial" w:hAnsi="Arial" w:cs="Arial"/>
                <w:sz w:val="16"/>
                <w:szCs w:val="16"/>
              </w:rPr>
              <w:t>0%</w:t>
            </w:r>
          </w:p>
        </w:tc>
        <w:tc>
          <w:tcPr>
            <w:tcW w:w="1780" w:type="dxa"/>
            <w:tcBorders>
              <w:bottom w:val="single" w:sz="8" w:space="0" w:color="CF0A2C"/>
            </w:tcBorders>
            <w:vAlign w:val="bottom"/>
          </w:tcPr>
          <w:p w:rsidR="00A621E3" w:rsidRDefault="00EC630E">
            <w:pPr>
              <w:spacing w:line="183" w:lineRule="exact"/>
              <w:ind w:right="239"/>
              <w:jc w:val="right"/>
              <w:rPr>
                <w:sz w:val="20"/>
                <w:szCs w:val="20"/>
              </w:rPr>
            </w:pPr>
            <w:r>
              <w:rPr>
                <w:rFonts w:ascii="Arial" w:eastAsia="Arial" w:hAnsi="Arial" w:cs="Arial"/>
                <w:sz w:val="16"/>
                <w:szCs w:val="16"/>
              </w:rPr>
              <w:t>40%</w:t>
            </w:r>
          </w:p>
        </w:tc>
        <w:tc>
          <w:tcPr>
            <w:tcW w:w="1300" w:type="dxa"/>
            <w:tcBorders>
              <w:bottom w:val="single" w:sz="8" w:space="0" w:color="CF0A2C"/>
            </w:tcBorders>
            <w:vAlign w:val="bottom"/>
          </w:tcPr>
          <w:p w:rsidR="00A621E3" w:rsidRDefault="00EC630E">
            <w:pPr>
              <w:spacing w:line="183" w:lineRule="exact"/>
              <w:ind w:right="259"/>
              <w:jc w:val="right"/>
              <w:rPr>
                <w:sz w:val="20"/>
                <w:szCs w:val="20"/>
              </w:rPr>
            </w:pPr>
            <w:r>
              <w:rPr>
                <w:rFonts w:ascii="Arial" w:eastAsia="Arial" w:hAnsi="Arial" w:cs="Arial"/>
                <w:sz w:val="16"/>
                <w:szCs w:val="16"/>
              </w:rPr>
              <w:t>100%</w:t>
            </w:r>
          </w:p>
        </w:tc>
        <w:tc>
          <w:tcPr>
            <w:tcW w:w="1300" w:type="dxa"/>
            <w:tcBorders>
              <w:bottom w:val="single" w:sz="8" w:space="0" w:color="CF0A2C"/>
            </w:tcBorders>
            <w:vAlign w:val="bottom"/>
          </w:tcPr>
          <w:p w:rsidR="00A621E3" w:rsidRDefault="00EC630E">
            <w:pPr>
              <w:spacing w:line="183" w:lineRule="exact"/>
              <w:jc w:val="right"/>
              <w:rPr>
                <w:sz w:val="20"/>
                <w:szCs w:val="20"/>
              </w:rPr>
            </w:pPr>
            <w:r>
              <w:rPr>
                <w:rFonts w:ascii="Arial" w:eastAsia="Arial" w:hAnsi="Arial" w:cs="Arial"/>
                <w:sz w:val="16"/>
                <w:szCs w:val="16"/>
              </w:rPr>
              <w:t>200%</w:t>
            </w:r>
          </w:p>
        </w:tc>
      </w:tr>
    </w:tbl>
    <w:p w:rsidR="00A621E3" w:rsidRDefault="00A621E3">
      <w:pPr>
        <w:spacing w:line="280" w:lineRule="exact"/>
        <w:rPr>
          <w:sz w:val="20"/>
          <w:szCs w:val="20"/>
        </w:rPr>
      </w:pPr>
    </w:p>
    <w:p w:rsidR="00A621E3" w:rsidRDefault="00EC630E">
      <w:pPr>
        <w:numPr>
          <w:ilvl w:val="0"/>
          <w:numId w:val="81"/>
        </w:numPr>
        <w:tabs>
          <w:tab w:val="left" w:pos="340"/>
        </w:tabs>
        <w:spacing w:line="263" w:lineRule="auto"/>
        <w:ind w:left="340" w:hanging="224"/>
        <w:jc w:val="both"/>
        <w:rPr>
          <w:rFonts w:ascii="Arial" w:eastAsia="Arial" w:hAnsi="Arial" w:cs="Arial"/>
          <w:sz w:val="19"/>
          <w:szCs w:val="19"/>
        </w:rPr>
      </w:pPr>
      <w:r>
        <w:rPr>
          <w:rFonts w:ascii="Arial" w:eastAsia="Arial" w:hAnsi="Arial" w:cs="Arial"/>
          <w:sz w:val="19"/>
          <w:szCs w:val="19"/>
        </w:rPr>
        <w:t xml:space="preserve">Vesting proportion for performance between performance levels </w:t>
      </w:r>
      <w:r>
        <w:rPr>
          <w:rFonts w:ascii="Arial" w:eastAsia="Arial" w:hAnsi="Arial" w:cs="Arial"/>
          <w:sz w:val="19"/>
          <w:szCs w:val="19"/>
        </w:rPr>
        <w:t xml:space="preserve">would be determined based on linear interpolation. Under the program, payout would be capped at target if the Company’s TSR was negative over the three-year performance period. TSR percentile rank was calculated based on the 20-trading day average closing </w:t>
      </w:r>
      <w:r>
        <w:rPr>
          <w:rFonts w:ascii="Arial" w:eastAsia="Arial" w:hAnsi="Arial" w:cs="Arial"/>
          <w:sz w:val="19"/>
          <w:szCs w:val="19"/>
        </w:rPr>
        <w:t>prices up to and including January 1, 2020 and the 20-day average closing prices up to and including December 31, 2022 and assumes reinvestment of dividends.</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311" w:lineRule="exact"/>
        <w:rPr>
          <w:sz w:val="20"/>
          <w:szCs w:val="20"/>
        </w:rPr>
      </w:pPr>
    </w:p>
    <w:p w:rsidR="00A621E3" w:rsidRDefault="00EC630E">
      <w:pPr>
        <w:spacing w:line="254" w:lineRule="auto"/>
        <w:ind w:left="120"/>
        <w:jc w:val="both"/>
        <w:rPr>
          <w:sz w:val="20"/>
          <w:szCs w:val="20"/>
        </w:rPr>
      </w:pPr>
      <w:r>
        <w:rPr>
          <w:rFonts w:ascii="Arial" w:eastAsia="Arial" w:hAnsi="Arial" w:cs="Arial"/>
          <w:sz w:val="19"/>
          <w:szCs w:val="19"/>
        </w:rPr>
        <w:t>These weightings were adjusted to better reflect alignment between pay and pe</w:t>
      </w:r>
      <w:r>
        <w:rPr>
          <w:rFonts w:ascii="Arial" w:eastAsia="Arial" w:hAnsi="Arial" w:cs="Arial"/>
          <w:sz w:val="19"/>
          <w:szCs w:val="19"/>
        </w:rPr>
        <w:t xml:space="preserve">rformance over the multiple year performance period. The Compensation Committee maintained the relative weighting of adjusted total revenue growth and adjusted diluted EPS growth with each other. The Compensation Committee placed more emphasis on the rTSR </w:t>
      </w:r>
      <w:r>
        <w:rPr>
          <w:rFonts w:ascii="Arial" w:eastAsia="Arial" w:hAnsi="Arial" w:cs="Arial"/>
          <w:sz w:val="19"/>
          <w:szCs w:val="19"/>
        </w:rPr>
        <w:t>metric in recognition of the difficulty of measuring performance against absolute growth goals in total revenue and EPS, which were set before the onset of the COVID-19 pandemic, in light of the volatile operating environment and its assessment that rTSR w</w:t>
      </w:r>
      <w:r>
        <w:rPr>
          <w:rFonts w:ascii="Arial" w:eastAsia="Arial" w:hAnsi="Arial" w:cs="Arial"/>
          <w:sz w:val="19"/>
          <w:szCs w:val="19"/>
        </w:rPr>
        <w:t>ould better measure the Company’s success in execution of its evolving operational plan during the three-year performance period and its performance compared to the China restaurant industry and the MSCI China Index.</w:t>
      </w:r>
    </w:p>
    <w:p w:rsidR="00A621E3" w:rsidRDefault="00EC630E">
      <w:pPr>
        <w:spacing w:line="20" w:lineRule="exact"/>
        <w:rPr>
          <w:sz w:val="20"/>
          <w:szCs w:val="20"/>
        </w:rPr>
      </w:pPr>
      <w:r>
        <w:rPr>
          <w:sz w:val="20"/>
          <w:szCs w:val="20"/>
        </w:rPr>
        <w:br w:type="column"/>
      </w:r>
    </w:p>
    <w:p w:rsidR="00A621E3" w:rsidRDefault="00A621E3">
      <w:pPr>
        <w:spacing w:line="291" w:lineRule="exact"/>
        <w:rPr>
          <w:sz w:val="20"/>
          <w:szCs w:val="20"/>
        </w:rPr>
      </w:pPr>
    </w:p>
    <w:p w:rsidR="00A621E3" w:rsidRDefault="00EC630E">
      <w:pPr>
        <w:spacing w:line="257" w:lineRule="auto"/>
        <w:jc w:val="both"/>
        <w:rPr>
          <w:sz w:val="20"/>
          <w:szCs w:val="20"/>
        </w:rPr>
      </w:pPr>
      <w:r>
        <w:rPr>
          <w:rFonts w:ascii="Arial" w:eastAsia="Arial" w:hAnsi="Arial" w:cs="Arial"/>
          <w:sz w:val="19"/>
          <w:szCs w:val="19"/>
        </w:rPr>
        <w:t xml:space="preserve">Except for the changes in weighting </w:t>
      </w:r>
      <w:r>
        <w:rPr>
          <w:rFonts w:ascii="Arial" w:eastAsia="Arial" w:hAnsi="Arial" w:cs="Arial"/>
          <w:sz w:val="19"/>
          <w:szCs w:val="19"/>
        </w:rPr>
        <w:t>of the performance goals, the terms and conditions applicable to the 2020 Annual PSUs remained unchanged. The Compensation Committee determined that this modification to the 2020 Annual PSUs was aligned with the Company’s compensation philosophy of retaini</w:t>
      </w:r>
      <w:r>
        <w:rPr>
          <w:rFonts w:ascii="Arial" w:eastAsia="Arial" w:hAnsi="Arial" w:cs="Arial"/>
          <w:sz w:val="19"/>
          <w:szCs w:val="19"/>
        </w:rPr>
        <w:t>ng talent and rewarding performance, particularly in light of the operational achievements of the Company since the 2020 Annual PSUs were granted.</w:t>
      </w:r>
    </w:p>
    <w:p w:rsidR="00A621E3" w:rsidRDefault="00A621E3">
      <w:pPr>
        <w:spacing w:line="221" w:lineRule="exact"/>
        <w:rPr>
          <w:sz w:val="20"/>
          <w:szCs w:val="20"/>
        </w:rPr>
      </w:pPr>
    </w:p>
    <w:p w:rsidR="00A621E3" w:rsidRDefault="00EC630E">
      <w:pPr>
        <w:spacing w:line="246" w:lineRule="auto"/>
        <w:jc w:val="both"/>
        <w:rPr>
          <w:sz w:val="20"/>
          <w:szCs w:val="20"/>
        </w:rPr>
      </w:pPr>
      <w:r>
        <w:rPr>
          <w:rFonts w:ascii="Arial" w:eastAsia="Arial" w:hAnsi="Arial" w:cs="Arial"/>
          <w:sz w:val="20"/>
          <w:szCs w:val="20"/>
        </w:rPr>
        <w:t xml:space="preserve">The table below sets forth the threshold, target and maximum achievement levels, weights and actual results </w:t>
      </w:r>
      <w:r>
        <w:rPr>
          <w:rFonts w:ascii="Arial" w:eastAsia="Arial" w:hAnsi="Arial" w:cs="Arial"/>
          <w:sz w:val="20"/>
          <w:szCs w:val="20"/>
        </w:rPr>
        <w:t>for each measure of the 2020 Annual PSUs following the reallocation of the weighting of performance metrics:</w:t>
      </w:r>
    </w:p>
    <w:p w:rsidR="00A621E3" w:rsidRDefault="00A621E3">
      <w:pPr>
        <w:spacing w:line="401"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1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120"/>
        <w:gridCol w:w="240"/>
        <w:gridCol w:w="1060"/>
        <w:gridCol w:w="880"/>
        <w:gridCol w:w="1140"/>
        <w:gridCol w:w="880"/>
        <w:gridCol w:w="1080"/>
        <w:gridCol w:w="280"/>
        <w:gridCol w:w="900"/>
        <w:gridCol w:w="280"/>
        <w:gridCol w:w="1100"/>
        <w:gridCol w:w="60"/>
      </w:tblGrid>
      <w:tr w:rsidR="00A621E3">
        <w:trPr>
          <w:trHeight w:val="184"/>
        </w:trPr>
        <w:tc>
          <w:tcPr>
            <w:tcW w:w="3120" w:type="dxa"/>
            <w:vAlign w:val="bottom"/>
          </w:tcPr>
          <w:p w:rsidR="00A621E3" w:rsidRDefault="00A621E3">
            <w:pPr>
              <w:rPr>
                <w:sz w:val="16"/>
                <w:szCs w:val="16"/>
              </w:rPr>
            </w:pPr>
          </w:p>
        </w:tc>
        <w:tc>
          <w:tcPr>
            <w:tcW w:w="240" w:type="dxa"/>
            <w:tcBorders>
              <w:top w:val="single" w:sz="8" w:space="0" w:color="CF0A2C"/>
            </w:tcBorders>
            <w:shd w:val="clear" w:color="auto" w:fill="FAE6E9"/>
            <w:vAlign w:val="bottom"/>
          </w:tcPr>
          <w:p w:rsidR="00A621E3" w:rsidRDefault="00A621E3">
            <w:pPr>
              <w:rPr>
                <w:sz w:val="16"/>
                <w:szCs w:val="16"/>
              </w:rPr>
            </w:pPr>
          </w:p>
        </w:tc>
        <w:tc>
          <w:tcPr>
            <w:tcW w:w="1060" w:type="dxa"/>
            <w:tcBorders>
              <w:top w:val="single" w:sz="8" w:space="0" w:color="CF0A2C"/>
            </w:tcBorders>
            <w:shd w:val="clear" w:color="auto" w:fill="FAE6E9"/>
            <w:vAlign w:val="bottom"/>
          </w:tcPr>
          <w:p w:rsidR="00A621E3" w:rsidRDefault="00A621E3">
            <w:pPr>
              <w:rPr>
                <w:sz w:val="16"/>
                <w:szCs w:val="16"/>
              </w:rPr>
            </w:pPr>
          </w:p>
        </w:tc>
        <w:tc>
          <w:tcPr>
            <w:tcW w:w="880" w:type="dxa"/>
            <w:tcBorders>
              <w:top w:val="single" w:sz="8" w:space="0" w:color="CF0A2C"/>
            </w:tcBorders>
            <w:shd w:val="clear" w:color="auto" w:fill="FAE6E9"/>
            <w:vAlign w:val="bottom"/>
          </w:tcPr>
          <w:p w:rsidR="00A621E3" w:rsidRDefault="00A621E3">
            <w:pPr>
              <w:rPr>
                <w:sz w:val="16"/>
                <w:szCs w:val="16"/>
              </w:rPr>
            </w:pPr>
          </w:p>
        </w:tc>
        <w:tc>
          <w:tcPr>
            <w:tcW w:w="1140" w:type="dxa"/>
            <w:tcBorders>
              <w:top w:val="single" w:sz="8" w:space="0" w:color="CF0A2C"/>
            </w:tcBorders>
            <w:shd w:val="clear" w:color="auto" w:fill="FAE6E9"/>
            <w:vAlign w:val="bottom"/>
          </w:tcPr>
          <w:p w:rsidR="00A621E3" w:rsidRDefault="00A621E3">
            <w:pPr>
              <w:rPr>
                <w:sz w:val="16"/>
                <w:szCs w:val="16"/>
              </w:rPr>
            </w:pPr>
          </w:p>
        </w:tc>
        <w:tc>
          <w:tcPr>
            <w:tcW w:w="880" w:type="dxa"/>
            <w:tcBorders>
              <w:top w:val="single" w:sz="8" w:space="0" w:color="CF0A2C"/>
            </w:tcBorders>
            <w:shd w:val="clear" w:color="auto" w:fill="FAE6E9"/>
            <w:vAlign w:val="bottom"/>
          </w:tcPr>
          <w:p w:rsidR="00A621E3" w:rsidRDefault="00A621E3">
            <w:pPr>
              <w:rPr>
                <w:sz w:val="16"/>
                <w:szCs w:val="16"/>
              </w:rPr>
            </w:pPr>
          </w:p>
        </w:tc>
        <w:tc>
          <w:tcPr>
            <w:tcW w:w="1360" w:type="dxa"/>
            <w:gridSpan w:val="2"/>
            <w:tcBorders>
              <w:top w:val="single" w:sz="8" w:space="0" w:color="CF0A2C"/>
            </w:tcBorders>
            <w:shd w:val="clear" w:color="auto" w:fill="FAE6E9"/>
            <w:vAlign w:val="bottom"/>
          </w:tcPr>
          <w:p w:rsidR="00A621E3" w:rsidRDefault="00EC630E">
            <w:pPr>
              <w:ind w:left="180"/>
              <w:rPr>
                <w:sz w:val="20"/>
                <w:szCs w:val="20"/>
              </w:rPr>
            </w:pPr>
            <w:r>
              <w:rPr>
                <w:rFonts w:ascii="Arial" w:eastAsia="Arial" w:hAnsi="Arial" w:cs="Arial"/>
                <w:b/>
                <w:bCs/>
                <w:color w:val="CF0A2C"/>
                <w:sz w:val="16"/>
                <w:szCs w:val="16"/>
              </w:rPr>
              <w:t>Earned as a</w:t>
            </w:r>
          </w:p>
        </w:tc>
        <w:tc>
          <w:tcPr>
            <w:tcW w:w="900" w:type="dxa"/>
            <w:tcBorders>
              <w:top w:val="single" w:sz="8" w:space="0" w:color="CF0A2C"/>
            </w:tcBorders>
            <w:shd w:val="clear" w:color="auto" w:fill="FAE6E9"/>
            <w:vAlign w:val="bottom"/>
          </w:tcPr>
          <w:p w:rsidR="00A621E3" w:rsidRDefault="00A621E3">
            <w:pPr>
              <w:rPr>
                <w:sz w:val="16"/>
                <w:szCs w:val="16"/>
              </w:rPr>
            </w:pPr>
          </w:p>
        </w:tc>
        <w:tc>
          <w:tcPr>
            <w:tcW w:w="280" w:type="dxa"/>
            <w:tcBorders>
              <w:top w:val="single" w:sz="8" w:space="0" w:color="CF0A2C"/>
            </w:tcBorders>
            <w:shd w:val="clear" w:color="auto" w:fill="FAE6E9"/>
            <w:vAlign w:val="bottom"/>
          </w:tcPr>
          <w:p w:rsidR="00A621E3" w:rsidRDefault="00A621E3">
            <w:pPr>
              <w:rPr>
                <w:sz w:val="16"/>
                <w:szCs w:val="16"/>
              </w:rPr>
            </w:pPr>
          </w:p>
        </w:tc>
        <w:tc>
          <w:tcPr>
            <w:tcW w:w="1160" w:type="dxa"/>
            <w:gridSpan w:val="2"/>
            <w:tcBorders>
              <w:top w:val="single" w:sz="8" w:space="0" w:color="CF0A2C"/>
            </w:tcBorders>
            <w:shd w:val="clear" w:color="auto" w:fill="FAE6E9"/>
            <w:vAlign w:val="bottom"/>
          </w:tcPr>
          <w:p w:rsidR="00A621E3" w:rsidRDefault="00EC630E">
            <w:pPr>
              <w:jc w:val="center"/>
              <w:rPr>
                <w:sz w:val="20"/>
                <w:szCs w:val="20"/>
              </w:rPr>
            </w:pPr>
            <w:r>
              <w:rPr>
                <w:rFonts w:ascii="Arial" w:eastAsia="Arial" w:hAnsi="Arial" w:cs="Arial"/>
                <w:b/>
                <w:bCs/>
                <w:color w:val="CF0A2C"/>
                <w:sz w:val="16"/>
                <w:szCs w:val="16"/>
              </w:rPr>
              <w:t>Final Team</w:t>
            </w:r>
          </w:p>
        </w:tc>
      </w:tr>
      <w:tr w:rsidR="00A621E3">
        <w:trPr>
          <w:trHeight w:val="207"/>
        </w:trPr>
        <w:tc>
          <w:tcPr>
            <w:tcW w:w="3120" w:type="dxa"/>
            <w:vAlign w:val="bottom"/>
          </w:tcPr>
          <w:p w:rsidR="00A621E3" w:rsidRDefault="00EC630E">
            <w:pPr>
              <w:rPr>
                <w:sz w:val="20"/>
                <w:szCs w:val="20"/>
              </w:rPr>
            </w:pPr>
            <w:r>
              <w:rPr>
                <w:rFonts w:ascii="Arial" w:eastAsia="Arial" w:hAnsi="Arial" w:cs="Arial"/>
                <w:b/>
                <w:bCs/>
                <w:color w:val="CF0A2C"/>
                <w:sz w:val="16"/>
                <w:szCs w:val="16"/>
              </w:rPr>
              <w:t>Performance Measure</w:t>
            </w:r>
          </w:p>
        </w:tc>
        <w:tc>
          <w:tcPr>
            <w:tcW w:w="240" w:type="dxa"/>
            <w:tcBorders>
              <w:bottom w:val="single" w:sz="8" w:space="0" w:color="CF0A2C"/>
            </w:tcBorders>
            <w:shd w:val="clear" w:color="auto" w:fill="FAE6E9"/>
            <w:vAlign w:val="bottom"/>
          </w:tcPr>
          <w:p w:rsidR="00A621E3" w:rsidRDefault="00A621E3">
            <w:pPr>
              <w:rPr>
                <w:sz w:val="18"/>
                <w:szCs w:val="18"/>
              </w:rPr>
            </w:pPr>
          </w:p>
        </w:tc>
        <w:tc>
          <w:tcPr>
            <w:tcW w:w="1060" w:type="dxa"/>
            <w:tcBorders>
              <w:bottom w:val="single" w:sz="8" w:space="0" w:color="CF0A2C"/>
            </w:tcBorders>
            <w:shd w:val="clear" w:color="auto" w:fill="FAE6E9"/>
            <w:vAlign w:val="bottom"/>
          </w:tcPr>
          <w:p w:rsidR="00A621E3" w:rsidRDefault="00EC630E">
            <w:pPr>
              <w:ind w:right="150"/>
              <w:jc w:val="right"/>
              <w:rPr>
                <w:sz w:val="20"/>
                <w:szCs w:val="20"/>
              </w:rPr>
            </w:pPr>
            <w:r>
              <w:rPr>
                <w:rFonts w:ascii="Arial" w:eastAsia="Arial" w:hAnsi="Arial" w:cs="Arial"/>
                <w:b/>
                <w:bCs/>
                <w:color w:val="CF0A2C"/>
                <w:sz w:val="16"/>
                <w:szCs w:val="16"/>
              </w:rPr>
              <w:t>Threshold</w:t>
            </w:r>
          </w:p>
        </w:tc>
        <w:tc>
          <w:tcPr>
            <w:tcW w:w="880" w:type="dxa"/>
            <w:tcBorders>
              <w:bottom w:val="single" w:sz="8" w:space="0" w:color="CF0A2C"/>
            </w:tcBorders>
            <w:shd w:val="clear" w:color="auto" w:fill="FAE6E9"/>
            <w:vAlign w:val="bottom"/>
          </w:tcPr>
          <w:p w:rsidR="00A621E3" w:rsidRDefault="00EC630E">
            <w:pPr>
              <w:ind w:right="149"/>
              <w:jc w:val="right"/>
              <w:rPr>
                <w:sz w:val="20"/>
                <w:szCs w:val="20"/>
              </w:rPr>
            </w:pPr>
            <w:r>
              <w:rPr>
                <w:rFonts w:ascii="Arial" w:eastAsia="Arial" w:hAnsi="Arial" w:cs="Arial"/>
                <w:b/>
                <w:bCs/>
                <w:color w:val="CF0A2C"/>
                <w:sz w:val="16"/>
                <w:szCs w:val="16"/>
              </w:rPr>
              <w:t>Target</w:t>
            </w:r>
          </w:p>
        </w:tc>
        <w:tc>
          <w:tcPr>
            <w:tcW w:w="1140" w:type="dxa"/>
            <w:tcBorders>
              <w:bottom w:val="single" w:sz="8" w:space="0" w:color="CF0A2C"/>
            </w:tcBorders>
            <w:shd w:val="clear" w:color="auto" w:fill="FAE6E9"/>
            <w:vAlign w:val="bottom"/>
          </w:tcPr>
          <w:p w:rsidR="00A621E3" w:rsidRDefault="00EC630E">
            <w:pPr>
              <w:ind w:right="149"/>
              <w:jc w:val="right"/>
              <w:rPr>
                <w:sz w:val="20"/>
                <w:szCs w:val="20"/>
              </w:rPr>
            </w:pPr>
            <w:r>
              <w:rPr>
                <w:rFonts w:ascii="Arial" w:eastAsia="Arial" w:hAnsi="Arial" w:cs="Arial"/>
                <w:b/>
                <w:bCs/>
                <w:color w:val="CF0A2C"/>
                <w:sz w:val="16"/>
                <w:szCs w:val="16"/>
              </w:rPr>
              <w:t>Maximum</w:t>
            </w:r>
          </w:p>
        </w:tc>
        <w:tc>
          <w:tcPr>
            <w:tcW w:w="880" w:type="dxa"/>
            <w:tcBorders>
              <w:bottom w:val="single" w:sz="8" w:space="0" w:color="CF0A2C"/>
            </w:tcBorders>
            <w:shd w:val="clear" w:color="auto" w:fill="FAE6E9"/>
            <w:vAlign w:val="bottom"/>
          </w:tcPr>
          <w:p w:rsidR="00A621E3" w:rsidRDefault="00EC630E">
            <w:pPr>
              <w:ind w:right="149"/>
              <w:jc w:val="right"/>
              <w:rPr>
                <w:sz w:val="20"/>
                <w:szCs w:val="20"/>
              </w:rPr>
            </w:pPr>
            <w:r>
              <w:rPr>
                <w:rFonts w:ascii="Arial" w:eastAsia="Arial" w:hAnsi="Arial" w:cs="Arial"/>
                <w:b/>
                <w:bCs/>
                <w:color w:val="CF0A2C"/>
                <w:sz w:val="16"/>
                <w:szCs w:val="16"/>
              </w:rPr>
              <w:t>Actual</w:t>
            </w:r>
          </w:p>
        </w:tc>
        <w:tc>
          <w:tcPr>
            <w:tcW w:w="1360" w:type="dxa"/>
            <w:gridSpan w:val="2"/>
            <w:tcBorders>
              <w:bottom w:val="single" w:sz="8" w:space="0" w:color="CF0A2C"/>
            </w:tcBorders>
            <w:shd w:val="clear" w:color="auto" w:fill="FAE6E9"/>
            <w:vAlign w:val="bottom"/>
          </w:tcPr>
          <w:p w:rsidR="00A621E3" w:rsidRDefault="00EC630E">
            <w:pPr>
              <w:ind w:left="180"/>
              <w:rPr>
                <w:sz w:val="20"/>
                <w:szCs w:val="20"/>
              </w:rPr>
            </w:pPr>
            <w:r>
              <w:rPr>
                <w:rFonts w:ascii="Arial" w:eastAsia="Arial" w:hAnsi="Arial" w:cs="Arial"/>
                <w:b/>
                <w:bCs/>
                <w:color w:val="CF0A2C"/>
                <w:sz w:val="16"/>
                <w:szCs w:val="16"/>
              </w:rPr>
              <w:t>% of Target</w:t>
            </w:r>
          </w:p>
        </w:tc>
        <w:tc>
          <w:tcPr>
            <w:tcW w:w="1180" w:type="dxa"/>
            <w:gridSpan w:val="2"/>
            <w:tcBorders>
              <w:bottom w:val="single" w:sz="8" w:space="0" w:color="CF0A2C"/>
            </w:tcBorders>
            <w:shd w:val="clear" w:color="auto" w:fill="FAE6E9"/>
            <w:vAlign w:val="bottom"/>
          </w:tcPr>
          <w:p w:rsidR="00A621E3" w:rsidRDefault="00EC630E">
            <w:pPr>
              <w:ind w:right="320"/>
              <w:jc w:val="right"/>
              <w:rPr>
                <w:sz w:val="20"/>
                <w:szCs w:val="20"/>
              </w:rPr>
            </w:pPr>
            <w:r>
              <w:rPr>
                <w:rFonts w:ascii="Arial" w:eastAsia="Arial" w:hAnsi="Arial" w:cs="Arial"/>
                <w:b/>
                <w:bCs/>
                <w:color w:val="CF0A2C"/>
                <w:sz w:val="16"/>
                <w:szCs w:val="16"/>
              </w:rPr>
              <w:t>Weighting</w:t>
            </w:r>
          </w:p>
        </w:tc>
        <w:tc>
          <w:tcPr>
            <w:tcW w:w="1160" w:type="dxa"/>
            <w:gridSpan w:val="2"/>
            <w:tcBorders>
              <w:bottom w:val="single" w:sz="8" w:space="0" w:color="CF0A2C"/>
            </w:tcBorders>
            <w:shd w:val="clear" w:color="auto" w:fill="FAE6E9"/>
            <w:vAlign w:val="bottom"/>
          </w:tcPr>
          <w:p w:rsidR="00A621E3" w:rsidRDefault="00EC630E">
            <w:pPr>
              <w:ind w:right="40"/>
              <w:jc w:val="center"/>
              <w:rPr>
                <w:sz w:val="20"/>
                <w:szCs w:val="20"/>
              </w:rPr>
            </w:pPr>
            <w:r>
              <w:rPr>
                <w:rFonts w:ascii="Arial" w:eastAsia="Arial" w:hAnsi="Arial" w:cs="Arial"/>
                <w:b/>
                <w:bCs/>
                <w:color w:val="CF0A2C"/>
                <w:sz w:val="16"/>
                <w:szCs w:val="16"/>
              </w:rPr>
              <w:t>Performance</w:t>
            </w:r>
          </w:p>
        </w:tc>
      </w:tr>
      <w:tr w:rsidR="00A621E3">
        <w:trPr>
          <w:trHeight w:val="151"/>
        </w:trPr>
        <w:tc>
          <w:tcPr>
            <w:tcW w:w="3120" w:type="dxa"/>
            <w:vAlign w:val="bottom"/>
          </w:tcPr>
          <w:p w:rsidR="00A621E3" w:rsidRDefault="00EC630E">
            <w:pPr>
              <w:spacing w:line="151" w:lineRule="exact"/>
              <w:rPr>
                <w:sz w:val="20"/>
                <w:szCs w:val="20"/>
              </w:rPr>
            </w:pPr>
            <w:r>
              <w:rPr>
                <w:rFonts w:ascii="Arial" w:eastAsia="Arial" w:hAnsi="Arial" w:cs="Arial"/>
                <w:b/>
                <w:bCs/>
                <w:color w:val="CF0A2C"/>
                <w:sz w:val="16"/>
                <w:szCs w:val="16"/>
              </w:rPr>
              <w:t>R-TSR</w:t>
            </w:r>
          </w:p>
        </w:tc>
        <w:tc>
          <w:tcPr>
            <w:tcW w:w="240" w:type="dxa"/>
            <w:vAlign w:val="bottom"/>
          </w:tcPr>
          <w:p w:rsidR="00A621E3" w:rsidRDefault="00A621E3">
            <w:pPr>
              <w:rPr>
                <w:sz w:val="13"/>
                <w:szCs w:val="13"/>
              </w:rPr>
            </w:pPr>
          </w:p>
        </w:tc>
        <w:tc>
          <w:tcPr>
            <w:tcW w:w="1060" w:type="dxa"/>
            <w:vAlign w:val="bottom"/>
          </w:tcPr>
          <w:p w:rsidR="00A621E3" w:rsidRDefault="00EC630E">
            <w:pPr>
              <w:spacing w:line="151" w:lineRule="exact"/>
              <w:ind w:right="110"/>
              <w:jc w:val="right"/>
              <w:rPr>
                <w:sz w:val="20"/>
                <w:szCs w:val="20"/>
              </w:rPr>
            </w:pPr>
            <w:r>
              <w:rPr>
                <w:rFonts w:ascii="Arial" w:eastAsia="Arial" w:hAnsi="Arial" w:cs="Arial"/>
                <w:color w:val="CF0A2C"/>
                <w:sz w:val="12"/>
                <w:szCs w:val="12"/>
              </w:rPr>
              <w:t>25</w:t>
            </w:r>
            <w:r>
              <w:rPr>
                <w:rFonts w:ascii="Arial" w:eastAsia="Arial" w:hAnsi="Arial" w:cs="Arial"/>
                <w:color w:val="CF0A2C"/>
                <w:sz w:val="17"/>
                <w:szCs w:val="17"/>
                <w:vertAlign w:val="superscript"/>
              </w:rPr>
              <w:t>th</w:t>
            </w:r>
          </w:p>
        </w:tc>
        <w:tc>
          <w:tcPr>
            <w:tcW w:w="880" w:type="dxa"/>
            <w:vAlign w:val="bottom"/>
          </w:tcPr>
          <w:p w:rsidR="00A621E3" w:rsidRDefault="00EC630E">
            <w:pPr>
              <w:spacing w:line="151" w:lineRule="exact"/>
              <w:ind w:right="109"/>
              <w:jc w:val="right"/>
              <w:rPr>
                <w:sz w:val="20"/>
                <w:szCs w:val="20"/>
              </w:rPr>
            </w:pPr>
            <w:r>
              <w:rPr>
                <w:rFonts w:ascii="Arial" w:eastAsia="Arial" w:hAnsi="Arial" w:cs="Arial"/>
                <w:color w:val="CF0A2C"/>
                <w:sz w:val="12"/>
                <w:szCs w:val="12"/>
              </w:rPr>
              <w:t>55</w:t>
            </w:r>
            <w:r>
              <w:rPr>
                <w:rFonts w:ascii="Arial" w:eastAsia="Arial" w:hAnsi="Arial" w:cs="Arial"/>
                <w:color w:val="CF0A2C"/>
                <w:sz w:val="17"/>
                <w:szCs w:val="17"/>
                <w:vertAlign w:val="superscript"/>
              </w:rPr>
              <w:t>th</w:t>
            </w:r>
          </w:p>
        </w:tc>
        <w:tc>
          <w:tcPr>
            <w:tcW w:w="1140" w:type="dxa"/>
            <w:vAlign w:val="bottom"/>
          </w:tcPr>
          <w:p w:rsidR="00A621E3" w:rsidRDefault="00EC630E">
            <w:pPr>
              <w:spacing w:line="151" w:lineRule="exact"/>
              <w:ind w:right="109"/>
              <w:jc w:val="right"/>
              <w:rPr>
                <w:sz w:val="20"/>
                <w:szCs w:val="20"/>
              </w:rPr>
            </w:pPr>
            <w:r>
              <w:rPr>
                <w:rFonts w:ascii="Arial" w:eastAsia="Arial" w:hAnsi="Arial" w:cs="Arial"/>
                <w:color w:val="CF0A2C"/>
                <w:sz w:val="12"/>
                <w:szCs w:val="12"/>
              </w:rPr>
              <w:t>85</w:t>
            </w:r>
            <w:r>
              <w:rPr>
                <w:rFonts w:ascii="Arial" w:eastAsia="Arial" w:hAnsi="Arial" w:cs="Arial"/>
                <w:color w:val="CF0A2C"/>
                <w:sz w:val="17"/>
                <w:szCs w:val="17"/>
                <w:vertAlign w:val="superscript"/>
              </w:rPr>
              <w:t>th</w:t>
            </w:r>
          </w:p>
        </w:tc>
        <w:tc>
          <w:tcPr>
            <w:tcW w:w="880" w:type="dxa"/>
            <w:vAlign w:val="bottom"/>
          </w:tcPr>
          <w:p w:rsidR="00A621E3" w:rsidRDefault="00EC630E">
            <w:pPr>
              <w:spacing w:line="151" w:lineRule="exact"/>
              <w:ind w:right="89"/>
              <w:jc w:val="right"/>
              <w:rPr>
                <w:sz w:val="20"/>
                <w:szCs w:val="20"/>
              </w:rPr>
            </w:pPr>
            <w:r>
              <w:rPr>
                <w:rFonts w:ascii="Arial" w:eastAsia="Arial" w:hAnsi="Arial" w:cs="Arial"/>
                <w:color w:val="CF0A2C"/>
                <w:sz w:val="12"/>
                <w:szCs w:val="12"/>
              </w:rPr>
              <w:t>68.91</w:t>
            </w:r>
            <w:r>
              <w:rPr>
                <w:rFonts w:ascii="Arial" w:eastAsia="Arial" w:hAnsi="Arial" w:cs="Arial"/>
                <w:color w:val="CF0A2C"/>
                <w:sz w:val="17"/>
                <w:szCs w:val="17"/>
                <w:vertAlign w:val="superscript"/>
              </w:rPr>
              <w:t>th</w:t>
            </w:r>
          </w:p>
        </w:tc>
        <w:tc>
          <w:tcPr>
            <w:tcW w:w="1360" w:type="dxa"/>
            <w:gridSpan w:val="2"/>
            <w:vAlign w:val="bottom"/>
          </w:tcPr>
          <w:p w:rsidR="00A621E3" w:rsidRDefault="00EC630E">
            <w:pPr>
              <w:spacing w:line="151" w:lineRule="exact"/>
              <w:ind w:right="280"/>
              <w:jc w:val="right"/>
              <w:rPr>
                <w:sz w:val="20"/>
                <w:szCs w:val="20"/>
              </w:rPr>
            </w:pPr>
            <w:r>
              <w:rPr>
                <w:rFonts w:ascii="Arial" w:eastAsia="Arial" w:hAnsi="Arial" w:cs="Arial"/>
                <w:color w:val="CF0A2C"/>
                <w:sz w:val="14"/>
                <w:szCs w:val="14"/>
              </w:rPr>
              <w:t>146.36%</w:t>
            </w:r>
          </w:p>
        </w:tc>
        <w:tc>
          <w:tcPr>
            <w:tcW w:w="1180" w:type="dxa"/>
            <w:gridSpan w:val="2"/>
            <w:vAlign w:val="bottom"/>
          </w:tcPr>
          <w:p w:rsidR="00A621E3" w:rsidRDefault="00EC630E">
            <w:pPr>
              <w:spacing w:line="151" w:lineRule="exact"/>
              <w:ind w:right="280"/>
              <w:jc w:val="right"/>
              <w:rPr>
                <w:sz w:val="20"/>
                <w:szCs w:val="20"/>
              </w:rPr>
            </w:pPr>
            <w:r>
              <w:rPr>
                <w:rFonts w:ascii="Arial" w:eastAsia="Arial" w:hAnsi="Arial" w:cs="Arial"/>
                <w:color w:val="CF0A2C"/>
                <w:sz w:val="14"/>
                <w:szCs w:val="14"/>
              </w:rPr>
              <w:t>60%</w:t>
            </w:r>
          </w:p>
        </w:tc>
        <w:tc>
          <w:tcPr>
            <w:tcW w:w="1160" w:type="dxa"/>
            <w:gridSpan w:val="2"/>
            <w:vAlign w:val="bottom"/>
          </w:tcPr>
          <w:p w:rsidR="00A621E3" w:rsidRDefault="00EC630E">
            <w:pPr>
              <w:spacing w:line="151" w:lineRule="exact"/>
              <w:ind w:right="60"/>
              <w:jc w:val="right"/>
              <w:rPr>
                <w:sz w:val="20"/>
                <w:szCs w:val="20"/>
              </w:rPr>
            </w:pPr>
            <w:r>
              <w:rPr>
                <w:rFonts w:ascii="Arial" w:eastAsia="Arial" w:hAnsi="Arial" w:cs="Arial"/>
                <w:color w:val="CF0A2C"/>
                <w:sz w:val="14"/>
                <w:szCs w:val="14"/>
              </w:rPr>
              <w:t>87.82%</w:t>
            </w:r>
          </w:p>
        </w:tc>
      </w:tr>
      <w:tr w:rsidR="00A621E3">
        <w:trPr>
          <w:trHeight w:val="189"/>
        </w:trPr>
        <w:tc>
          <w:tcPr>
            <w:tcW w:w="3120" w:type="dxa"/>
            <w:vAlign w:val="bottom"/>
          </w:tcPr>
          <w:p w:rsidR="00A621E3" w:rsidRDefault="00EC630E">
            <w:pPr>
              <w:spacing w:line="189" w:lineRule="exact"/>
              <w:rPr>
                <w:sz w:val="20"/>
                <w:szCs w:val="20"/>
              </w:rPr>
            </w:pPr>
            <w:r>
              <w:rPr>
                <w:rFonts w:ascii="Arial" w:eastAsia="Arial" w:hAnsi="Arial" w:cs="Arial"/>
                <w:b/>
                <w:bCs/>
                <w:color w:val="CF0A2C"/>
                <w:sz w:val="14"/>
                <w:szCs w:val="14"/>
              </w:rPr>
              <w:t>Adjusted Total Revenue CAGR</w:t>
            </w:r>
            <w:r>
              <w:rPr>
                <w:rFonts w:ascii="Arial" w:eastAsia="Arial" w:hAnsi="Arial" w:cs="Arial"/>
                <w:b/>
                <w:bCs/>
                <w:color w:val="CF0A2C"/>
                <w:sz w:val="21"/>
                <w:szCs w:val="21"/>
                <w:vertAlign w:val="superscript"/>
              </w:rPr>
              <w:t>(1)</w:t>
            </w:r>
          </w:p>
        </w:tc>
        <w:tc>
          <w:tcPr>
            <w:tcW w:w="1300" w:type="dxa"/>
            <w:gridSpan w:val="2"/>
            <w:vAlign w:val="bottom"/>
          </w:tcPr>
          <w:p w:rsidR="00A621E3" w:rsidRDefault="00EC630E">
            <w:pPr>
              <w:ind w:right="110"/>
              <w:jc w:val="right"/>
              <w:rPr>
                <w:sz w:val="20"/>
                <w:szCs w:val="20"/>
              </w:rPr>
            </w:pPr>
            <w:r>
              <w:rPr>
                <w:rFonts w:ascii="Arial" w:eastAsia="Arial" w:hAnsi="Arial" w:cs="Arial"/>
                <w:color w:val="CF0A2C"/>
                <w:sz w:val="14"/>
                <w:szCs w:val="14"/>
              </w:rPr>
              <w:t>4%</w:t>
            </w:r>
          </w:p>
        </w:tc>
        <w:tc>
          <w:tcPr>
            <w:tcW w:w="880" w:type="dxa"/>
            <w:vAlign w:val="bottom"/>
          </w:tcPr>
          <w:p w:rsidR="00A621E3" w:rsidRDefault="00EC630E">
            <w:pPr>
              <w:ind w:right="109"/>
              <w:jc w:val="right"/>
              <w:rPr>
                <w:sz w:val="20"/>
                <w:szCs w:val="20"/>
              </w:rPr>
            </w:pPr>
            <w:r>
              <w:rPr>
                <w:rFonts w:ascii="Arial" w:eastAsia="Arial" w:hAnsi="Arial" w:cs="Arial"/>
                <w:color w:val="CF0A2C"/>
                <w:sz w:val="14"/>
                <w:szCs w:val="14"/>
              </w:rPr>
              <w:t>7%</w:t>
            </w:r>
          </w:p>
        </w:tc>
        <w:tc>
          <w:tcPr>
            <w:tcW w:w="1140" w:type="dxa"/>
            <w:vAlign w:val="bottom"/>
          </w:tcPr>
          <w:p w:rsidR="00A621E3" w:rsidRDefault="00EC630E">
            <w:pPr>
              <w:ind w:right="109"/>
              <w:jc w:val="right"/>
              <w:rPr>
                <w:sz w:val="20"/>
                <w:szCs w:val="20"/>
              </w:rPr>
            </w:pPr>
            <w:r>
              <w:rPr>
                <w:rFonts w:ascii="Arial" w:eastAsia="Arial" w:hAnsi="Arial" w:cs="Arial"/>
                <w:color w:val="CF0A2C"/>
                <w:sz w:val="14"/>
                <w:szCs w:val="14"/>
              </w:rPr>
              <w:t>10%</w:t>
            </w:r>
          </w:p>
        </w:tc>
        <w:tc>
          <w:tcPr>
            <w:tcW w:w="880" w:type="dxa"/>
            <w:vAlign w:val="bottom"/>
          </w:tcPr>
          <w:p w:rsidR="00A621E3" w:rsidRDefault="00EC630E">
            <w:pPr>
              <w:ind w:right="89"/>
              <w:jc w:val="right"/>
              <w:rPr>
                <w:sz w:val="20"/>
                <w:szCs w:val="20"/>
              </w:rPr>
            </w:pPr>
            <w:r>
              <w:rPr>
                <w:rFonts w:ascii="Arial" w:eastAsia="Arial" w:hAnsi="Arial" w:cs="Arial"/>
                <w:color w:val="CF0A2C"/>
                <w:sz w:val="14"/>
                <w:szCs w:val="14"/>
              </w:rPr>
              <w:t>3%</w:t>
            </w:r>
          </w:p>
        </w:tc>
        <w:tc>
          <w:tcPr>
            <w:tcW w:w="1360" w:type="dxa"/>
            <w:gridSpan w:val="2"/>
            <w:vAlign w:val="bottom"/>
          </w:tcPr>
          <w:p w:rsidR="00A621E3" w:rsidRDefault="00EC630E">
            <w:pPr>
              <w:ind w:right="280"/>
              <w:jc w:val="right"/>
              <w:rPr>
                <w:sz w:val="20"/>
                <w:szCs w:val="20"/>
              </w:rPr>
            </w:pPr>
            <w:r>
              <w:rPr>
                <w:rFonts w:ascii="Arial" w:eastAsia="Arial" w:hAnsi="Arial" w:cs="Arial"/>
                <w:color w:val="CF0A2C"/>
                <w:sz w:val="14"/>
                <w:szCs w:val="14"/>
              </w:rPr>
              <w:t>0%</w:t>
            </w:r>
          </w:p>
        </w:tc>
        <w:tc>
          <w:tcPr>
            <w:tcW w:w="1180" w:type="dxa"/>
            <w:gridSpan w:val="2"/>
            <w:vAlign w:val="bottom"/>
          </w:tcPr>
          <w:p w:rsidR="00A621E3" w:rsidRDefault="00EC630E">
            <w:pPr>
              <w:ind w:right="280"/>
              <w:jc w:val="right"/>
              <w:rPr>
                <w:sz w:val="20"/>
                <w:szCs w:val="20"/>
              </w:rPr>
            </w:pPr>
            <w:r>
              <w:rPr>
                <w:rFonts w:ascii="Arial" w:eastAsia="Arial" w:hAnsi="Arial" w:cs="Arial"/>
                <w:color w:val="CF0A2C"/>
                <w:sz w:val="14"/>
                <w:szCs w:val="14"/>
              </w:rPr>
              <w:t>24%</w:t>
            </w:r>
          </w:p>
        </w:tc>
        <w:tc>
          <w:tcPr>
            <w:tcW w:w="1160" w:type="dxa"/>
            <w:gridSpan w:val="2"/>
            <w:vAlign w:val="bottom"/>
          </w:tcPr>
          <w:p w:rsidR="00A621E3" w:rsidRDefault="00EC630E">
            <w:pPr>
              <w:ind w:right="60"/>
              <w:jc w:val="right"/>
              <w:rPr>
                <w:sz w:val="20"/>
                <w:szCs w:val="20"/>
              </w:rPr>
            </w:pPr>
            <w:r>
              <w:rPr>
                <w:rFonts w:ascii="Arial" w:eastAsia="Arial" w:hAnsi="Arial" w:cs="Arial"/>
                <w:color w:val="CF0A2C"/>
                <w:sz w:val="14"/>
                <w:szCs w:val="14"/>
              </w:rPr>
              <w:t>0%</w:t>
            </w:r>
          </w:p>
        </w:tc>
      </w:tr>
      <w:tr w:rsidR="00A621E3">
        <w:trPr>
          <w:trHeight w:val="189"/>
        </w:trPr>
        <w:tc>
          <w:tcPr>
            <w:tcW w:w="3120" w:type="dxa"/>
            <w:vAlign w:val="bottom"/>
          </w:tcPr>
          <w:p w:rsidR="00A621E3" w:rsidRDefault="00EC630E">
            <w:pPr>
              <w:spacing w:line="189" w:lineRule="exact"/>
              <w:rPr>
                <w:sz w:val="20"/>
                <w:szCs w:val="20"/>
              </w:rPr>
            </w:pPr>
            <w:r>
              <w:rPr>
                <w:rFonts w:ascii="Arial" w:eastAsia="Arial" w:hAnsi="Arial" w:cs="Arial"/>
                <w:b/>
                <w:bCs/>
                <w:color w:val="CF0A2C"/>
                <w:sz w:val="14"/>
                <w:szCs w:val="14"/>
              </w:rPr>
              <w:t>Adjusted Diluted EPS CAGR</w:t>
            </w:r>
            <w:r>
              <w:rPr>
                <w:rFonts w:ascii="Arial" w:eastAsia="Arial" w:hAnsi="Arial" w:cs="Arial"/>
                <w:b/>
                <w:bCs/>
                <w:color w:val="CF0A2C"/>
                <w:sz w:val="21"/>
                <w:szCs w:val="21"/>
                <w:vertAlign w:val="superscript"/>
              </w:rPr>
              <w:t>(2)</w:t>
            </w:r>
          </w:p>
        </w:tc>
        <w:tc>
          <w:tcPr>
            <w:tcW w:w="1300" w:type="dxa"/>
            <w:gridSpan w:val="2"/>
            <w:vAlign w:val="bottom"/>
          </w:tcPr>
          <w:p w:rsidR="00A621E3" w:rsidRDefault="00EC630E">
            <w:pPr>
              <w:ind w:right="110"/>
              <w:jc w:val="right"/>
              <w:rPr>
                <w:sz w:val="20"/>
                <w:szCs w:val="20"/>
              </w:rPr>
            </w:pPr>
            <w:r>
              <w:rPr>
                <w:rFonts w:ascii="Arial" w:eastAsia="Arial" w:hAnsi="Arial" w:cs="Arial"/>
                <w:color w:val="CF0A2C"/>
                <w:sz w:val="14"/>
                <w:szCs w:val="14"/>
              </w:rPr>
              <w:t>4.5%</w:t>
            </w:r>
          </w:p>
        </w:tc>
        <w:tc>
          <w:tcPr>
            <w:tcW w:w="880" w:type="dxa"/>
            <w:vAlign w:val="bottom"/>
          </w:tcPr>
          <w:p w:rsidR="00A621E3" w:rsidRDefault="00EC630E">
            <w:pPr>
              <w:ind w:right="109"/>
              <w:jc w:val="right"/>
              <w:rPr>
                <w:sz w:val="20"/>
                <w:szCs w:val="20"/>
              </w:rPr>
            </w:pPr>
            <w:r>
              <w:rPr>
                <w:rFonts w:ascii="Arial" w:eastAsia="Arial" w:hAnsi="Arial" w:cs="Arial"/>
                <w:color w:val="CF0A2C"/>
                <w:sz w:val="14"/>
                <w:szCs w:val="14"/>
              </w:rPr>
              <w:t>7.25%</w:t>
            </w:r>
          </w:p>
        </w:tc>
        <w:tc>
          <w:tcPr>
            <w:tcW w:w="1140" w:type="dxa"/>
            <w:vAlign w:val="bottom"/>
          </w:tcPr>
          <w:p w:rsidR="00A621E3" w:rsidRDefault="00EC630E">
            <w:pPr>
              <w:ind w:right="109"/>
              <w:jc w:val="right"/>
              <w:rPr>
                <w:sz w:val="20"/>
                <w:szCs w:val="20"/>
              </w:rPr>
            </w:pPr>
            <w:r>
              <w:rPr>
                <w:rFonts w:ascii="Arial" w:eastAsia="Arial" w:hAnsi="Arial" w:cs="Arial"/>
                <w:color w:val="CF0A2C"/>
                <w:sz w:val="14"/>
                <w:szCs w:val="14"/>
              </w:rPr>
              <w:t>10%</w:t>
            </w:r>
          </w:p>
        </w:tc>
        <w:tc>
          <w:tcPr>
            <w:tcW w:w="880" w:type="dxa"/>
            <w:vAlign w:val="bottom"/>
          </w:tcPr>
          <w:p w:rsidR="00A621E3" w:rsidRDefault="00EC630E">
            <w:pPr>
              <w:ind w:right="89"/>
              <w:jc w:val="right"/>
              <w:rPr>
                <w:sz w:val="20"/>
                <w:szCs w:val="20"/>
              </w:rPr>
            </w:pPr>
            <w:r>
              <w:rPr>
                <w:rFonts w:ascii="Arial" w:eastAsia="Arial" w:hAnsi="Arial" w:cs="Arial"/>
                <w:color w:val="CF0A2C"/>
                <w:sz w:val="14"/>
                <w:szCs w:val="14"/>
              </w:rPr>
              <w:t>-12%</w:t>
            </w:r>
          </w:p>
        </w:tc>
        <w:tc>
          <w:tcPr>
            <w:tcW w:w="1360" w:type="dxa"/>
            <w:gridSpan w:val="2"/>
            <w:vAlign w:val="bottom"/>
          </w:tcPr>
          <w:p w:rsidR="00A621E3" w:rsidRDefault="00EC630E">
            <w:pPr>
              <w:ind w:right="280"/>
              <w:jc w:val="right"/>
              <w:rPr>
                <w:sz w:val="20"/>
                <w:szCs w:val="20"/>
              </w:rPr>
            </w:pPr>
            <w:r>
              <w:rPr>
                <w:rFonts w:ascii="Arial" w:eastAsia="Arial" w:hAnsi="Arial" w:cs="Arial"/>
                <w:color w:val="CF0A2C"/>
                <w:sz w:val="14"/>
                <w:szCs w:val="14"/>
              </w:rPr>
              <w:t>0%</w:t>
            </w:r>
          </w:p>
        </w:tc>
        <w:tc>
          <w:tcPr>
            <w:tcW w:w="1180" w:type="dxa"/>
            <w:gridSpan w:val="2"/>
            <w:vAlign w:val="bottom"/>
          </w:tcPr>
          <w:p w:rsidR="00A621E3" w:rsidRDefault="00EC630E">
            <w:pPr>
              <w:ind w:right="280"/>
              <w:jc w:val="right"/>
              <w:rPr>
                <w:sz w:val="20"/>
                <w:szCs w:val="20"/>
              </w:rPr>
            </w:pPr>
            <w:r>
              <w:rPr>
                <w:rFonts w:ascii="Arial" w:eastAsia="Arial" w:hAnsi="Arial" w:cs="Arial"/>
                <w:color w:val="CF0A2C"/>
                <w:sz w:val="14"/>
                <w:szCs w:val="14"/>
              </w:rPr>
              <w:t>16%</w:t>
            </w:r>
          </w:p>
        </w:tc>
        <w:tc>
          <w:tcPr>
            <w:tcW w:w="1160" w:type="dxa"/>
            <w:gridSpan w:val="2"/>
            <w:vAlign w:val="bottom"/>
          </w:tcPr>
          <w:p w:rsidR="00A621E3" w:rsidRDefault="00EC630E">
            <w:pPr>
              <w:ind w:right="60"/>
              <w:jc w:val="right"/>
              <w:rPr>
                <w:sz w:val="20"/>
                <w:szCs w:val="20"/>
              </w:rPr>
            </w:pPr>
            <w:r>
              <w:rPr>
                <w:rFonts w:ascii="Arial" w:eastAsia="Arial" w:hAnsi="Arial" w:cs="Arial"/>
                <w:color w:val="CF0A2C"/>
                <w:sz w:val="14"/>
                <w:szCs w:val="14"/>
              </w:rPr>
              <w:t>0%</w:t>
            </w:r>
          </w:p>
        </w:tc>
      </w:tr>
      <w:tr w:rsidR="00A621E3">
        <w:trPr>
          <w:trHeight w:val="207"/>
        </w:trPr>
        <w:tc>
          <w:tcPr>
            <w:tcW w:w="3120" w:type="dxa"/>
            <w:vAlign w:val="bottom"/>
          </w:tcPr>
          <w:p w:rsidR="00A621E3" w:rsidRDefault="00EC630E">
            <w:pPr>
              <w:rPr>
                <w:sz w:val="20"/>
                <w:szCs w:val="20"/>
              </w:rPr>
            </w:pPr>
            <w:r>
              <w:rPr>
                <w:rFonts w:ascii="Arial" w:eastAsia="Arial" w:hAnsi="Arial" w:cs="Arial"/>
                <w:b/>
                <w:bCs/>
                <w:color w:val="CF0A2C"/>
                <w:sz w:val="16"/>
                <w:szCs w:val="16"/>
              </w:rPr>
              <w:t>Final Payout Ratio</w:t>
            </w:r>
          </w:p>
        </w:tc>
        <w:tc>
          <w:tcPr>
            <w:tcW w:w="240" w:type="dxa"/>
            <w:vAlign w:val="bottom"/>
          </w:tcPr>
          <w:p w:rsidR="00A621E3" w:rsidRDefault="00A621E3">
            <w:pPr>
              <w:rPr>
                <w:sz w:val="18"/>
                <w:szCs w:val="18"/>
              </w:rPr>
            </w:pPr>
          </w:p>
        </w:tc>
        <w:tc>
          <w:tcPr>
            <w:tcW w:w="1060" w:type="dxa"/>
            <w:tcBorders>
              <w:bottom w:val="single" w:sz="8" w:space="0" w:color="CF0A2C"/>
            </w:tcBorders>
            <w:vAlign w:val="bottom"/>
          </w:tcPr>
          <w:p w:rsidR="00A621E3" w:rsidRDefault="00A621E3">
            <w:pPr>
              <w:rPr>
                <w:sz w:val="18"/>
                <w:szCs w:val="18"/>
              </w:rPr>
            </w:pPr>
          </w:p>
        </w:tc>
        <w:tc>
          <w:tcPr>
            <w:tcW w:w="880" w:type="dxa"/>
            <w:tcBorders>
              <w:bottom w:val="single" w:sz="8" w:space="0" w:color="CF0A2C"/>
            </w:tcBorders>
            <w:vAlign w:val="bottom"/>
          </w:tcPr>
          <w:p w:rsidR="00A621E3" w:rsidRDefault="00A621E3">
            <w:pPr>
              <w:rPr>
                <w:sz w:val="18"/>
                <w:szCs w:val="18"/>
              </w:rPr>
            </w:pPr>
          </w:p>
        </w:tc>
        <w:tc>
          <w:tcPr>
            <w:tcW w:w="1140" w:type="dxa"/>
            <w:tcBorders>
              <w:bottom w:val="single" w:sz="8" w:space="0" w:color="CF0A2C"/>
            </w:tcBorders>
            <w:vAlign w:val="bottom"/>
          </w:tcPr>
          <w:p w:rsidR="00A621E3" w:rsidRDefault="00A621E3">
            <w:pPr>
              <w:rPr>
                <w:sz w:val="18"/>
                <w:szCs w:val="18"/>
              </w:rPr>
            </w:pPr>
          </w:p>
        </w:tc>
        <w:tc>
          <w:tcPr>
            <w:tcW w:w="880" w:type="dxa"/>
            <w:tcBorders>
              <w:bottom w:val="single" w:sz="8" w:space="0" w:color="CF0A2C"/>
            </w:tcBorders>
            <w:vAlign w:val="bottom"/>
          </w:tcPr>
          <w:p w:rsidR="00A621E3" w:rsidRDefault="00A621E3">
            <w:pPr>
              <w:rPr>
                <w:sz w:val="18"/>
                <w:szCs w:val="18"/>
              </w:rPr>
            </w:pPr>
          </w:p>
        </w:tc>
        <w:tc>
          <w:tcPr>
            <w:tcW w:w="1080" w:type="dxa"/>
            <w:tcBorders>
              <w:bottom w:val="single" w:sz="8" w:space="0" w:color="CF0A2C"/>
            </w:tcBorders>
            <w:vAlign w:val="bottom"/>
          </w:tcPr>
          <w:p w:rsidR="00A621E3" w:rsidRDefault="00A621E3">
            <w:pPr>
              <w:rPr>
                <w:sz w:val="18"/>
                <w:szCs w:val="18"/>
              </w:rPr>
            </w:pPr>
          </w:p>
        </w:tc>
        <w:tc>
          <w:tcPr>
            <w:tcW w:w="280" w:type="dxa"/>
            <w:vAlign w:val="bottom"/>
          </w:tcPr>
          <w:p w:rsidR="00A621E3" w:rsidRDefault="00A621E3">
            <w:pPr>
              <w:rPr>
                <w:sz w:val="18"/>
                <w:szCs w:val="18"/>
              </w:rPr>
            </w:pPr>
          </w:p>
        </w:tc>
        <w:tc>
          <w:tcPr>
            <w:tcW w:w="900" w:type="dxa"/>
            <w:tcBorders>
              <w:bottom w:val="single" w:sz="8" w:space="0" w:color="CF0A2C"/>
            </w:tcBorders>
            <w:vAlign w:val="bottom"/>
          </w:tcPr>
          <w:p w:rsidR="00A621E3" w:rsidRDefault="00A621E3">
            <w:pPr>
              <w:rPr>
                <w:sz w:val="18"/>
                <w:szCs w:val="18"/>
              </w:rPr>
            </w:pPr>
          </w:p>
        </w:tc>
        <w:tc>
          <w:tcPr>
            <w:tcW w:w="280" w:type="dxa"/>
            <w:vAlign w:val="bottom"/>
          </w:tcPr>
          <w:p w:rsidR="00A621E3" w:rsidRDefault="00A621E3">
            <w:pPr>
              <w:rPr>
                <w:sz w:val="18"/>
                <w:szCs w:val="18"/>
              </w:rPr>
            </w:pPr>
          </w:p>
        </w:tc>
        <w:tc>
          <w:tcPr>
            <w:tcW w:w="1100" w:type="dxa"/>
            <w:tcBorders>
              <w:bottom w:val="single" w:sz="8" w:space="0" w:color="CF0A2C"/>
            </w:tcBorders>
            <w:vAlign w:val="bottom"/>
          </w:tcPr>
          <w:p w:rsidR="00A621E3" w:rsidRDefault="00EC630E">
            <w:pPr>
              <w:jc w:val="right"/>
              <w:rPr>
                <w:sz w:val="20"/>
                <w:szCs w:val="20"/>
              </w:rPr>
            </w:pPr>
            <w:r>
              <w:rPr>
                <w:rFonts w:ascii="Arial" w:eastAsia="Arial" w:hAnsi="Arial" w:cs="Arial"/>
                <w:color w:val="CF0A2C"/>
                <w:sz w:val="14"/>
                <w:szCs w:val="14"/>
              </w:rPr>
              <w:t>87.82%</w:t>
            </w:r>
          </w:p>
        </w:tc>
        <w:tc>
          <w:tcPr>
            <w:tcW w:w="60" w:type="dxa"/>
            <w:vAlign w:val="bottom"/>
          </w:tcPr>
          <w:p w:rsidR="00A621E3" w:rsidRDefault="00A621E3">
            <w:pPr>
              <w:rPr>
                <w:sz w:val="18"/>
                <w:szCs w:val="18"/>
              </w:rPr>
            </w:pPr>
          </w:p>
        </w:tc>
      </w:tr>
    </w:tbl>
    <w:p w:rsidR="00A621E3" w:rsidRDefault="00A621E3">
      <w:pPr>
        <w:spacing w:line="294" w:lineRule="exact"/>
        <w:rPr>
          <w:sz w:val="20"/>
          <w:szCs w:val="20"/>
        </w:rPr>
      </w:pPr>
    </w:p>
    <w:p w:rsidR="00A621E3" w:rsidRDefault="00EC630E">
      <w:pPr>
        <w:numPr>
          <w:ilvl w:val="0"/>
          <w:numId w:val="82"/>
        </w:numPr>
        <w:tabs>
          <w:tab w:val="left" w:pos="760"/>
        </w:tabs>
        <w:spacing w:line="275" w:lineRule="auto"/>
        <w:ind w:left="760" w:hanging="644"/>
        <w:jc w:val="both"/>
        <w:rPr>
          <w:rFonts w:ascii="Arial" w:eastAsia="Arial" w:hAnsi="Arial" w:cs="Arial"/>
          <w:color w:val="CF0A2C"/>
          <w:sz w:val="18"/>
          <w:szCs w:val="18"/>
        </w:rPr>
      </w:pPr>
      <w:r>
        <w:rPr>
          <w:rFonts w:ascii="Arial" w:eastAsia="Arial" w:hAnsi="Arial" w:cs="Arial"/>
          <w:sz w:val="18"/>
          <w:szCs w:val="18"/>
        </w:rPr>
        <w:t xml:space="preserve">Adjusted Total Revenue represents total </w:t>
      </w:r>
      <w:r>
        <w:rPr>
          <w:rFonts w:ascii="Arial" w:eastAsia="Arial" w:hAnsi="Arial" w:cs="Arial"/>
          <w:sz w:val="18"/>
          <w:szCs w:val="18"/>
        </w:rPr>
        <w:t>revenues as reported in the Consolidated Financial Statements included in the Annual Report on Form 10-K for the year ended December 31, 2022 (the “</w:t>
      </w:r>
      <w:r>
        <w:rPr>
          <w:rFonts w:ascii="Arial" w:eastAsia="Arial" w:hAnsi="Arial" w:cs="Arial"/>
          <w:b/>
          <w:bCs/>
          <w:i/>
          <w:iCs/>
          <w:sz w:val="18"/>
          <w:szCs w:val="18"/>
        </w:rPr>
        <w:t>Audited Financial Statements</w:t>
      </w:r>
      <w:r>
        <w:rPr>
          <w:rFonts w:ascii="Arial" w:eastAsia="Arial" w:hAnsi="Arial" w:cs="Arial"/>
          <w:sz w:val="18"/>
          <w:szCs w:val="18"/>
        </w:rPr>
        <w:t>”), but adjusted to exclude</w:t>
      </w:r>
    </w:p>
    <w:p w:rsidR="00A621E3" w:rsidRDefault="00EC630E">
      <w:pPr>
        <w:numPr>
          <w:ilvl w:val="1"/>
          <w:numId w:val="82"/>
        </w:numPr>
        <w:tabs>
          <w:tab w:val="left" w:pos="1039"/>
        </w:tabs>
        <w:spacing w:line="241" w:lineRule="auto"/>
        <w:ind w:left="760" w:right="20" w:firstLine="4"/>
        <w:jc w:val="both"/>
        <w:rPr>
          <w:rFonts w:ascii="Arial" w:eastAsia="Arial" w:hAnsi="Arial" w:cs="Arial"/>
          <w:sz w:val="20"/>
          <w:szCs w:val="20"/>
        </w:rPr>
      </w:pPr>
      <w:r>
        <w:rPr>
          <w:rFonts w:ascii="Arial" w:eastAsia="Arial" w:hAnsi="Arial" w:cs="Arial"/>
          <w:sz w:val="20"/>
          <w:szCs w:val="20"/>
        </w:rPr>
        <w:t xml:space="preserve">revenues from transactions with franchisees and </w:t>
      </w:r>
      <w:r>
        <w:rPr>
          <w:rFonts w:ascii="Arial" w:eastAsia="Arial" w:hAnsi="Arial" w:cs="Arial"/>
          <w:sz w:val="20"/>
          <w:szCs w:val="20"/>
        </w:rPr>
        <w:t>unconsolidated affiliates; (ii) revenues generated from certain emerging brands; and (iii) the impact of foreign currency fluctuations. The performance goal is measured from 2019 year-end results, which is the base year for measuring CAGR.</w:t>
      </w:r>
    </w:p>
    <w:p w:rsidR="00A621E3" w:rsidRDefault="00A621E3">
      <w:pPr>
        <w:spacing w:line="276" w:lineRule="exact"/>
        <w:rPr>
          <w:rFonts w:ascii="Arial" w:eastAsia="Arial" w:hAnsi="Arial" w:cs="Arial"/>
          <w:sz w:val="20"/>
          <w:szCs w:val="20"/>
        </w:rPr>
      </w:pPr>
    </w:p>
    <w:p w:rsidR="00A621E3" w:rsidRDefault="00EC630E">
      <w:pPr>
        <w:numPr>
          <w:ilvl w:val="0"/>
          <w:numId w:val="82"/>
        </w:numPr>
        <w:tabs>
          <w:tab w:val="left" w:pos="760"/>
        </w:tabs>
        <w:spacing w:line="260" w:lineRule="auto"/>
        <w:ind w:left="760" w:right="20" w:hanging="644"/>
        <w:rPr>
          <w:rFonts w:ascii="Arial" w:eastAsia="Arial" w:hAnsi="Arial" w:cs="Arial"/>
          <w:color w:val="CF0A2C"/>
          <w:sz w:val="20"/>
          <w:szCs w:val="20"/>
        </w:rPr>
      </w:pPr>
      <w:r>
        <w:rPr>
          <w:rFonts w:ascii="Arial" w:eastAsia="Arial" w:hAnsi="Arial" w:cs="Arial"/>
          <w:sz w:val="20"/>
          <w:szCs w:val="20"/>
        </w:rPr>
        <w:t>Adjusted Dilute</w:t>
      </w:r>
      <w:r>
        <w:rPr>
          <w:rFonts w:ascii="Arial" w:eastAsia="Arial" w:hAnsi="Arial" w:cs="Arial"/>
          <w:sz w:val="20"/>
          <w:szCs w:val="20"/>
        </w:rPr>
        <w:t>d EPS is defined as Adjusted Net Income divided by Adjusted Weighted-Average Common and Diluted Potential Common Shares Outstanding, where:</w:t>
      </w:r>
    </w:p>
    <w:p w:rsidR="00A621E3" w:rsidRDefault="00A621E3">
      <w:pPr>
        <w:spacing w:line="204" w:lineRule="exact"/>
        <w:rPr>
          <w:sz w:val="20"/>
          <w:szCs w:val="20"/>
        </w:rPr>
      </w:pPr>
    </w:p>
    <w:p w:rsidR="00A621E3" w:rsidRDefault="00EC630E">
      <w:pPr>
        <w:numPr>
          <w:ilvl w:val="0"/>
          <w:numId w:val="83"/>
        </w:numPr>
        <w:tabs>
          <w:tab w:val="left" w:pos="980"/>
        </w:tabs>
        <w:spacing w:line="260" w:lineRule="auto"/>
        <w:ind w:left="980" w:right="20" w:hanging="216"/>
        <w:rPr>
          <w:rFonts w:ascii="Arial" w:eastAsia="Arial" w:hAnsi="Arial" w:cs="Arial"/>
          <w:color w:val="CF0A2C"/>
          <w:sz w:val="20"/>
          <w:szCs w:val="20"/>
        </w:rPr>
      </w:pPr>
      <w:r>
        <w:rPr>
          <w:rFonts w:ascii="Arial" w:eastAsia="Arial" w:hAnsi="Arial" w:cs="Arial"/>
          <w:sz w:val="20"/>
          <w:szCs w:val="20"/>
        </w:rPr>
        <w:t>Adjusted Net Income represents adjusted net income presented in the Company’s annual report on Form 10-K, but furth</w:t>
      </w:r>
      <w:r>
        <w:rPr>
          <w:rFonts w:ascii="Arial" w:eastAsia="Arial" w:hAnsi="Arial" w:cs="Arial"/>
          <w:sz w:val="20"/>
          <w:szCs w:val="20"/>
        </w:rPr>
        <w:t>er adjusted to exclude: (i) income generated from certain emerging brands; (ii) income tax expense</w:t>
      </w:r>
    </w:p>
    <w:p w:rsidR="00A621E3" w:rsidRDefault="00A621E3">
      <w:pPr>
        <w:spacing w:line="117" w:lineRule="exact"/>
        <w:rPr>
          <w:sz w:val="20"/>
          <w:szCs w:val="20"/>
        </w:rPr>
      </w:pPr>
    </w:p>
    <w:p w:rsidR="00A621E3" w:rsidRDefault="00EC630E">
      <w:pPr>
        <w:numPr>
          <w:ilvl w:val="0"/>
          <w:numId w:val="84"/>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92652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68" w:name="page68"/>
      <w:bookmarkEnd w:id="68"/>
      <w:r>
        <w:rPr>
          <w:rFonts w:ascii="Arial" w:eastAsia="Arial" w:hAnsi="Arial" w:cs="Arial"/>
          <w:b/>
          <w:bCs/>
          <w:noProof/>
          <w:color w:val="0000EE"/>
          <w:sz w:val="18"/>
          <w:szCs w:val="18"/>
          <w:u w:val="single"/>
        </w:rPr>
        <w:drawing>
          <wp:anchor distT="0" distB="0" distL="114300" distR="114300" simplePos="0" relativeHeight="25192755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28576"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680"/>
        <w:rPr>
          <w:sz w:val="20"/>
          <w:szCs w:val="20"/>
        </w:rPr>
      </w:pPr>
      <w:r>
        <w:rPr>
          <w:rFonts w:ascii="Arial" w:eastAsia="Arial" w:hAnsi="Arial" w:cs="Arial"/>
          <w:b/>
          <w:bCs/>
          <w:color w:val="FFFFFF"/>
          <w:sz w:val="16"/>
          <w:szCs w:val="16"/>
        </w:rPr>
        <w:t>EXECUTIVE COMPENSATION</w:t>
      </w:r>
    </w:p>
    <w:p w:rsidR="00A621E3" w:rsidRDefault="00A621E3">
      <w:pPr>
        <w:spacing w:line="209" w:lineRule="exact"/>
        <w:rPr>
          <w:sz w:val="20"/>
          <w:szCs w:val="20"/>
        </w:rPr>
      </w:pPr>
    </w:p>
    <w:p w:rsidR="00A621E3" w:rsidRDefault="00EC630E">
      <w:pPr>
        <w:ind w:left="1000"/>
        <w:rPr>
          <w:sz w:val="20"/>
          <w:szCs w:val="20"/>
        </w:rPr>
      </w:pPr>
      <w:r>
        <w:rPr>
          <w:rFonts w:ascii="Arial" w:eastAsia="Arial" w:hAnsi="Arial" w:cs="Arial"/>
          <w:sz w:val="19"/>
          <w:szCs w:val="19"/>
        </w:rPr>
        <w:t xml:space="preserve">impact of planned or actual repatriations; (iii) </w:t>
      </w:r>
      <w:r>
        <w:rPr>
          <w:rFonts w:ascii="Arial" w:eastAsia="Arial" w:hAnsi="Arial" w:cs="Arial"/>
          <w:sz w:val="19"/>
          <w:szCs w:val="19"/>
        </w:rPr>
        <w:t>investment gains or losses for equity investments measured at fair value;</w:t>
      </w:r>
    </w:p>
    <w:p w:rsidR="00A621E3" w:rsidRDefault="00A621E3">
      <w:pPr>
        <w:spacing w:line="27" w:lineRule="exact"/>
        <w:rPr>
          <w:sz w:val="20"/>
          <w:szCs w:val="20"/>
        </w:rPr>
      </w:pPr>
    </w:p>
    <w:p w:rsidR="00A621E3" w:rsidRDefault="00EC630E">
      <w:pPr>
        <w:numPr>
          <w:ilvl w:val="1"/>
          <w:numId w:val="85"/>
        </w:numPr>
        <w:tabs>
          <w:tab w:val="left" w:pos="1355"/>
        </w:tabs>
        <w:spacing w:line="365" w:lineRule="auto"/>
        <w:ind w:left="1000" w:right="20" w:hanging="7"/>
        <w:jc w:val="both"/>
        <w:rPr>
          <w:rFonts w:ascii="Arial" w:eastAsia="Arial" w:hAnsi="Arial" w:cs="Arial"/>
          <w:sz w:val="16"/>
          <w:szCs w:val="16"/>
        </w:rPr>
      </w:pPr>
      <w:r>
        <w:rPr>
          <w:rFonts w:ascii="Arial" w:eastAsia="Arial" w:hAnsi="Arial" w:cs="Arial"/>
          <w:sz w:val="16"/>
          <w:szCs w:val="16"/>
        </w:rPr>
        <w:t>certain non-recurring adjustments; (v) the impact of foreign currency fluctuations; and (vi) the income tax effect of the above adjustments. The performance goal is measured from 20</w:t>
      </w:r>
      <w:r>
        <w:rPr>
          <w:rFonts w:ascii="Arial" w:eastAsia="Arial" w:hAnsi="Arial" w:cs="Arial"/>
          <w:sz w:val="16"/>
          <w:szCs w:val="16"/>
        </w:rPr>
        <w:t>19 year-end results, which is the base year for measuring CAGR.</w:t>
      </w:r>
    </w:p>
    <w:p w:rsidR="00A621E3" w:rsidRDefault="00A621E3">
      <w:pPr>
        <w:spacing w:line="180" w:lineRule="exact"/>
        <w:rPr>
          <w:rFonts w:ascii="Arial" w:eastAsia="Arial" w:hAnsi="Arial" w:cs="Arial"/>
          <w:sz w:val="16"/>
          <w:szCs w:val="16"/>
        </w:rPr>
      </w:pPr>
    </w:p>
    <w:p w:rsidR="00A621E3" w:rsidRDefault="00EC630E">
      <w:pPr>
        <w:numPr>
          <w:ilvl w:val="0"/>
          <w:numId w:val="85"/>
        </w:numPr>
        <w:tabs>
          <w:tab w:val="left" w:pos="980"/>
        </w:tabs>
        <w:spacing w:line="243" w:lineRule="auto"/>
        <w:ind w:left="980" w:hanging="216"/>
        <w:jc w:val="both"/>
        <w:rPr>
          <w:rFonts w:ascii="Arial" w:eastAsia="Arial" w:hAnsi="Arial" w:cs="Arial"/>
          <w:color w:val="CF0A2C"/>
          <w:sz w:val="20"/>
          <w:szCs w:val="20"/>
        </w:rPr>
      </w:pPr>
      <w:r>
        <w:rPr>
          <w:rFonts w:ascii="Arial" w:eastAsia="Arial" w:hAnsi="Arial" w:cs="Arial"/>
          <w:sz w:val="20"/>
          <w:szCs w:val="20"/>
        </w:rPr>
        <w:t xml:space="preserve">Adjusted Weighted-Average Common and Diluted Potential Common Shares Outstanding represents weighted-average common and diluted potential common shares outstanding presented in Note 5 to the </w:t>
      </w:r>
      <w:r>
        <w:rPr>
          <w:rFonts w:ascii="Arial" w:eastAsia="Arial" w:hAnsi="Arial" w:cs="Arial"/>
          <w:sz w:val="20"/>
          <w:szCs w:val="20"/>
        </w:rPr>
        <w:t>Audited Financial Statements, and adjusted to exclude: (i) impact on share count associated with certain share repurchases; (ii) impact on share count as a result of the Company’s global offering and secondary listing on the HKEX; (iii) impact on outstandi</w:t>
      </w:r>
      <w:r>
        <w:rPr>
          <w:rFonts w:ascii="Arial" w:eastAsia="Arial" w:hAnsi="Arial" w:cs="Arial"/>
          <w:sz w:val="20"/>
          <w:szCs w:val="20"/>
        </w:rPr>
        <w:t>ng shares held by employees of YUM! Brands, Inc. (“</w:t>
      </w:r>
      <w:r>
        <w:rPr>
          <w:rFonts w:ascii="Arial" w:eastAsia="Arial" w:hAnsi="Arial" w:cs="Arial"/>
          <w:b/>
          <w:bCs/>
          <w:i/>
          <w:iCs/>
          <w:sz w:val="20"/>
          <w:szCs w:val="20"/>
        </w:rPr>
        <w:t>YUM</w:t>
      </w:r>
      <w:r>
        <w:rPr>
          <w:rFonts w:ascii="Arial" w:eastAsia="Arial" w:hAnsi="Arial" w:cs="Arial"/>
          <w:sz w:val="20"/>
          <w:szCs w:val="20"/>
        </w:rPr>
        <w:t>”); and (iv) diluted shares associated with the 2020 partner PSU awards (“</w:t>
      </w:r>
      <w:r>
        <w:rPr>
          <w:rFonts w:ascii="Arial" w:eastAsia="Arial" w:hAnsi="Arial" w:cs="Arial"/>
          <w:b/>
          <w:bCs/>
          <w:i/>
          <w:iCs/>
          <w:sz w:val="20"/>
          <w:szCs w:val="20"/>
        </w:rPr>
        <w:t>2020 Partner PSU</w:t>
      </w:r>
      <w:r>
        <w:rPr>
          <w:rFonts w:ascii="Arial" w:eastAsia="Arial" w:hAnsi="Arial" w:cs="Arial"/>
          <w:sz w:val="20"/>
          <w:szCs w:val="20"/>
        </w:rPr>
        <w:t xml:space="preserve"> </w:t>
      </w:r>
      <w:r>
        <w:rPr>
          <w:rFonts w:ascii="Arial" w:eastAsia="Arial" w:hAnsi="Arial" w:cs="Arial"/>
          <w:b/>
          <w:bCs/>
          <w:i/>
          <w:iCs/>
          <w:sz w:val="20"/>
          <w:szCs w:val="20"/>
        </w:rPr>
        <w:t>Awards</w:t>
      </w:r>
      <w:r>
        <w:rPr>
          <w:rFonts w:ascii="Arial" w:eastAsia="Arial" w:hAnsi="Arial" w:cs="Arial"/>
          <w:sz w:val="20"/>
          <w:szCs w:val="20"/>
        </w:rPr>
        <w:t>”).</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331"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 xml:space="preserve">Based on the Company’s 22.55% TSR performance during the three-year performance </w:t>
      </w:r>
      <w:r>
        <w:rPr>
          <w:rFonts w:ascii="Arial" w:eastAsia="Arial" w:hAnsi="Arial" w:cs="Arial"/>
          <w:sz w:val="20"/>
          <w:szCs w:val="20"/>
        </w:rPr>
        <w:t>period, the Company ranked at the 68.91 percentile as compared to the TSR performance of the still-active constituents of the MSCI China Index at the end of the performance period, resulting in 87.82% vesting of the target PSUs and dividend equivalents.</w:t>
      </w:r>
    </w:p>
    <w:p w:rsidR="00A621E3" w:rsidRDefault="00EC630E">
      <w:pPr>
        <w:spacing w:line="20" w:lineRule="exact"/>
        <w:rPr>
          <w:sz w:val="20"/>
          <w:szCs w:val="20"/>
        </w:rPr>
      </w:pPr>
      <w:r>
        <w:rPr>
          <w:sz w:val="20"/>
          <w:szCs w:val="20"/>
        </w:rPr>
        <w:br w:type="column"/>
      </w:r>
    </w:p>
    <w:p w:rsidR="00A621E3" w:rsidRDefault="00A621E3">
      <w:pPr>
        <w:spacing w:line="311" w:lineRule="exact"/>
        <w:rPr>
          <w:sz w:val="20"/>
          <w:szCs w:val="20"/>
        </w:rPr>
      </w:pPr>
    </w:p>
    <w:p w:rsidR="00A621E3" w:rsidRDefault="00EC630E">
      <w:pPr>
        <w:spacing w:line="291" w:lineRule="auto"/>
        <w:ind w:right="20"/>
        <w:jc w:val="both"/>
        <w:rPr>
          <w:sz w:val="20"/>
          <w:szCs w:val="20"/>
        </w:rPr>
      </w:pPr>
      <w:r>
        <w:rPr>
          <w:rFonts w:ascii="Arial" w:eastAsia="Arial" w:hAnsi="Arial" w:cs="Arial"/>
          <w:sz w:val="18"/>
          <w:szCs w:val="18"/>
        </w:rPr>
        <w:t>The table below shows the number of shares of our common stock acquired by each of the NEOs upon the vesting of the 2020 Annual PSUs (before payment of applicable withholding taxes).</w:t>
      </w:r>
    </w:p>
    <w:p w:rsidR="00A621E3" w:rsidRDefault="00A621E3">
      <w:pPr>
        <w:spacing w:line="844"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24" w:lineRule="exact"/>
        <w:rPr>
          <w:sz w:val="20"/>
          <w:szCs w:val="20"/>
        </w:rPr>
      </w:pPr>
    </w:p>
    <w:tbl>
      <w:tblPr>
        <w:tblW w:w="0" w:type="auto"/>
        <w:tblInd w:w="1880" w:type="dxa"/>
        <w:tblLayout w:type="fixed"/>
        <w:tblCellMar>
          <w:left w:w="0" w:type="dxa"/>
          <w:right w:w="0" w:type="dxa"/>
        </w:tblCellMar>
        <w:tblLook w:val="04A0" w:firstRow="1" w:lastRow="0" w:firstColumn="1" w:lastColumn="0" w:noHBand="0" w:noVBand="1"/>
      </w:tblPr>
      <w:tblGrid>
        <w:gridCol w:w="3620"/>
        <w:gridCol w:w="3860"/>
      </w:tblGrid>
      <w:tr w:rsidR="00A621E3">
        <w:trPr>
          <w:trHeight w:val="189"/>
        </w:trPr>
        <w:tc>
          <w:tcPr>
            <w:tcW w:w="3620" w:type="dxa"/>
            <w:vAlign w:val="bottom"/>
          </w:tcPr>
          <w:p w:rsidR="00A621E3" w:rsidRDefault="00A621E3">
            <w:pPr>
              <w:rPr>
                <w:sz w:val="16"/>
                <w:szCs w:val="16"/>
              </w:rPr>
            </w:pPr>
          </w:p>
        </w:tc>
        <w:tc>
          <w:tcPr>
            <w:tcW w:w="3860" w:type="dxa"/>
            <w:vAlign w:val="bottom"/>
          </w:tcPr>
          <w:p w:rsidR="00A621E3" w:rsidRDefault="00EC630E">
            <w:pPr>
              <w:ind w:left="2719"/>
              <w:jc w:val="center"/>
              <w:rPr>
                <w:sz w:val="20"/>
                <w:szCs w:val="20"/>
              </w:rPr>
            </w:pPr>
            <w:r>
              <w:rPr>
                <w:rFonts w:ascii="Arial" w:eastAsia="Arial" w:hAnsi="Arial" w:cs="Arial"/>
                <w:b/>
                <w:bCs/>
                <w:color w:val="CF0A2C"/>
                <w:sz w:val="16"/>
                <w:szCs w:val="16"/>
              </w:rPr>
              <w:t>Number</w:t>
            </w:r>
          </w:p>
        </w:tc>
      </w:tr>
      <w:tr w:rsidR="00A621E3">
        <w:trPr>
          <w:trHeight w:val="189"/>
        </w:trPr>
        <w:tc>
          <w:tcPr>
            <w:tcW w:w="3620" w:type="dxa"/>
            <w:vAlign w:val="bottom"/>
          </w:tcPr>
          <w:p w:rsidR="00A621E3" w:rsidRDefault="00A621E3">
            <w:pPr>
              <w:rPr>
                <w:sz w:val="16"/>
                <w:szCs w:val="16"/>
              </w:rPr>
            </w:pPr>
          </w:p>
        </w:tc>
        <w:tc>
          <w:tcPr>
            <w:tcW w:w="3860" w:type="dxa"/>
            <w:vAlign w:val="bottom"/>
          </w:tcPr>
          <w:p w:rsidR="00A621E3" w:rsidRDefault="00EC630E">
            <w:pPr>
              <w:ind w:left="2719"/>
              <w:jc w:val="center"/>
              <w:rPr>
                <w:sz w:val="20"/>
                <w:szCs w:val="20"/>
              </w:rPr>
            </w:pPr>
            <w:r>
              <w:rPr>
                <w:rFonts w:ascii="Arial" w:eastAsia="Arial" w:hAnsi="Arial" w:cs="Arial"/>
                <w:b/>
                <w:bCs/>
                <w:color w:val="CF0A2C"/>
                <w:sz w:val="16"/>
                <w:szCs w:val="16"/>
              </w:rPr>
              <w:t>of Shares</w:t>
            </w:r>
          </w:p>
        </w:tc>
      </w:tr>
      <w:tr w:rsidR="00A621E3">
        <w:trPr>
          <w:trHeight w:val="189"/>
        </w:trPr>
        <w:tc>
          <w:tcPr>
            <w:tcW w:w="3620" w:type="dxa"/>
            <w:vAlign w:val="bottom"/>
          </w:tcPr>
          <w:p w:rsidR="00A621E3" w:rsidRDefault="00A621E3">
            <w:pPr>
              <w:rPr>
                <w:sz w:val="16"/>
                <w:szCs w:val="16"/>
              </w:rPr>
            </w:pPr>
          </w:p>
        </w:tc>
        <w:tc>
          <w:tcPr>
            <w:tcW w:w="3860" w:type="dxa"/>
            <w:vAlign w:val="bottom"/>
          </w:tcPr>
          <w:p w:rsidR="00A621E3" w:rsidRDefault="00EC630E">
            <w:pPr>
              <w:ind w:left="2719"/>
              <w:jc w:val="center"/>
              <w:rPr>
                <w:sz w:val="20"/>
                <w:szCs w:val="20"/>
              </w:rPr>
            </w:pPr>
            <w:r>
              <w:rPr>
                <w:rFonts w:ascii="Arial" w:eastAsia="Arial" w:hAnsi="Arial" w:cs="Arial"/>
                <w:b/>
                <w:bCs/>
                <w:color w:val="CF0A2C"/>
                <w:sz w:val="16"/>
                <w:szCs w:val="16"/>
              </w:rPr>
              <w:t>Acquired on</w:t>
            </w:r>
          </w:p>
        </w:tc>
      </w:tr>
      <w:tr w:rsidR="00A621E3">
        <w:trPr>
          <w:trHeight w:val="189"/>
        </w:trPr>
        <w:tc>
          <w:tcPr>
            <w:tcW w:w="3620" w:type="dxa"/>
            <w:vAlign w:val="bottom"/>
          </w:tcPr>
          <w:p w:rsidR="00A621E3" w:rsidRDefault="00A621E3">
            <w:pPr>
              <w:rPr>
                <w:sz w:val="16"/>
                <w:szCs w:val="16"/>
              </w:rPr>
            </w:pPr>
          </w:p>
        </w:tc>
        <w:tc>
          <w:tcPr>
            <w:tcW w:w="3860" w:type="dxa"/>
            <w:vAlign w:val="bottom"/>
          </w:tcPr>
          <w:p w:rsidR="00A621E3" w:rsidRDefault="00EC630E">
            <w:pPr>
              <w:ind w:left="2719"/>
              <w:jc w:val="center"/>
              <w:rPr>
                <w:sz w:val="20"/>
                <w:szCs w:val="20"/>
              </w:rPr>
            </w:pPr>
            <w:r>
              <w:rPr>
                <w:rFonts w:ascii="Arial" w:eastAsia="Arial" w:hAnsi="Arial" w:cs="Arial"/>
                <w:b/>
                <w:bCs/>
                <w:color w:val="CF0A2C"/>
                <w:sz w:val="16"/>
                <w:szCs w:val="16"/>
              </w:rPr>
              <w:t>Vesting</w:t>
            </w:r>
          </w:p>
        </w:tc>
      </w:tr>
      <w:tr w:rsidR="00A621E3">
        <w:trPr>
          <w:trHeight w:val="221"/>
        </w:trPr>
        <w:tc>
          <w:tcPr>
            <w:tcW w:w="3620" w:type="dxa"/>
            <w:tcBorders>
              <w:bottom w:val="single" w:sz="8" w:space="0" w:color="CF0A2C"/>
            </w:tcBorders>
            <w:vAlign w:val="bottom"/>
          </w:tcPr>
          <w:p w:rsidR="00A621E3" w:rsidRDefault="00EC630E">
            <w:pPr>
              <w:rPr>
                <w:sz w:val="20"/>
                <w:szCs w:val="20"/>
              </w:rPr>
            </w:pPr>
            <w:r>
              <w:rPr>
                <w:rFonts w:ascii="Arial" w:eastAsia="Arial" w:hAnsi="Arial" w:cs="Arial"/>
                <w:b/>
                <w:bCs/>
                <w:color w:val="CF0A2C"/>
                <w:sz w:val="16"/>
                <w:szCs w:val="16"/>
              </w:rPr>
              <w:t>Name</w:t>
            </w:r>
          </w:p>
        </w:tc>
        <w:tc>
          <w:tcPr>
            <w:tcW w:w="3860" w:type="dxa"/>
            <w:tcBorders>
              <w:bottom w:val="single" w:sz="8" w:space="0" w:color="CF0A2C"/>
            </w:tcBorders>
            <w:vAlign w:val="bottom"/>
          </w:tcPr>
          <w:p w:rsidR="00A621E3" w:rsidRDefault="00EC630E">
            <w:pPr>
              <w:ind w:left="2719"/>
              <w:jc w:val="center"/>
              <w:rPr>
                <w:sz w:val="20"/>
                <w:szCs w:val="20"/>
              </w:rPr>
            </w:pPr>
            <w:r>
              <w:rPr>
                <w:rFonts w:ascii="Arial" w:eastAsia="Arial" w:hAnsi="Arial" w:cs="Arial"/>
                <w:b/>
                <w:bCs/>
                <w:color w:val="CF0A2C"/>
                <w:w w:val="91"/>
                <w:sz w:val="16"/>
                <w:szCs w:val="16"/>
              </w:rPr>
              <w:t>(#)</w:t>
            </w:r>
          </w:p>
        </w:tc>
      </w:tr>
      <w:tr w:rsidR="00A621E3">
        <w:trPr>
          <w:trHeight w:val="184"/>
        </w:trPr>
        <w:tc>
          <w:tcPr>
            <w:tcW w:w="3620" w:type="dxa"/>
            <w:vAlign w:val="bottom"/>
          </w:tcPr>
          <w:p w:rsidR="00A621E3" w:rsidRDefault="00EC630E">
            <w:pPr>
              <w:rPr>
                <w:sz w:val="20"/>
                <w:szCs w:val="20"/>
              </w:rPr>
            </w:pPr>
            <w:r>
              <w:rPr>
                <w:rFonts w:ascii="Arial" w:eastAsia="Arial" w:hAnsi="Arial" w:cs="Arial"/>
                <w:color w:val="CF0A2C"/>
                <w:sz w:val="16"/>
                <w:szCs w:val="16"/>
              </w:rPr>
              <w:t>Ms. Wat</w:t>
            </w:r>
          </w:p>
        </w:tc>
        <w:tc>
          <w:tcPr>
            <w:tcW w:w="3860" w:type="dxa"/>
            <w:vAlign w:val="bottom"/>
          </w:tcPr>
          <w:p w:rsidR="00A621E3" w:rsidRDefault="00EC630E">
            <w:pPr>
              <w:jc w:val="right"/>
              <w:rPr>
                <w:sz w:val="20"/>
                <w:szCs w:val="20"/>
              </w:rPr>
            </w:pPr>
            <w:r>
              <w:rPr>
                <w:rFonts w:ascii="Arial" w:eastAsia="Arial" w:hAnsi="Arial" w:cs="Arial"/>
                <w:sz w:val="16"/>
                <w:szCs w:val="16"/>
              </w:rPr>
              <w:t>52,166</w:t>
            </w:r>
          </w:p>
        </w:tc>
      </w:tr>
      <w:tr w:rsidR="00A621E3">
        <w:trPr>
          <w:trHeight w:val="189"/>
        </w:trPr>
        <w:tc>
          <w:tcPr>
            <w:tcW w:w="3620" w:type="dxa"/>
            <w:vAlign w:val="bottom"/>
          </w:tcPr>
          <w:p w:rsidR="00A621E3" w:rsidRDefault="00EC630E">
            <w:pPr>
              <w:rPr>
                <w:sz w:val="20"/>
                <w:szCs w:val="20"/>
              </w:rPr>
            </w:pPr>
            <w:r>
              <w:rPr>
                <w:rFonts w:ascii="Arial" w:eastAsia="Arial" w:hAnsi="Arial" w:cs="Arial"/>
                <w:color w:val="CF0A2C"/>
                <w:sz w:val="16"/>
                <w:szCs w:val="16"/>
              </w:rPr>
              <w:t>Mr. Yeung</w:t>
            </w:r>
          </w:p>
        </w:tc>
        <w:tc>
          <w:tcPr>
            <w:tcW w:w="3860" w:type="dxa"/>
            <w:vAlign w:val="bottom"/>
          </w:tcPr>
          <w:p w:rsidR="00A621E3" w:rsidRDefault="00EC630E">
            <w:pPr>
              <w:jc w:val="right"/>
              <w:rPr>
                <w:sz w:val="20"/>
                <w:szCs w:val="20"/>
              </w:rPr>
            </w:pPr>
            <w:r>
              <w:rPr>
                <w:rFonts w:ascii="Arial" w:eastAsia="Arial" w:hAnsi="Arial" w:cs="Arial"/>
                <w:sz w:val="16"/>
                <w:szCs w:val="16"/>
              </w:rPr>
              <w:t>12,520</w:t>
            </w:r>
          </w:p>
        </w:tc>
      </w:tr>
      <w:tr w:rsidR="00A621E3">
        <w:trPr>
          <w:trHeight w:val="189"/>
        </w:trPr>
        <w:tc>
          <w:tcPr>
            <w:tcW w:w="3620" w:type="dxa"/>
            <w:vAlign w:val="bottom"/>
          </w:tcPr>
          <w:p w:rsidR="00A621E3" w:rsidRDefault="00EC630E">
            <w:pPr>
              <w:rPr>
                <w:sz w:val="20"/>
                <w:szCs w:val="20"/>
              </w:rPr>
            </w:pPr>
            <w:r>
              <w:rPr>
                <w:rFonts w:ascii="Arial" w:eastAsia="Arial" w:hAnsi="Arial" w:cs="Arial"/>
                <w:color w:val="CF0A2C"/>
                <w:sz w:val="16"/>
                <w:szCs w:val="16"/>
              </w:rPr>
              <w:t>Mr. Chan</w:t>
            </w:r>
          </w:p>
        </w:tc>
        <w:tc>
          <w:tcPr>
            <w:tcW w:w="3860" w:type="dxa"/>
            <w:vAlign w:val="bottom"/>
          </w:tcPr>
          <w:p w:rsidR="00A621E3" w:rsidRDefault="00EC630E">
            <w:pPr>
              <w:jc w:val="right"/>
              <w:rPr>
                <w:sz w:val="20"/>
                <w:szCs w:val="20"/>
              </w:rPr>
            </w:pPr>
            <w:r>
              <w:rPr>
                <w:rFonts w:ascii="Arial" w:eastAsia="Arial" w:hAnsi="Arial" w:cs="Arial"/>
                <w:sz w:val="16"/>
                <w:szCs w:val="16"/>
              </w:rPr>
              <w:t>8,347</w:t>
            </w:r>
          </w:p>
        </w:tc>
      </w:tr>
      <w:tr w:rsidR="00A621E3">
        <w:trPr>
          <w:trHeight w:val="189"/>
        </w:trPr>
        <w:tc>
          <w:tcPr>
            <w:tcW w:w="3620" w:type="dxa"/>
            <w:vAlign w:val="bottom"/>
          </w:tcPr>
          <w:p w:rsidR="00A621E3" w:rsidRDefault="00EC630E">
            <w:pPr>
              <w:rPr>
                <w:sz w:val="20"/>
                <w:szCs w:val="20"/>
              </w:rPr>
            </w:pPr>
            <w:r>
              <w:rPr>
                <w:rFonts w:ascii="Arial" w:eastAsia="Arial" w:hAnsi="Arial" w:cs="Arial"/>
                <w:color w:val="CF0A2C"/>
                <w:sz w:val="16"/>
                <w:szCs w:val="16"/>
              </w:rPr>
              <w:t>Mr. Huang</w:t>
            </w:r>
          </w:p>
        </w:tc>
        <w:tc>
          <w:tcPr>
            <w:tcW w:w="3860" w:type="dxa"/>
            <w:vAlign w:val="bottom"/>
          </w:tcPr>
          <w:p w:rsidR="00A621E3" w:rsidRDefault="00EC630E">
            <w:pPr>
              <w:jc w:val="right"/>
              <w:rPr>
                <w:sz w:val="20"/>
                <w:szCs w:val="20"/>
              </w:rPr>
            </w:pPr>
            <w:r>
              <w:rPr>
                <w:rFonts w:ascii="Arial" w:eastAsia="Arial" w:hAnsi="Arial" w:cs="Arial"/>
                <w:sz w:val="16"/>
                <w:szCs w:val="16"/>
              </w:rPr>
              <w:t>12,520</w:t>
            </w:r>
          </w:p>
        </w:tc>
      </w:tr>
      <w:tr w:rsidR="00A621E3">
        <w:trPr>
          <w:trHeight w:val="187"/>
        </w:trPr>
        <w:tc>
          <w:tcPr>
            <w:tcW w:w="3620" w:type="dxa"/>
            <w:tcBorders>
              <w:bottom w:val="single" w:sz="8" w:space="0" w:color="CF0A2C"/>
            </w:tcBorders>
            <w:vAlign w:val="bottom"/>
          </w:tcPr>
          <w:p w:rsidR="00A621E3" w:rsidRDefault="00EC630E">
            <w:pPr>
              <w:rPr>
                <w:sz w:val="20"/>
                <w:szCs w:val="20"/>
              </w:rPr>
            </w:pPr>
            <w:r>
              <w:rPr>
                <w:rFonts w:ascii="Arial" w:eastAsia="Arial" w:hAnsi="Arial" w:cs="Arial"/>
                <w:color w:val="CF0A2C"/>
                <w:sz w:val="16"/>
                <w:szCs w:val="16"/>
              </w:rPr>
              <w:t>Mr. Yuen</w:t>
            </w:r>
          </w:p>
        </w:tc>
        <w:tc>
          <w:tcPr>
            <w:tcW w:w="3860" w:type="dxa"/>
            <w:tcBorders>
              <w:bottom w:val="single" w:sz="8" w:space="0" w:color="CF0A2C"/>
            </w:tcBorders>
            <w:vAlign w:val="bottom"/>
          </w:tcPr>
          <w:p w:rsidR="00A621E3" w:rsidRDefault="00EC630E">
            <w:pPr>
              <w:jc w:val="right"/>
              <w:rPr>
                <w:sz w:val="20"/>
                <w:szCs w:val="20"/>
              </w:rPr>
            </w:pPr>
            <w:r>
              <w:rPr>
                <w:rFonts w:ascii="Arial" w:eastAsia="Arial" w:hAnsi="Arial" w:cs="Arial"/>
                <w:sz w:val="16"/>
                <w:szCs w:val="16"/>
              </w:rPr>
              <w:t>6,782</w:t>
            </w:r>
          </w:p>
        </w:tc>
      </w:tr>
    </w:tbl>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134" w:lineRule="exact"/>
        <w:rPr>
          <w:sz w:val="20"/>
          <w:szCs w:val="20"/>
        </w:rPr>
      </w:pPr>
    </w:p>
    <w:p w:rsidR="00A621E3" w:rsidRDefault="00EC630E">
      <w:pPr>
        <w:spacing w:line="244" w:lineRule="auto"/>
        <w:ind w:left="120"/>
        <w:jc w:val="both"/>
        <w:rPr>
          <w:sz w:val="20"/>
          <w:szCs w:val="20"/>
        </w:rPr>
      </w:pPr>
      <w:r>
        <w:rPr>
          <w:rFonts w:ascii="Arial" w:eastAsia="Arial" w:hAnsi="Arial" w:cs="Arial"/>
          <w:sz w:val="20"/>
          <w:szCs w:val="20"/>
        </w:rPr>
        <w:t xml:space="preserve">Please see the “2022 Summary Compensation Table” and the “2022 Grants of Plan-Based Awards Table” for further information </w:t>
      </w:r>
      <w:r>
        <w:rPr>
          <w:rFonts w:ascii="Arial" w:eastAsia="Arial" w:hAnsi="Arial" w:cs="Arial"/>
          <w:sz w:val="20"/>
          <w:szCs w:val="20"/>
        </w:rPr>
        <w:t>regarding the 2020 Annual PSUs that vested during the year and the incremental fair value associated with the modification of the 2020 Annual PSUs.</w:t>
      </w:r>
    </w:p>
    <w:p w:rsidR="00A621E3" w:rsidRDefault="00A621E3">
      <w:pPr>
        <w:spacing w:line="235" w:lineRule="exact"/>
        <w:rPr>
          <w:sz w:val="20"/>
          <w:szCs w:val="20"/>
        </w:rPr>
      </w:pPr>
    </w:p>
    <w:p w:rsidR="00A621E3" w:rsidRDefault="00EC630E">
      <w:pPr>
        <w:ind w:left="120"/>
        <w:rPr>
          <w:sz w:val="20"/>
          <w:szCs w:val="20"/>
        </w:rPr>
      </w:pPr>
      <w:r>
        <w:rPr>
          <w:rFonts w:ascii="Arial" w:eastAsia="Arial" w:hAnsi="Arial" w:cs="Arial"/>
          <w:i/>
          <w:iCs/>
          <w:color w:val="CF0A2C"/>
          <w:sz w:val="20"/>
          <w:szCs w:val="20"/>
        </w:rPr>
        <w:t>2022 Lavazza ESOP Grants</w:t>
      </w:r>
    </w:p>
    <w:p w:rsidR="00A621E3" w:rsidRDefault="00A621E3">
      <w:pPr>
        <w:spacing w:line="243"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As disclosed in last year’s CD&amp;A, the Company and Lavazza Group established the L</w:t>
      </w:r>
      <w:r>
        <w:rPr>
          <w:rFonts w:ascii="Arial" w:eastAsia="Arial" w:hAnsi="Arial" w:cs="Arial"/>
          <w:sz w:val="20"/>
          <w:szCs w:val="20"/>
        </w:rPr>
        <w:t>avazza Joint Venture to explore and develop the Lavazza coffee business in China. In order to incentivize the efforts of employees of the Company, Lavazza Group and the Lavazza Joint Venture to execute on the Lavazza Joint Venture’s business plan, includin</w:t>
      </w:r>
      <w:r>
        <w:rPr>
          <w:rFonts w:ascii="Arial" w:eastAsia="Arial" w:hAnsi="Arial" w:cs="Arial"/>
          <w:sz w:val="20"/>
          <w:szCs w:val="20"/>
        </w:rPr>
        <w:t>g the target to open 1,000 Lavazza</w:t>
      </w:r>
    </w:p>
    <w:p w:rsidR="00A621E3" w:rsidRDefault="00EC630E">
      <w:pPr>
        <w:spacing w:line="20" w:lineRule="exact"/>
        <w:rPr>
          <w:sz w:val="20"/>
          <w:szCs w:val="20"/>
        </w:rPr>
      </w:pPr>
      <w:r>
        <w:rPr>
          <w:sz w:val="20"/>
          <w:szCs w:val="20"/>
        </w:rPr>
        <w:br w:type="column"/>
      </w:r>
    </w:p>
    <w:p w:rsidR="00A621E3" w:rsidRDefault="00A621E3">
      <w:pPr>
        <w:spacing w:line="114" w:lineRule="exact"/>
        <w:rPr>
          <w:sz w:val="20"/>
          <w:szCs w:val="20"/>
        </w:rPr>
      </w:pPr>
    </w:p>
    <w:p w:rsidR="00A621E3" w:rsidRDefault="00EC630E">
      <w:pPr>
        <w:spacing w:line="269" w:lineRule="auto"/>
        <w:jc w:val="both"/>
        <w:rPr>
          <w:sz w:val="20"/>
          <w:szCs w:val="20"/>
        </w:rPr>
      </w:pPr>
      <w:r>
        <w:rPr>
          <w:rFonts w:ascii="Arial" w:eastAsia="Arial" w:hAnsi="Arial" w:cs="Arial"/>
          <w:sz w:val="18"/>
          <w:szCs w:val="18"/>
        </w:rPr>
        <w:t>stores in China in the next few years, the Lavazza Joint Venture established the JV Equity Plans allowing for the grant of equity awards with respect to the Lavazza Joint Venture to key employees of the Lavazza Joint V</w:t>
      </w:r>
      <w:r>
        <w:rPr>
          <w:rFonts w:ascii="Arial" w:eastAsia="Arial" w:hAnsi="Arial" w:cs="Arial"/>
          <w:sz w:val="18"/>
          <w:szCs w:val="18"/>
        </w:rPr>
        <w:t>enture, as well as select employees of Lavazza Group and the Company. Under the JV Equity Plans, up to 15% of the equity in the Lavazza Joint Venture may be granted as equity awards, with employees and other eligible participants of the Lavazza Joint Ventu</w:t>
      </w:r>
      <w:r>
        <w:rPr>
          <w:rFonts w:ascii="Arial" w:eastAsia="Arial" w:hAnsi="Arial" w:cs="Arial"/>
          <w:sz w:val="18"/>
          <w:szCs w:val="18"/>
        </w:rPr>
        <w:t>re, including restaurant general managers, eligible to receive up to 80% of the JV Equity Plan shares, or 12% of the equity in the Lavazza Joint Venture. The remaining JV Equity Plan shares will be allocated to the employees of the Company and Lavazza Grou</w:t>
      </w:r>
      <w:r>
        <w:rPr>
          <w:rFonts w:ascii="Arial" w:eastAsia="Arial" w:hAnsi="Arial" w:cs="Arial"/>
          <w:sz w:val="18"/>
          <w:szCs w:val="18"/>
        </w:rPr>
        <w:t>p in accordance with their respective equity interest in the Lavazza Joint Venture, or up to 2% and 1%, respectively, of the equity in the Lavazza Joint Venture.</w:t>
      </w:r>
    </w:p>
    <w:p w:rsidR="00A621E3" w:rsidRDefault="00A621E3">
      <w:pPr>
        <w:spacing w:line="458"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77"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63</w:t>
      </w:r>
    </w:p>
    <w:p w:rsidR="00A621E3" w:rsidRDefault="00EC630E">
      <w:pPr>
        <w:spacing w:line="20" w:lineRule="exact"/>
        <w:rPr>
          <w:sz w:val="20"/>
          <w:szCs w:val="20"/>
        </w:rPr>
      </w:pPr>
      <w:r>
        <w:rPr>
          <w:noProof/>
          <w:sz w:val="20"/>
          <w:szCs w:val="20"/>
        </w:rPr>
        <w:drawing>
          <wp:anchor distT="0" distB="0" distL="114300" distR="114300" simplePos="0" relativeHeight="251929600"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69" w:name="page69"/>
      <w:bookmarkEnd w:id="69"/>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30624"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263" w:lineRule="exact"/>
        <w:rPr>
          <w:sz w:val="20"/>
          <w:szCs w:val="20"/>
        </w:rPr>
      </w:pPr>
    </w:p>
    <w:p w:rsidR="00A621E3" w:rsidRDefault="00EC630E">
      <w:pPr>
        <w:spacing w:line="272" w:lineRule="auto"/>
        <w:ind w:left="120"/>
        <w:jc w:val="both"/>
        <w:rPr>
          <w:sz w:val="20"/>
          <w:szCs w:val="20"/>
        </w:rPr>
      </w:pPr>
      <w:r>
        <w:rPr>
          <w:rFonts w:ascii="Arial" w:eastAsia="Arial" w:hAnsi="Arial" w:cs="Arial"/>
          <w:sz w:val="18"/>
          <w:szCs w:val="18"/>
        </w:rPr>
        <w:t>The Compensation Committee has discretion to award the portion of the JV equity pool allocated to the Company to employees of the Company who have been key contributors to the efforts of the Lavazza Joint Ventur</w:t>
      </w:r>
      <w:r>
        <w:rPr>
          <w:rFonts w:ascii="Arial" w:eastAsia="Arial" w:hAnsi="Arial" w:cs="Arial"/>
          <w:sz w:val="18"/>
          <w:szCs w:val="18"/>
        </w:rPr>
        <w:t>e and are deemed to be essential to the successful execution of the Lavazza Joint Venture’s business plan. The JV Equity Plans and related grants were adopted in order to support entrepreneurial and innovative thinking and leadership through a compensation</w:t>
      </w:r>
      <w:r>
        <w:rPr>
          <w:rFonts w:ascii="Arial" w:eastAsia="Arial" w:hAnsi="Arial" w:cs="Arial"/>
          <w:sz w:val="18"/>
          <w:szCs w:val="18"/>
        </w:rPr>
        <w:t xml:space="preserve"> structure linked to brand expansion and our long-term strategy.</w:t>
      </w:r>
    </w:p>
    <w:p w:rsidR="00A621E3" w:rsidRDefault="00A621E3">
      <w:pPr>
        <w:spacing w:line="211" w:lineRule="exact"/>
        <w:rPr>
          <w:sz w:val="20"/>
          <w:szCs w:val="20"/>
        </w:rPr>
      </w:pPr>
    </w:p>
    <w:p w:rsidR="00A621E3" w:rsidRDefault="00EC630E">
      <w:pPr>
        <w:spacing w:line="302" w:lineRule="auto"/>
        <w:ind w:left="120"/>
        <w:jc w:val="both"/>
        <w:rPr>
          <w:sz w:val="20"/>
          <w:szCs w:val="20"/>
        </w:rPr>
      </w:pPr>
      <w:r>
        <w:rPr>
          <w:rFonts w:ascii="Arial" w:eastAsia="Arial" w:hAnsi="Arial" w:cs="Arial"/>
          <w:sz w:val="16"/>
          <w:szCs w:val="16"/>
        </w:rPr>
        <w:t>After considering the input of the Compensation Committee’s compensation consultant with respect to form and amount of equity awards to be granted to Company employees, on February 10, 2022,</w:t>
      </w:r>
      <w:r>
        <w:rPr>
          <w:rFonts w:ascii="Arial" w:eastAsia="Arial" w:hAnsi="Arial" w:cs="Arial"/>
          <w:sz w:val="16"/>
          <w:szCs w:val="16"/>
        </w:rPr>
        <w:t xml:space="preserve"> the Lavazza Joint Venture and the Compensation Committee approved equity awards under the applicable JV Equity Plan to certain employees of the Company, including awards accounting for 0.9% of the equity in the Lavazza Joint Venture to the NEOs, in the fo</w:t>
      </w:r>
      <w:r>
        <w:rPr>
          <w:rFonts w:ascii="Arial" w:eastAsia="Arial" w:hAnsi="Arial" w:cs="Arial"/>
          <w:sz w:val="16"/>
          <w:szCs w:val="16"/>
        </w:rPr>
        <w:t>rm of PSUs. The PSUs are subject to both performance-based vesting conditions and the occurrence of a liquidity event. The performance-based vesting conditions relate to the Lavazza Joint Venture’s performance with respect to revenue (RMB606 million), stor</w:t>
      </w:r>
      <w:r>
        <w:rPr>
          <w:rFonts w:ascii="Arial" w:eastAsia="Arial" w:hAnsi="Arial" w:cs="Arial"/>
          <w:sz w:val="16"/>
          <w:szCs w:val="16"/>
        </w:rPr>
        <w:t>e-level profitability (to achieve restaurant profit breakeven), brand-level profitability (to achieve operating profit breakeven) and store count (net store count to reach 1,000), each equally weighted, with performance to be measured on a rolling last fou</w:t>
      </w:r>
      <w:r>
        <w:rPr>
          <w:rFonts w:ascii="Arial" w:eastAsia="Arial" w:hAnsi="Arial" w:cs="Arial"/>
          <w:sz w:val="16"/>
          <w:szCs w:val="16"/>
        </w:rPr>
        <w:t>r quarter basis over a four-year performance period. The liquidity event vesting condition, which includes the occurrence of an initial public offering of the Lavazza Joint Venture, must occur within seven years of the grant date for the awards to vest. An</w:t>
      </w:r>
      <w:r>
        <w:rPr>
          <w:rFonts w:ascii="Arial" w:eastAsia="Arial" w:hAnsi="Arial" w:cs="Arial"/>
          <w:sz w:val="16"/>
          <w:szCs w:val="16"/>
        </w:rPr>
        <w:t>y portion of the award that does not vest, either based on the achievement of the applicable performance-based vesting conditions or the non-occurrence of the liquidity event, will be forfeited in their entirety. To recognize the efforts of each of the NEO</w:t>
      </w:r>
      <w:r>
        <w:rPr>
          <w:rFonts w:ascii="Arial" w:eastAsia="Arial" w:hAnsi="Arial" w:cs="Arial"/>
          <w:sz w:val="16"/>
          <w:szCs w:val="16"/>
        </w:rPr>
        <w:t>s with respect to the Lavazza Joint Venture and to incentivize and galvanize their continued focus on the success of the Lavazza Joint Venture, the Compensation Committee granted PSUs with the following target grant date fair values to each of the NEOs: Ms</w:t>
      </w:r>
      <w:r>
        <w:rPr>
          <w:rFonts w:ascii="Arial" w:eastAsia="Arial" w:hAnsi="Arial" w:cs="Arial"/>
          <w:sz w:val="16"/>
          <w:szCs w:val="16"/>
        </w:rPr>
        <w:t>. Wat, $1,000,000; Mr. Yeung, $200,000; Mr. Chan, $200,000; Mr. Huang, $200,000 and Mr. Yuen, $200,000.</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67" w:lineRule="exact"/>
        <w:rPr>
          <w:sz w:val="20"/>
          <w:szCs w:val="20"/>
        </w:rPr>
      </w:pPr>
    </w:p>
    <w:p w:rsidR="00A621E3" w:rsidRDefault="00EC630E">
      <w:pPr>
        <w:numPr>
          <w:ilvl w:val="0"/>
          <w:numId w:val="86"/>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93164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0" w:lineRule="exact"/>
        <w:rPr>
          <w:sz w:val="20"/>
          <w:szCs w:val="20"/>
        </w:rPr>
      </w:pPr>
    </w:p>
    <w:p w:rsidR="00A621E3" w:rsidRDefault="00EC630E">
      <w:pPr>
        <w:spacing w:line="242" w:lineRule="auto"/>
        <w:ind w:right="20"/>
        <w:jc w:val="both"/>
        <w:rPr>
          <w:sz w:val="20"/>
          <w:szCs w:val="20"/>
        </w:rPr>
      </w:pPr>
      <w:r>
        <w:rPr>
          <w:rFonts w:ascii="Arial" w:eastAsia="Arial" w:hAnsi="Arial" w:cs="Arial"/>
          <w:sz w:val="20"/>
          <w:szCs w:val="20"/>
        </w:rPr>
        <w:t xml:space="preserve">As noted in the “2022 Summary Compensation Table,” as of the grant date, the achievement of the </w:t>
      </w:r>
      <w:r>
        <w:rPr>
          <w:rFonts w:ascii="Arial" w:eastAsia="Arial" w:hAnsi="Arial" w:cs="Arial"/>
          <w:sz w:val="20"/>
          <w:szCs w:val="20"/>
        </w:rPr>
        <w:t>performance-based vesting conditions and the occurrence of a liquidity event with respect to the 2022 Lavazza ESOP Grants were not considered probable for accounting purposes and, therefore no associated expenses was recognized for accounting purposes that</w:t>
      </w:r>
      <w:r>
        <w:rPr>
          <w:rFonts w:ascii="Arial" w:eastAsia="Arial" w:hAnsi="Arial" w:cs="Arial"/>
          <w:sz w:val="20"/>
          <w:szCs w:val="20"/>
        </w:rPr>
        <w:t xml:space="preserve"> can be included for the 2022 Lavazza ESOP Grants in the 2022 Summary Compensation Table.</w:t>
      </w:r>
    </w:p>
    <w:p w:rsidR="00A621E3" w:rsidRDefault="00EC630E">
      <w:pPr>
        <w:spacing w:line="20" w:lineRule="exact"/>
        <w:rPr>
          <w:sz w:val="20"/>
          <w:szCs w:val="20"/>
        </w:rPr>
      </w:pPr>
      <w:r>
        <w:rPr>
          <w:noProof/>
          <w:sz w:val="20"/>
          <w:szCs w:val="20"/>
        </w:rPr>
        <w:drawing>
          <wp:anchor distT="0" distB="0" distL="114300" distR="114300" simplePos="0" relativeHeight="251932672" behindDoc="1" locked="0" layoutInCell="0" allowOverlap="1">
            <wp:simplePos x="0" y="0"/>
            <wp:positionH relativeFrom="column">
              <wp:posOffset>-3651885</wp:posOffset>
            </wp:positionH>
            <wp:positionV relativeFrom="paragraph">
              <wp:posOffset>-2058035</wp:posOffset>
            </wp:positionV>
            <wp:extent cx="7174865" cy="55880"/>
            <wp:effectExtent l="0" t="0" r="0"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p>
    <w:p w:rsidR="00A621E3" w:rsidRDefault="00A621E3">
      <w:pPr>
        <w:spacing w:line="211" w:lineRule="exact"/>
        <w:rPr>
          <w:sz w:val="20"/>
          <w:szCs w:val="20"/>
        </w:rPr>
      </w:pPr>
    </w:p>
    <w:p w:rsidR="00A621E3" w:rsidRDefault="00EC630E">
      <w:pPr>
        <w:rPr>
          <w:sz w:val="20"/>
          <w:szCs w:val="20"/>
        </w:rPr>
      </w:pPr>
      <w:r>
        <w:rPr>
          <w:rFonts w:ascii="Arial" w:eastAsia="Arial" w:hAnsi="Arial" w:cs="Arial"/>
          <w:b/>
          <w:bCs/>
          <w:color w:val="CF0A2C"/>
          <w:sz w:val="20"/>
          <w:szCs w:val="20"/>
        </w:rPr>
        <w:t>Other Elements of Executive Compensation Program</w:t>
      </w:r>
    </w:p>
    <w:p w:rsidR="00A621E3" w:rsidRDefault="00A621E3">
      <w:pPr>
        <w:spacing w:line="262" w:lineRule="exact"/>
        <w:rPr>
          <w:sz w:val="20"/>
          <w:szCs w:val="20"/>
        </w:rPr>
      </w:pPr>
    </w:p>
    <w:p w:rsidR="00A621E3" w:rsidRDefault="00EC630E">
      <w:pPr>
        <w:spacing w:line="276" w:lineRule="auto"/>
        <w:jc w:val="both"/>
        <w:rPr>
          <w:sz w:val="20"/>
          <w:szCs w:val="20"/>
        </w:rPr>
      </w:pPr>
      <w:r>
        <w:rPr>
          <w:rFonts w:ascii="Arial" w:eastAsia="Arial" w:hAnsi="Arial" w:cs="Arial"/>
          <w:sz w:val="18"/>
          <w:szCs w:val="18"/>
        </w:rPr>
        <w:t xml:space="preserve">As with all Company employees, Company executive officers receive certain employment benefits. We believe the </w:t>
      </w:r>
      <w:r>
        <w:rPr>
          <w:rFonts w:ascii="Arial" w:eastAsia="Arial" w:hAnsi="Arial" w:cs="Arial"/>
          <w:sz w:val="18"/>
          <w:szCs w:val="18"/>
        </w:rPr>
        <w:t>benefits we offer are an important part of retention for all levels of employees. Our benefits are designed to protect against unexpected catastrophic losses of health and earnings potential and provide a means to save and accumulate assets for retirement.</w:t>
      </w:r>
    </w:p>
    <w:p w:rsidR="00A621E3" w:rsidRDefault="00A621E3">
      <w:pPr>
        <w:spacing w:line="192" w:lineRule="exact"/>
        <w:rPr>
          <w:sz w:val="20"/>
          <w:szCs w:val="20"/>
        </w:rPr>
      </w:pPr>
    </w:p>
    <w:p w:rsidR="00A621E3" w:rsidRDefault="00EC630E">
      <w:pPr>
        <w:rPr>
          <w:sz w:val="20"/>
          <w:szCs w:val="20"/>
        </w:rPr>
      </w:pPr>
      <w:r>
        <w:rPr>
          <w:rFonts w:ascii="Arial" w:eastAsia="Arial" w:hAnsi="Arial" w:cs="Arial"/>
          <w:i/>
          <w:iCs/>
          <w:color w:val="CF0A2C"/>
          <w:sz w:val="20"/>
          <w:szCs w:val="20"/>
        </w:rPr>
        <w:t>Post-Termination and Change in Control Compensation.</w:t>
      </w:r>
    </w:p>
    <w:p w:rsidR="00A621E3" w:rsidRDefault="00A621E3">
      <w:pPr>
        <w:spacing w:line="256" w:lineRule="exact"/>
        <w:rPr>
          <w:sz w:val="20"/>
          <w:szCs w:val="20"/>
        </w:rPr>
      </w:pPr>
    </w:p>
    <w:p w:rsidR="00A621E3" w:rsidRDefault="00EC630E">
      <w:pPr>
        <w:spacing w:line="246" w:lineRule="auto"/>
        <w:jc w:val="both"/>
        <w:rPr>
          <w:sz w:val="20"/>
          <w:szCs w:val="20"/>
        </w:rPr>
      </w:pPr>
      <w:r>
        <w:rPr>
          <w:rFonts w:ascii="Arial" w:eastAsia="Arial" w:hAnsi="Arial" w:cs="Arial"/>
          <w:sz w:val="20"/>
          <w:szCs w:val="20"/>
        </w:rPr>
        <w:t>The Company provides certain post-termination and change in control compensation to help accomplish the Company’s compensation philosophy of attracting and retaining executive talent.</w:t>
      </w:r>
    </w:p>
    <w:p w:rsidR="00A621E3" w:rsidRDefault="00A621E3">
      <w:pPr>
        <w:spacing w:line="232" w:lineRule="exact"/>
        <w:rPr>
          <w:sz w:val="20"/>
          <w:szCs w:val="20"/>
        </w:rPr>
      </w:pPr>
    </w:p>
    <w:p w:rsidR="00A621E3" w:rsidRDefault="00EC630E">
      <w:pPr>
        <w:spacing w:line="256" w:lineRule="auto"/>
        <w:jc w:val="both"/>
        <w:rPr>
          <w:sz w:val="20"/>
          <w:szCs w:val="20"/>
        </w:rPr>
      </w:pPr>
      <w:r>
        <w:rPr>
          <w:rFonts w:ascii="Arial" w:eastAsia="Arial" w:hAnsi="Arial" w:cs="Arial"/>
          <w:sz w:val="19"/>
          <w:szCs w:val="19"/>
        </w:rPr>
        <w:t xml:space="preserve">The Company </w:t>
      </w:r>
      <w:r>
        <w:rPr>
          <w:rFonts w:ascii="Arial" w:eastAsia="Arial" w:hAnsi="Arial" w:cs="Arial"/>
          <w:sz w:val="19"/>
          <w:szCs w:val="19"/>
        </w:rPr>
        <w:t xml:space="preserve">maintains a change in control severance plan that covers all NEOs. Severance benefits are payable only upon a qualifying termination, which is defined as a termination by the Company without cause or by the participant due to good reason, within 24 months </w:t>
      </w:r>
      <w:r>
        <w:rPr>
          <w:rFonts w:ascii="Arial" w:eastAsia="Arial" w:hAnsi="Arial" w:cs="Arial"/>
          <w:sz w:val="19"/>
          <w:szCs w:val="19"/>
        </w:rPr>
        <w:t xml:space="preserve">following the consummation of a change in control of the Company. The Compensation Committee believes change in control compensation promotes management independence and helps retain, stabilize, and focus the executive officers in the event of a change in </w:t>
      </w:r>
      <w:r>
        <w:rPr>
          <w:rFonts w:ascii="Arial" w:eastAsia="Arial" w:hAnsi="Arial" w:cs="Arial"/>
          <w:sz w:val="19"/>
          <w:szCs w:val="19"/>
        </w:rPr>
        <w:t>control.</w:t>
      </w:r>
    </w:p>
    <w:p w:rsidR="00A621E3" w:rsidRDefault="00A621E3">
      <w:pPr>
        <w:spacing w:line="211" w:lineRule="exact"/>
        <w:rPr>
          <w:sz w:val="20"/>
          <w:szCs w:val="20"/>
        </w:rPr>
      </w:pPr>
    </w:p>
    <w:p w:rsidR="00A621E3" w:rsidRDefault="00EC630E">
      <w:pPr>
        <w:spacing w:line="242" w:lineRule="auto"/>
        <w:jc w:val="both"/>
        <w:rPr>
          <w:sz w:val="20"/>
          <w:szCs w:val="20"/>
        </w:rPr>
      </w:pPr>
      <w:r>
        <w:rPr>
          <w:rFonts w:ascii="Arial" w:eastAsia="Arial" w:hAnsi="Arial" w:cs="Arial"/>
          <w:sz w:val="20"/>
          <w:szCs w:val="20"/>
        </w:rPr>
        <w:t xml:space="preserve">The Company also maintains the Executive Severance Plan, which provides severance benefits to certain key management employees of the Company and its affiliates who are selected by the Compensation Committee to participate in the plan, including </w:t>
      </w:r>
      <w:r>
        <w:rPr>
          <w:rFonts w:ascii="Arial" w:eastAsia="Arial" w:hAnsi="Arial" w:cs="Arial"/>
          <w:sz w:val="20"/>
          <w:szCs w:val="20"/>
        </w:rPr>
        <w:t>each of the NEOs, and who experience a qualifying termination under the terms of the plan. The Executive Severance Plan aids in recruitment and retention and promotes smooth succession planning,</w:t>
      </w: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70" w:name="page70"/>
      <w:bookmarkEnd w:id="70"/>
      <w:r>
        <w:rPr>
          <w:rFonts w:ascii="Arial" w:eastAsia="Arial" w:hAnsi="Arial" w:cs="Arial"/>
          <w:b/>
          <w:bCs/>
          <w:color w:val="0000EE"/>
          <w:sz w:val="18"/>
          <w:szCs w:val="18"/>
          <w:u w:val="single"/>
        </w:rPr>
        <w:t>Table of Contents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3" w:lineRule="exact"/>
        <w:rPr>
          <w:sz w:val="20"/>
          <w:szCs w:val="20"/>
        </w:rPr>
      </w:pPr>
    </w:p>
    <w:p w:rsidR="00A621E3" w:rsidRDefault="00EC630E">
      <w:pPr>
        <w:spacing w:line="254" w:lineRule="auto"/>
        <w:ind w:left="120"/>
        <w:jc w:val="both"/>
        <w:rPr>
          <w:sz w:val="20"/>
          <w:szCs w:val="20"/>
        </w:rPr>
      </w:pPr>
      <w:r>
        <w:rPr>
          <w:rFonts w:ascii="Arial" w:eastAsia="Arial" w:hAnsi="Arial" w:cs="Arial"/>
          <w:sz w:val="19"/>
          <w:szCs w:val="19"/>
        </w:rPr>
        <w:t>while provid</w:t>
      </w:r>
      <w:r>
        <w:rPr>
          <w:rFonts w:ascii="Arial" w:eastAsia="Arial" w:hAnsi="Arial" w:cs="Arial"/>
          <w:sz w:val="19"/>
          <w:szCs w:val="19"/>
        </w:rPr>
        <w:t xml:space="preserve">ing transitional pay for a limited period of time to executives whose employment is involuntarily terminated. Payments are conditioned upon the executive’s execution of a release of claims in favor of the Company and compliance with restrictive covenants. </w:t>
      </w:r>
      <w:r>
        <w:rPr>
          <w:rFonts w:ascii="Arial" w:eastAsia="Arial" w:hAnsi="Arial" w:cs="Arial"/>
          <w:sz w:val="19"/>
          <w:szCs w:val="19"/>
        </w:rPr>
        <w:t>The terms of the Change in Control Severance Plan and Executive Severance Plan were determined after considering market data and the input of the compensation consultant. The award agreements with respect to the Company’s outstanding equity awards also pro</w:t>
      </w:r>
      <w:r>
        <w:rPr>
          <w:rFonts w:ascii="Arial" w:eastAsia="Arial" w:hAnsi="Arial" w:cs="Arial"/>
          <w:sz w:val="19"/>
          <w:szCs w:val="19"/>
        </w:rPr>
        <w:t>vide for pro-rata vesting in the event of certain qualifying terminations of employment. Please see the “Potential Payments upon a Termination or a Change in Control” section below for a quantification of the amounts that would be payable to each of the NE</w:t>
      </w:r>
      <w:r>
        <w:rPr>
          <w:rFonts w:ascii="Arial" w:eastAsia="Arial" w:hAnsi="Arial" w:cs="Arial"/>
          <w:sz w:val="19"/>
          <w:szCs w:val="19"/>
        </w:rPr>
        <w:t>Os in connection with a termination of employment or change in control as of December 31, 2022.</w:t>
      </w:r>
    </w:p>
    <w:p w:rsidR="00A621E3" w:rsidRDefault="00A621E3">
      <w:pPr>
        <w:spacing w:line="231" w:lineRule="exact"/>
        <w:rPr>
          <w:sz w:val="20"/>
          <w:szCs w:val="20"/>
        </w:rPr>
      </w:pPr>
    </w:p>
    <w:p w:rsidR="00A621E3" w:rsidRDefault="00EC630E">
      <w:pPr>
        <w:spacing w:line="242" w:lineRule="auto"/>
        <w:ind w:left="120"/>
        <w:jc w:val="both"/>
        <w:rPr>
          <w:sz w:val="20"/>
          <w:szCs w:val="20"/>
        </w:rPr>
      </w:pPr>
      <w:r>
        <w:rPr>
          <w:rFonts w:ascii="Arial" w:eastAsia="Arial" w:hAnsi="Arial" w:cs="Arial"/>
          <w:i/>
          <w:iCs/>
          <w:color w:val="CF0A2C"/>
          <w:sz w:val="20"/>
          <w:szCs w:val="20"/>
        </w:rPr>
        <w:t xml:space="preserve">Retirement Plans. </w:t>
      </w:r>
      <w:r>
        <w:rPr>
          <w:rFonts w:ascii="Arial" w:eastAsia="Arial" w:hAnsi="Arial" w:cs="Arial"/>
          <w:color w:val="000000"/>
          <w:sz w:val="20"/>
          <w:szCs w:val="20"/>
        </w:rPr>
        <w:t>The Company offers certain executives working</w:t>
      </w:r>
      <w:r>
        <w:rPr>
          <w:rFonts w:ascii="Arial" w:eastAsia="Arial" w:hAnsi="Arial" w:cs="Arial"/>
          <w:i/>
          <w:iCs/>
          <w:color w:val="CF0A2C"/>
          <w:sz w:val="20"/>
          <w:szCs w:val="20"/>
        </w:rPr>
        <w:t xml:space="preserve"> </w:t>
      </w:r>
      <w:r>
        <w:rPr>
          <w:rFonts w:ascii="Arial" w:eastAsia="Arial" w:hAnsi="Arial" w:cs="Arial"/>
          <w:color w:val="000000"/>
          <w:sz w:val="20"/>
          <w:szCs w:val="20"/>
        </w:rPr>
        <w:t xml:space="preserve">in China retirement benefits under the Bai Sheng Restaurants China Holdings Limited Retirement </w:t>
      </w:r>
      <w:r>
        <w:rPr>
          <w:rFonts w:ascii="Arial" w:eastAsia="Arial" w:hAnsi="Arial" w:cs="Arial"/>
          <w:color w:val="000000"/>
          <w:sz w:val="20"/>
          <w:szCs w:val="20"/>
        </w:rPr>
        <w:t>Scheme (“</w:t>
      </w:r>
      <w:r>
        <w:rPr>
          <w:rFonts w:ascii="Arial" w:eastAsia="Arial" w:hAnsi="Arial" w:cs="Arial"/>
          <w:b/>
          <w:bCs/>
          <w:i/>
          <w:iCs/>
          <w:color w:val="000000"/>
          <w:sz w:val="20"/>
          <w:szCs w:val="20"/>
        </w:rPr>
        <w:t>BSRCHLRS</w:t>
      </w:r>
      <w:r>
        <w:rPr>
          <w:rFonts w:ascii="Arial" w:eastAsia="Arial" w:hAnsi="Arial" w:cs="Arial"/>
          <w:color w:val="000000"/>
          <w:sz w:val="20"/>
          <w:szCs w:val="20"/>
        </w:rPr>
        <w:t>”). Under the BSRCHLRS, executives may make personal contributions, and the Company provides a company-funded contribution ranging from 5% to 10% of a participating executive’s base salary. During 2022, all of our NEOs were participants in</w:t>
      </w:r>
      <w:r>
        <w:rPr>
          <w:rFonts w:ascii="Arial" w:eastAsia="Arial" w:hAnsi="Arial" w:cs="Arial"/>
          <w:color w:val="000000"/>
          <w:sz w:val="20"/>
          <w:szCs w:val="20"/>
        </w:rPr>
        <w:t xml:space="preserve"> the BSRCHLRS, and each NEO received a company-funded contribution.</w:t>
      </w:r>
    </w:p>
    <w:p w:rsidR="00A621E3" w:rsidRDefault="00A621E3">
      <w:pPr>
        <w:spacing w:line="235" w:lineRule="exact"/>
        <w:rPr>
          <w:sz w:val="20"/>
          <w:szCs w:val="20"/>
        </w:rPr>
      </w:pPr>
    </w:p>
    <w:p w:rsidR="00A621E3" w:rsidRDefault="00EC630E">
      <w:pPr>
        <w:spacing w:line="244" w:lineRule="auto"/>
        <w:ind w:left="120"/>
        <w:jc w:val="both"/>
        <w:rPr>
          <w:sz w:val="20"/>
          <w:szCs w:val="20"/>
        </w:rPr>
      </w:pPr>
      <w:r>
        <w:rPr>
          <w:rFonts w:ascii="Arial" w:eastAsia="Arial" w:hAnsi="Arial" w:cs="Arial"/>
          <w:i/>
          <w:iCs/>
          <w:color w:val="CF0A2C"/>
          <w:sz w:val="20"/>
          <w:szCs w:val="20"/>
        </w:rPr>
        <w:t xml:space="preserve">Medical, Dental, and Life Insurance and Disability Coverage. </w:t>
      </w:r>
      <w:r>
        <w:rPr>
          <w:rFonts w:ascii="Arial" w:eastAsia="Arial" w:hAnsi="Arial" w:cs="Arial"/>
          <w:color w:val="000000"/>
          <w:sz w:val="20"/>
          <w:szCs w:val="20"/>
        </w:rPr>
        <w:t>The</w:t>
      </w:r>
      <w:r>
        <w:rPr>
          <w:rFonts w:ascii="Arial" w:eastAsia="Arial" w:hAnsi="Arial" w:cs="Arial"/>
          <w:i/>
          <w:iCs/>
          <w:color w:val="CF0A2C"/>
          <w:sz w:val="20"/>
          <w:szCs w:val="20"/>
        </w:rPr>
        <w:t xml:space="preserve"> </w:t>
      </w:r>
      <w:r>
        <w:rPr>
          <w:rFonts w:ascii="Arial" w:eastAsia="Arial" w:hAnsi="Arial" w:cs="Arial"/>
          <w:color w:val="000000"/>
          <w:sz w:val="20"/>
          <w:szCs w:val="20"/>
        </w:rPr>
        <w:t xml:space="preserve">Company provides benefits such as medical, dental, and life insurance and disability coverage to its executive officers </w:t>
      </w:r>
      <w:r>
        <w:rPr>
          <w:rFonts w:ascii="Arial" w:eastAsia="Arial" w:hAnsi="Arial" w:cs="Arial"/>
          <w:color w:val="000000"/>
          <w:sz w:val="20"/>
          <w:szCs w:val="20"/>
        </w:rPr>
        <w:t>through the same benefit plans that are provided to eligible China-based employees.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4" w:lineRule="exact"/>
        <w:rPr>
          <w:sz w:val="20"/>
          <w:szCs w:val="20"/>
        </w:rPr>
      </w:pPr>
    </w:p>
    <w:p w:rsidR="00A621E3" w:rsidRDefault="00EC630E">
      <w:pPr>
        <w:ind w:left="2940"/>
        <w:rPr>
          <w:sz w:val="20"/>
          <w:szCs w:val="20"/>
        </w:rPr>
      </w:pPr>
      <w:r>
        <w:rPr>
          <w:rFonts w:ascii="Arial" w:eastAsia="Arial" w:hAnsi="Arial" w:cs="Arial"/>
          <w:b/>
          <w:bCs/>
          <w:color w:val="FFFFFF"/>
          <w:sz w:val="16"/>
          <w:szCs w:val="16"/>
        </w:rPr>
        <w:t>EXECUTIVE COMPENSATION</w:t>
      </w:r>
    </w:p>
    <w:p w:rsidR="00A621E3" w:rsidRDefault="00EC630E">
      <w:pPr>
        <w:spacing w:line="20" w:lineRule="exact"/>
        <w:rPr>
          <w:sz w:val="20"/>
          <w:szCs w:val="20"/>
        </w:rPr>
      </w:pPr>
      <w:r>
        <w:rPr>
          <w:noProof/>
          <w:sz w:val="20"/>
          <w:szCs w:val="20"/>
        </w:rPr>
        <w:drawing>
          <wp:anchor distT="0" distB="0" distL="114300" distR="114300" simplePos="0" relativeHeight="251933696" behindDoc="1" locked="0" layoutInCell="0" allowOverlap="1">
            <wp:simplePos x="0" y="0"/>
            <wp:positionH relativeFrom="column">
              <wp:posOffset>-3651885</wp:posOffset>
            </wp:positionH>
            <wp:positionV relativeFrom="paragraph">
              <wp:posOffset>-713105</wp:posOffset>
            </wp:positionV>
            <wp:extent cx="7174865" cy="55880"/>
            <wp:effectExtent l="0" t="0" r="0" b="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noProof/>
          <w:sz w:val="20"/>
          <w:szCs w:val="20"/>
        </w:rPr>
        <w:drawing>
          <wp:anchor distT="0" distB="0" distL="114300" distR="114300" simplePos="0" relativeHeight="251934720" behindDoc="1" locked="0" layoutInCell="0" allowOverlap="1">
            <wp:simplePos x="0" y="0"/>
            <wp:positionH relativeFrom="column">
              <wp:posOffset>1717675</wp:posOffset>
            </wp:positionH>
            <wp:positionV relativeFrom="paragraph">
              <wp:posOffset>-156210</wp:posOffset>
            </wp:positionV>
            <wp:extent cx="1705610" cy="205740"/>
            <wp:effectExtent l="0" t="0" r="0"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243" w:lineRule="exact"/>
        <w:rPr>
          <w:sz w:val="20"/>
          <w:szCs w:val="20"/>
        </w:rPr>
      </w:pPr>
    </w:p>
    <w:p w:rsidR="00A621E3" w:rsidRDefault="00EC630E">
      <w:pPr>
        <w:spacing w:line="268" w:lineRule="auto"/>
        <w:jc w:val="both"/>
        <w:rPr>
          <w:sz w:val="20"/>
          <w:szCs w:val="20"/>
        </w:rPr>
      </w:pPr>
      <w:r>
        <w:rPr>
          <w:rFonts w:ascii="Arial" w:eastAsia="Arial" w:hAnsi="Arial" w:cs="Arial"/>
          <w:i/>
          <w:iCs/>
          <w:color w:val="CF0A2C"/>
          <w:sz w:val="18"/>
          <w:szCs w:val="18"/>
        </w:rPr>
        <w:t xml:space="preserve">Perquisites. </w:t>
      </w:r>
      <w:r>
        <w:rPr>
          <w:rFonts w:ascii="Arial" w:eastAsia="Arial" w:hAnsi="Arial" w:cs="Arial"/>
          <w:color w:val="000000"/>
          <w:sz w:val="18"/>
          <w:szCs w:val="18"/>
        </w:rPr>
        <w:t>As noted earlier in the CD&amp;A, the Company’s</w:t>
      </w:r>
      <w:r>
        <w:rPr>
          <w:rFonts w:ascii="Arial" w:eastAsia="Arial" w:hAnsi="Arial" w:cs="Arial"/>
          <w:i/>
          <w:iCs/>
          <w:color w:val="CF0A2C"/>
          <w:sz w:val="18"/>
          <w:szCs w:val="18"/>
        </w:rPr>
        <w:t xml:space="preserve"> </w:t>
      </w:r>
      <w:r>
        <w:rPr>
          <w:rFonts w:ascii="Arial" w:eastAsia="Arial" w:hAnsi="Arial" w:cs="Arial"/>
          <w:color w:val="000000"/>
          <w:sz w:val="18"/>
          <w:szCs w:val="18"/>
        </w:rPr>
        <w:t xml:space="preserve">executive compensation program may differ from our U.S. peers to reflect the </w:t>
      </w:r>
      <w:r>
        <w:rPr>
          <w:rFonts w:ascii="Arial" w:eastAsia="Arial" w:hAnsi="Arial" w:cs="Arial"/>
          <w:color w:val="000000"/>
          <w:sz w:val="18"/>
          <w:szCs w:val="18"/>
        </w:rPr>
        <w:t>competitive market in China, the need to attract a global skillset with deep knowledge of both U.S. and Chinese regulatory regimes and the Company’s desire to incentivize an entrepreneurial mindset to encourage actions that support our long-term growth and</w:t>
      </w:r>
      <w:r>
        <w:rPr>
          <w:rFonts w:ascii="Arial" w:eastAsia="Arial" w:hAnsi="Arial" w:cs="Arial"/>
          <w:color w:val="000000"/>
          <w:sz w:val="18"/>
          <w:szCs w:val="18"/>
        </w:rPr>
        <w:t xml:space="preserve"> strategy. Because the Company is designing an executive compensation program that attracts, retains and incentivizes global talent, the Company provides certain perquisites relating to overseas assignments as part of a competitive compensation package to </w:t>
      </w:r>
      <w:r>
        <w:rPr>
          <w:rFonts w:ascii="Arial" w:eastAsia="Arial" w:hAnsi="Arial" w:cs="Arial"/>
          <w:color w:val="000000"/>
          <w:sz w:val="18"/>
          <w:szCs w:val="18"/>
        </w:rPr>
        <w:t>attract and retain globally mobile executives. These perquisites are governed by the Company’s formal mobility policy, are offered on a case-by-case basis and reflect each executive’s particular circumstances while also generally reflecting market practice</w:t>
      </w:r>
      <w:r>
        <w:rPr>
          <w:rFonts w:ascii="Arial" w:eastAsia="Arial" w:hAnsi="Arial" w:cs="Arial"/>
          <w:color w:val="000000"/>
          <w:sz w:val="18"/>
          <w:szCs w:val="18"/>
        </w:rPr>
        <w:t>s for similarly situated, globally mobile executives working in international companies based in mainland China. For example, the Company may offer perquisites such as housing cost subsidies, dependent education, and home leave payments to executives perfo</w:t>
      </w:r>
      <w:r>
        <w:rPr>
          <w:rFonts w:ascii="Arial" w:eastAsia="Arial" w:hAnsi="Arial" w:cs="Arial"/>
          <w:color w:val="000000"/>
          <w:sz w:val="18"/>
          <w:szCs w:val="18"/>
        </w:rPr>
        <w:t>rming services in China.</w:t>
      </w:r>
    </w:p>
    <w:p w:rsidR="00A621E3" w:rsidRDefault="00A621E3">
      <w:pPr>
        <w:spacing w:line="225" w:lineRule="exact"/>
        <w:rPr>
          <w:sz w:val="20"/>
          <w:szCs w:val="20"/>
        </w:rPr>
      </w:pPr>
    </w:p>
    <w:p w:rsidR="00A621E3" w:rsidRDefault="00EC630E">
      <w:pPr>
        <w:spacing w:line="257" w:lineRule="auto"/>
        <w:jc w:val="both"/>
        <w:rPr>
          <w:sz w:val="20"/>
          <w:szCs w:val="20"/>
        </w:rPr>
      </w:pPr>
      <w:r>
        <w:rPr>
          <w:rFonts w:ascii="Arial" w:eastAsia="Arial" w:hAnsi="Arial" w:cs="Arial"/>
          <w:sz w:val="19"/>
          <w:szCs w:val="19"/>
        </w:rPr>
        <w:t>Prior to our spin-off from YUM, certain of our NEOs were offered tax equalization benefits as an element of their compensation. These tax equalization benefits represent legacy compensation arrangements entered into with our forme</w:t>
      </w:r>
      <w:r>
        <w:rPr>
          <w:rFonts w:ascii="Arial" w:eastAsia="Arial" w:hAnsi="Arial" w:cs="Arial"/>
          <w:sz w:val="19"/>
          <w:szCs w:val="19"/>
        </w:rPr>
        <w:t>r parent. After the spin-off, the Compensation Committee phased out tax equalization benefits for the NEOs (other than certain grandfathered benefits pursuant to the legacy arrangements).</w:t>
      </w:r>
    </w:p>
    <w:p w:rsidR="00A621E3" w:rsidRDefault="00A621E3">
      <w:pPr>
        <w:spacing w:line="225" w:lineRule="exact"/>
        <w:rPr>
          <w:sz w:val="20"/>
          <w:szCs w:val="20"/>
        </w:rPr>
      </w:pPr>
    </w:p>
    <w:p w:rsidR="00A621E3" w:rsidRDefault="00EC630E">
      <w:pPr>
        <w:spacing w:line="385" w:lineRule="auto"/>
        <w:ind w:right="20"/>
        <w:jc w:val="both"/>
        <w:rPr>
          <w:sz w:val="20"/>
          <w:szCs w:val="20"/>
        </w:rPr>
      </w:pPr>
      <w:r>
        <w:rPr>
          <w:rFonts w:ascii="Arial" w:eastAsia="Arial" w:hAnsi="Arial" w:cs="Arial"/>
          <w:sz w:val="16"/>
          <w:szCs w:val="16"/>
        </w:rPr>
        <w:t xml:space="preserve">See the 2022 All Other Compensation Table in this CD&amp;A for details </w:t>
      </w:r>
      <w:r>
        <w:rPr>
          <w:rFonts w:ascii="Arial" w:eastAsia="Arial" w:hAnsi="Arial" w:cs="Arial"/>
          <w:sz w:val="16"/>
          <w:szCs w:val="16"/>
        </w:rPr>
        <w:t>regarding the perquisites received by our NEOs during 2022.</w:t>
      </w:r>
    </w:p>
    <w:p w:rsidR="00A621E3" w:rsidRDefault="00A621E3">
      <w:pPr>
        <w:spacing w:line="385" w:lineRule="exact"/>
        <w:rPr>
          <w:sz w:val="20"/>
          <w:szCs w:val="20"/>
        </w:rPr>
      </w:pPr>
    </w:p>
    <w:p w:rsidR="00A621E3" w:rsidRDefault="00EC630E">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65</w:t>
      </w:r>
    </w:p>
    <w:p w:rsidR="00A621E3" w:rsidRDefault="00EC630E">
      <w:pPr>
        <w:spacing w:line="20" w:lineRule="exact"/>
        <w:rPr>
          <w:sz w:val="20"/>
          <w:szCs w:val="20"/>
        </w:rPr>
      </w:pPr>
      <w:r>
        <w:rPr>
          <w:noProof/>
          <w:sz w:val="20"/>
          <w:szCs w:val="20"/>
        </w:rPr>
        <w:drawing>
          <wp:anchor distT="0" distB="0" distL="114300" distR="114300" simplePos="0" relativeHeight="251935744" behindDoc="1" locked="0" layoutInCell="0" allowOverlap="1">
            <wp:simplePos x="0" y="0"/>
            <wp:positionH relativeFrom="column">
              <wp:posOffset>3149600</wp:posOffset>
            </wp:positionH>
            <wp:positionV relativeFrom="paragraph">
              <wp:posOffset>-93345</wp:posOffset>
            </wp:positionV>
            <wp:extent cx="8255" cy="102870"/>
            <wp:effectExtent l="0" t="0" r="0" b="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71" w:name="page71"/>
      <w:bookmarkEnd w:id="71"/>
      <w:r>
        <w:rPr>
          <w:rFonts w:ascii="Arial" w:eastAsia="Arial" w:hAnsi="Arial" w:cs="Arial"/>
          <w:b/>
          <w:bCs/>
          <w:noProof/>
          <w:color w:val="0000EE"/>
          <w:sz w:val="18"/>
          <w:szCs w:val="18"/>
          <w:u w:val="single"/>
        </w:rPr>
        <w:drawing>
          <wp:anchor distT="0" distB="0" distL="114300" distR="114300" simplePos="0" relativeHeight="25193676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37792"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63" w:lineRule="exact"/>
        <w:rPr>
          <w:sz w:val="20"/>
          <w:szCs w:val="20"/>
        </w:rPr>
      </w:pPr>
    </w:p>
    <w:p w:rsidR="00A621E3" w:rsidRDefault="00EC630E">
      <w:pPr>
        <w:ind w:left="120"/>
        <w:rPr>
          <w:sz w:val="20"/>
          <w:szCs w:val="20"/>
        </w:rPr>
      </w:pPr>
      <w:r>
        <w:rPr>
          <w:rFonts w:ascii="Arial" w:eastAsia="Arial" w:hAnsi="Arial" w:cs="Arial"/>
          <w:b/>
          <w:bCs/>
          <w:i/>
          <w:iCs/>
          <w:color w:val="CF0A2C"/>
          <w:sz w:val="20"/>
          <w:szCs w:val="20"/>
        </w:rPr>
        <w:t>2022 NEO Compensation and Performance Summary</w:t>
      </w:r>
    </w:p>
    <w:p w:rsidR="00A621E3" w:rsidRDefault="00A621E3">
      <w:pPr>
        <w:spacing w:line="256" w:lineRule="exact"/>
        <w:rPr>
          <w:sz w:val="20"/>
          <w:szCs w:val="20"/>
        </w:rPr>
      </w:pPr>
    </w:p>
    <w:p w:rsidR="00A621E3" w:rsidRDefault="00EC630E">
      <w:pPr>
        <w:spacing w:line="272" w:lineRule="auto"/>
        <w:ind w:left="120"/>
        <w:jc w:val="both"/>
        <w:rPr>
          <w:sz w:val="20"/>
          <w:szCs w:val="20"/>
        </w:rPr>
      </w:pPr>
      <w:r>
        <w:rPr>
          <w:rFonts w:ascii="Arial" w:eastAsia="Arial" w:hAnsi="Arial" w:cs="Arial"/>
          <w:sz w:val="18"/>
          <w:szCs w:val="18"/>
        </w:rPr>
        <w:t xml:space="preserve">Below is a </w:t>
      </w:r>
      <w:r>
        <w:rPr>
          <w:rFonts w:ascii="Arial" w:eastAsia="Arial" w:hAnsi="Arial" w:cs="Arial"/>
          <w:sz w:val="18"/>
          <w:szCs w:val="18"/>
        </w:rPr>
        <w:t>summary of our NEOs’ 2022 compensation—which includes base salary, annual cash incentive, and equity awards, as well as an overview of our NEOs’ 2022 performance relative to their individual annual performance goals. The specific performance summaries desc</w:t>
      </w:r>
      <w:r>
        <w:rPr>
          <w:rFonts w:ascii="Arial" w:eastAsia="Arial" w:hAnsi="Arial" w:cs="Arial"/>
          <w:sz w:val="18"/>
          <w:szCs w:val="18"/>
        </w:rPr>
        <w:t>ribed below were considered in determining the Individual Performance Factor under the annual cash bonus program. As noted in the CD&amp;A, in February 2022, the Compensation Committee approved the performance goals that would be used to determine the Individu</w:t>
      </w:r>
      <w:r>
        <w:rPr>
          <w:rFonts w:ascii="Arial" w:eastAsia="Arial" w:hAnsi="Arial" w:cs="Arial"/>
          <w:sz w:val="18"/>
          <w:szCs w:val="18"/>
        </w:rPr>
        <w:t>al Per-</w:t>
      </w:r>
    </w:p>
    <w:p w:rsidR="00A621E3" w:rsidRDefault="00EC630E">
      <w:pPr>
        <w:spacing w:line="20" w:lineRule="exact"/>
        <w:rPr>
          <w:sz w:val="20"/>
          <w:szCs w:val="20"/>
        </w:rPr>
      </w:pPr>
      <w:r>
        <w:rPr>
          <w:sz w:val="20"/>
          <w:szCs w:val="20"/>
        </w:rPr>
        <w:br w:type="column"/>
      </w:r>
    </w:p>
    <w:p w:rsidR="00A621E3" w:rsidRDefault="00A621E3">
      <w:pPr>
        <w:spacing w:line="243" w:lineRule="exact"/>
        <w:rPr>
          <w:sz w:val="20"/>
          <w:szCs w:val="20"/>
        </w:rPr>
      </w:pPr>
    </w:p>
    <w:p w:rsidR="00A621E3" w:rsidRDefault="00EC630E">
      <w:pPr>
        <w:spacing w:line="255" w:lineRule="auto"/>
        <w:jc w:val="both"/>
        <w:rPr>
          <w:sz w:val="20"/>
          <w:szCs w:val="20"/>
        </w:rPr>
      </w:pPr>
      <w:r>
        <w:rPr>
          <w:rFonts w:ascii="Arial" w:eastAsia="Arial" w:hAnsi="Arial" w:cs="Arial"/>
          <w:sz w:val="19"/>
          <w:szCs w:val="19"/>
        </w:rPr>
        <w:t>formance Factor for the CEO and other NEOs. These annual performance goals generally fell within the performance categories of mitigating the impact of the COVID-19 pandemic, increasing stockholder returns, accelerating the growth of our brands,</w:t>
      </w:r>
      <w:r>
        <w:rPr>
          <w:rFonts w:ascii="Arial" w:eastAsia="Arial" w:hAnsi="Arial" w:cs="Arial"/>
          <w:sz w:val="19"/>
          <w:szCs w:val="19"/>
        </w:rPr>
        <w:t xml:space="preserve"> driving new business initiatives, effectively managing costs, and achieving ESG and other strategic objectives. Under each performance goal category, each NEO has a number of underlying pre-established goals against which the NEO’s performance is assessed</w:t>
      </w:r>
      <w:r>
        <w:rPr>
          <w:rFonts w:ascii="Arial" w:eastAsia="Arial" w:hAnsi="Arial" w:cs="Arial"/>
          <w:sz w:val="19"/>
          <w:szCs w:val="19"/>
        </w:rPr>
        <w:t>. See “Elements of the Executive Compensation Program—Annual Performance Based Cash Bonuses—Individual Performance Factor.”</w:t>
      </w:r>
    </w:p>
    <w:p w:rsidR="00A621E3" w:rsidRDefault="00A621E3">
      <w:pPr>
        <w:spacing w:line="243"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07" w:lineRule="exact"/>
        <w:rPr>
          <w:sz w:val="20"/>
          <w:szCs w:val="20"/>
        </w:rPr>
      </w:pPr>
    </w:p>
    <w:p w:rsidR="00A621E3" w:rsidRDefault="00EC630E">
      <w:pPr>
        <w:ind w:left="160"/>
        <w:rPr>
          <w:sz w:val="20"/>
          <w:szCs w:val="20"/>
        </w:rPr>
      </w:pPr>
      <w:r>
        <w:rPr>
          <w:rFonts w:ascii="Arial" w:eastAsia="Arial" w:hAnsi="Arial" w:cs="Arial"/>
          <w:b/>
          <w:bCs/>
          <w:color w:val="CF0A2C"/>
          <w:sz w:val="20"/>
          <w:szCs w:val="20"/>
        </w:rPr>
        <w:t>Joey Wat</w:t>
      </w:r>
    </w:p>
    <w:p w:rsidR="00A621E3" w:rsidRDefault="00EC630E">
      <w:pPr>
        <w:spacing w:line="20" w:lineRule="exact"/>
        <w:rPr>
          <w:sz w:val="20"/>
          <w:szCs w:val="20"/>
        </w:rPr>
      </w:pPr>
      <w:r>
        <w:rPr>
          <w:noProof/>
          <w:sz w:val="20"/>
          <w:szCs w:val="20"/>
        </w:rPr>
        <w:drawing>
          <wp:anchor distT="0" distB="0" distL="114300" distR="114300" simplePos="0" relativeHeight="251938816" behindDoc="1" locked="0" layoutInCell="0" allowOverlap="1">
            <wp:simplePos x="0" y="0"/>
            <wp:positionH relativeFrom="column">
              <wp:posOffset>73660</wp:posOffset>
            </wp:positionH>
            <wp:positionV relativeFrom="paragraph">
              <wp:posOffset>-139700</wp:posOffset>
            </wp:positionV>
            <wp:extent cx="6995160" cy="368935"/>
            <wp:effectExtent l="0" t="0" r="0" b="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8">
                      <a:extLst/>
                    </a:blip>
                    <a:srcRect/>
                    <a:stretch>
                      <a:fillRect/>
                    </a:stretch>
                  </pic:blipFill>
                  <pic:spPr bwMode="auto">
                    <a:xfrm>
                      <a:off x="0" y="0"/>
                      <a:ext cx="6995160" cy="368935"/>
                    </a:xfrm>
                    <a:prstGeom prst="rect">
                      <a:avLst/>
                    </a:prstGeom>
                    <a:noFill/>
                  </pic:spPr>
                </pic:pic>
              </a:graphicData>
            </a:graphic>
          </wp:anchor>
        </w:drawing>
      </w:r>
    </w:p>
    <w:p w:rsidR="00A621E3" w:rsidRDefault="00A621E3">
      <w:pPr>
        <w:spacing w:line="2" w:lineRule="exact"/>
        <w:rPr>
          <w:sz w:val="20"/>
          <w:szCs w:val="20"/>
        </w:rPr>
      </w:pPr>
    </w:p>
    <w:p w:rsidR="00A621E3" w:rsidRDefault="00EC630E">
      <w:pPr>
        <w:ind w:left="160"/>
        <w:rPr>
          <w:sz w:val="20"/>
          <w:szCs w:val="20"/>
        </w:rPr>
      </w:pPr>
      <w:r>
        <w:rPr>
          <w:rFonts w:ascii="Arial" w:eastAsia="Arial" w:hAnsi="Arial" w:cs="Arial"/>
          <w:i/>
          <w:iCs/>
          <w:sz w:val="18"/>
          <w:szCs w:val="18"/>
        </w:rPr>
        <w:t>Chief Executive Officer</w:t>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66" w:lineRule="exact"/>
        <w:rPr>
          <w:sz w:val="20"/>
          <w:szCs w:val="20"/>
        </w:rPr>
      </w:pPr>
    </w:p>
    <w:p w:rsidR="00A621E3" w:rsidRDefault="00EC630E">
      <w:pPr>
        <w:spacing w:line="268" w:lineRule="auto"/>
        <w:ind w:left="120"/>
        <w:jc w:val="both"/>
        <w:rPr>
          <w:sz w:val="20"/>
          <w:szCs w:val="20"/>
        </w:rPr>
      </w:pPr>
      <w:r>
        <w:rPr>
          <w:rFonts w:ascii="Arial" w:eastAsia="Arial" w:hAnsi="Arial" w:cs="Arial"/>
          <w:i/>
          <w:iCs/>
          <w:color w:val="CF0A2C"/>
          <w:sz w:val="18"/>
          <w:szCs w:val="18"/>
        </w:rPr>
        <w:t>2022 Performance Summary</w:t>
      </w:r>
      <w:r>
        <w:rPr>
          <w:rFonts w:ascii="Arial" w:eastAsia="Arial" w:hAnsi="Arial" w:cs="Arial"/>
          <w:i/>
          <w:iCs/>
          <w:color w:val="000000"/>
          <w:sz w:val="18"/>
          <w:szCs w:val="18"/>
        </w:rPr>
        <w:t>.</w:t>
      </w:r>
      <w:r>
        <w:rPr>
          <w:rFonts w:ascii="Arial" w:eastAsia="Arial" w:hAnsi="Arial" w:cs="Arial"/>
          <w:i/>
          <w:iCs/>
          <w:color w:val="CF0A2C"/>
          <w:sz w:val="18"/>
          <w:szCs w:val="18"/>
        </w:rPr>
        <w:t xml:space="preserve"> </w:t>
      </w:r>
      <w:r>
        <w:rPr>
          <w:rFonts w:ascii="Arial" w:eastAsia="Arial" w:hAnsi="Arial" w:cs="Arial"/>
          <w:color w:val="000000"/>
          <w:sz w:val="18"/>
          <w:szCs w:val="18"/>
        </w:rPr>
        <w:t xml:space="preserve">The </w:t>
      </w:r>
      <w:r>
        <w:rPr>
          <w:rFonts w:ascii="Arial" w:eastAsia="Arial" w:hAnsi="Arial" w:cs="Arial"/>
          <w:color w:val="000000"/>
          <w:sz w:val="18"/>
          <w:szCs w:val="18"/>
        </w:rPr>
        <w:t>Compensation Committee</w:t>
      </w:r>
      <w:r>
        <w:rPr>
          <w:rFonts w:ascii="Arial" w:eastAsia="Arial" w:hAnsi="Arial" w:cs="Arial"/>
          <w:i/>
          <w:iCs/>
          <w:color w:val="CF0A2C"/>
          <w:sz w:val="18"/>
          <w:szCs w:val="18"/>
        </w:rPr>
        <w:t xml:space="preserve"> </w:t>
      </w:r>
      <w:r>
        <w:rPr>
          <w:rFonts w:ascii="Arial" w:eastAsia="Arial" w:hAnsi="Arial" w:cs="Arial"/>
          <w:color w:val="000000"/>
          <w:sz w:val="18"/>
          <w:szCs w:val="18"/>
        </w:rPr>
        <w:t>determined Ms. Wat’s performance to be significantly above target with an Individual Performance Factor of 140%. Ms. Wat was recognized for leading the Company’s crisis management team in taking timely and decisive actions in tacklin</w:t>
      </w:r>
      <w:r>
        <w:rPr>
          <w:rFonts w:ascii="Arial" w:eastAsia="Arial" w:hAnsi="Arial" w:cs="Arial"/>
          <w:color w:val="000000"/>
          <w:sz w:val="18"/>
          <w:szCs w:val="18"/>
        </w:rPr>
        <w:t>g the many unprecedented challenges arising out of the COVID-19 pandemic in 2022, which was viewed as even more difficult than 2020 or 2021. Those measures included protecting employees, sustaining operations, driving sales and protecting profitability. De</w:t>
      </w:r>
      <w:r>
        <w:rPr>
          <w:rFonts w:ascii="Arial" w:eastAsia="Arial" w:hAnsi="Arial" w:cs="Arial"/>
          <w:color w:val="000000"/>
          <w:sz w:val="18"/>
          <w:szCs w:val="18"/>
        </w:rPr>
        <w:t>spite a decline in the total revenue for the China restaurant industry due to massive lockdowns and infections in both early and late 2022, Ms. Wat led the Company to achieve profitability in every quarter in 2022. The Company also delivered revenue growth</w:t>
      </w:r>
      <w:r>
        <w:rPr>
          <w:rFonts w:ascii="Arial" w:eastAsia="Arial" w:hAnsi="Arial" w:cs="Arial"/>
          <w:color w:val="000000"/>
          <w:sz w:val="18"/>
          <w:szCs w:val="18"/>
        </w:rPr>
        <w:t xml:space="preserve"> (excluding foreign currency translation) which outperformed the China restaurant industry revenue growth by 7% in 2022. Ms. Wat led the effort to restructure both commodity and labor cost bases to protect margins, resulting in a full year restaurant margi</w:t>
      </w:r>
      <w:r>
        <w:rPr>
          <w:rFonts w:ascii="Arial" w:eastAsia="Arial" w:hAnsi="Arial" w:cs="Arial"/>
          <w:color w:val="000000"/>
          <w:sz w:val="18"/>
          <w:szCs w:val="18"/>
        </w:rPr>
        <w:t>n of 14.1%, compared to 13.7% in 2021. The Company’s 2022 TSR ranked 93.65 percentile against the constituents of the MSCI China Index. Despite a very challenging business environment, the Company achieved net new stores of 1,159 with healthy average payba</w:t>
      </w:r>
      <w:r>
        <w:rPr>
          <w:rFonts w:ascii="Arial" w:eastAsia="Arial" w:hAnsi="Arial" w:cs="Arial"/>
          <w:color w:val="000000"/>
          <w:sz w:val="18"/>
          <w:szCs w:val="18"/>
        </w:rPr>
        <w:t>ck period of two and three years for KFC and Pizza Hut, respectively. Ms. Wat also provided strategic guidance to the emerging brands including Taco Bell and Lavazza, both making solid progress in 2022. Taco Bell doubled its store count to 91 while Lavazza</w:t>
      </w:r>
      <w:r>
        <w:rPr>
          <w:rFonts w:ascii="Arial" w:eastAsia="Arial" w:hAnsi="Arial" w:cs="Arial"/>
          <w:color w:val="000000"/>
          <w:sz w:val="18"/>
          <w:szCs w:val="18"/>
        </w:rPr>
        <w:t xml:space="preserve"> reached a store count of 85, at the end of 2022. On ESG, under</w:t>
      </w:r>
    </w:p>
    <w:p w:rsidR="00A621E3" w:rsidRDefault="00A621E3">
      <w:pPr>
        <w:spacing w:line="200" w:lineRule="exact"/>
        <w:rPr>
          <w:sz w:val="20"/>
          <w:szCs w:val="20"/>
        </w:rPr>
      </w:pPr>
    </w:p>
    <w:p w:rsidR="00A621E3" w:rsidRDefault="00A621E3">
      <w:pPr>
        <w:spacing w:line="209" w:lineRule="exact"/>
        <w:rPr>
          <w:sz w:val="20"/>
          <w:szCs w:val="20"/>
        </w:rPr>
      </w:pPr>
    </w:p>
    <w:p w:rsidR="00A621E3" w:rsidRDefault="00EC630E">
      <w:pPr>
        <w:numPr>
          <w:ilvl w:val="0"/>
          <w:numId w:val="87"/>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93984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46" w:lineRule="exact"/>
        <w:rPr>
          <w:sz w:val="20"/>
          <w:szCs w:val="20"/>
        </w:rPr>
      </w:pPr>
    </w:p>
    <w:p w:rsidR="00A621E3" w:rsidRDefault="00EC630E">
      <w:pPr>
        <w:spacing w:line="243" w:lineRule="auto"/>
        <w:jc w:val="both"/>
        <w:rPr>
          <w:sz w:val="20"/>
          <w:szCs w:val="20"/>
        </w:rPr>
      </w:pPr>
      <w:r>
        <w:rPr>
          <w:rFonts w:ascii="Arial" w:eastAsia="Arial" w:hAnsi="Arial" w:cs="Arial"/>
          <w:sz w:val="20"/>
          <w:szCs w:val="20"/>
        </w:rPr>
        <w:t xml:space="preserve">Ms. Wat’s direction, the Company also formulated its near term greenhouse gas (GHG) emissions reduction targets and roadmap and received SBTi’s </w:t>
      </w:r>
      <w:r>
        <w:rPr>
          <w:rFonts w:ascii="Arial" w:eastAsia="Arial" w:hAnsi="Arial" w:cs="Arial"/>
          <w:sz w:val="20"/>
          <w:szCs w:val="20"/>
        </w:rPr>
        <w:t>approval in November 2022. The Company also published its first TCFD report and received the industry highest score for the third year from Dow Jones Sustainability Index.</w:t>
      </w:r>
    </w:p>
    <w:p w:rsidR="00A621E3" w:rsidRDefault="00A621E3">
      <w:pPr>
        <w:spacing w:line="223" w:lineRule="exact"/>
        <w:rPr>
          <w:sz w:val="20"/>
          <w:szCs w:val="20"/>
        </w:rPr>
      </w:pPr>
    </w:p>
    <w:p w:rsidR="00A621E3" w:rsidRDefault="00EC630E">
      <w:pPr>
        <w:spacing w:line="259" w:lineRule="auto"/>
        <w:jc w:val="both"/>
        <w:rPr>
          <w:sz w:val="20"/>
          <w:szCs w:val="20"/>
        </w:rPr>
      </w:pPr>
      <w:r>
        <w:rPr>
          <w:rFonts w:ascii="Arial" w:eastAsia="Arial" w:hAnsi="Arial" w:cs="Arial"/>
          <w:i/>
          <w:iCs/>
          <w:color w:val="CF0A2C"/>
          <w:sz w:val="18"/>
          <w:szCs w:val="18"/>
        </w:rPr>
        <w:t>2022 Compensation Decisions</w:t>
      </w:r>
      <w:r>
        <w:rPr>
          <w:rFonts w:ascii="Arial" w:eastAsia="Arial" w:hAnsi="Arial" w:cs="Arial"/>
          <w:i/>
          <w:iCs/>
          <w:color w:val="000000"/>
          <w:sz w:val="18"/>
          <w:szCs w:val="18"/>
        </w:rPr>
        <w:t>.</w:t>
      </w:r>
      <w:r>
        <w:rPr>
          <w:rFonts w:ascii="Arial" w:eastAsia="Arial" w:hAnsi="Arial" w:cs="Arial"/>
          <w:i/>
          <w:iCs/>
          <w:color w:val="CF0A2C"/>
          <w:sz w:val="18"/>
          <w:szCs w:val="18"/>
        </w:rPr>
        <w:t xml:space="preserve"> </w:t>
      </w:r>
      <w:r>
        <w:rPr>
          <w:rFonts w:ascii="Arial" w:eastAsia="Arial" w:hAnsi="Arial" w:cs="Arial"/>
          <w:color w:val="000000"/>
          <w:sz w:val="18"/>
          <w:szCs w:val="18"/>
        </w:rPr>
        <w:t>Effective February 1, 2022, the</w:t>
      </w:r>
      <w:r>
        <w:rPr>
          <w:rFonts w:ascii="Arial" w:eastAsia="Arial" w:hAnsi="Arial" w:cs="Arial"/>
          <w:i/>
          <w:iCs/>
          <w:color w:val="CF0A2C"/>
          <w:sz w:val="18"/>
          <w:szCs w:val="18"/>
        </w:rPr>
        <w:t xml:space="preserve"> </w:t>
      </w:r>
      <w:r>
        <w:rPr>
          <w:rFonts w:ascii="Arial" w:eastAsia="Arial" w:hAnsi="Arial" w:cs="Arial"/>
          <w:color w:val="000000"/>
          <w:sz w:val="18"/>
          <w:szCs w:val="18"/>
        </w:rPr>
        <w:t>Compensation Committee</w:t>
      </w:r>
      <w:r>
        <w:rPr>
          <w:rFonts w:ascii="Arial" w:eastAsia="Arial" w:hAnsi="Arial" w:cs="Arial"/>
          <w:color w:val="000000"/>
          <w:sz w:val="18"/>
          <w:szCs w:val="18"/>
        </w:rPr>
        <w:t xml:space="preserve"> decided to bring Ms. Wat’s 2022 target compensation levels at slightly above the median of the Company’s compensation peer group, after taking into account Ms. Wat’s experience in and knowledge of the China consumer market and global expertise. These deci</w:t>
      </w:r>
      <w:r>
        <w:rPr>
          <w:rFonts w:ascii="Arial" w:eastAsia="Arial" w:hAnsi="Arial" w:cs="Arial"/>
          <w:color w:val="000000"/>
          <w:sz w:val="18"/>
          <w:szCs w:val="18"/>
        </w:rPr>
        <w:t>sions positioned Ms. Wat’s total target direct compensation at the 54</w:t>
      </w:r>
      <w:r>
        <w:rPr>
          <w:rFonts w:ascii="Arial" w:eastAsia="Arial" w:hAnsi="Arial" w:cs="Arial"/>
          <w:color w:val="000000"/>
          <w:sz w:val="26"/>
          <w:szCs w:val="26"/>
          <w:vertAlign w:val="superscript"/>
        </w:rPr>
        <w:t>th</w:t>
      </w:r>
      <w:r>
        <w:rPr>
          <w:rFonts w:ascii="Arial" w:eastAsia="Arial" w:hAnsi="Arial" w:cs="Arial"/>
          <w:color w:val="000000"/>
          <w:sz w:val="18"/>
          <w:szCs w:val="18"/>
        </w:rPr>
        <w:t xml:space="preserve"> percentile of the Company’s 2022 compensation peer group. After considering the advice of its compensation consultant, market practice, and Ms. Wat’s individual performance, the Compen</w:t>
      </w:r>
      <w:r>
        <w:rPr>
          <w:rFonts w:ascii="Arial" w:eastAsia="Arial" w:hAnsi="Arial" w:cs="Arial"/>
          <w:color w:val="000000"/>
          <w:sz w:val="18"/>
          <w:szCs w:val="18"/>
        </w:rPr>
        <w:t>sation Committee made the following compensation decisions.</w:t>
      </w:r>
    </w:p>
    <w:p w:rsidR="00A621E3" w:rsidRDefault="00A621E3">
      <w:pPr>
        <w:spacing w:line="265" w:lineRule="exact"/>
        <w:rPr>
          <w:sz w:val="20"/>
          <w:szCs w:val="20"/>
        </w:rPr>
      </w:pPr>
    </w:p>
    <w:p w:rsidR="00A621E3" w:rsidRDefault="00EC630E">
      <w:pPr>
        <w:numPr>
          <w:ilvl w:val="0"/>
          <w:numId w:val="88"/>
        </w:numPr>
        <w:tabs>
          <w:tab w:val="left" w:pos="240"/>
        </w:tabs>
        <w:spacing w:line="260" w:lineRule="auto"/>
        <w:ind w:left="240" w:right="20" w:hanging="192"/>
        <w:rPr>
          <w:rFonts w:ascii="Arial" w:eastAsia="Arial" w:hAnsi="Arial" w:cs="Arial"/>
          <w:color w:val="CF0A2C"/>
          <w:sz w:val="20"/>
          <w:szCs w:val="20"/>
        </w:rPr>
      </w:pPr>
      <w:r>
        <w:rPr>
          <w:rFonts w:ascii="Arial" w:eastAsia="Arial" w:hAnsi="Arial" w:cs="Arial"/>
          <w:i/>
          <w:iCs/>
          <w:sz w:val="20"/>
          <w:szCs w:val="20"/>
        </w:rPr>
        <w:t>Base Salary</w:t>
      </w:r>
      <w:r>
        <w:rPr>
          <w:rFonts w:ascii="Arial" w:eastAsia="Arial" w:hAnsi="Arial" w:cs="Arial"/>
          <w:sz w:val="20"/>
          <w:szCs w:val="20"/>
        </w:rPr>
        <w:t>. Ms. Wat’s base salary was increased from</w:t>
      </w:r>
      <w:r>
        <w:rPr>
          <w:rFonts w:ascii="Arial" w:eastAsia="Arial" w:hAnsi="Arial" w:cs="Arial"/>
          <w:i/>
          <w:iCs/>
          <w:sz w:val="20"/>
          <w:szCs w:val="20"/>
        </w:rPr>
        <w:t xml:space="preserve"> </w:t>
      </w:r>
      <w:r>
        <w:rPr>
          <w:rFonts w:ascii="Arial" w:eastAsia="Arial" w:hAnsi="Arial" w:cs="Arial"/>
          <w:sz w:val="20"/>
          <w:szCs w:val="20"/>
        </w:rPr>
        <w:t>$1,350,000 to $1,425,000, an increase of 5.6%.</w:t>
      </w:r>
    </w:p>
    <w:p w:rsidR="00A621E3" w:rsidRDefault="00A621E3">
      <w:pPr>
        <w:spacing w:line="257" w:lineRule="exact"/>
        <w:rPr>
          <w:rFonts w:ascii="Arial" w:eastAsia="Arial" w:hAnsi="Arial" w:cs="Arial"/>
          <w:color w:val="CF0A2C"/>
          <w:sz w:val="20"/>
          <w:szCs w:val="20"/>
        </w:rPr>
      </w:pPr>
    </w:p>
    <w:p w:rsidR="00A621E3" w:rsidRDefault="00EC630E">
      <w:pPr>
        <w:numPr>
          <w:ilvl w:val="0"/>
          <w:numId w:val="88"/>
        </w:numPr>
        <w:tabs>
          <w:tab w:val="left" w:pos="240"/>
        </w:tabs>
        <w:spacing w:line="244" w:lineRule="auto"/>
        <w:ind w:left="240" w:right="20" w:hanging="192"/>
        <w:jc w:val="both"/>
        <w:rPr>
          <w:rFonts w:ascii="Arial" w:eastAsia="Arial" w:hAnsi="Arial" w:cs="Arial"/>
          <w:color w:val="CF0A2C"/>
          <w:sz w:val="20"/>
          <w:szCs w:val="20"/>
        </w:rPr>
      </w:pPr>
      <w:r>
        <w:rPr>
          <w:rFonts w:ascii="Arial" w:eastAsia="Arial" w:hAnsi="Arial" w:cs="Arial"/>
          <w:i/>
          <w:iCs/>
          <w:sz w:val="20"/>
          <w:szCs w:val="20"/>
        </w:rPr>
        <w:t>Annual Incentive Plan Target and Payout Level</w:t>
      </w:r>
      <w:r>
        <w:rPr>
          <w:rFonts w:ascii="Arial" w:eastAsia="Arial" w:hAnsi="Arial" w:cs="Arial"/>
          <w:sz w:val="20"/>
          <w:szCs w:val="20"/>
        </w:rPr>
        <w:t>. Ms. Wat’s</w:t>
      </w:r>
      <w:r>
        <w:rPr>
          <w:rFonts w:ascii="Arial" w:eastAsia="Arial" w:hAnsi="Arial" w:cs="Arial"/>
          <w:i/>
          <w:iCs/>
          <w:sz w:val="20"/>
          <w:szCs w:val="20"/>
        </w:rPr>
        <w:t xml:space="preserve"> </w:t>
      </w:r>
      <w:r>
        <w:rPr>
          <w:rFonts w:ascii="Arial" w:eastAsia="Arial" w:hAnsi="Arial" w:cs="Arial"/>
          <w:sz w:val="20"/>
          <w:szCs w:val="20"/>
        </w:rPr>
        <w:t>annual cash bonus target remained un</w:t>
      </w:r>
      <w:r>
        <w:rPr>
          <w:rFonts w:ascii="Arial" w:eastAsia="Arial" w:hAnsi="Arial" w:cs="Arial"/>
          <w:sz w:val="20"/>
          <w:szCs w:val="20"/>
        </w:rPr>
        <w:t>changed at 200% of her base salary, resulting in a bonus target for the year of $2,850,000. Ms. Wat’s 2022 annual cash bonus award payout was $4,788,000,</w:t>
      </w: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72" w:name="page72"/>
      <w:bookmarkEnd w:id="72"/>
      <w:r>
        <w:rPr>
          <w:rFonts w:ascii="Arial" w:eastAsia="Arial" w:hAnsi="Arial" w:cs="Arial"/>
          <w:b/>
          <w:bCs/>
          <w:noProof/>
          <w:color w:val="0000EE"/>
          <w:sz w:val="18"/>
          <w:szCs w:val="18"/>
          <w:u w:val="single"/>
        </w:rPr>
        <w:drawing>
          <wp:anchor distT="0" distB="0" distL="114300" distR="114300" simplePos="0" relativeHeight="25194086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41888"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right="160"/>
        <w:jc w:val="right"/>
        <w:rPr>
          <w:sz w:val="20"/>
          <w:szCs w:val="20"/>
        </w:rPr>
      </w:pPr>
      <w:r>
        <w:rPr>
          <w:rFonts w:ascii="Arial" w:eastAsia="Arial" w:hAnsi="Arial" w:cs="Arial"/>
          <w:b/>
          <w:bCs/>
          <w:color w:val="FFFFFF"/>
          <w:sz w:val="16"/>
          <w:szCs w:val="16"/>
        </w:rPr>
        <w:t>EXECUTIVE COMPENSATION</w:t>
      </w:r>
    </w:p>
    <w:p w:rsidR="00A621E3" w:rsidRDefault="00A621E3">
      <w:pPr>
        <w:sectPr w:rsidR="00A621E3">
          <w:pgSz w:w="11900" w:h="16838"/>
          <w:pgMar w:top="486" w:right="459" w:bottom="1440" w:left="320" w:header="0" w:footer="0" w:gutter="0"/>
          <w:cols w:space="720" w:equalWidth="0">
            <w:col w:w="11120"/>
          </w:cols>
        </w:sectPr>
      </w:pPr>
    </w:p>
    <w:p w:rsidR="00A621E3" w:rsidRDefault="00A621E3">
      <w:pPr>
        <w:spacing w:line="263" w:lineRule="exact"/>
        <w:rPr>
          <w:sz w:val="20"/>
          <w:szCs w:val="20"/>
        </w:rPr>
      </w:pPr>
    </w:p>
    <w:p w:rsidR="00A621E3" w:rsidRDefault="00EC630E">
      <w:pPr>
        <w:spacing w:line="250" w:lineRule="auto"/>
        <w:ind w:left="320"/>
        <w:jc w:val="both"/>
        <w:rPr>
          <w:sz w:val="20"/>
          <w:szCs w:val="20"/>
        </w:rPr>
      </w:pPr>
      <w:r>
        <w:rPr>
          <w:rFonts w:ascii="Arial" w:eastAsia="Arial" w:hAnsi="Arial" w:cs="Arial"/>
          <w:sz w:val="20"/>
          <w:szCs w:val="20"/>
        </w:rPr>
        <w:t>reflecting a total payout of 168% of target based on the Team Performance Factor of 120% and Individual Performance Factor of 140%.</w:t>
      </w:r>
    </w:p>
    <w:p w:rsidR="00A621E3" w:rsidRDefault="00A621E3">
      <w:pPr>
        <w:spacing w:line="267" w:lineRule="exact"/>
        <w:rPr>
          <w:sz w:val="20"/>
          <w:szCs w:val="20"/>
        </w:rPr>
      </w:pPr>
    </w:p>
    <w:p w:rsidR="00A621E3" w:rsidRDefault="00EC630E">
      <w:pPr>
        <w:numPr>
          <w:ilvl w:val="0"/>
          <w:numId w:val="89"/>
        </w:numPr>
        <w:tabs>
          <w:tab w:val="left" w:pos="360"/>
        </w:tabs>
        <w:spacing w:line="287" w:lineRule="auto"/>
        <w:ind w:left="360" w:right="20" w:hanging="190"/>
        <w:rPr>
          <w:rFonts w:ascii="Arial" w:eastAsia="Arial" w:hAnsi="Arial" w:cs="Arial"/>
          <w:color w:val="CF0A2C"/>
          <w:sz w:val="19"/>
          <w:szCs w:val="19"/>
        </w:rPr>
      </w:pPr>
      <w:r>
        <w:rPr>
          <w:rFonts w:ascii="Arial" w:eastAsia="Arial" w:hAnsi="Arial" w:cs="Arial"/>
          <w:i/>
          <w:iCs/>
          <w:sz w:val="19"/>
          <w:szCs w:val="19"/>
        </w:rPr>
        <w:t>Long-Term Incentive Award</w:t>
      </w:r>
      <w:r>
        <w:rPr>
          <w:rFonts w:ascii="Arial" w:eastAsia="Arial" w:hAnsi="Arial" w:cs="Arial"/>
          <w:sz w:val="19"/>
          <w:szCs w:val="19"/>
        </w:rPr>
        <w:t>. The Compensation Committee</w:t>
      </w:r>
      <w:r>
        <w:rPr>
          <w:rFonts w:ascii="Arial" w:eastAsia="Arial" w:hAnsi="Arial" w:cs="Arial"/>
          <w:i/>
          <w:iCs/>
          <w:sz w:val="19"/>
          <w:szCs w:val="19"/>
        </w:rPr>
        <w:t xml:space="preserve"> </w:t>
      </w:r>
      <w:r>
        <w:rPr>
          <w:rFonts w:ascii="Arial" w:eastAsia="Arial" w:hAnsi="Arial" w:cs="Arial"/>
          <w:sz w:val="19"/>
          <w:szCs w:val="19"/>
        </w:rPr>
        <w:t>approved an annual long-term incentive award</w:t>
      </w:r>
    </w:p>
    <w:p w:rsidR="00A621E3" w:rsidRDefault="00EC630E">
      <w:pPr>
        <w:spacing w:line="20" w:lineRule="exact"/>
        <w:rPr>
          <w:sz w:val="20"/>
          <w:szCs w:val="20"/>
        </w:rPr>
      </w:pPr>
      <w:r>
        <w:rPr>
          <w:sz w:val="20"/>
          <w:szCs w:val="20"/>
        </w:rPr>
        <w:br w:type="column"/>
      </w:r>
    </w:p>
    <w:p w:rsidR="00A621E3" w:rsidRDefault="00A621E3">
      <w:pPr>
        <w:spacing w:line="243" w:lineRule="exact"/>
        <w:rPr>
          <w:sz w:val="20"/>
          <w:szCs w:val="20"/>
        </w:rPr>
      </w:pPr>
    </w:p>
    <w:p w:rsidR="00A621E3" w:rsidRDefault="00EC630E">
      <w:pPr>
        <w:spacing w:line="260" w:lineRule="auto"/>
        <w:jc w:val="both"/>
        <w:rPr>
          <w:sz w:val="20"/>
          <w:szCs w:val="20"/>
        </w:rPr>
      </w:pPr>
      <w:r>
        <w:rPr>
          <w:rFonts w:ascii="Arial" w:eastAsia="Arial" w:hAnsi="Arial" w:cs="Arial"/>
          <w:sz w:val="19"/>
          <w:szCs w:val="19"/>
        </w:rPr>
        <w:t xml:space="preserve">of $6,500,000 to Ms. </w:t>
      </w:r>
      <w:r>
        <w:rPr>
          <w:rFonts w:ascii="Arial" w:eastAsia="Arial" w:hAnsi="Arial" w:cs="Arial"/>
          <w:sz w:val="19"/>
          <w:szCs w:val="19"/>
        </w:rPr>
        <w:t>Wat in February 2022, delivered in 50% SARs, 30% PSUs and 20% RSUs, which was increased from an annual long-term incentive award of $6,000,000 in 2021. Ms. Wat also received a 2022 Lavazza ESOP Grant with a grant date fair value of $1,000,000.</w:t>
      </w:r>
    </w:p>
    <w:p w:rsidR="00A621E3" w:rsidRDefault="00A621E3">
      <w:pPr>
        <w:spacing w:line="524" w:lineRule="exact"/>
        <w:rPr>
          <w:sz w:val="20"/>
          <w:szCs w:val="20"/>
        </w:rPr>
      </w:pPr>
    </w:p>
    <w:p w:rsidR="00A621E3" w:rsidRDefault="00A621E3">
      <w:pPr>
        <w:sectPr w:rsidR="00A621E3">
          <w:type w:val="continuous"/>
          <w:pgSz w:w="11900" w:h="16838"/>
          <w:pgMar w:top="486" w:right="459" w:bottom="1440" w:left="320" w:header="0" w:footer="0" w:gutter="0"/>
          <w:cols w:num="2" w:space="720" w:equalWidth="0">
            <w:col w:w="5400" w:space="540"/>
            <w:col w:w="5180"/>
          </w:cols>
        </w:sectPr>
      </w:pPr>
    </w:p>
    <w:p w:rsidR="00A621E3" w:rsidRDefault="00A621E3">
      <w:pPr>
        <w:spacing w:line="189" w:lineRule="exact"/>
        <w:rPr>
          <w:sz w:val="20"/>
          <w:szCs w:val="20"/>
        </w:rPr>
      </w:pPr>
    </w:p>
    <w:p w:rsidR="00A621E3" w:rsidRDefault="00EC630E">
      <w:pPr>
        <w:ind w:left="160"/>
        <w:rPr>
          <w:sz w:val="20"/>
          <w:szCs w:val="20"/>
        </w:rPr>
      </w:pPr>
      <w:r>
        <w:rPr>
          <w:rFonts w:ascii="Arial" w:eastAsia="Arial" w:hAnsi="Arial" w:cs="Arial"/>
          <w:b/>
          <w:bCs/>
          <w:color w:val="CF0A2C"/>
          <w:sz w:val="20"/>
          <w:szCs w:val="20"/>
        </w:rPr>
        <w:t>Andy Yeung</w:t>
      </w:r>
    </w:p>
    <w:p w:rsidR="00A621E3" w:rsidRDefault="00EC630E">
      <w:pPr>
        <w:spacing w:line="20" w:lineRule="exact"/>
        <w:rPr>
          <w:sz w:val="20"/>
          <w:szCs w:val="20"/>
        </w:rPr>
      </w:pPr>
      <w:r>
        <w:rPr>
          <w:noProof/>
          <w:sz w:val="20"/>
          <w:szCs w:val="20"/>
        </w:rPr>
        <w:drawing>
          <wp:anchor distT="0" distB="0" distL="114300" distR="114300" simplePos="0" relativeHeight="251942912" behindDoc="1" locked="0" layoutInCell="0" allowOverlap="1">
            <wp:simplePos x="0" y="0"/>
            <wp:positionH relativeFrom="column">
              <wp:posOffset>73660</wp:posOffset>
            </wp:positionH>
            <wp:positionV relativeFrom="paragraph">
              <wp:posOffset>-139700</wp:posOffset>
            </wp:positionV>
            <wp:extent cx="6995160" cy="368300"/>
            <wp:effectExtent l="0" t="0" r="0"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8">
                      <a:extLst/>
                    </a:blip>
                    <a:srcRect/>
                    <a:stretch>
                      <a:fillRect/>
                    </a:stretch>
                  </pic:blipFill>
                  <pic:spPr bwMode="auto">
                    <a:xfrm>
                      <a:off x="0" y="0"/>
                      <a:ext cx="6995160" cy="368300"/>
                    </a:xfrm>
                    <a:prstGeom prst="rect">
                      <a:avLst/>
                    </a:prstGeom>
                    <a:noFill/>
                  </pic:spPr>
                </pic:pic>
              </a:graphicData>
            </a:graphic>
          </wp:anchor>
        </w:drawing>
      </w:r>
    </w:p>
    <w:p w:rsidR="00A621E3" w:rsidRDefault="00A621E3">
      <w:pPr>
        <w:spacing w:line="2" w:lineRule="exact"/>
        <w:rPr>
          <w:sz w:val="20"/>
          <w:szCs w:val="20"/>
        </w:rPr>
      </w:pPr>
    </w:p>
    <w:p w:rsidR="00A621E3" w:rsidRDefault="00EC630E">
      <w:pPr>
        <w:ind w:left="160"/>
        <w:rPr>
          <w:sz w:val="20"/>
          <w:szCs w:val="20"/>
        </w:rPr>
      </w:pPr>
      <w:r>
        <w:rPr>
          <w:rFonts w:ascii="Arial" w:eastAsia="Arial" w:hAnsi="Arial" w:cs="Arial"/>
          <w:i/>
          <w:iCs/>
          <w:sz w:val="18"/>
          <w:szCs w:val="18"/>
        </w:rPr>
        <w:t>Chief Financial Officer</w:t>
      </w:r>
    </w:p>
    <w:p w:rsidR="00A621E3" w:rsidRDefault="00A621E3">
      <w:pPr>
        <w:sectPr w:rsidR="00A621E3">
          <w:type w:val="continuous"/>
          <w:pgSz w:w="11900" w:h="16838"/>
          <w:pgMar w:top="486" w:right="459" w:bottom="1440" w:left="320" w:header="0" w:footer="0" w:gutter="0"/>
          <w:cols w:space="720" w:equalWidth="0">
            <w:col w:w="11120"/>
          </w:cols>
        </w:sectPr>
      </w:pPr>
    </w:p>
    <w:p w:rsidR="00A621E3" w:rsidRDefault="00A621E3">
      <w:pPr>
        <w:spacing w:line="200" w:lineRule="exact"/>
        <w:rPr>
          <w:sz w:val="20"/>
          <w:szCs w:val="20"/>
        </w:rPr>
      </w:pPr>
    </w:p>
    <w:p w:rsidR="00A621E3" w:rsidRDefault="00A621E3">
      <w:pPr>
        <w:spacing w:line="266" w:lineRule="exact"/>
        <w:rPr>
          <w:sz w:val="20"/>
          <w:szCs w:val="20"/>
        </w:rPr>
      </w:pPr>
    </w:p>
    <w:p w:rsidR="00A621E3" w:rsidRDefault="00EC630E">
      <w:pPr>
        <w:spacing w:line="268" w:lineRule="auto"/>
        <w:ind w:left="120"/>
        <w:jc w:val="both"/>
        <w:rPr>
          <w:sz w:val="20"/>
          <w:szCs w:val="20"/>
        </w:rPr>
      </w:pPr>
      <w:r>
        <w:rPr>
          <w:rFonts w:ascii="Arial" w:eastAsia="Arial" w:hAnsi="Arial" w:cs="Arial"/>
          <w:i/>
          <w:iCs/>
          <w:color w:val="CF0A2C"/>
          <w:sz w:val="18"/>
          <w:szCs w:val="18"/>
        </w:rPr>
        <w:t xml:space="preserve">2022 Performance Summary. </w:t>
      </w:r>
      <w:r>
        <w:rPr>
          <w:rFonts w:ascii="Arial" w:eastAsia="Arial" w:hAnsi="Arial" w:cs="Arial"/>
          <w:color w:val="000000"/>
          <w:sz w:val="18"/>
          <w:szCs w:val="18"/>
        </w:rPr>
        <w:t>The Compensation Committee</w:t>
      </w:r>
      <w:r>
        <w:rPr>
          <w:rFonts w:ascii="Arial" w:eastAsia="Arial" w:hAnsi="Arial" w:cs="Arial"/>
          <w:i/>
          <w:iCs/>
          <w:color w:val="CF0A2C"/>
          <w:sz w:val="18"/>
          <w:szCs w:val="18"/>
        </w:rPr>
        <w:t xml:space="preserve"> </w:t>
      </w:r>
      <w:r>
        <w:rPr>
          <w:rFonts w:ascii="Arial" w:eastAsia="Arial" w:hAnsi="Arial" w:cs="Arial"/>
          <w:color w:val="000000"/>
          <w:sz w:val="18"/>
          <w:szCs w:val="18"/>
        </w:rPr>
        <w:t xml:space="preserve">determined Mr. Yeung’s performance to be significantly above target with an Individual Performance Factor of </w:t>
      </w:r>
      <w:r>
        <w:rPr>
          <w:rFonts w:ascii="Arial" w:eastAsia="Arial" w:hAnsi="Arial" w:cs="Arial"/>
          <w:color w:val="000000"/>
          <w:sz w:val="18"/>
          <w:szCs w:val="18"/>
        </w:rPr>
        <w:t>140%. Mr. Yeung was recognized for driving the disciplined scenario planning approach in financial planning and vigorous austerity measures, which helped maintain yearly and quarterly profitability in a highly volatile business environment in 2022 and achi</w:t>
      </w:r>
      <w:r>
        <w:rPr>
          <w:rFonts w:ascii="Arial" w:eastAsia="Arial" w:hAnsi="Arial" w:cs="Arial"/>
          <w:color w:val="000000"/>
          <w:sz w:val="18"/>
          <w:szCs w:val="18"/>
        </w:rPr>
        <w:t>eved a full year restaurant margin of 14.1%, compared to 13.7% in 2021. Mr. Yeung played an instrumental role in contributing to the Company’s successful primary conversion on the Hong Kong Stock Exchange despite the challenges of lockdown and travel restr</w:t>
      </w:r>
      <w:r>
        <w:rPr>
          <w:rFonts w:ascii="Arial" w:eastAsia="Arial" w:hAnsi="Arial" w:cs="Arial"/>
          <w:color w:val="000000"/>
          <w:sz w:val="18"/>
          <w:szCs w:val="18"/>
        </w:rPr>
        <w:t>ictions. Mr. Yeung was instrumental in resolving many novel issues arising from regulatory framework differences between Hong Kong and U.S. Under Mr. Yeung’s leadership, systems were set up to fulfill financial reporting requirements applicable to a dual-p</w:t>
      </w:r>
      <w:r>
        <w:rPr>
          <w:rFonts w:ascii="Arial" w:eastAsia="Arial" w:hAnsi="Arial" w:cs="Arial"/>
          <w:color w:val="000000"/>
          <w:sz w:val="18"/>
          <w:szCs w:val="18"/>
        </w:rPr>
        <w:t>rimary issuer on both the New York Stock Exchange and Hong Kong Stock Exchange. Mr. Yeung provided in-depth guidance to KFC, Pizza Hut and the emerging brands, resulting in improvement in their store unit economics under difficult macro and COVID condition</w:t>
      </w:r>
      <w:r>
        <w:rPr>
          <w:rFonts w:ascii="Arial" w:eastAsia="Arial" w:hAnsi="Arial" w:cs="Arial"/>
          <w:color w:val="000000"/>
          <w:sz w:val="18"/>
          <w:szCs w:val="18"/>
        </w:rPr>
        <w:t>s. Mr. Yeung also served as a core member of the Company’s Sustainability Committee and played an active role in ESG discussions, including the Company’s strategy and roadmap relating to near term Science Based Target setting, which was approved by SBTi in</w:t>
      </w:r>
      <w:r>
        <w:rPr>
          <w:rFonts w:ascii="Arial" w:eastAsia="Arial" w:hAnsi="Arial" w:cs="Arial"/>
          <w:color w:val="000000"/>
          <w:sz w:val="18"/>
          <w:szCs w:val="18"/>
        </w:rPr>
        <w:t xml:space="preserve"> November 2022.</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46" w:lineRule="exact"/>
        <w:rPr>
          <w:sz w:val="20"/>
          <w:szCs w:val="20"/>
        </w:rPr>
      </w:pPr>
    </w:p>
    <w:p w:rsidR="00A621E3" w:rsidRDefault="00EC630E">
      <w:pPr>
        <w:spacing w:line="282" w:lineRule="auto"/>
        <w:jc w:val="both"/>
        <w:rPr>
          <w:sz w:val="20"/>
          <w:szCs w:val="20"/>
        </w:rPr>
      </w:pPr>
      <w:r>
        <w:rPr>
          <w:rFonts w:ascii="Arial" w:eastAsia="Arial" w:hAnsi="Arial" w:cs="Arial"/>
          <w:i/>
          <w:iCs/>
          <w:color w:val="CF0A2C"/>
          <w:sz w:val="18"/>
          <w:szCs w:val="18"/>
        </w:rPr>
        <w:t xml:space="preserve">2022 Compensation Decisions. </w:t>
      </w:r>
      <w:r>
        <w:rPr>
          <w:rFonts w:ascii="Arial" w:eastAsia="Arial" w:hAnsi="Arial" w:cs="Arial"/>
          <w:color w:val="000000"/>
          <w:sz w:val="18"/>
          <w:szCs w:val="18"/>
        </w:rPr>
        <w:t>Effective February 1, 2022, the</w:t>
      </w:r>
      <w:r>
        <w:rPr>
          <w:rFonts w:ascii="Arial" w:eastAsia="Arial" w:hAnsi="Arial" w:cs="Arial"/>
          <w:i/>
          <w:iCs/>
          <w:color w:val="CF0A2C"/>
          <w:sz w:val="18"/>
          <w:szCs w:val="18"/>
        </w:rPr>
        <w:t xml:space="preserve"> </w:t>
      </w:r>
      <w:r>
        <w:rPr>
          <w:rFonts w:ascii="Arial" w:eastAsia="Arial" w:hAnsi="Arial" w:cs="Arial"/>
          <w:color w:val="000000"/>
          <w:sz w:val="18"/>
          <w:szCs w:val="18"/>
        </w:rPr>
        <w:t>Compensation Committee set Mr. Yeung’s 2022 compensation levels after considering the advice of its compensation consultant, market practice and Mr. Yeung’s individual perform</w:t>
      </w:r>
      <w:r>
        <w:rPr>
          <w:rFonts w:ascii="Arial" w:eastAsia="Arial" w:hAnsi="Arial" w:cs="Arial"/>
          <w:color w:val="000000"/>
          <w:sz w:val="18"/>
          <w:szCs w:val="18"/>
        </w:rPr>
        <w:t>ance.</w:t>
      </w:r>
    </w:p>
    <w:p w:rsidR="00A621E3" w:rsidRDefault="00A621E3">
      <w:pPr>
        <w:spacing w:line="242" w:lineRule="exact"/>
        <w:rPr>
          <w:sz w:val="20"/>
          <w:szCs w:val="20"/>
        </w:rPr>
      </w:pPr>
    </w:p>
    <w:p w:rsidR="00A621E3" w:rsidRDefault="00EC630E">
      <w:pPr>
        <w:numPr>
          <w:ilvl w:val="0"/>
          <w:numId w:val="90"/>
        </w:numPr>
        <w:tabs>
          <w:tab w:val="left" w:pos="240"/>
        </w:tabs>
        <w:spacing w:line="260" w:lineRule="auto"/>
        <w:ind w:left="240" w:hanging="192"/>
        <w:rPr>
          <w:rFonts w:ascii="Arial" w:eastAsia="Arial" w:hAnsi="Arial" w:cs="Arial"/>
          <w:color w:val="CF0A2C"/>
          <w:sz w:val="20"/>
          <w:szCs w:val="20"/>
        </w:rPr>
      </w:pPr>
      <w:r>
        <w:rPr>
          <w:rFonts w:ascii="Arial" w:eastAsia="Arial" w:hAnsi="Arial" w:cs="Arial"/>
          <w:i/>
          <w:iCs/>
          <w:sz w:val="20"/>
          <w:szCs w:val="20"/>
        </w:rPr>
        <w:t>Base Salary</w:t>
      </w:r>
      <w:r>
        <w:rPr>
          <w:rFonts w:ascii="Arial" w:eastAsia="Arial" w:hAnsi="Arial" w:cs="Arial"/>
          <w:sz w:val="20"/>
          <w:szCs w:val="20"/>
        </w:rPr>
        <w:t>. Mr. Yeung’s base salary was increased from</w:t>
      </w:r>
      <w:r>
        <w:rPr>
          <w:rFonts w:ascii="Arial" w:eastAsia="Arial" w:hAnsi="Arial" w:cs="Arial"/>
          <w:i/>
          <w:iCs/>
          <w:sz w:val="20"/>
          <w:szCs w:val="20"/>
        </w:rPr>
        <w:t xml:space="preserve"> </w:t>
      </w:r>
      <w:r>
        <w:rPr>
          <w:rFonts w:ascii="Arial" w:eastAsia="Arial" w:hAnsi="Arial" w:cs="Arial"/>
          <w:sz w:val="20"/>
          <w:szCs w:val="20"/>
        </w:rPr>
        <w:t>$800,000 to $840,000, an increase of 5.0%.</w:t>
      </w:r>
    </w:p>
    <w:p w:rsidR="00A621E3" w:rsidRDefault="00A621E3">
      <w:pPr>
        <w:spacing w:line="257" w:lineRule="exact"/>
        <w:rPr>
          <w:rFonts w:ascii="Arial" w:eastAsia="Arial" w:hAnsi="Arial" w:cs="Arial"/>
          <w:color w:val="CF0A2C"/>
          <w:sz w:val="20"/>
          <w:szCs w:val="20"/>
        </w:rPr>
      </w:pPr>
    </w:p>
    <w:p w:rsidR="00A621E3" w:rsidRDefault="00EC630E">
      <w:pPr>
        <w:numPr>
          <w:ilvl w:val="0"/>
          <w:numId w:val="90"/>
        </w:numPr>
        <w:tabs>
          <w:tab w:val="left" w:pos="240"/>
        </w:tabs>
        <w:spacing w:line="243" w:lineRule="auto"/>
        <w:ind w:left="240" w:hanging="192"/>
        <w:jc w:val="both"/>
        <w:rPr>
          <w:rFonts w:ascii="Arial" w:eastAsia="Arial" w:hAnsi="Arial" w:cs="Arial"/>
          <w:color w:val="CF0A2C"/>
          <w:sz w:val="20"/>
          <w:szCs w:val="20"/>
        </w:rPr>
      </w:pPr>
      <w:r>
        <w:rPr>
          <w:rFonts w:ascii="Arial" w:eastAsia="Arial" w:hAnsi="Arial" w:cs="Arial"/>
          <w:i/>
          <w:iCs/>
          <w:sz w:val="20"/>
          <w:szCs w:val="20"/>
        </w:rPr>
        <w:t>Annual Incentive Plan Target and Payout Level</w:t>
      </w:r>
      <w:r>
        <w:rPr>
          <w:rFonts w:ascii="Arial" w:eastAsia="Arial" w:hAnsi="Arial" w:cs="Arial"/>
          <w:sz w:val="20"/>
          <w:szCs w:val="20"/>
        </w:rPr>
        <w:t>. Mr. Yeung’s</w:t>
      </w:r>
      <w:r>
        <w:rPr>
          <w:rFonts w:ascii="Arial" w:eastAsia="Arial" w:hAnsi="Arial" w:cs="Arial"/>
          <w:i/>
          <w:iCs/>
          <w:sz w:val="20"/>
          <w:szCs w:val="20"/>
        </w:rPr>
        <w:t xml:space="preserve"> </w:t>
      </w:r>
      <w:r>
        <w:rPr>
          <w:rFonts w:ascii="Arial" w:eastAsia="Arial" w:hAnsi="Arial" w:cs="Arial"/>
          <w:sz w:val="20"/>
          <w:szCs w:val="20"/>
        </w:rPr>
        <w:t xml:space="preserve">annual cash bonus target remained at 100% of his base salary, resulting in a bonus target </w:t>
      </w:r>
      <w:r>
        <w:rPr>
          <w:rFonts w:ascii="Arial" w:eastAsia="Arial" w:hAnsi="Arial" w:cs="Arial"/>
          <w:sz w:val="20"/>
          <w:szCs w:val="20"/>
        </w:rPr>
        <w:t>for the year of $840,000. Mr. Yeung’s 2022 annual cash bonus award payout was $1,411,200, reflecting a total payout of 168% of target based on the Team Performance Factor of 120% and Individual Performance Factor of 140%.</w:t>
      </w:r>
    </w:p>
    <w:p w:rsidR="00A621E3" w:rsidRDefault="00A621E3">
      <w:pPr>
        <w:spacing w:line="273" w:lineRule="exact"/>
        <w:rPr>
          <w:rFonts w:ascii="Arial" w:eastAsia="Arial" w:hAnsi="Arial" w:cs="Arial"/>
          <w:color w:val="CF0A2C"/>
          <w:sz w:val="20"/>
          <w:szCs w:val="20"/>
        </w:rPr>
      </w:pPr>
    </w:p>
    <w:p w:rsidR="00A621E3" w:rsidRDefault="00EC630E">
      <w:pPr>
        <w:numPr>
          <w:ilvl w:val="0"/>
          <w:numId w:val="90"/>
        </w:numPr>
        <w:tabs>
          <w:tab w:val="left" w:pos="240"/>
        </w:tabs>
        <w:spacing w:line="272" w:lineRule="auto"/>
        <w:ind w:left="240" w:hanging="192"/>
        <w:jc w:val="both"/>
        <w:rPr>
          <w:rFonts w:ascii="Arial" w:eastAsia="Arial" w:hAnsi="Arial" w:cs="Arial"/>
          <w:color w:val="CF0A2C"/>
          <w:sz w:val="18"/>
          <w:szCs w:val="18"/>
        </w:rPr>
      </w:pPr>
      <w:r>
        <w:rPr>
          <w:rFonts w:ascii="Arial" w:eastAsia="Arial" w:hAnsi="Arial" w:cs="Arial"/>
          <w:i/>
          <w:iCs/>
          <w:sz w:val="18"/>
          <w:szCs w:val="18"/>
        </w:rPr>
        <w:t>Long-Term Incentive Award</w:t>
      </w:r>
      <w:r>
        <w:rPr>
          <w:rFonts w:ascii="Arial" w:eastAsia="Arial" w:hAnsi="Arial" w:cs="Arial"/>
          <w:sz w:val="18"/>
          <w:szCs w:val="18"/>
        </w:rPr>
        <w:t xml:space="preserve">. The </w:t>
      </w:r>
      <w:r>
        <w:rPr>
          <w:rFonts w:ascii="Arial" w:eastAsia="Arial" w:hAnsi="Arial" w:cs="Arial"/>
          <w:sz w:val="18"/>
          <w:szCs w:val="18"/>
        </w:rPr>
        <w:t>Compensation Committee</w:t>
      </w:r>
      <w:r>
        <w:rPr>
          <w:rFonts w:ascii="Arial" w:eastAsia="Arial" w:hAnsi="Arial" w:cs="Arial"/>
          <w:i/>
          <w:iCs/>
          <w:sz w:val="18"/>
          <w:szCs w:val="18"/>
        </w:rPr>
        <w:t xml:space="preserve"> </w:t>
      </w:r>
      <w:r>
        <w:rPr>
          <w:rFonts w:ascii="Arial" w:eastAsia="Arial" w:hAnsi="Arial" w:cs="Arial"/>
          <w:sz w:val="18"/>
          <w:szCs w:val="18"/>
        </w:rPr>
        <w:t>approved an annual long-term incentive award of $1,580,000 to Mr. Yeung in February 2022, delivered in 50% SARs, 30% PSUs and 20% RSUs, which was increased from an annual long-term incentive award of $1,500,000 in 2021, which positio</w:t>
      </w:r>
      <w:r>
        <w:rPr>
          <w:rFonts w:ascii="Arial" w:eastAsia="Arial" w:hAnsi="Arial" w:cs="Arial"/>
          <w:sz w:val="18"/>
          <w:szCs w:val="18"/>
        </w:rPr>
        <w:t>ned Mr. Yeung’s annual target total direct compensation at approximately 90% of the market median of the compensation peer group. Mr. Yeung also received a 2022 Lavazza ESOP Grant with a grant date fair value of $200,000.</w:t>
      </w:r>
    </w:p>
    <w:p w:rsidR="00A621E3" w:rsidRDefault="00A621E3">
      <w:pPr>
        <w:spacing w:line="255" w:lineRule="exact"/>
        <w:rPr>
          <w:sz w:val="20"/>
          <w:szCs w:val="20"/>
        </w:rPr>
      </w:pPr>
    </w:p>
    <w:p w:rsidR="00A621E3" w:rsidRDefault="00EC630E">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67</w:t>
      </w:r>
    </w:p>
    <w:p w:rsidR="00A621E3" w:rsidRDefault="00EC630E">
      <w:pPr>
        <w:spacing w:line="20" w:lineRule="exact"/>
        <w:rPr>
          <w:sz w:val="20"/>
          <w:szCs w:val="20"/>
        </w:rPr>
      </w:pPr>
      <w:r>
        <w:rPr>
          <w:noProof/>
          <w:sz w:val="20"/>
          <w:szCs w:val="20"/>
        </w:rPr>
        <w:drawing>
          <wp:anchor distT="0" distB="0" distL="114300" distR="114300" simplePos="0" relativeHeight="251943936" behindDoc="1" locked="0" layoutInCell="0" allowOverlap="1">
            <wp:simplePos x="0" y="0"/>
            <wp:positionH relativeFrom="column">
              <wp:posOffset>3149600</wp:posOffset>
            </wp:positionH>
            <wp:positionV relativeFrom="paragraph">
              <wp:posOffset>-93345</wp:posOffset>
            </wp:positionV>
            <wp:extent cx="8255" cy="102870"/>
            <wp:effectExtent l="0" t="0" r="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59" w:bottom="1440" w:left="320" w:header="0" w:footer="0" w:gutter="0"/>
          <w:cols w:num="2" w:space="720" w:equalWidth="0">
            <w:col w:w="5400" w:space="340"/>
            <w:col w:w="5380"/>
          </w:cols>
        </w:sectPr>
      </w:pPr>
    </w:p>
    <w:p w:rsidR="00A621E3" w:rsidRDefault="00EC630E">
      <w:pPr>
        <w:rPr>
          <w:sz w:val="20"/>
          <w:szCs w:val="20"/>
        </w:rPr>
      </w:pPr>
      <w:bookmarkStart w:id="73" w:name="page73"/>
      <w:bookmarkEnd w:id="73"/>
      <w:r>
        <w:rPr>
          <w:rFonts w:ascii="Arial" w:eastAsia="Arial" w:hAnsi="Arial" w:cs="Arial"/>
          <w:b/>
          <w:bCs/>
          <w:noProof/>
          <w:color w:val="0000EE"/>
          <w:sz w:val="18"/>
          <w:szCs w:val="18"/>
          <w:u w:val="single"/>
        </w:rPr>
        <w:drawing>
          <wp:anchor distT="0" distB="0" distL="114300" distR="114300" simplePos="0" relativeHeight="25194496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45984"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216" w:lineRule="exact"/>
        <w:rPr>
          <w:sz w:val="20"/>
          <w:szCs w:val="20"/>
        </w:rPr>
      </w:pPr>
    </w:p>
    <w:p w:rsidR="00A621E3" w:rsidRDefault="00EC630E">
      <w:pPr>
        <w:ind w:left="160"/>
        <w:rPr>
          <w:sz w:val="20"/>
          <w:szCs w:val="20"/>
        </w:rPr>
      </w:pPr>
      <w:r>
        <w:rPr>
          <w:rFonts w:ascii="Arial" w:eastAsia="Arial" w:hAnsi="Arial" w:cs="Arial"/>
          <w:b/>
          <w:bCs/>
          <w:color w:val="CF0A2C"/>
          <w:sz w:val="20"/>
          <w:szCs w:val="20"/>
        </w:rPr>
        <w:t>Joseph Chan</w:t>
      </w:r>
    </w:p>
    <w:p w:rsidR="00A621E3" w:rsidRDefault="00EC630E">
      <w:pPr>
        <w:spacing w:line="20" w:lineRule="exact"/>
        <w:rPr>
          <w:sz w:val="20"/>
          <w:szCs w:val="20"/>
        </w:rPr>
      </w:pPr>
      <w:r>
        <w:rPr>
          <w:noProof/>
          <w:sz w:val="20"/>
          <w:szCs w:val="20"/>
        </w:rPr>
        <w:drawing>
          <wp:anchor distT="0" distB="0" distL="114300" distR="114300" simplePos="0" relativeHeight="251947008" behindDoc="1" locked="0" layoutInCell="0" allowOverlap="1">
            <wp:simplePos x="0" y="0"/>
            <wp:positionH relativeFrom="column">
              <wp:posOffset>73660</wp:posOffset>
            </wp:positionH>
            <wp:positionV relativeFrom="paragraph">
              <wp:posOffset>-139700</wp:posOffset>
            </wp:positionV>
            <wp:extent cx="6995160" cy="368935"/>
            <wp:effectExtent l="0" t="0" r="0" b="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8">
                      <a:extLst/>
                    </a:blip>
                    <a:srcRect/>
                    <a:stretch>
                      <a:fillRect/>
                    </a:stretch>
                  </pic:blipFill>
                  <pic:spPr bwMode="auto">
                    <a:xfrm>
                      <a:off x="0" y="0"/>
                      <a:ext cx="6995160" cy="368935"/>
                    </a:xfrm>
                    <a:prstGeom prst="rect">
                      <a:avLst/>
                    </a:prstGeom>
                    <a:noFill/>
                  </pic:spPr>
                </pic:pic>
              </a:graphicData>
            </a:graphic>
          </wp:anchor>
        </w:drawing>
      </w:r>
    </w:p>
    <w:p w:rsidR="00A621E3" w:rsidRDefault="00A621E3">
      <w:pPr>
        <w:spacing w:line="2" w:lineRule="exact"/>
        <w:rPr>
          <w:sz w:val="20"/>
          <w:szCs w:val="20"/>
        </w:rPr>
      </w:pPr>
    </w:p>
    <w:p w:rsidR="00A621E3" w:rsidRDefault="00EC630E">
      <w:pPr>
        <w:ind w:left="160"/>
        <w:rPr>
          <w:sz w:val="20"/>
          <w:szCs w:val="20"/>
        </w:rPr>
      </w:pPr>
      <w:r>
        <w:rPr>
          <w:rFonts w:ascii="Arial" w:eastAsia="Arial" w:hAnsi="Arial" w:cs="Arial"/>
          <w:i/>
          <w:iCs/>
          <w:sz w:val="20"/>
          <w:szCs w:val="20"/>
        </w:rPr>
        <w:t>Chief Legal Officer</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43" w:lineRule="exact"/>
        <w:rPr>
          <w:sz w:val="20"/>
          <w:szCs w:val="20"/>
        </w:rPr>
      </w:pPr>
    </w:p>
    <w:p w:rsidR="00A621E3" w:rsidRDefault="00EC630E">
      <w:pPr>
        <w:spacing w:line="268" w:lineRule="auto"/>
        <w:ind w:left="120"/>
        <w:jc w:val="both"/>
        <w:rPr>
          <w:sz w:val="20"/>
          <w:szCs w:val="20"/>
        </w:rPr>
      </w:pPr>
      <w:r>
        <w:rPr>
          <w:rFonts w:ascii="Arial" w:eastAsia="Arial" w:hAnsi="Arial" w:cs="Arial"/>
          <w:i/>
          <w:iCs/>
          <w:color w:val="CF0A2C"/>
          <w:sz w:val="18"/>
          <w:szCs w:val="18"/>
        </w:rPr>
        <w:t xml:space="preserve">2022 Performance Summary. </w:t>
      </w:r>
      <w:r>
        <w:rPr>
          <w:rFonts w:ascii="Arial" w:eastAsia="Arial" w:hAnsi="Arial" w:cs="Arial"/>
          <w:color w:val="000000"/>
          <w:sz w:val="18"/>
          <w:szCs w:val="18"/>
        </w:rPr>
        <w:t>The Compensation Committee</w:t>
      </w:r>
      <w:r>
        <w:rPr>
          <w:rFonts w:ascii="Arial" w:eastAsia="Arial" w:hAnsi="Arial" w:cs="Arial"/>
          <w:i/>
          <w:iCs/>
          <w:color w:val="CF0A2C"/>
          <w:sz w:val="18"/>
          <w:szCs w:val="18"/>
        </w:rPr>
        <w:t xml:space="preserve"> </w:t>
      </w:r>
      <w:r>
        <w:rPr>
          <w:rFonts w:ascii="Arial" w:eastAsia="Arial" w:hAnsi="Arial" w:cs="Arial"/>
          <w:color w:val="000000"/>
          <w:sz w:val="18"/>
          <w:szCs w:val="18"/>
        </w:rPr>
        <w:t xml:space="preserve">determined Mr. Chan’s performance to be on target with an </w:t>
      </w:r>
      <w:r>
        <w:rPr>
          <w:rFonts w:ascii="Arial" w:eastAsia="Arial" w:hAnsi="Arial" w:cs="Arial"/>
          <w:color w:val="000000"/>
          <w:sz w:val="18"/>
          <w:szCs w:val="18"/>
        </w:rPr>
        <w:t xml:space="preserve">Individual Performance Factor of 80%. Mr. Chan led the Company’s successful primary conversion on the Hong Kong Stock Exchange. Under Mr. Chan’s leadership, the Company’s governance, reporting and compliance policies and practices were further updated and </w:t>
      </w:r>
      <w:r>
        <w:rPr>
          <w:rFonts w:ascii="Arial" w:eastAsia="Arial" w:hAnsi="Arial" w:cs="Arial"/>
          <w:color w:val="000000"/>
          <w:sz w:val="18"/>
          <w:szCs w:val="18"/>
        </w:rPr>
        <w:t xml:space="preserve">enhanced, reflecting the requirements applicable to a dual-primary issuer on both the New York Stock Exchange and Hong Kong Stock Exchange. Mr. Chan was instrumental in resolving many novel issues arising from regulatory framework differences between Hong </w:t>
      </w:r>
      <w:r>
        <w:rPr>
          <w:rFonts w:ascii="Arial" w:eastAsia="Arial" w:hAnsi="Arial" w:cs="Arial"/>
          <w:color w:val="000000"/>
          <w:sz w:val="18"/>
          <w:szCs w:val="18"/>
        </w:rPr>
        <w:t>Kong and the U.S. Mr. Chan also played a critical role in establishing a compliance process and system in monitoring and proactively managing risks regarding the continuing evolving areas of PRC privacy and cybersecurity laws. Mr. Chan also played an instr</w:t>
      </w:r>
      <w:r>
        <w:rPr>
          <w:rFonts w:ascii="Arial" w:eastAsia="Arial" w:hAnsi="Arial" w:cs="Arial"/>
          <w:color w:val="000000"/>
          <w:sz w:val="18"/>
          <w:szCs w:val="18"/>
        </w:rPr>
        <w:t>umental role in supporting the execution of strategic investments, including transaction structure, due diligence, agreement drafting and negotiation, as well as regulatory approvals. Mr. Chan was recognized for serving as a core member of the Company’s Su</w:t>
      </w:r>
      <w:r>
        <w:rPr>
          <w:rFonts w:ascii="Arial" w:eastAsia="Arial" w:hAnsi="Arial" w:cs="Arial"/>
          <w:color w:val="000000"/>
          <w:sz w:val="18"/>
          <w:szCs w:val="18"/>
        </w:rPr>
        <w:t>stainability Committee and played an active role in ESG discussions, including the Company’s strategy and roadmap relating to near term Science Based Target setting, which was approved by SBTi in November 2022.</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23" w:lineRule="exact"/>
        <w:rPr>
          <w:sz w:val="20"/>
          <w:szCs w:val="20"/>
        </w:rPr>
      </w:pPr>
    </w:p>
    <w:p w:rsidR="00A621E3" w:rsidRDefault="00EC630E">
      <w:pPr>
        <w:spacing w:line="282" w:lineRule="auto"/>
        <w:jc w:val="both"/>
        <w:rPr>
          <w:sz w:val="20"/>
          <w:szCs w:val="20"/>
        </w:rPr>
      </w:pPr>
      <w:r>
        <w:rPr>
          <w:rFonts w:ascii="Arial" w:eastAsia="Arial" w:hAnsi="Arial" w:cs="Arial"/>
          <w:i/>
          <w:iCs/>
          <w:color w:val="CF0A2C"/>
          <w:sz w:val="18"/>
          <w:szCs w:val="18"/>
        </w:rPr>
        <w:t xml:space="preserve">2022 Compensation Decisions. </w:t>
      </w:r>
      <w:r>
        <w:rPr>
          <w:rFonts w:ascii="Arial" w:eastAsia="Arial" w:hAnsi="Arial" w:cs="Arial"/>
          <w:color w:val="000000"/>
          <w:sz w:val="18"/>
          <w:szCs w:val="18"/>
        </w:rPr>
        <w:t>Effective Fe</w:t>
      </w:r>
      <w:r>
        <w:rPr>
          <w:rFonts w:ascii="Arial" w:eastAsia="Arial" w:hAnsi="Arial" w:cs="Arial"/>
          <w:color w:val="000000"/>
          <w:sz w:val="18"/>
          <w:szCs w:val="18"/>
        </w:rPr>
        <w:t>bruary 1, 2022, the</w:t>
      </w:r>
      <w:r>
        <w:rPr>
          <w:rFonts w:ascii="Arial" w:eastAsia="Arial" w:hAnsi="Arial" w:cs="Arial"/>
          <w:i/>
          <w:iCs/>
          <w:color w:val="CF0A2C"/>
          <w:sz w:val="18"/>
          <w:szCs w:val="18"/>
        </w:rPr>
        <w:t xml:space="preserve"> </w:t>
      </w:r>
      <w:r>
        <w:rPr>
          <w:rFonts w:ascii="Arial" w:eastAsia="Arial" w:hAnsi="Arial" w:cs="Arial"/>
          <w:color w:val="000000"/>
          <w:sz w:val="18"/>
          <w:szCs w:val="18"/>
        </w:rPr>
        <w:t>Compensation Committee set Mr. Chan’s 2022 compensation levels after considering the advice of its compensation consultant, market practice and Mr. Chan’s individual performance.</w:t>
      </w:r>
    </w:p>
    <w:p w:rsidR="00A621E3" w:rsidRDefault="00A621E3">
      <w:pPr>
        <w:spacing w:line="242" w:lineRule="exact"/>
        <w:rPr>
          <w:sz w:val="20"/>
          <w:szCs w:val="20"/>
        </w:rPr>
      </w:pPr>
    </w:p>
    <w:p w:rsidR="00A621E3" w:rsidRDefault="00EC630E">
      <w:pPr>
        <w:numPr>
          <w:ilvl w:val="0"/>
          <w:numId w:val="91"/>
        </w:numPr>
        <w:tabs>
          <w:tab w:val="left" w:pos="240"/>
        </w:tabs>
        <w:spacing w:line="260" w:lineRule="auto"/>
        <w:ind w:left="240" w:right="20" w:hanging="192"/>
        <w:rPr>
          <w:rFonts w:ascii="Arial" w:eastAsia="Arial" w:hAnsi="Arial" w:cs="Arial"/>
          <w:color w:val="CF0A2C"/>
          <w:sz w:val="20"/>
          <w:szCs w:val="20"/>
        </w:rPr>
      </w:pPr>
      <w:r>
        <w:rPr>
          <w:rFonts w:ascii="Arial" w:eastAsia="Arial" w:hAnsi="Arial" w:cs="Arial"/>
          <w:i/>
          <w:iCs/>
          <w:sz w:val="20"/>
          <w:szCs w:val="20"/>
        </w:rPr>
        <w:t>Base Salary</w:t>
      </w:r>
      <w:r>
        <w:rPr>
          <w:rFonts w:ascii="Arial" w:eastAsia="Arial" w:hAnsi="Arial" w:cs="Arial"/>
          <w:sz w:val="20"/>
          <w:szCs w:val="20"/>
        </w:rPr>
        <w:t>. Mr. Chan’s base salary was increased from</w:t>
      </w:r>
      <w:r>
        <w:rPr>
          <w:rFonts w:ascii="Arial" w:eastAsia="Arial" w:hAnsi="Arial" w:cs="Arial"/>
          <w:i/>
          <w:iCs/>
          <w:sz w:val="20"/>
          <w:szCs w:val="20"/>
        </w:rPr>
        <w:t xml:space="preserve"> </w:t>
      </w:r>
      <w:r>
        <w:rPr>
          <w:rFonts w:ascii="Arial" w:eastAsia="Arial" w:hAnsi="Arial" w:cs="Arial"/>
          <w:sz w:val="20"/>
          <w:szCs w:val="20"/>
        </w:rPr>
        <w:t>$600,000 to $630,000, an increase of 5.0%.</w:t>
      </w:r>
    </w:p>
    <w:p w:rsidR="00A621E3" w:rsidRDefault="00A621E3">
      <w:pPr>
        <w:spacing w:line="257" w:lineRule="exact"/>
        <w:rPr>
          <w:rFonts w:ascii="Arial" w:eastAsia="Arial" w:hAnsi="Arial" w:cs="Arial"/>
          <w:color w:val="CF0A2C"/>
          <w:sz w:val="20"/>
          <w:szCs w:val="20"/>
        </w:rPr>
      </w:pPr>
    </w:p>
    <w:p w:rsidR="00A621E3" w:rsidRDefault="00EC630E">
      <w:pPr>
        <w:numPr>
          <w:ilvl w:val="0"/>
          <w:numId w:val="91"/>
        </w:numPr>
        <w:tabs>
          <w:tab w:val="left" w:pos="240"/>
        </w:tabs>
        <w:spacing w:line="276" w:lineRule="auto"/>
        <w:ind w:left="240" w:right="20" w:hanging="192"/>
        <w:jc w:val="both"/>
        <w:rPr>
          <w:rFonts w:ascii="Arial" w:eastAsia="Arial" w:hAnsi="Arial" w:cs="Arial"/>
          <w:color w:val="CF0A2C"/>
          <w:sz w:val="18"/>
          <w:szCs w:val="18"/>
        </w:rPr>
      </w:pPr>
      <w:r>
        <w:rPr>
          <w:rFonts w:ascii="Arial" w:eastAsia="Arial" w:hAnsi="Arial" w:cs="Arial"/>
          <w:i/>
          <w:iCs/>
          <w:sz w:val="18"/>
          <w:szCs w:val="18"/>
        </w:rPr>
        <w:t>Annual Incentive Plan Target and Payout Level</w:t>
      </w:r>
      <w:r>
        <w:rPr>
          <w:rFonts w:ascii="Arial" w:eastAsia="Arial" w:hAnsi="Arial" w:cs="Arial"/>
          <w:sz w:val="18"/>
          <w:szCs w:val="18"/>
        </w:rPr>
        <w:t>. Mr. Chan’s</w:t>
      </w:r>
      <w:r>
        <w:rPr>
          <w:rFonts w:ascii="Arial" w:eastAsia="Arial" w:hAnsi="Arial" w:cs="Arial"/>
          <w:i/>
          <w:iCs/>
          <w:sz w:val="18"/>
          <w:szCs w:val="18"/>
        </w:rPr>
        <w:t xml:space="preserve"> </w:t>
      </w:r>
      <w:r>
        <w:rPr>
          <w:rFonts w:ascii="Arial" w:eastAsia="Arial" w:hAnsi="Arial" w:cs="Arial"/>
          <w:sz w:val="18"/>
          <w:szCs w:val="18"/>
        </w:rPr>
        <w:t>annual cash bonus target remained at 80% of his base salary, resulting in a bonus target for the year of $504,000. Mr. Chan’s 2022 annual cash bonus award</w:t>
      </w:r>
      <w:r>
        <w:rPr>
          <w:rFonts w:ascii="Arial" w:eastAsia="Arial" w:hAnsi="Arial" w:cs="Arial"/>
          <w:sz w:val="18"/>
          <w:szCs w:val="18"/>
        </w:rPr>
        <w:t xml:space="preserve"> payout was $483,840, reflecting a total payout of 96% of target based on the Team Performance Factor of 120% and Individual Performance Factor of 80%.</w:t>
      </w:r>
    </w:p>
    <w:p w:rsidR="00A621E3" w:rsidRDefault="00A621E3">
      <w:pPr>
        <w:spacing w:line="245" w:lineRule="exact"/>
        <w:rPr>
          <w:rFonts w:ascii="Arial" w:eastAsia="Arial" w:hAnsi="Arial" w:cs="Arial"/>
          <w:color w:val="CF0A2C"/>
          <w:sz w:val="18"/>
          <w:szCs w:val="18"/>
        </w:rPr>
      </w:pPr>
    </w:p>
    <w:p w:rsidR="00A621E3" w:rsidRDefault="00EC630E">
      <w:pPr>
        <w:numPr>
          <w:ilvl w:val="0"/>
          <w:numId w:val="91"/>
        </w:numPr>
        <w:tabs>
          <w:tab w:val="left" w:pos="240"/>
        </w:tabs>
        <w:spacing w:line="257" w:lineRule="auto"/>
        <w:ind w:left="240" w:right="20" w:hanging="192"/>
        <w:jc w:val="both"/>
        <w:rPr>
          <w:rFonts w:ascii="Arial" w:eastAsia="Arial" w:hAnsi="Arial" w:cs="Arial"/>
          <w:color w:val="CF0A2C"/>
          <w:sz w:val="19"/>
          <w:szCs w:val="19"/>
        </w:rPr>
      </w:pPr>
      <w:r>
        <w:rPr>
          <w:rFonts w:ascii="Arial" w:eastAsia="Arial" w:hAnsi="Arial" w:cs="Arial"/>
          <w:i/>
          <w:iCs/>
          <w:sz w:val="19"/>
          <w:szCs w:val="19"/>
        </w:rPr>
        <w:t>Long-Term Incentive Award</w:t>
      </w:r>
      <w:r>
        <w:rPr>
          <w:rFonts w:ascii="Arial" w:eastAsia="Arial" w:hAnsi="Arial" w:cs="Arial"/>
          <w:sz w:val="19"/>
          <w:szCs w:val="19"/>
        </w:rPr>
        <w:t>. The Compensation Committee</w:t>
      </w:r>
      <w:r>
        <w:rPr>
          <w:rFonts w:ascii="Arial" w:eastAsia="Arial" w:hAnsi="Arial" w:cs="Arial"/>
          <w:i/>
          <w:iCs/>
          <w:sz w:val="19"/>
          <w:szCs w:val="19"/>
        </w:rPr>
        <w:t xml:space="preserve"> </w:t>
      </w:r>
      <w:r>
        <w:rPr>
          <w:rFonts w:ascii="Arial" w:eastAsia="Arial" w:hAnsi="Arial" w:cs="Arial"/>
          <w:sz w:val="19"/>
          <w:szCs w:val="19"/>
        </w:rPr>
        <w:t>approved a long-term incentive award of $1,200,00</w:t>
      </w:r>
      <w:r>
        <w:rPr>
          <w:rFonts w:ascii="Arial" w:eastAsia="Arial" w:hAnsi="Arial" w:cs="Arial"/>
          <w:sz w:val="19"/>
          <w:szCs w:val="19"/>
        </w:rPr>
        <w:t>0 to Mr. Chan in February 2022, to be delivered in 50% SARs, 30% PSUs and 20% RSUs, which was increased from an annual long-term incentive award of $1,125,000 in 2021 Mr. Chan also received a 2022 Lavazza ESOP Grant with a grant date fair value of $200,000</w:t>
      </w:r>
      <w:r>
        <w:rPr>
          <w:rFonts w:ascii="Arial" w:eastAsia="Arial" w:hAnsi="Arial" w:cs="Arial"/>
          <w:sz w:val="19"/>
          <w:szCs w:val="19"/>
        </w:rPr>
        <w:t>.</w:t>
      </w:r>
    </w:p>
    <w:p w:rsidR="00A621E3" w:rsidRDefault="00A621E3">
      <w:pPr>
        <w:spacing w:line="233"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15" w:lineRule="exact"/>
        <w:rPr>
          <w:sz w:val="20"/>
          <w:szCs w:val="20"/>
        </w:rPr>
      </w:pPr>
    </w:p>
    <w:p w:rsidR="00A621E3" w:rsidRDefault="00EC630E">
      <w:pPr>
        <w:ind w:left="160"/>
        <w:rPr>
          <w:sz w:val="20"/>
          <w:szCs w:val="20"/>
        </w:rPr>
      </w:pPr>
      <w:r>
        <w:rPr>
          <w:rFonts w:ascii="Arial" w:eastAsia="Arial" w:hAnsi="Arial" w:cs="Arial"/>
          <w:b/>
          <w:bCs/>
          <w:color w:val="CF0A2C"/>
          <w:sz w:val="20"/>
          <w:szCs w:val="20"/>
        </w:rPr>
        <w:t>Johnson Huang</w:t>
      </w:r>
    </w:p>
    <w:p w:rsidR="00A621E3" w:rsidRDefault="00EC630E">
      <w:pPr>
        <w:spacing w:line="20" w:lineRule="exact"/>
        <w:rPr>
          <w:sz w:val="20"/>
          <w:szCs w:val="20"/>
        </w:rPr>
      </w:pPr>
      <w:r>
        <w:rPr>
          <w:noProof/>
          <w:sz w:val="20"/>
          <w:szCs w:val="20"/>
        </w:rPr>
        <w:drawing>
          <wp:anchor distT="0" distB="0" distL="114300" distR="114300" simplePos="0" relativeHeight="251948032" behindDoc="1" locked="0" layoutInCell="0" allowOverlap="1">
            <wp:simplePos x="0" y="0"/>
            <wp:positionH relativeFrom="column">
              <wp:posOffset>73660</wp:posOffset>
            </wp:positionH>
            <wp:positionV relativeFrom="paragraph">
              <wp:posOffset>-139700</wp:posOffset>
            </wp:positionV>
            <wp:extent cx="6995160" cy="317500"/>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9">
                      <a:extLst/>
                    </a:blip>
                    <a:srcRect/>
                    <a:stretch>
                      <a:fillRect/>
                    </a:stretch>
                  </pic:blipFill>
                  <pic:spPr bwMode="auto">
                    <a:xfrm>
                      <a:off x="0" y="0"/>
                      <a:ext cx="6995160" cy="317500"/>
                    </a:xfrm>
                    <a:prstGeom prst="rect">
                      <a:avLst/>
                    </a:prstGeom>
                    <a:noFill/>
                  </pic:spPr>
                </pic:pic>
              </a:graphicData>
            </a:graphic>
          </wp:anchor>
        </w:drawing>
      </w:r>
    </w:p>
    <w:p w:rsidR="00A621E3" w:rsidRDefault="00A621E3">
      <w:pPr>
        <w:spacing w:line="2" w:lineRule="exact"/>
        <w:rPr>
          <w:sz w:val="20"/>
          <w:szCs w:val="20"/>
        </w:rPr>
      </w:pPr>
    </w:p>
    <w:p w:rsidR="00A621E3" w:rsidRDefault="00EC630E">
      <w:pPr>
        <w:ind w:left="160"/>
        <w:rPr>
          <w:sz w:val="20"/>
          <w:szCs w:val="20"/>
        </w:rPr>
      </w:pPr>
      <w:r>
        <w:rPr>
          <w:rFonts w:ascii="Arial" w:eastAsia="Arial" w:hAnsi="Arial" w:cs="Arial"/>
          <w:i/>
          <w:iCs/>
          <w:sz w:val="18"/>
          <w:szCs w:val="18"/>
        </w:rPr>
        <w:t>Chief Customer Officer (since May 1, 2022); General Manager, KFC (through April 30, 2022)</w:t>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385" w:lineRule="exact"/>
        <w:rPr>
          <w:sz w:val="20"/>
          <w:szCs w:val="20"/>
        </w:rPr>
      </w:pPr>
    </w:p>
    <w:p w:rsidR="00A621E3" w:rsidRDefault="00EC630E">
      <w:pPr>
        <w:spacing w:line="255" w:lineRule="auto"/>
        <w:ind w:left="120"/>
        <w:jc w:val="both"/>
        <w:rPr>
          <w:sz w:val="20"/>
          <w:szCs w:val="20"/>
        </w:rPr>
      </w:pPr>
      <w:r>
        <w:rPr>
          <w:rFonts w:ascii="Arial" w:eastAsia="Arial" w:hAnsi="Arial" w:cs="Arial"/>
          <w:i/>
          <w:iCs/>
          <w:color w:val="CF0A2C"/>
          <w:sz w:val="19"/>
          <w:szCs w:val="19"/>
        </w:rPr>
        <w:t xml:space="preserve">2022 Performance Summary. </w:t>
      </w:r>
      <w:r>
        <w:rPr>
          <w:rFonts w:ascii="Arial" w:eastAsia="Arial" w:hAnsi="Arial" w:cs="Arial"/>
          <w:color w:val="000000"/>
          <w:sz w:val="19"/>
          <w:szCs w:val="19"/>
        </w:rPr>
        <w:t>Mr. Huang has served as the</w:t>
      </w:r>
      <w:r>
        <w:rPr>
          <w:rFonts w:ascii="Arial" w:eastAsia="Arial" w:hAnsi="Arial" w:cs="Arial"/>
          <w:i/>
          <w:iCs/>
          <w:color w:val="CF0A2C"/>
          <w:sz w:val="19"/>
          <w:szCs w:val="19"/>
        </w:rPr>
        <w:t xml:space="preserve"> </w:t>
      </w:r>
      <w:r>
        <w:rPr>
          <w:rFonts w:ascii="Arial" w:eastAsia="Arial" w:hAnsi="Arial" w:cs="Arial"/>
          <w:color w:val="000000"/>
          <w:sz w:val="19"/>
          <w:szCs w:val="19"/>
        </w:rPr>
        <w:t xml:space="preserve">Company’s Chief Customer Officer since </w:t>
      </w:r>
      <w:r>
        <w:rPr>
          <w:rFonts w:ascii="Arial" w:eastAsia="Arial" w:hAnsi="Arial" w:cs="Arial"/>
          <w:color w:val="000000"/>
          <w:sz w:val="19"/>
          <w:szCs w:val="19"/>
        </w:rPr>
        <w:t>May 1, 2022, after serving as General Manager, KFC through April 30, 2022. The Compensation Committee determined that Mr. Huang’s 2022 performance was on target with an Individual Performance Factor of 105%. Mr. Huang, as General Manager of KFC, was recogn</w:t>
      </w:r>
      <w:r>
        <w:rPr>
          <w:rFonts w:ascii="Arial" w:eastAsia="Arial" w:hAnsi="Arial" w:cs="Arial"/>
          <w:color w:val="000000"/>
          <w:sz w:val="19"/>
          <w:szCs w:val="19"/>
        </w:rPr>
        <w:t xml:space="preserve">ized for driving KFC’s prompt response to address the business challenges due to the COVID-19 pandemic and regional lockdowns in the first quarter of 2022. He was appointed as the Company’s newly created role as Chief Customer Officer in May 2022. In this </w:t>
      </w:r>
      <w:r>
        <w:rPr>
          <w:rFonts w:ascii="Arial" w:eastAsia="Arial" w:hAnsi="Arial" w:cs="Arial"/>
          <w:color w:val="000000"/>
          <w:sz w:val="19"/>
          <w:szCs w:val="19"/>
        </w:rPr>
        <w:t>new role, Mr. Huang was instrumental in redesigning the Compa-</w:t>
      </w:r>
    </w:p>
    <w:p w:rsidR="00A621E3" w:rsidRDefault="00EC630E">
      <w:pPr>
        <w:spacing w:line="20" w:lineRule="exact"/>
        <w:rPr>
          <w:sz w:val="20"/>
          <w:szCs w:val="20"/>
        </w:rPr>
      </w:pPr>
      <w:r>
        <w:rPr>
          <w:sz w:val="20"/>
          <w:szCs w:val="20"/>
        </w:rPr>
        <w:br w:type="column"/>
      </w:r>
    </w:p>
    <w:p w:rsidR="00A621E3" w:rsidRDefault="00A621E3">
      <w:pPr>
        <w:spacing w:line="365" w:lineRule="exact"/>
        <w:rPr>
          <w:sz w:val="20"/>
          <w:szCs w:val="20"/>
        </w:rPr>
      </w:pPr>
    </w:p>
    <w:p w:rsidR="00A621E3" w:rsidRDefault="00EC630E">
      <w:pPr>
        <w:spacing w:line="256" w:lineRule="auto"/>
        <w:jc w:val="both"/>
        <w:rPr>
          <w:sz w:val="20"/>
          <w:szCs w:val="20"/>
        </w:rPr>
      </w:pPr>
      <w:r>
        <w:rPr>
          <w:rFonts w:ascii="Arial" w:eastAsia="Arial" w:hAnsi="Arial" w:cs="Arial"/>
          <w:sz w:val="19"/>
          <w:szCs w:val="19"/>
        </w:rPr>
        <w:t>ny’s membership strategy and roadmap to empower sales growth and enhance member experience. Mr. Huang also improved marketing investments through optimizing the conversion rate. Mr. Huang al</w:t>
      </w:r>
      <w:r>
        <w:rPr>
          <w:rFonts w:ascii="Arial" w:eastAsia="Arial" w:hAnsi="Arial" w:cs="Arial"/>
          <w:sz w:val="19"/>
          <w:szCs w:val="19"/>
        </w:rPr>
        <w:t>so led the launch of a digital platform to better monitor member traffic and better analyze member activities to set a foundation for marketing automation and future growth. Mr. Huang also revamped the Company’s customer incentive program to include the Co</w:t>
      </w:r>
      <w:r>
        <w:rPr>
          <w:rFonts w:ascii="Arial" w:eastAsia="Arial" w:hAnsi="Arial" w:cs="Arial"/>
          <w:sz w:val="19"/>
          <w:szCs w:val="19"/>
        </w:rPr>
        <w:t>mpany’s emerging brands for better cross brand marketing.</w:t>
      </w:r>
    </w:p>
    <w:p w:rsidR="00A621E3" w:rsidRDefault="00A621E3">
      <w:pPr>
        <w:spacing w:line="225" w:lineRule="exact"/>
        <w:rPr>
          <w:sz w:val="20"/>
          <w:szCs w:val="20"/>
        </w:rPr>
      </w:pPr>
    </w:p>
    <w:p w:rsidR="00A621E3" w:rsidRDefault="00EC630E">
      <w:pPr>
        <w:spacing w:line="260" w:lineRule="auto"/>
        <w:ind w:right="20"/>
        <w:jc w:val="both"/>
        <w:rPr>
          <w:sz w:val="20"/>
          <w:szCs w:val="20"/>
        </w:rPr>
      </w:pPr>
      <w:r>
        <w:rPr>
          <w:rFonts w:ascii="Arial" w:eastAsia="Arial" w:hAnsi="Arial" w:cs="Arial"/>
          <w:i/>
          <w:iCs/>
          <w:color w:val="CF0A2C"/>
          <w:sz w:val="20"/>
          <w:szCs w:val="20"/>
        </w:rPr>
        <w:t>2022 Compensation Decisions</w:t>
      </w:r>
      <w:r>
        <w:rPr>
          <w:rFonts w:ascii="Arial" w:eastAsia="Arial" w:hAnsi="Arial" w:cs="Arial"/>
          <w:i/>
          <w:iCs/>
          <w:color w:val="000000"/>
          <w:sz w:val="20"/>
          <w:szCs w:val="20"/>
        </w:rPr>
        <w:t>.</w:t>
      </w:r>
      <w:r>
        <w:rPr>
          <w:rFonts w:ascii="Arial" w:eastAsia="Arial" w:hAnsi="Arial" w:cs="Arial"/>
          <w:i/>
          <w:iCs/>
          <w:color w:val="CF0A2C"/>
          <w:sz w:val="20"/>
          <w:szCs w:val="20"/>
        </w:rPr>
        <w:t xml:space="preserve"> </w:t>
      </w:r>
      <w:r>
        <w:rPr>
          <w:rFonts w:ascii="Arial" w:eastAsia="Arial" w:hAnsi="Arial" w:cs="Arial"/>
          <w:color w:val="000000"/>
          <w:sz w:val="20"/>
          <w:szCs w:val="20"/>
        </w:rPr>
        <w:t>Effective February 1, 2022, the</w:t>
      </w:r>
      <w:r>
        <w:rPr>
          <w:rFonts w:ascii="Arial" w:eastAsia="Arial" w:hAnsi="Arial" w:cs="Arial"/>
          <w:i/>
          <w:iCs/>
          <w:color w:val="CF0A2C"/>
          <w:sz w:val="20"/>
          <w:szCs w:val="20"/>
        </w:rPr>
        <w:t xml:space="preserve"> </w:t>
      </w:r>
      <w:r>
        <w:rPr>
          <w:rFonts w:ascii="Arial" w:eastAsia="Arial" w:hAnsi="Arial" w:cs="Arial"/>
          <w:color w:val="000000"/>
          <w:sz w:val="20"/>
          <w:szCs w:val="20"/>
        </w:rPr>
        <w:t>Compensation Committee set Mr. Huang’s</w:t>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52" w:lineRule="exact"/>
        <w:rPr>
          <w:sz w:val="20"/>
          <w:szCs w:val="20"/>
        </w:rPr>
      </w:pPr>
    </w:p>
    <w:p w:rsidR="00A621E3" w:rsidRDefault="00EC630E">
      <w:pPr>
        <w:numPr>
          <w:ilvl w:val="0"/>
          <w:numId w:val="92"/>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949056"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74" w:name="page74"/>
      <w:bookmarkEnd w:id="74"/>
      <w:r>
        <w:rPr>
          <w:rFonts w:ascii="Arial" w:eastAsia="Arial" w:hAnsi="Arial" w:cs="Arial"/>
          <w:b/>
          <w:bCs/>
          <w:noProof/>
          <w:color w:val="0000EE"/>
          <w:sz w:val="18"/>
          <w:szCs w:val="18"/>
          <w:u w:val="single"/>
        </w:rPr>
        <w:drawing>
          <wp:anchor distT="0" distB="0" distL="114300" distR="114300" simplePos="0" relativeHeight="25195008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w:t>
      </w:r>
      <w:r>
        <w:rPr>
          <w:rFonts w:ascii="Arial" w:eastAsia="Arial" w:hAnsi="Arial" w:cs="Arial"/>
          <w:b/>
          <w:bCs/>
          <w:color w:val="0000EE"/>
          <w:sz w:val="18"/>
          <w:szCs w:val="18"/>
          <w:u w:val="single"/>
        </w:rPr>
        <w:t xml:space="preserve"> Contents</w:t>
      </w:r>
    </w:p>
    <w:p w:rsidR="00A621E3" w:rsidRDefault="00EC630E">
      <w:pPr>
        <w:spacing w:line="20" w:lineRule="exact"/>
        <w:rPr>
          <w:sz w:val="20"/>
          <w:szCs w:val="20"/>
        </w:rPr>
      </w:pPr>
      <w:r>
        <w:rPr>
          <w:noProof/>
          <w:sz w:val="20"/>
          <w:szCs w:val="20"/>
        </w:rPr>
        <w:drawing>
          <wp:anchor distT="0" distB="0" distL="114300" distR="114300" simplePos="0" relativeHeight="251951104"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right="180"/>
        <w:jc w:val="right"/>
        <w:rPr>
          <w:sz w:val="20"/>
          <w:szCs w:val="20"/>
        </w:rPr>
      </w:pPr>
      <w:r>
        <w:rPr>
          <w:rFonts w:ascii="Arial" w:eastAsia="Arial" w:hAnsi="Arial" w:cs="Arial"/>
          <w:b/>
          <w:bCs/>
          <w:color w:val="FFFFFF"/>
          <w:sz w:val="16"/>
          <w:szCs w:val="16"/>
        </w:rPr>
        <w:t>EXECUTIVE COMPENSATION</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63" w:lineRule="exact"/>
        <w:rPr>
          <w:sz w:val="20"/>
          <w:szCs w:val="20"/>
        </w:rPr>
      </w:pPr>
    </w:p>
    <w:p w:rsidR="00A621E3" w:rsidRDefault="00EC630E">
      <w:pPr>
        <w:spacing w:line="250" w:lineRule="auto"/>
        <w:ind w:left="120"/>
        <w:jc w:val="both"/>
        <w:rPr>
          <w:sz w:val="20"/>
          <w:szCs w:val="20"/>
        </w:rPr>
      </w:pPr>
      <w:r>
        <w:rPr>
          <w:rFonts w:ascii="Arial" w:eastAsia="Arial" w:hAnsi="Arial" w:cs="Arial"/>
          <w:sz w:val="20"/>
          <w:szCs w:val="20"/>
        </w:rPr>
        <w:t>2022 compensation levels after considering the advice of its compensation consultant, market practice, Mr. Huang’s individual performance and the strong performance of KFC.</w:t>
      </w:r>
    </w:p>
    <w:p w:rsidR="00A621E3" w:rsidRDefault="00A621E3">
      <w:pPr>
        <w:spacing w:line="267" w:lineRule="exact"/>
        <w:rPr>
          <w:sz w:val="20"/>
          <w:szCs w:val="20"/>
        </w:rPr>
      </w:pPr>
    </w:p>
    <w:p w:rsidR="00A621E3" w:rsidRDefault="00EC630E">
      <w:pPr>
        <w:numPr>
          <w:ilvl w:val="0"/>
          <w:numId w:val="93"/>
        </w:numPr>
        <w:tabs>
          <w:tab w:val="left" w:pos="360"/>
        </w:tabs>
        <w:spacing w:line="260" w:lineRule="auto"/>
        <w:ind w:left="360" w:hanging="190"/>
        <w:rPr>
          <w:rFonts w:ascii="Arial" w:eastAsia="Arial" w:hAnsi="Arial" w:cs="Arial"/>
          <w:color w:val="CF0A2C"/>
          <w:sz w:val="20"/>
          <w:szCs w:val="20"/>
        </w:rPr>
      </w:pPr>
      <w:r>
        <w:rPr>
          <w:rFonts w:ascii="Arial" w:eastAsia="Arial" w:hAnsi="Arial" w:cs="Arial"/>
          <w:i/>
          <w:iCs/>
          <w:sz w:val="20"/>
          <w:szCs w:val="20"/>
        </w:rPr>
        <w:t>Base Salary</w:t>
      </w:r>
      <w:r>
        <w:rPr>
          <w:rFonts w:ascii="Arial" w:eastAsia="Arial" w:hAnsi="Arial" w:cs="Arial"/>
          <w:sz w:val="20"/>
          <w:szCs w:val="20"/>
        </w:rPr>
        <w:t xml:space="preserve">. Mr. Huang’s </w:t>
      </w:r>
      <w:r>
        <w:rPr>
          <w:rFonts w:ascii="Arial" w:eastAsia="Arial" w:hAnsi="Arial" w:cs="Arial"/>
          <w:sz w:val="20"/>
          <w:szCs w:val="20"/>
        </w:rPr>
        <w:t>base salary was increased from</w:t>
      </w:r>
      <w:r>
        <w:rPr>
          <w:rFonts w:ascii="Arial" w:eastAsia="Arial" w:hAnsi="Arial" w:cs="Arial"/>
          <w:i/>
          <w:iCs/>
          <w:sz w:val="20"/>
          <w:szCs w:val="20"/>
        </w:rPr>
        <w:t xml:space="preserve"> </w:t>
      </w:r>
      <w:r>
        <w:rPr>
          <w:rFonts w:ascii="Arial" w:eastAsia="Arial" w:hAnsi="Arial" w:cs="Arial"/>
          <w:sz w:val="20"/>
          <w:szCs w:val="20"/>
        </w:rPr>
        <w:t>$740,000 to $762,200, an increase of 3.0%.</w:t>
      </w:r>
    </w:p>
    <w:p w:rsidR="00A621E3" w:rsidRDefault="00A621E3">
      <w:pPr>
        <w:spacing w:line="257" w:lineRule="exact"/>
        <w:rPr>
          <w:rFonts w:ascii="Arial" w:eastAsia="Arial" w:hAnsi="Arial" w:cs="Arial"/>
          <w:color w:val="CF0A2C"/>
          <w:sz w:val="20"/>
          <w:szCs w:val="20"/>
        </w:rPr>
      </w:pPr>
    </w:p>
    <w:p w:rsidR="00A621E3" w:rsidRDefault="00EC630E">
      <w:pPr>
        <w:numPr>
          <w:ilvl w:val="0"/>
          <w:numId w:val="93"/>
        </w:numPr>
        <w:tabs>
          <w:tab w:val="left" w:pos="360"/>
        </w:tabs>
        <w:ind w:left="360" w:hanging="190"/>
        <w:rPr>
          <w:rFonts w:ascii="Arial" w:eastAsia="Arial" w:hAnsi="Arial" w:cs="Arial"/>
          <w:color w:val="CF0A2C"/>
          <w:sz w:val="18"/>
          <w:szCs w:val="18"/>
        </w:rPr>
      </w:pPr>
      <w:r>
        <w:rPr>
          <w:rFonts w:ascii="Arial" w:eastAsia="Arial" w:hAnsi="Arial" w:cs="Arial"/>
          <w:i/>
          <w:iCs/>
          <w:sz w:val="18"/>
          <w:szCs w:val="18"/>
        </w:rPr>
        <w:t>Annual Incentive Plan Target and Payout Level</w:t>
      </w:r>
      <w:r>
        <w:rPr>
          <w:rFonts w:ascii="Arial" w:eastAsia="Arial" w:hAnsi="Arial" w:cs="Arial"/>
          <w:sz w:val="18"/>
          <w:szCs w:val="18"/>
        </w:rPr>
        <w:t>. Mr. Huang’s</w:t>
      </w:r>
    </w:p>
    <w:p w:rsidR="00A621E3" w:rsidRDefault="00A621E3">
      <w:pPr>
        <w:spacing w:line="39" w:lineRule="exact"/>
        <w:rPr>
          <w:sz w:val="20"/>
          <w:szCs w:val="20"/>
        </w:rPr>
      </w:pPr>
    </w:p>
    <w:p w:rsidR="00A621E3" w:rsidRDefault="00EC630E">
      <w:pPr>
        <w:spacing w:line="241" w:lineRule="auto"/>
        <w:ind w:left="360"/>
        <w:jc w:val="both"/>
        <w:rPr>
          <w:sz w:val="20"/>
          <w:szCs w:val="20"/>
        </w:rPr>
      </w:pPr>
      <w:r>
        <w:rPr>
          <w:rFonts w:ascii="Arial" w:eastAsia="Arial" w:hAnsi="Arial" w:cs="Arial"/>
          <w:sz w:val="20"/>
          <w:szCs w:val="20"/>
        </w:rPr>
        <w:t xml:space="preserve">annual cash bonus target remained at 100% of his base salary, resulting in a bonus target for the year of $762,200. Mr. </w:t>
      </w:r>
      <w:r>
        <w:rPr>
          <w:rFonts w:ascii="Arial" w:eastAsia="Arial" w:hAnsi="Arial" w:cs="Arial"/>
          <w:sz w:val="20"/>
          <w:szCs w:val="20"/>
        </w:rPr>
        <w:t>Huang’s 2022 annual cash bonus award payout was $970,896, reflecting a total</w:t>
      </w:r>
    </w:p>
    <w:p w:rsidR="00A621E3" w:rsidRDefault="00EC630E">
      <w:pPr>
        <w:spacing w:line="20" w:lineRule="exact"/>
        <w:rPr>
          <w:sz w:val="20"/>
          <w:szCs w:val="20"/>
        </w:rPr>
      </w:pPr>
      <w:r>
        <w:rPr>
          <w:sz w:val="20"/>
          <w:szCs w:val="20"/>
        </w:rPr>
        <w:br w:type="column"/>
      </w:r>
    </w:p>
    <w:p w:rsidR="00A621E3" w:rsidRDefault="00A621E3">
      <w:pPr>
        <w:spacing w:line="243" w:lineRule="exact"/>
        <w:rPr>
          <w:sz w:val="20"/>
          <w:szCs w:val="20"/>
        </w:rPr>
      </w:pPr>
    </w:p>
    <w:p w:rsidR="00A621E3" w:rsidRDefault="00EC630E">
      <w:pPr>
        <w:spacing w:line="250" w:lineRule="auto"/>
        <w:ind w:left="112" w:right="20"/>
        <w:jc w:val="both"/>
        <w:rPr>
          <w:sz w:val="20"/>
          <w:szCs w:val="20"/>
        </w:rPr>
      </w:pPr>
      <w:r>
        <w:rPr>
          <w:rFonts w:ascii="Arial" w:eastAsia="Arial" w:hAnsi="Arial" w:cs="Arial"/>
          <w:sz w:val="20"/>
          <w:szCs w:val="20"/>
        </w:rPr>
        <w:t>payout of 127% of target based on the blended Team Performance Factor of 121% and Individual Performance Factor of 105%.</w:t>
      </w:r>
    </w:p>
    <w:p w:rsidR="00A621E3" w:rsidRDefault="00A621E3">
      <w:pPr>
        <w:spacing w:line="267" w:lineRule="exact"/>
        <w:rPr>
          <w:sz w:val="20"/>
          <w:szCs w:val="20"/>
        </w:rPr>
      </w:pPr>
    </w:p>
    <w:p w:rsidR="00A621E3" w:rsidRDefault="00EC630E">
      <w:pPr>
        <w:numPr>
          <w:ilvl w:val="0"/>
          <w:numId w:val="94"/>
        </w:numPr>
        <w:tabs>
          <w:tab w:val="left" w:pos="192"/>
        </w:tabs>
        <w:spacing w:line="257" w:lineRule="auto"/>
        <w:ind w:left="192" w:right="20" w:hanging="192"/>
        <w:jc w:val="both"/>
        <w:rPr>
          <w:rFonts w:ascii="Arial" w:eastAsia="Arial" w:hAnsi="Arial" w:cs="Arial"/>
          <w:color w:val="CF0A2C"/>
          <w:sz w:val="19"/>
          <w:szCs w:val="19"/>
        </w:rPr>
      </w:pPr>
      <w:r>
        <w:rPr>
          <w:rFonts w:ascii="Arial" w:eastAsia="Arial" w:hAnsi="Arial" w:cs="Arial"/>
          <w:i/>
          <w:iCs/>
          <w:sz w:val="19"/>
          <w:szCs w:val="19"/>
        </w:rPr>
        <w:t>Long-Term Incentive Award</w:t>
      </w:r>
      <w:r>
        <w:rPr>
          <w:rFonts w:ascii="Arial" w:eastAsia="Arial" w:hAnsi="Arial" w:cs="Arial"/>
          <w:sz w:val="19"/>
          <w:szCs w:val="19"/>
        </w:rPr>
        <w:t>. The Compensation Committee</w:t>
      </w:r>
      <w:r>
        <w:rPr>
          <w:rFonts w:ascii="Arial" w:eastAsia="Arial" w:hAnsi="Arial" w:cs="Arial"/>
          <w:i/>
          <w:iCs/>
          <w:sz w:val="19"/>
          <w:szCs w:val="19"/>
        </w:rPr>
        <w:t xml:space="preserve"> </w:t>
      </w:r>
      <w:r>
        <w:rPr>
          <w:rFonts w:ascii="Arial" w:eastAsia="Arial" w:hAnsi="Arial" w:cs="Arial"/>
          <w:sz w:val="19"/>
          <w:szCs w:val="19"/>
        </w:rPr>
        <w:t>approved a long-term incentive award of $1,330,000 to Mr. Huang in February 2022, to be delivered in 50% SARs, 30% PSUs and 20% RSUs, which was increased from an annual long-term incentive award of $1,250,000 in 2021. Mr. Huang also received a 2022 Lavazza</w:t>
      </w:r>
      <w:r>
        <w:rPr>
          <w:rFonts w:ascii="Arial" w:eastAsia="Arial" w:hAnsi="Arial" w:cs="Arial"/>
          <w:sz w:val="19"/>
          <w:szCs w:val="19"/>
        </w:rPr>
        <w:t xml:space="preserve"> ESOP Grant with a grant date fair value of $200,000.</w:t>
      </w:r>
    </w:p>
    <w:p w:rsidR="00A621E3" w:rsidRDefault="00A621E3">
      <w:pPr>
        <w:spacing w:line="487"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88"/>
            <w:col w:w="5352"/>
          </w:cols>
        </w:sectPr>
      </w:pPr>
    </w:p>
    <w:p w:rsidR="00A621E3" w:rsidRDefault="00A621E3">
      <w:pPr>
        <w:spacing w:line="177" w:lineRule="exact"/>
        <w:rPr>
          <w:sz w:val="20"/>
          <w:szCs w:val="20"/>
        </w:rPr>
      </w:pPr>
    </w:p>
    <w:p w:rsidR="00A621E3" w:rsidRDefault="00EC630E">
      <w:pPr>
        <w:ind w:left="160"/>
        <w:rPr>
          <w:sz w:val="20"/>
          <w:szCs w:val="20"/>
        </w:rPr>
      </w:pPr>
      <w:r>
        <w:rPr>
          <w:rFonts w:ascii="Arial" w:eastAsia="Arial" w:hAnsi="Arial" w:cs="Arial"/>
          <w:b/>
          <w:bCs/>
          <w:color w:val="CF0A2C"/>
          <w:sz w:val="20"/>
          <w:szCs w:val="20"/>
        </w:rPr>
        <w:t>Aiken Yuen</w:t>
      </w:r>
    </w:p>
    <w:p w:rsidR="00A621E3" w:rsidRDefault="00EC630E">
      <w:pPr>
        <w:spacing w:line="20" w:lineRule="exact"/>
        <w:rPr>
          <w:sz w:val="20"/>
          <w:szCs w:val="20"/>
        </w:rPr>
      </w:pPr>
      <w:r>
        <w:rPr>
          <w:noProof/>
          <w:sz w:val="20"/>
          <w:szCs w:val="20"/>
        </w:rPr>
        <w:drawing>
          <wp:anchor distT="0" distB="0" distL="114300" distR="114300" simplePos="0" relativeHeight="251952128" behindDoc="1" locked="0" layoutInCell="0" allowOverlap="1">
            <wp:simplePos x="0" y="0"/>
            <wp:positionH relativeFrom="column">
              <wp:posOffset>73660</wp:posOffset>
            </wp:positionH>
            <wp:positionV relativeFrom="paragraph">
              <wp:posOffset>-139700</wp:posOffset>
            </wp:positionV>
            <wp:extent cx="6995160" cy="317500"/>
            <wp:effectExtent l="0" t="0" r="0" b="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9">
                      <a:extLst/>
                    </a:blip>
                    <a:srcRect/>
                    <a:stretch>
                      <a:fillRect/>
                    </a:stretch>
                  </pic:blipFill>
                  <pic:spPr bwMode="auto">
                    <a:xfrm>
                      <a:off x="0" y="0"/>
                      <a:ext cx="6995160" cy="317500"/>
                    </a:xfrm>
                    <a:prstGeom prst="rect">
                      <a:avLst/>
                    </a:prstGeom>
                    <a:noFill/>
                  </pic:spPr>
                </pic:pic>
              </a:graphicData>
            </a:graphic>
          </wp:anchor>
        </w:drawing>
      </w:r>
    </w:p>
    <w:p w:rsidR="00A621E3" w:rsidRDefault="00A621E3">
      <w:pPr>
        <w:spacing w:line="2" w:lineRule="exact"/>
        <w:rPr>
          <w:sz w:val="20"/>
          <w:szCs w:val="20"/>
        </w:rPr>
      </w:pPr>
    </w:p>
    <w:p w:rsidR="00A621E3" w:rsidRDefault="00EC630E">
      <w:pPr>
        <w:ind w:left="160"/>
        <w:rPr>
          <w:sz w:val="20"/>
          <w:szCs w:val="20"/>
        </w:rPr>
      </w:pPr>
      <w:r>
        <w:rPr>
          <w:rFonts w:ascii="Arial" w:eastAsia="Arial" w:hAnsi="Arial" w:cs="Arial"/>
          <w:i/>
          <w:iCs/>
          <w:sz w:val="18"/>
          <w:szCs w:val="18"/>
        </w:rPr>
        <w:t>Chief People Officer</w:t>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385" w:lineRule="exact"/>
        <w:rPr>
          <w:sz w:val="20"/>
          <w:szCs w:val="20"/>
        </w:rPr>
      </w:pPr>
    </w:p>
    <w:p w:rsidR="00A621E3" w:rsidRDefault="00EC630E">
      <w:pPr>
        <w:spacing w:line="268" w:lineRule="auto"/>
        <w:ind w:left="120"/>
        <w:jc w:val="both"/>
        <w:rPr>
          <w:sz w:val="20"/>
          <w:szCs w:val="20"/>
        </w:rPr>
      </w:pPr>
      <w:r>
        <w:rPr>
          <w:rFonts w:ascii="Arial" w:eastAsia="Arial" w:hAnsi="Arial" w:cs="Arial"/>
          <w:i/>
          <w:iCs/>
          <w:color w:val="CF0A2C"/>
          <w:sz w:val="18"/>
          <w:szCs w:val="18"/>
        </w:rPr>
        <w:t xml:space="preserve">2022 Performance Summary. </w:t>
      </w:r>
      <w:r>
        <w:rPr>
          <w:rFonts w:ascii="Arial" w:eastAsia="Arial" w:hAnsi="Arial" w:cs="Arial"/>
          <w:color w:val="000000"/>
          <w:sz w:val="18"/>
          <w:szCs w:val="18"/>
        </w:rPr>
        <w:t>The Compensation Committee</w:t>
      </w:r>
      <w:r>
        <w:rPr>
          <w:rFonts w:ascii="Arial" w:eastAsia="Arial" w:hAnsi="Arial" w:cs="Arial"/>
          <w:i/>
          <w:iCs/>
          <w:color w:val="CF0A2C"/>
          <w:sz w:val="18"/>
          <w:szCs w:val="18"/>
        </w:rPr>
        <w:t xml:space="preserve"> </w:t>
      </w:r>
      <w:r>
        <w:rPr>
          <w:rFonts w:ascii="Arial" w:eastAsia="Arial" w:hAnsi="Arial" w:cs="Arial"/>
          <w:color w:val="000000"/>
          <w:sz w:val="18"/>
          <w:szCs w:val="18"/>
        </w:rPr>
        <w:t>determined Mr. Yuen’s performance to be above target with an</w:t>
      </w:r>
      <w:r>
        <w:rPr>
          <w:rFonts w:ascii="Arial" w:eastAsia="Arial" w:hAnsi="Arial" w:cs="Arial"/>
          <w:color w:val="000000"/>
          <w:sz w:val="18"/>
          <w:szCs w:val="18"/>
        </w:rPr>
        <w:t xml:space="preserve"> Individual Performance Factor of 125%. Mr. Yuen was recognized for coordinating the Company’s Crisis Management Team in developing responsive policy to protect employees’ health and well-being, especially during lockdowns. The Company enhanced a number of</w:t>
      </w:r>
      <w:r>
        <w:rPr>
          <w:rFonts w:ascii="Arial" w:eastAsia="Arial" w:hAnsi="Arial" w:cs="Arial"/>
          <w:color w:val="000000"/>
          <w:sz w:val="18"/>
          <w:szCs w:val="18"/>
        </w:rPr>
        <w:t xml:space="preserve"> benefits programs for frontline employees in 2022, including enhanced medical coverage for restaurant managers. Mr. Yuen played an instrumental role to orchestrate a smooth transition of new leadership team appointments, including General Manager KFC, Chi</w:t>
      </w:r>
      <w:r>
        <w:rPr>
          <w:rFonts w:ascii="Arial" w:eastAsia="Arial" w:hAnsi="Arial" w:cs="Arial"/>
          <w:color w:val="000000"/>
          <w:sz w:val="18"/>
          <w:szCs w:val="18"/>
        </w:rPr>
        <w:t>ef Customer Officer and Chief Development Officer. Mr. Yuen served as a core member of the Company’s Sustainability Committee and played an active role in ESG discussions, including the Company’s strategy and roadmap relating to near term Science Based Tar</w:t>
      </w:r>
      <w:r>
        <w:rPr>
          <w:rFonts w:ascii="Arial" w:eastAsia="Arial" w:hAnsi="Arial" w:cs="Arial"/>
          <w:color w:val="000000"/>
          <w:sz w:val="18"/>
          <w:szCs w:val="18"/>
        </w:rPr>
        <w:t>get setting, which was approved by SBTi in November 2022. In 2022, Yum China was rated as one of the top 20 China employers by Top Employer Institute and included in Bloomberg’s “Gender Equality Index” for the fourth consecutive year.</w:t>
      </w:r>
    </w:p>
    <w:p w:rsidR="00A621E3" w:rsidRDefault="00A621E3">
      <w:pPr>
        <w:spacing w:line="225" w:lineRule="exact"/>
        <w:rPr>
          <w:sz w:val="20"/>
          <w:szCs w:val="20"/>
        </w:rPr>
      </w:pPr>
    </w:p>
    <w:p w:rsidR="00A621E3" w:rsidRDefault="00EC630E">
      <w:pPr>
        <w:spacing w:line="250" w:lineRule="auto"/>
        <w:ind w:left="120"/>
        <w:jc w:val="both"/>
        <w:rPr>
          <w:sz w:val="20"/>
          <w:szCs w:val="20"/>
        </w:rPr>
      </w:pPr>
      <w:r>
        <w:rPr>
          <w:rFonts w:ascii="Arial" w:eastAsia="Arial" w:hAnsi="Arial" w:cs="Arial"/>
          <w:i/>
          <w:iCs/>
          <w:color w:val="CF0A2C"/>
          <w:sz w:val="20"/>
          <w:szCs w:val="20"/>
        </w:rPr>
        <w:t>2022 Compensation De</w:t>
      </w:r>
      <w:r>
        <w:rPr>
          <w:rFonts w:ascii="Arial" w:eastAsia="Arial" w:hAnsi="Arial" w:cs="Arial"/>
          <w:i/>
          <w:iCs/>
          <w:color w:val="CF0A2C"/>
          <w:sz w:val="20"/>
          <w:szCs w:val="20"/>
        </w:rPr>
        <w:t xml:space="preserve">cisions. </w:t>
      </w:r>
      <w:r>
        <w:rPr>
          <w:rFonts w:ascii="Arial" w:eastAsia="Arial" w:hAnsi="Arial" w:cs="Arial"/>
          <w:color w:val="000000"/>
          <w:sz w:val="20"/>
          <w:szCs w:val="20"/>
        </w:rPr>
        <w:t>Effective February 1, 2022, the</w:t>
      </w:r>
      <w:r>
        <w:rPr>
          <w:rFonts w:ascii="Arial" w:eastAsia="Arial" w:hAnsi="Arial" w:cs="Arial"/>
          <w:i/>
          <w:iCs/>
          <w:color w:val="CF0A2C"/>
          <w:sz w:val="20"/>
          <w:szCs w:val="20"/>
        </w:rPr>
        <w:t xml:space="preserve"> </w:t>
      </w:r>
      <w:r>
        <w:rPr>
          <w:rFonts w:ascii="Arial" w:eastAsia="Arial" w:hAnsi="Arial" w:cs="Arial"/>
          <w:color w:val="000000"/>
          <w:sz w:val="20"/>
          <w:szCs w:val="20"/>
        </w:rPr>
        <w:t>Compensation Committee set Mr. Yuen’s 2022 compensation levels after considering the advice of its</w:t>
      </w:r>
    </w:p>
    <w:p w:rsidR="00A621E3" w:rsidRDefault="00EC630E">
      <w:pPr>
        <w:spacing w:line="20" w:lineRule="exact"/>
        <w:rPr>
          <w:sz w:val="20"/>
          <w:szCs w:val="20"/>
        </w:rPr>
      </w:pPr>
      <w:r>
        <w:rPr>
          <w:sz w:val="20"/>
          <w:szCs w:val="20"/>
        </w:rPr>
        <w:br w:type="column"/>
      </w:r>
    </w:p>
    <w:p w:rsidR="00A621E3" w:rsidRDefault="00A621E3">
      <w:pPr>
        <w:spacing w:line="365" w:lineRule="exact"/>
        <w:rPr>
          <w:sz w:val="20"/>
          <w:szCs w:val="20"/>
        </w:rPr>
      </w:pPr>
    </w:p>
    <w:p w:rsidR="00A621E3" w:rsidRDefault="00EC630E">
      <w:pPr>
        <w:spacing w:line="260" w:lineRule="auto"/>
        <w:rPr>
          <w:sz w:val="20"/>
          <w:szCs w:val="20"/>
        </w:rPr>
      </w:pPr>
      <w:r>
        <w:rPr>
          <w:rFonts w:ascii="Arial" w:eastAsia="Arial" w:hAnsi="Arial" w:cs="Arial"/>
          <w:sz w:val="20"/>
          <w:szCs w:val="20"/>
        </w:rPr>
        <w:t>compensation consultant, market practice and Mr. Yuen’s individual performance.</w:t>
      </w:r>
    </w:p>
    <w:p w:rsidR="00A621E3" w:rsidRDefault="00A621E3">
      <w:pPr>
        <w:spacing w:line="258" w:lineRule="exact"/>
        <w:rPr>
          <w:sz w:val="20"/>
          <w:szCs w:val="20"/>
        </w:rPr>
      </w:pPr>
    </w:p>
    <w:p w:rsidR="00A621E3" w:rsidRDefault="00EC630E">
      <w:pPr>
        <w:numPr>
          <w:ilvl w:val="0"/>
          <w:numId w:val="95"/>
        </w:numPr>
        <w:tabs>
          <w:tab w:val="left" w:pos="240"/>
        </w:tabs>
        <w:spacing w:line="260" w:lineRule="auto"/>
        <w:ind w:left="240" w:right="20" w:hanging="192"/>
        <w:rPr>
          <w:rFonts w:ascii="Arial" w:eastAsia="Arial" w:hAnsi="Arial" w:cs="Arial"/>
          <w:color w:val="CF0A2C"/>
          <w:sz w:val="20"/>
          <w:szCs w:val="20"/>
        </w:rPr>
      </w:pPr>
      <w:r>
        <w:rPr>
          <w:rFonts w:ascii="Arial" w:eastAsia="Arial" w:hAnsi="Arial" w:cs="Arial"/>
          <w:i/>
          <w:iCs/>
          <w:sz w:val="20"/>
          <w:szCs w:val="20"/>
        </w:rPr>
        <w:t>Base Salary</w:t>
      </w:r>
      <w:r>
        <w:rPr>
          <w:rFonts w:ascii="Arial" w:eastAsia="Arial" w:hAnsi="Arial" w:cs="Arial"/>
          <w:sz w:val="20"/>
          <w:szCs w:val="20"/>
        </w:rPr>
        <w:t>. Mr. Yuen’s base sal</w:t>
      </w:r>
      <w:r>
        <w:rPr>
          <w:rFonts w:ascii="Arial" w:eastAsia="Arial" w:hAnsi="Arial" w:cs="Arial"/>
          <w:sz w:val="20"/>
          <w:szCs w:val="20"/>
        </w:rPr>
        <w:t>ary was increased from</w:t>
      </w:r>
      <w:r>
        <w:rPr>
          <w:rFonts w:ascii="Arial" w:eastAsia="Arial" w:hAnsi="Arial" w:cs="Arial"/>
          <w:i/>
          <w:iCs/>
          <w:sz w:val="20"/>
          <w:szCs w:val="20"/>
        </w:rPr>
        <w:t xml:space="preserve"> </w:t>
      </w:r>
      <w:r>
        <w:rPr>
          <w:rFonts w:ascii="Arial" w:eastAsia="Arial" w:hAnsi="Arial" w:cs="Arial"/>
          <w:sz w:val="20"/>
          <w:szCs w:val="20"/>
        </w:rPr>
        <w:t>$600,000 to $630,000, an increase of 5.0%.</w:t>
      </w:r>
    </w:p>
    <w:p w:rsidR="00A621E3" w:rsidRDefault="00A621E3">
      <w:pPr>
        <w:spacing w:line="257" w:lineRule="exact"/>
        <w:rPr>
          <w:rFonts w:ascii="Arial" w:eastAsia="Arial" w:hAnsi="Arial" w:cs="Arial"/>
          <w:color w:val="CF0A2C"/>
          <w:sz w:val="20"/>
          <w:szCs w:val="20"/>
        </w:rPr>
      </w:pPr>
    </w:p>
    <w:p w:rsidR="00A621E3" w:rsidRDefault="00EC630E">
      <w:pPr>
        <w:numPr>
          <w:ilvl w:val="0"/>
          <w:numId w:val="95"/>
        </w:numPr>
        <w:tabs>
          <w:tab w:val="left" w:pos="240"/>
        </w:tabs>
        <w:spacing w:line="316" w:lineRule="auto"/>
        <w:ind w:left="240" w:right="20" w:hanging="192"/>
        <w:jc w:val="both"/>
        <w:rPr>
          <w:rFonts w:ascii="Arial" w:eastAsia="Arial" w:hAnsi="Arial" w:cs="Arial"/>
          <w:color w:val="CF0A2C"/>
          <w:sz w:val="16"/>
          <w:szCs w:val="16"/>
        </w:rPr>
      </w:pPr>
      <w:r>
        <w:rPr>
          <w:rFonts w:ascii="Arial" w:eastAsia="Arial" w:hAnsi="Arial" w:cs="Arial"/>
          <w:i/>
          <w:iCs/>
          <w:sz w:val="16"/>
          <w:szCs w:val="16"/>
        </w:rPr>
        <w:t>Annual Incentive Plan Target and Payout Level</w:t>
      </w:r>
      <w:r>
        <w:rPr>
          <w:rFonts w:ascii="Arial" w:eastAsia="Arial" w:hAnsi="Arial" w:cs="Arial"/>
          <w:sz w:val="16"/>
          <w:szCs w:val="16"/>
        </w:rPr>
        <w:t>. Mr. Yuen’s</w:t>
      </w:r>
      <w:r>
        <w:rPr>
          <w:rFonts w:ascii="Arial" w:eastAsia="Arial" w:hAnsi="Arial" w:cs="Arial"/>
          <w:i/>
          <w:iCs/>
          <w:sz w:val="16"/>
          <w:szCs w:val="16"/>
        </w:rPr>
        <w:t xml:space="preserve"> </w:t>
      </w:r>
      <w:r>
        <w:rPr>
          <w:rFonts w:ascii="Arial" w:eastAsia="Arial" w:hAnsi="Arial" w:cs="Arial"/>
          <w:sz w:val="16"/>
          <w:szCs w:val="16"/>
        </w:rPr>
        <w:t xml:space="preserve">annual cash bonus target remained at 70% of his base salary, resulting in a bonus target for the year of $441,000. Mr. Yuen’s 2022 </w:t>
      </w:r>
      <w:r>
        <w:rPr>
          <w:rFonts w:ascii="Arial" w:eastAsia="Arial" w:hAnsi="Arial" w:cs="Arial"/>
          <w:sz w:val="16"/>
          <w:szCs w:val="16"/>
        </w:rPr>
        <w:t>annual cash bonus award payout was $661,500, reflecting a total payout of 150% of target based on the Team Performance Factor of 120% and Individual Performance Factor of 125%.</w:t>
      </w:r>
    </w:p>
    <w:p w:rsidR="00A621E3" w:rsidRDefault="00A621E3">
      <w:pPr>
        <w:spacing w:line="220" w:lineRule="exact"/>
        <w:rPr>
          <w:rFonts w:ascii="Arial" w:eastAsia="Arial" w:hAnsi="Arial" w:cs="Arial"/>
          <w:color w:val="CF0A2C"/>
          <w:sz w:val="16"/>
          <w:szCs w:val="16"/>
        </w:rPr>
      </w:pPr>
    </w:p>
    <w:p w:rsidR="00A621E3" w:rsidRDefault="00EC630E">
      <w:pPr>
        <w:numPr>
          <w:ilvl w:val="0"/>
          <w:numId w:val="95"/>
        </w:numPr>
        <w:tabs>
          <w:tab w:val="left" w:pos="240"/>
        </w:tabs>
        <w:spacing w:line="256" w:lineRule="auto"/>
        <w:ind w:left="240" w:right="20" w:hanging="192"/>
        <w:jc w:val="both"/>
        <w:rPr>
          <w:rFonts w:ascii="Arial" w:eastAsia="Arial" w:hAnsi="Arial" w:cs="Arial"/>
          <w:color w:val="CF0A2C"/>
          <w:sz w:val="19"/>
          <w:szCs w:val="19"/>
        </w:rPr>
      </w:pPr>
      <w:r>
        <w:rPr>
          <w:rFonts w:ascii="Arial" w:eastAsia="Arial" w:hAnsi="Arial" w:cs="Arial"/>
          <w:i/>
          <w:iCs/>
          <w:sz w:val="19"/>
          <w:szCs w:val="19"/>
        </w:rPr>
        <w:t>Long-Term Incentive Award</w:t>
      </w:r>
      <w:r>
        <w:rPr>
          <w:rFonts w:ascii="Arial" w:eastAsia="Arial" w:hAnsi="Arial" w:cs="Arial"/>
          <w:sz w:val="19"/>
          <w:szCs w:val="19"/>
        </w:rPr>
        <w:t>. The Compensation Committee</w:t>
      </w:r>
      <w:r>
        <w:rPr>
          <w:rFonts w:ascii="Arial" w:eastAsia="Arial" w:hAnsi="Arial" w:cs="Arial"/>
          <w:i/>
          <w:iCs/>
          <w:sz w:val="19"/>
          <w:szCs w:val="19"/>
        </w:rPr>
        <w:t xml:space="preserve"> </w:t>
      </w:r>
      <w:r>
        <w:rPr>
          <w:rFonts w:ascii="Arial" w:eastAsia="Arial" w:hAnsi="Arial" w:cs="Arial"/>
          <w:sz w:val="19"/>
          <w:szCs w:val="19"/>
        </w:rPr>
        <w:t>approved a long-term inc</w:t>
      </w:r>
      <w:r>
        <w:rPr>
          <w:rFonts w:ascii="Arial" w:eastAsia="Arial" w:hAnsi="Arial" w:cs="Arial"/>
          <w:sz w:val="19"/>
          <w:szCs w:val="19"/>
        </w:rPr>
        <w:t>entive award of $750,000 to Mr. Yuen in February 2022, to be delivered in 50% SARs, 30% PSUs and 20% RSUs, which was increased from an annual long-term incentive award of $700,000 in 2021, as the compensation review showed that the prior year annual long-t</w:t>
      </w:r>
      <w:r>
        <w:rPr>
          <w:rFonts w:ascii="Arial" w:eastAsia="Arial" w:hAnsi="Arial" w:cs="Arial"/>
          <w:sz w:val="19"/>
          <w:szCs w:val="19"/>
        </w:rPr>
        <w:t>erm incentive award was below the market median. Mr. Yuen also received a 2022 Lavazza ESOP Grant with a grant date fair value of $200,000.</w:t>
      </w:r>
    </w:p>
    <w:p w:rsidR="00A621E3" w:rsidRDefault="00A621E3">
      <w:pPr>
        <w:spacing w:line="309" w:lineRule="exact"/>
        <w:rPr>
          <w:sz w:val="20"/>
          <w:szCs w:val="20"/>
        </w:rPr>
      </w:pPr>
    </w:p>
    <w:p w:rsidR="00A621E3" w:rsidRDefault="00EC630E">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69</w:t>
      </w:r>
    </w:p>
    <w:p w:rsidR="00A621E3" w:rsidRDefault="00EC630E">
      <w:pPr>
        <w:spacing w:line="20" w:lineRule="exact"/>
        <w:rPr>
          <w:sz w:val="20"/>
          <w:szCs w:val="20"/>
        </w:rPr>
      </w:pPr>
      <w:r>
        <w:rPr>
          <w:noProof/>
          <w:sz w:val="20"/>
          <w:szCs w:val="20"/>
        </w:rPr>
        <w:drawing>
          <wp:anchor distT="0" distB="0" distL="114300" distR="114300" simplePos="0" relativeHeight="251953152" behindDoc="1" locked="0" layoutInCell="0" allowOverlap="1">
            <wp:simplePos x="0" y="0"/>
            <wp:positionH relativeFrom="column">
              <wp:posOffset>3149600</wp:posOffset>
            </wp:positionH>
            <wp:positionV relativeFrom="paragraph">
              <wp:posOffset>-93345</wp:posOffset>
            </wp:positionV>
            <wp:extent cx="8255" cy="102870"/>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75" w:name="page75"/>
      <w:bookmarkEnd w:id="75"/>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54176"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195" w:lineRule="exact"/>
        <w:rPr>
          <w:sz w:val="20"/>
          <w:szCs w:val="20"/>
        </w:rPr>
      </w:pPr>
    </w:p>
    <w:p w:rsidR="00A621E3" w:rsidRDefault="00EC630E">
      <w:pPr>
        <w:ind w:left="120"/>
        <w:rPr>
          <w:sz w:val="20"/>
          <w:szCs w:val="20"/>
        </w:rPr>
      </w:pPr>
      <w:r>
        <w:rPr>
          <w:rFonts w:ascii="Arial" w:eastAsia="Arial" w:hAnsi="Arial" w:cs="Arial"/>
          <w:b/>
          <w:bCs/>
          <w:color w:val="CF0A2C"/>
          <w:sz w:val="25"/>
          <w:szCs w:val="25"/>
        </w:rPr>
        <w:t>How</w:t>
      </w:r>
      <w:r>
        <w:rPr>
          <w:rFonts w:ascii="Arial" w:eastAsia="Arial" w:hAnsi="Arial" w:cs="Arial"/>
          <w:b/>
          <w:bCs/>
          <w:color w:val="CF0A2C"/>
          <w:sz w:val="25"/>
          <w:szCs w:val="25"/>
        </w:rPr>
        <w:t xml:space="preserve"> Compensation Decisions Are Made</w:t>
      </w:r>
    </w:p>
    <w:p w:rsidR="00A621E3" w:rsidRDefault="00A621E3">
      <w:pPr>
        <w:spacing w:line="374" w:lineRule="exact"/>
        <w:rPr>
          <w:sz w:val="20"/>
          <w:szCs w:val="20"/>
        </w:rPr>
      </w:pPr>
    </w:p>
    <w:p w:rsidR="00A621E3" w:rsidRDefault="00EC630E">
      <w:pPr>
        <w:ind w:left="120"/>
        <w:rPr>
          <w:sz w:val="20"/>
          <w:szCs w:val="20"/>
        </w:rPr>
      </w:pPr>
      <w:r>
        <w:rPr>
          <w:rFonts w:ascii="Arial" w:eastAsia="Arial" w:hAnsi="Arial" w:cs="Arial"/>
          <w:b/>
          <w:bCs/>
          <w:i/>
          <w:iCs/>
          <w:color w:val="CF0A2C"/>
          <w:sz w:val="20"/>
          <w:szCs w:val="20"/>
        </w:rPr>
        <w:t>Executive Compensation Philosophy</w:t>
      </w:r>
    </w:p>
    <w:p w:rsidR="00A621E3" w:rsidRDefault="00A621E3">
      <w:pPr>
        <w:spacing w:line="256"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 xml:space="preserve">A unique feature of the Company is that while incorporated in Delaware and listed on the NYSE and Hong Kong Stock Exchange, substantially all of its operations are located in China. As a </w:t>
      </w:r>
      <w:r>
        <w:rPr>
          <w:rFonts w:ascii="Arial" w:eastAsia="Arial" w:hAnsi="Arial" w:cs="Arial"/>
          <w:sz w:val="20"/>
          <w:szCs w:val="20"/>
        </w:rPr>
        <w:t>result, knowledge of and expertise in both U.S. and China regulatory regimes and business practices are required for many of the Company’s executive officers.</w:t>
      </w:r>
    </w:p>
    <w:p w:rsidR="00A621E3" w:rsidRDefault="00A621E3">
      <w:pPr>
        <w:spacing w:line="236" w:lineRule="exact"/>
        <w:rPr>
          <w:sz w:val="20"/>
          <w:szCs w:val="20"/>
        </w:rPr>
      </w:pPr>
    </w:p>
    <w:p w:rsidR="00A621E3" w:rsidRDefault="00EC630E">
      <w:pPr>
        <w:spacing w:line="273" w:lineRule="auto"/>
        <w:ind w:left="120"/>
        <w:jc w:val="both"/>
        <w:rPr>
          <w:sz w:val="20"/>
          <w:szCs w:val="20"/>
        </w:rPr>
      </w:pPr>
      <w:r>
        <w:rPr>
          <w:rFonts w:ascii="Arial" w:eastAsia="Arial" w:hAnsi="Arial" w:cs="Arial"/>
          <w:sz w:val="18"/>
          <w:szCs w:val="18"/>
        </w:rPr>
        <w:t>The Compensation Committee annually reviews the company’s executive compensation program to eval</w:t>
      </w:r>
      <w:r>
        <w:rPr>
          <w:rFonts w:ascii="Arial" w:eastAsia="Arial" w:hAnsi="Arial" w:cs="Arial"/>
          <w:sz w:val="18"/>
          <w:szCs w:val="18"/>
        </w:rPr>
        <w:t>uate whether the program continues to support the attraction and retention of highly-qualified executives necessary to achieve superior stockholder results and support the long-term sustainable growth of the Company while simultaneously holding them accoun</w:t>
      </w:r>
      <w:r>
        <w:rPr>
          <w:rFonts w:ascii="Arial" w:eastAsia="Arial" w:hAnsi="Arial" w:cs="Arial"/>
          <w:sz w:val="18"/>
          <w:szCs w:val="18"/>
        </w:rPr>
        <w:t>table to continuously achieve results based on our high standards of ethical behavior and corporate governance.</w:t>
      </w:r>
    </w:p>
    <w:p w:rsidR="00A621E3" w:rsidRDefault="00A621E3">
      <w:pPr>
        <w:spacing w:line="195" w:lineRule="exact"/>
        <w:rPr>
          <w:sz w:val="20"/>
          <w:szCs w:val="20"/>
        </w:rPr>
      </w:pPr>
    </w:p>
    <w:p w:rsidR="00A621E3" w:rsidRDefault="00EC630E">
      <w:pPr>
        <w:ind w:left="120"/>
        <w:rPr>
          <w:sz w:val="20"/>
          <w:szCs w:val="20"/>
        </w:rPr>
      </w:pPr>
      <w:r>
        <w:rPr>
          <w:rFonts w:ascii="Arial" w:eastAsia="Arial" w:hAnsi="Arial" w:cs="Arial"/>
          <w:b/>
          <w:bCs/>
          <w:i/>
          <w:iCs/>
          <w:color w:val="CF0A2C"/>
          <w:sz w:val="20"/>
          <w:szCs w:val="20"/>
        </w:rPr>
        <w:t>Role of the Compensation Committee</w:t>
      </w:r>
    </w:p>
    <w:p w:rsidR="00A621E3" w:rsidRDefault="00A621E3">
      <w:pPr>
        <w:spacing w:line="256" w:lineRule="exact"/>
        <w:rPr>
          <w:sz w:val="20"/>
          <w:szCs w:val="20"/>
        </w:rPr>
      </w:pPr>
    </w:p>
    <w:p w:rsidR="00A621E3" w:rsidRDefault="00EC630E">
      <w:pPr>
        <w:spacing w:line="268" w:lineRule="auto"/>
        <w:ind w:left="120"/>
        <w:jc w:val="both"/>
        <w:rPr>
          <w:sz w:val="20"/>
          <w:szCs w:val="20"/>
        </w:rPr>
      </w:pPr>
      <w:r>
        <w:rPr>
          <w:rFonts w:ascii="Arial" w:eastAsia="Arial" w:hAnsi="Arial" w:cs="Arial"/>
          <w:sz w:val="18"/>
          <w:szCs w:val="18"/>
        </w:rPr>
        <w:t>The Compensation Committee reviews and approves goals and objectives relevant to the compensation of the CE</w:t>
      </w:r>
      <w:r>
        <w:rPr>
          <w:rFonts w:ascii="Arial" w:eastAsia="Arial" w:hAnsi="Arial" w:cs="Arial"/>
          <w:sz w:val="18"/>
          <w:szCs w:val="18"/>
        </w:rPr>
        <w:t>O and other executive officers, sets the compensation levels of each of the executive officers, and together with the other independent directors of the Board, approves the compensation of the CEO. The Compensation Committee’s responsibilities under its ch</w:t>
      </w:r>
      <w:r>
        <w:rPr>
          <w:rFonts w:ascii="Arial" w:eastAsia="Arial" w:hAnsi="Arial" w:cs="Arial"/>
          <w:sz w:val="18"/>
          <w:szCs w:val="18"/>
        </w:rPr>
        <w:t>arter are further described in the “Governance of the Company” section of this Proxy Statement. While not members of the Compensation Committee, the CEO, the CFO, the Chief People Officer, and the Chief Legal Officer, when necessary, also attended meetings</w:t>
      </w:r>
      <w:r>
        <w:rPr>
          <w:rFonts w:ascii="Arial" w:eastAsia="Arial" w:hAnsi="Arial" w:cs="Arial"/>
          <w:sz w:val="18"/>
          <w:szCs w:val="18"/>
        </w:rPr>
        <w:t xml:space="preserve"> of the Compensation Committee in 2022 to contribute to and understand the Compensation Committee’s oversight of, and decisions relating to, executive compensation. The CEO, the CFO, the Chief People Officer, and the Chief Legal Officer did not attend port</w:t>
      </w:r>
      <w:r>
        <w:rPr>
          <w:rFonts w:ascii="Arial" w:eastAsia="Arial" w:hAnsi="Arial" w:cs="Arial"/>
          <w:sz w:val="18"/>
          <w:szCs w:val="18"/>
        </w:rPr>
        <w:t xml:space="preserve">ions of the meetings relating to their own compensation. The Compensation Committee regularly conducts executive sessions without management present. The Compensation Committee also engages in an ongoing dialogue with its compensation consultant, the CEO, </w:t>
      </w:r>
      <w:r>
        <w:rPr>
          <w:rFonts w:ascii="Arial" w:eastAsia="Arial" w:hAnsi="Arial" w:cs="Arial"/>
          <w:sz w:val="18"/>
          <w:szCs w:val="18"/>
        </w:rPr>
        <w:t>and the Chief People Officer for the evaluation and establishment of the elements of our executive compensation program.</w:t>
      </w:r>
    </w:p>
    <w:p w:rsidR="00A621E3" w:rsidRDefault="00A621E3">
      <w:pPr>
        <w:spacing w:line="270" w:lineRule="exact"/>
        <w:rPr>
          <w:sz w:val="20"/>
          <w:szCs w:val="20"/>
        </w:rPr>
      </w:pPr>
    </w:p>
    <w:p w:rsidR="00A621E3" w:rsidRDefault="00EC630E">
      <w:pPr>
        <w:numPr>
          <w:ilvl w:val="0"/>
          <w:numId w:val="96"/>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95520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4" w:lineRule="exact"/>
        <w:rPr>
          <w:sz w:val="20"/>
          <w:szCs w:val="20"/>
        </w:rPr>
      </w:pPr>
    </w:p>
    <w:p w:rsidR="00A621E3" w:rsidRDefault="00EC630E">
      <w:pPr>
        <w:ind w:left="6"/>
        <w:rPr>
          <w:sz w:val="20"/>
          <w:szCs w:val="20"/>
        </w:rPr>
      </w:pPr>
      <w:r>
        <w:rPr>
          <w:rFonts w:ascii="Arial" w:eastAsia="Arial" w:hAnsi="Arial" w:cs="Arial"/>
          <w:b/>
          <w:bCs/>
          <w:i/>
          <w:iCs/>
          <w:color w:val="CF0A2C"/>
          <w:sz w:val="20"/>
          <w:szCs w:val="20"/>
        </w:rPr>
        <w:t>Role of the Independent Consultant</w:t>
      </w:r>
    </w:p>
    <w:p w:rsidR="00A621E3" w:rsidRDefault="00EC630E">
      <w:pPr>
        <w:spacing w:line="20" w:lineRule="exact"/>
        <w:rPr>
          <w:sz w:val="20"/>
          <w:szCs w:val="20"/>
        </w:rPr>
      </w:pPr>
      <w:r>
        <w:rPr>
          <w:noProof/>
          <w:sz w:val="20"/>
          <w:szCs w:val="20"/>
        </w:rPr>
        <w:drawing>
          <wp:anchor distT="0" distB="0" distL="114300" distR="114300" simplePos="0" relativeHeight="251956224" behindDoc="1" locked="0" layoutInCell="0" allowOverlap="1">
            <wp:simplePos x="0" y="0"/>
            <wp:positionH relativeFrom="column">
              <wp:posOffset>-3648075</wp:posOffset>
            </wp:positionH>
            <wp:positionV relativeFrom="paragraph">
              <wp:posOffset>-1403350</wp:posOffset>
            </wp:positionV>
            <wp:extent cx="7174865" cy="55245"/>
            <wp:effectExtent l="0" t="0" r="0" b="0"/>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p>
    <w:p w:rsidR="00A621E3" w:rsidRDefault="00A621E3">
      <w:pPr>
        <w:spacing w:line="236" w:lineRule="exact"/>
        <w:rPr>
          <w:sz w:val="20"/>
          <w:szCs w:val="20"/>
        </w:rPr>
      </w:pPr>
    </w:p>
    <w:p w:rsidR="00A621E3" w:rsidRDefault="00EC630E">
      <w:pPr>
        <w:spacing w:line="301" w:lineRule="auto"/>
        <w:ind w:left="6"/>
        <w:jc w:val="both"/>
        <w:rPr>
          <w:sz w:val="20"/>
          <w:szCs w:val="20"/>
        </w:rPr>
      </w:pPr>
      <w:r>
        <w:rPr>
          <w:rFonts w:ascii="Arial" w:eastAsia="Arial" w:hAnsi="Arial" w:cs="Arial"/>
          <w:sz w:val="16"/>
          <w:szCs w:val="16"/>
        </w:rPr>
        <w:t xml:space="preserve">During 2022, the Compensation Committee retained </w:t>
      </w:r>
      <w:r>
        <w:rPr>
          <w:rFonts w:ascii="Arial" w:eastAsia="Arial" w:hAnsi="Arial" w:cs="Arial"/>
          <w:sz w:val="16"/>
          <w:szCs w:val="16"/>
        </w:rPr>
        <w:t>Mercer (Hong Kong) Limited (“</w:t>
      </w:r>
      <w:r>
        <w:rPr>
          <w:rFonts w:ascii="Arial" w:eastAsia="Arial" w:hAnsi="Arial" w:cs="Arial"/>
          <w:b/>
          <w:bCs/>
          <w:i/>
          <w:iCs/>
          <w:sz w:val="16"/>
          <w:szCs w:val="16"/>
        </w:rPr>
        <w:t>Mercer</w:t>
      </w:r>
      <w:r>
        <w:rPr>
          <w:rFonts w:ascii="Arial" w:eastAsia="Arial" w:hAnsi="Arial" w:cs="Arial"/>
          <w:sz w:val="16"/>
          <w:szCs w:val="16"/>
        </w:rPr>
        <w:t>”) as its independent consultant to advise it on executive compensation matters. Mercer attended Compensation Committee meetings in 2022 and provided advice and guidance to the Compensation Committee on (i) the market com</w:t>
      </w:r>
      <w:r>
        <w:rPr>
          <w:rFonts w:ascii="Arial" w:eastAsia="Arial" w:hAnsi="Arial" w:cs="Arial"/>
          <w:sz w:val="16"/>
          <w:szCs w:val="16"/>
        </w:rPr>
        <w:t>petitiveness of the Company’s executive pay practices and levels; (ii) the Company’s 2022 annual and long-term incentive awards, including the 2022 Lavazza ESOP Grants, as well as the modification of the 2020 Annual PSUs; (iii) the 2023 compensation peer g</w:t>
      </w:r>
      <w:r>
        <w:rPr>
          <w:rFonts w:ascii="Arial" w:eastAsia="Arial" w:hAnsi="Arial" w:cs="Arial"/>
          <w:sz w:val="16"/>
          <w:szCs w:val="16"/>
        </w:rPr>
        <w:t>roup; (iv) the results of equity compensation analytics and award valuations;</w:t>
      </w:r>
    </w:p>
    <w:p w:rsidR="00A621E3" w:rsidRDefault="00A621E3">
      <w:pPr>
        <w:spacing w:line="4" w:lineRule="exact"/>
        <w:rPr>
          <w:sz w:val="20"/>
          <w:szCs w:val="20"/>
        </w:rPr>
      </w:pPr>
    </w:p>
    <w:p w:rsidR="00A621E3" w:rsidRDefault="00EC630E">
      <w:pPr>
        <w:numPr>
          <w:ilvl w:val="0"/>
          <w:numId w:val="97"/>
        </w:numPr>
        <w:tabs>
          <w:tab w:val="left" w:pos="327"/>
        </w:tabs>
        <w:spacing w:line="266" w:lineRule="auto"/>
        <w:ind w:left="6" w:right="20" w:hanging="6"/>
        <w:jc w:val="both"/>
        <w:rPr>
          <w:rFonts w:ascii="Arial" w:eastAsia="Arial" w:hAnsi="Arial" w:cs="Arial"/>
          <w:sz w:val="18"/>
          <w:szCs w:val="18"/>
        </w:rPr>
      </w:pPr>
      <w:r>
        <w:rPr>
          <w:rFonts w:ascii="Arial" w:eastAsia="Arial" w:hAnsi="Arial" w:cs="Arial"/>
          <w:sz w:val="18"/>
          <w:szCs w:val="18"/>
        </w:rPr>
        <w:t>the 2022 LTIP adopted upon the dual primary listing of the Company’s common stock on the Hong Kong Stock Exchange; and</w:t>
      </w:r>
    </w:p>
    <w:p w:rsidR="00A621E3" w:rsidRDefault="00EC630E">
      <w:pPr>
        <w:numPr>
          <w:ilvl w:val="0"/>
          <w:numId w:val="97"/>
        </w:numPr>
        <w:tabs>
          <w:tab w:val="left" w:pos="375"/>
        </w:tabs>
        <w:spacing w:line="253" w:lineRule="auto"/>
        <w:ind w:left="6" w:hanging="6"/>
        <w:jc w:val="both"/>
        <w:rPr>
          <w:rFonts w:ascii="Arial" w:eastAsia="Arial" w:hAnsi="Arial" w:cs="Arial"/>
          <w:sz w:val="19"/>
          <w:szCs w:val="19"/>
        </w:rPr>
      </w:pPr>
      <w:r>
        <w:rPr>
          <w:rFonts w:ascii="Arial" w:eastAsia="Arial" w:hAnsi="Arial" w:cs="Arial"/>
          <w:sz w:val="19"/>
          <w:szCs w:val="19"/>
        </w:rPr>
        <w:t xml:space="preserve">compensation disclosures, including this CD&amp;A and the pay </w:t>
      </w:r>
      <w:r>
        <w:rPr>
          <w:rFonts w:ascii="Arial" w:eastAsia="Arial" w:hAnsi="Arial" w:cs="Arial"/>
          <w:sz w:val="19"/>
          <w:szCs w:val="19"/>
        </w:rPr>
        <w:t>versus performance disclosure. The Compensation Committee has assessed the independence of Mercer pursuant to NYSE rules and conflicts of interest specifically enumerated by the SEC’s six factors, and the Company has concluded that Mercer’s work for the Co</w:t>
      </w:r>
      <w:r>
        <w:rPr>
          <w:rFonts w:ascii="Arial" w:eastAsia="Arial" w:hAnsi="Arial" w:cs="Arial"/>
          <w:sz w:val="19"/>
          <w:szCs w:val="19"/>
        </w:rPr>
        <w:t>mpensation Committee does not raise any conflicts of interest. The Compensation Committee annually reviews its relationship with Mercer and determines whether to renew the engagement. Only the Compensation Committee has the right to approve the services to</w:t>
      </w:r>
      <w:r>
        <w:rPr>
          <w:rFonts w:ascii="Arial" w:eastAsia="Arial" w:hAnsi="Arial" w:cs="Arial"/>
          <w:sz w:val="19"/>
          <w:szCs w:val="19"/>
        </w:rPr>
        <w:t xml:space="preserve"> be provided by, or to terminate the services of, its compensation consultant.</w:t>
      </w:r>
    </w:p>
    <w:p w:rsidR="00A621E3" w:rsidRDefault="00A621E3">
      <w:pPr>
        <w:spacing w:line="231" w:lineRule="exact"/>
        <w:rPr>
          <w:sz w:val="20"/>
          <w:szCs w:val="20"/>
        </w:rPr>
      </w:pPr>
    </w:p>
    <w:p w:rsidR="00A621E3" w:rsidRDefault="00EC630E">
      <w:pPr>
        <w:ind w:left="6"/>
        <w:rPr>
          <w:sz w:val="20"/>
          <w:szCs w:val="20"/>
        </w:rPr>
      </w:pPr>
      <w:r>
        <w:rPr>
          <w:rFonts w:ascii="Arial" w:eastAsia="Arial" w:hAnsi="Arial" w:cs="Arial"/>
          <w:b/>
          <w:bCs/>
          <w:i/>
          <w:iCs/>
          <w:color w:val="CF0A2C"/>
          <w:sz w:val="20"/>
          <w:szCs w:val="20"/>
        </w:rPr>
        <w:t>Executive Compensation Peer Group</w:t>
      </w:r>
    </w:p>
    <w:p w:rsidR="00A621E3" w:rsidRDefault="00A621E3">
      <w:pPr>
        <w:spacing w:line="243" w:lineRule="exact"/>
        <w:rPr>
          <w:sz w:val="20"/>
          <w:szCs w:val="20"/>
        </w:rPr>
      </w:pPr>
    </w:p>
    <w:p w:rsidR="00A621E3" w:rsidRDefault="00EC630E">
      <w:pPr>
        <w:spacing w:line="243" w:lineRule="auto"/>
        <w:ind w:left="6" w:right="20"/>
        <w:jc w:val="both"/>
        <w:rPr>
          <w:sz w:val="20"/>
          <w:szCs w:val="20"/>
        </w:rPr>
      </w:pPr>
      <w:r>
        <w:rPr>
          <w:rFonts w:ascii="Arial" w:eastAsia="Arial" w:hAnsi="Arial" w:cs="Arial"/>
          <w:sz w:val="20"/>
          <w:szCs w:val="20"/>
        </w:rPr>
        <w:t>One of the key objectives of our executive compensation program is to retain and reward the right talent by providing reasonable and competit</w:t>
      </w:r>
      <w:r>
        <w:rPr>
          <w:rFonts w:ascii="Arial" w:eastAsia="Arial" w:hAnsi="Arial" w:cs="Arial"/>
          <w:sz w:val="20"/>
          <w:szCs w:val="20"/>
        </w:rPr>
        <w:t>ive compensation. One method that the Compensation Committee utilizes to attain this objective is by establishing a group of peer companies for comparison of executive compensation practices.</w:t>
      </w:r>
    </w:p>
    <w:p w:rsidR="00A621E3" w:rsidRDefault="00A621E3">
      <w:pPr>
        <w:spacing w:line="236" w:lineRule="exact"/>
        <w:rPr>
          <w:sz w:val="20"/>
          <w:szCs w:val="20"/>
        </w:rPr>
      </w:pPr>
    </w:p>
    <w:p w:rsidR="00A621E3" w:rsidRDefault="00EC630E">
      <w:pPr>
        <w:spacing w:line="244" w:lineRule="auto"/>
        <w:ind w:left="6"/>
        <w:jc w:val="both"/>
        <w:rPr>
          <w:sz w:val="20"/>
          <w:szCs w:val="20"/>
        </w:rPr>
      </w:pPr>
      <w:r>
        <w:rPr>
          <w:rFonts w:ascii="Arial" w:eastAsia="Arial" w:hAnsi="Arial" w:cs="Arial"/>
          <w:sz w:val="20"/>
          <w:szCs w:val="20"/>
        </w:rPr>
        <w:t xml:space="preserve">The peer group approved by the Compensation Committee based on </w:t>
      </w:r>
      <w:r>
        <w:rPr>
          <w:rFonts w:ascii="Arial" w:eastAsia="Arial" w:hAnsi="Arial" w:cs="Arial"/>
          <w:sz w:val="20"/>
          <w:szCs w:val="20"/>
        </w:rPr>
        <w:t>the recommendations of Mercer consisted of companies in the restaurant, food and consumer services industries in the United States, Greater China and Europe, as these represent the sectors with which the Company</w:t>
      </w:r>
    </w:p>
    <w:p w:rsidR="00A621E3" w:rsidRDefault="00A621E3">
      <w:pPr>
        <w:sectPr w:rsidR="00A621E3">
          <w:pgSz w:w="11900" w:h="16838"/>
          <w:pgMar w:top="486" w:right="439" w:bottom="1440" w:left="320" w:header="0" w:footer="0" w:gutter="0"/>
          <w:cols w:num="2" w:space="720" w:equalWidth="0">
            <w:col w:w="5400" w:space="334"/>
            <w:col w:w="5406"/>
          </w:cols>
        </w:sectPr>
      </w:pPr>
    </w:p>
    <w:p w:rsidR="00A621E3" w:rsidRDefault="00EC630E">
      <w:pPr>
        <w:rPr>
          <w:sz w:val="20"/>
          <w:szCs w:val="20"/>
        </w:rPr>
      </w:pPr>
      <w:bookmarkStart w:id="76" w:name="page76"/>
      <w:bookmarkEnd w:id="76"/>
      <w:r>
        <w:rPr>
          <w:rFonts w:ascii="Arial" w:eastAsia="Arial" w:hAnsi="Arial" w:cs="Arial"/>
          <w:b/>
          <w:bCs/>
          <w:color w:val="0000EE"/>
          <w:sz w:val="18"/>
          <w:szCs w:val="18"/>
          <w:u w:val="single"/>
        </w:rPr>
        <w:t>Table of Contents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3" w:lineRule="exact"/>
        <w:rPr>
          <w:sz w:val="20"/>
          <w:szCs w:val="20"/>
        </w:rPr>
      </w:pPr>
    </w:p>
    <w:p w:rsidR="00A621E3" w:rsidRDefault="00EC630E">
      <w:pPr>
        <w:spacing w:line="276" w:lineRule="auto"/>
        <w:ind w:left="120"/>
        <w:jc w:val="both"/>
        <w:rPr>
          <w:sz w:val="20"/>
          <w:szCs w:val="20"/>
        </w:rPr>
      </w:pPr>
      <w:r>
        <w:rPr>
          <w:rFonts w:ascii="Arial" w:eastAsia="Arial" w:hAnsi="Arial" w:cs="Arial"/>
          <w:sz w:val="18"/>
          <w:szCs w:val="18"/>
        </w:rPr>
        <w:t>competes for executive talent. In addition, Mercer suggested that, for purposes of benchmarking compensation levels for NEOs other than the CEO, the peer group data be supplemented with compensation survey data to provide a broader perspective on mark</w:t>
      </w:r>
      <w:r>
        <w:rPr>
          <w:rFonts w:ascii="Arial" w:eastAsia="Arial" w:hAnsi="Arial" w:cs="Arial"/>
          <w:sz w:val="18"/>
          <w:szCs w:val="18"/>
        </w:rPr>
        <w:t>et practices. References in this CD&amp;A to market data refer to the peer group or survey data, as appropriate.</w:t>
      </w:r>
    </w:p>
    <w:p w:rsidR="00A621E3" w:rsidRDefault="00A621E3">
      <w:pPr>
        <w:spacing w:line="205"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After considering the advice of Mercer, the Compensation Committee approved a revised peer group in September 2021 for evaluating 2022 compensatio</w:t>
      </w:r>
      <w:r>
        <w:rPr>
          <w:rFonts w:ascii="Arial" w:eastAsia="Arial" w:hAnsi="Arial" w:cs="Arial"/>
          <w:sz w:val="20"/>
          <w:szCs w:val="20"/>
        </w:rPr>
        <w:t>n decisions for the NEOs, which consisted of the companies below. The Compensation Committee removed four (4) companies and added three (3) companies for reasons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4" w:lineRule="exact"/>
        <w:rPr>
          <w:sz w:val="20"/>
          <w:szCs w:val="20"/>
        </w:rPr>
      </w:pPr>
    </w:p>
    <w:p w:rsidR="00A621E3" w:rsidRDefault="00EC630E">
      <w:pPr>
        <w:ind w:left="2940"/>
        <w:rPr>
          <w:sz w:val="20"/>
          <w:szCs w:val="20"/>
        </w:rPr>
      </w:pPr>
      <w:r>
        <w:rPr>
          <w:rFonts w:ascii="Arial" w:eastAsia="Arial" w:hAnsi="Arial" w:cs="Arial"/>
          <w:b/>
          <w:bCs/>
          <w:color w:val="FFFFFF"/>
          <w:sz w:val="16"/>
          <w:szCs w:val="16"/>
        </w:rPr>
        <w:t>EXECUTIVE COMPENSATION</w:t>
      </w:r>
    </w:p>
    <w:p w:rsidR="00A621E3" w:rsidRDefault="00EC630E">
      <w:pPr>
        <w:spacing w:line="20" w:lineRule="exact"/>
        <w:rPr>
          <w:sz w:val="20"/>
          <w:szCs w:val="20"/>
        </w:rPr>
      </w:pPr>
      <w:r>
        <w:rPr>
          <w:noProof/>
          <w:sz w:val="20"/>
          <w:szCs w:val="20"/>
        </w:rPr>
        <w:drawing>
          <wp:anchor distT="0" distB="0" distL="114300" distR="114300" simplePos="0" relativeHeight="251957248" behindDoc="1" locked="0" layoutInCell="0" allowOverlap="1">
            <wp:simplePos x="0" y="0"/>
            <wp:positionH relativeFrom="column">
              <wp:posOffset>-3651885</wp:posOffset>
            </wp:positionH>
            <wp:positionV relativeFrom="paragraph">
              <wp:posOffset>-713105</wp:posOffset>
            </wp:positionV>
            <wp:extent cx="7174865" cy="55245"/>
            <wp:effectExtent l="0" t="0" r="0" b="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noProof/>
          <w:sz w:val="20"/>
          <w:szCs w:val="20"/>
        </w:rPr>
        <w:drawing>
          <wp:anchor distT="0" distB="0" distL="114300" distR="114300" simplePos="0" relativeHeight="251958272" behindDoc="1" locked="0" layoutInCell="0" allowOverlap="1">
            <wp:simplePos x="0" y="0"/>
            <wp:positionH relativeFrom="column">
              <wp:posOffset>1717675</wp:posOffset>
            </wp:positionH>
            <wp:positionV relativeFrom="paragraph">
              <wp:posOffset>-156210</wp:posOffset>
            </wp:positionV>
            <wp:extent cx="1705610" cy="205740"/>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243" w:lineRule="exact"/>
        <w:rPr>
          <w:sz w:val="20"/>
          <w:szCs w:val="20"/>
        </w:rPr>
      </w:pPr>
    </w:p>
    <w:p w:rsidR="00A621E3" w:rsidRDefault="00EC630E">
      <w:pPr>
        <w:spacing w:line="255" w:lineRule="auto"/>
        <w:jc w:val="both"/>
        <w:rPr>
          <w:sz w:val="20"/>
          <w:szCs w:val="20"/>
        </w:rPr>
      </w:pPr>
      <w:r>
        <w:rPr>
          <w:rFonts w:ascii="Arial" w:eastAsia="Arial" w:hAnsi="Arial" w:cs="Arial"/>
          <w:sz w:val="19"/>
          <w:szCs w:val="19"/>
        </w:rPr>
        <w:t>of industry appropriateness and disclosed data availability. Th</w:t>
      </w:r>
      <w:r>
        <w:rPr>
          <w:rFonts w:ascii="Arial" w:eastAsia="Arial" w:hAnsi="Arial" w:cs="Arial"/>
          <w:sz w:val="19"/>
          <w:szCs w:val="19"/>
        </w:rPr>
        <w:t>e Compensation Committee removed Beyond Meat, Inc., eBay Inc., WH Group Limited and Want Want China Holdings Limited, and added DoorDash, Inc., General Mills, Inc. and Chow Tai Fook Jewellery Group Limited. These changes were made in order to further align</w:t>
      </w:r>
      <w:r>
        <w:rPr>
          <w:rFonts w:ascii="Arial" w:eastAsia="Arial" w:hAnsi="Arial" w:cs="Arial"/>
          <w:sz w:val="19"/>
          <w:szCs w:val="19"/>
        </w:rPr>
        <w:t xml:space="preserve"> the peer group with the Company’s size and operations. The Founder CEOs at DoorDash Inc. and Haidilao International Holdings Ltd. were excluded from the competitive market review. Our peer group reflects a median market capitalization of $19.4 billion and</w:t>
      </w:r>
      <w:r>
        <w:rPr>
          <w:rFonts w:ascii="Arial" w:eastAsia="Arial" w:hAnsi="Arial" w:cs="Arial"/>
          <w:sz w:val="19"/>
          <w:szCs w:val="19"/>
        </w:rPr>
        <w:t xml:space="preserve"> median annual revenues of $10.6 billion, both as of June 30, 2022, and consists of 17 U.S. and nine non-U.S. companies.</w:t>
      </w:r>
    </w:p>
    <w:p w:rsidR="00A621E3" w:rsidRDefault="00A621E3">
      <w:pPr>
        <w:spacing w:line="444" w:lineRule="exact"/>
        <w:rPr>
          <w:sz w:val="20"/>
          <w:szCs w:val="20"/>
        </w:rPr>
      </w:pP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A621E3">
      <w:pPr>
        <w:spacing w:line="238" w:lineRule="exact"/>
        <w:rPr>
          <w:sz w:val="20"/>
          <w:szCs w:val="20"/>
        </w:rPr>
      </w:pPr>
    </w:p>
    <w:p w:rsidR="00A621E3" w:rsidRDefault="00EC630E">
      <w:pPr>
        <w:ind w:left="120"/>
        <w:rPr>
          <w:sz w:val="20"/>
          <w:szCs w:val="20"/>
        </w:rPr>
      </w:pPr>
      <w:r>
        <w:rPr>
          <w:rFonts w:ascii="Arial" w:eastAsia="Arial" w:hAnsi="Arial" w:cs="Arial"/>
          <w:b/>
          <w:bCs/>
          <w:color w:val="CF0A2C"/>
          <w:sz w:val="16"/>
          <w:szCs w:val="16"/>
        </w:rPr>
        <w:t>2022 Executive Compensation Peer Group</w:t>
      </w:r>
    </w:p>
    <w:p w:rsidR="00A621E3" w:rsidRDefault="00EC630E">
      <w:pPr>
        <w:spacing w:line="20" w:lineRule="exact"/>
        <w:rPr>
          <w:sz w:val="20"/>
          <w:szCs w:val="20"/>
        </w:rPr>
      </w:pPr>
      <w:r>
        <w:rPr>
          <w:noProof/>
          <w:sz w:val="20"/>
          <w:szCs w:val="20"/>
        </w:rPr>
        <w:drawing>
          <wp:anchor distT="0" distB="0" distL="114300" distR="114300" simplePos="0" relativeHeight="251959296" behindDoc="1" locked="0" layoutInCell="0" allowOverlap="1">
            <wp:simplePos x="0" y="0"/>
            <wp:positionH relativeFrom="column">
              <wp:posOffset>73660</wp:posOffset>
            </wp:positionH>
            <wp:positionV relativeFrom="paragraph">
              <wp:posOffset>-113030</wp:posOffset>
            </wp:positionV>
            <wp:extent cx="6995160" cy="137160"/>
            <wp:effectExtent l="0" t="0" r="0" b="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50">
                      <a:extLst/>
                    </a:blip>
                    <a:srcRect/>
                    <a:stretch>
                      <a:fillRect/>
                    </a:stretch>
                  </pic:blipFill>
                  <pic:spPr bwMode="auto">
                    <a:xfrm>
                      <a:off x="0" y="0"/>
                      <a:ext cx="6995160" cy="137160"/>
                    </a:xfrm>
                    <a:prstGeom prst="rect">
                      <a:avLst/>
                    </a:prstGeom>
                    <a:noFill/>
                  </pic:spPr>
                </pic:pic>
              </a:graphicData>
            </a:graphic>
          </wp:anchor>
        </w:drawing>
      </w:r>
    </w:p>
    <w:p w:rsidR="00A621E3" w:rsidRDefault="00A621E3">
      <w:pPr>
        <w:spacing w:line="237" w:lineRule="exact"/>
        <w:rPr>
          <w:sz w:val="20"/>
          <w:szCs w:val="20"/>
        </w:rPr>
      </w:pPr>
    </w:p>
    <w:p w:rsidR="00A621E3" w:rsidRDefault="00EC630E">
      <w:pPr>
        <w:ind w:right="-119"/>
        <w:jc w:val="center"/>
        <w:rPr>
          <w:sz w:val="20"/>
          <w:szCs w:val="20"/>
        </w:rPr>
      </w:pPr>
      <w:r>
        <w:rPr>
          <w:rFonts w:ascii="Arial" w:eastAsia="Arial" w:hAnsi="Arial" w:cs="Arial"/>
          <w:b/>
          <w:bCs/>
          <w:sz w:val="14"/>
          <w:szCs w:val="14"/>
        </w:rPr>
        <w:t>Previous Peer Group</w:t>
      </w:r>
    </w:p>
    <w:p w:rsidR="00A621E3" w:rsidRDefault="00EC630E">
      <w:pPr>
        <w:spacing w:line="20" w:lineRule="exact"/>
        <w:rPr>
          <w:sz w:val="20"/>
          <w:szCs w:val="20"/>
        </w:rPr>
      </w:pPr>
      <w:r>
        <w:rPr>
          <w:noProof/>
          <w:sz w:val="20"/>
          <w:szCs w:val="20"/>
        </w:rPr>
        <w:drawing>
          <wp:anchor distT="0" distB="0" distL="114300" distR="114300" simplePos="0" relativeHeight="251960320" behindDoc="1" locked="0" layoutInCell="0" allowOverlap="1">
            <wp:simplePos x="0" y="0"/>
            <wp:positionH relativeFrom="column">
              <wp:posOffset>725170</wp:posOffset>
            </wp:positionH>
            <wp:positionV relativeFrom="paragraph">
              <wp:posOffset>160655</wp:posOffset>
            </wp:positionV>
            <wp:extent cx="5701030" cy="1491615"/>
            <wp:effectExtent l="0" t="0" r="0" b="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51">
                      <a:extLst/>
                    </a:blip>
                    <a:srcRect/>
                    <a:stretch>
                      <a:fillRect/>
                    </a:stretch>
                  </pic:blipFill>
                  <pic:spPr bwMode="auto">
                    <a:xfrm>
                      <a:off x="0" y="0"/>
                      <a:ext cx="5701030" cy="149161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60" w:lineRule="exact"/>
        <w:rPr>
          <w:sz w:val="20"/>
          <w:szCs w:val="20"/>
        </w:rPr>
      </w:pPr>
    </w:p>
    <w:p w:rsidR="00A621E3" w:rsidRDefault="00EC630E">
      <w:pPr>
        <w:ind w:right="3940"/>
        <w:jc w:val="right"/>
        <w:rPr>
          <w:sz w:val="20"/>
          <w:szCs w:val="20"/>
        </w:rPr>
      </w:pPr>
      <w:r>
        <w:rPr>
          <w:rFonts w:ascii="Arial" w:eastAsia="Arial" w:hAnsi="Arial" w:cs="Arial"/>
          <w:b/>
          <w:bCs/>
          <w:sz w:val="14"/>
          <w:szCs w:val="14"/>
        </w:rPr>
        <w:t>New Peer Group for 2022</w:t>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344" w:lineRule="exact"/>
        <w:rPr>
          <w:sz w:val="20"/>
          <w:szCs w:val="20"/>
        </w:rPr>
      </w:pPr>
    </w:p>
    <w:p w:rsidR="00A621E3" w:rsidRDefault="00EC630E">
      <w:pPr>
        <w:spacing w:line="261" w:lineRule="auto"/>
        <w:ind w:left="120"/>
        <w:jc w:val="both"/>
        <w:rPr>
          <w:sz w:val="20"/>
          <w:szCs w:val="20"/>
        </w:rPr>
      </w:pPr>
      <w:r>
        <w:rPr>
          <w:rFonts w:ascii="Arial" w:eastAsia="Arial" w:hAnsi="Arial" w:cs="Arial"/>
          <w:sz w:val="18"/>
          <w:szCs w:val="18"/>
        </w:rPr>
        <w:t>Data from our 2022 peer group was supplemented by data from companies included in three executive compensation surveys conducted by Mercer in China, Hong Kong, and the U.S., size-adjusted to reflect the Company’s revenue. During 202</w:t>
      </w:r>
      <w:r>
        <w:rPr>
          <w:rFonts w:ascii="Arial" w:eastAsia="Arial" w:hAnsi="Arial" w:cs="Arial"/>
          <w:sz w:val="18"/>
          <w:szCs w:val="18"/>
        </w:rPr>
        <w:t>2, the Compensation Committee reviewed a report summarizing compensation levels at the 25</w:t>
      </w:r>
      <w:r>
        <w:rPr>
          <w:rFonts w:ascii="Arial" w:eastAsia="Arial" w:hAnsi="Arial" w:cs="Arial"/>
          <w:sz w:val="26"/>
          <w:szCs w:val="26"/>
          <w:vertAlign w:val="superscript"/>
        </w:rPr>
        <w:t>th</w:t>
      </w:r>
      <w:r>
        <w:rPr>
          <w:rFonts w:ascii="Arial" w:eastAsia="Arial" w:hAnsi="Arial" w:cs="Arial"/>
          <w:sz w:val="18"/>
          <w:szCs w:val="18"/>
        </w:rPr>
        <w:t>, 50</w:t>
      </w:r>
      <w:r>
        <w:rPr>
          <w:rFonts w:ascii="Arial" w:eastAsia="Arial" w:hAnsi="Arial" w:cs="Arial"/>
          <w:sz w:val="26"/>
          <w:szCs w:val="26"/>
          <w:vertAlign w:val="superscript"/>
        </w:rPr>
        <w:t>th</w:t>
      </w:r>
      <w:r>
        <w:rPr>
          <w:rFonts w:ascii="Arial" w:eastAsia="Arial" w:hAnsi="Arial" w:cs="Arial"/>
          <w:sz w:val="18"/>
          <w:szCs w:val="18"/>
        </w:rPr>
        <w:t xml:space="preserve"> and 75</w:t>
      </w:r>
      <w:r>
        <w:rPr>
          <w:rFonts w:ascii="Arial" w:eastAsia="Arial" w:hAnsi="Arial" w:cs="Arial"/>
          <w:sz w:val="26"/>
          <w:szCs w:val="26"/>
          <w:vertAlign w:val="superscript"/>
        </w:rPr>
        <w:t>th</w:t>
      </w:r>
      <w:r>
        <w:rPr>
          <w:rFonts w:ascii="Arial" w:eastAsia="Arial" w:hAnsi="Arial" w:cs="Arial"/>
          <w:sz w:val="18"/>
          <w:szCs w:val="18"/>
        </w:rPr>
        <w:t xml:space="preserve"> percentiles of the peer group and, as applicable, of the survey data for positions comparable to our NEOs. The report compared target and actual total cash compensation (base salary and annual incentives) and total direct compensation (base salary plus an</w:t>
      </w:r>
      <w:r>
        <w:rPr>
          <w:rFonts w:ascii="Arial" w:eastAsia="Arial" w:hAnsi="Arial" w:cs="Arial"/>
          <w:sz w:val="18"/>
          <w:szCs w:val="18"/>
        </w:rPr>
        <w:t xml:space="preserve">nual incentives plus long-term incentives) for each of the NEOs against these benchmarks. The Compensation Committee also reviewed detailed tally sheets that captured comprehensive compensation, benefits and stock ownership details, and comparisons of the </w:t>
      </w:r>
      <w:r>
        <w:rPr>
          <w:rFonts w:ascii="Arial" w:eastAsia="Arial" w:hAnsi="Arial" w:cs="Arial"/>
          <w:sz w:val="18"/>
          <w:szCs w:val="18"/>
        </w:rPr>
        <w:t>CEO’s realized</w:t>
      </w:r>
    </w:p>
    <w:p w:rsidR="00A621E3" w:rsidRDefault="00EC630E">
      <w:pPr>
        <w:spacing w:line="20" w:lineRule="exact"/>
        <w:rPr>
          <w:sz w:val="20"/>
          <w:szCs w:val="20"/>
        </w:rPr>
      </w:pPr>
      <w:r>
        <w:rPr>
          <w:sz w:val="20"/>
          <w:szCs w:val="20"/>
        </w:rPr>
        <w:br w:type="column"/>
      </w:r>
    </w:p>
    <w:p w:rsidR="00A621E3" w:rsidRDefault="00A621E3">
      <w:pPr>
        <w:spacing w:line="324" w:lineRule="exact"/>
        <w:rPr>
          <w:sz w:val="20"/>
          <w:szCs w:val="20"/>
        </w:rPr>
      </w:pPr>
    </w:p>
    <w:p w:rsidR="00A621E3" w:rsidRDefault="00EC630E">
      <w:pPr>
        <w:spacing w:line="260" w:lineRule="auto"/>
        <w:ind w:right="20"/>
        <w:jc w:val="both"/>
        <w:rPr>
          <w:sz w:val="20"/>
          <w:szCs w:val="20"/>
        </w:rPr>
      </w:pPr>
      <w:r>
        <w:rPr>
          <w:rFonts w:ascii="Arial" w:eastAsia="Arial" w:hAnsi="Arial" w:cs="Arial"/>
          <w:sz w:val="20"/>
          <w:szCs w:val="20"/>
        </w:rPr>
        <w:t>total direct compensation and realizable equity vis-à-vis that of the peer group.</w:t>
      </w:r>
    </w:p>
    <w:p w:rsidR="00A621E3" w:rsidRDefault="00A621E3">
      <w:pPr>
        <w:spacing w:line="217" w:lineRule="exact"/>
        <w:rPr>
          <w:sz w:val="20"/>
          <w:szCs w:val="20"/>
        </w:rPr>
      </w:pPr>
    </w:p>
    <w:p w:rsidR="00A621E3" w:rsidRDefault="00EC630E">
      <w:pPr>
        <w:rPr>
          <w:sz w:val="20"/>
          <w:szCs w:val="20"/>
        </w:rPr>
      </w:pPr>
      <w:r>
        <w:rPr>
          <w:rFonts w:ascii="Arial" w:eastAsia="Arial" w:hAnsi="Arial" w:cs="Arial"/>
          <w:b/>
          <w:bCs/>
          <w:i/>
          <w:iCs/>
          <w:color w:val="CF0A2C"/>
          <w:sz w:val="20"/>
          <w:szCs w:val="20"/>
        </w:rPr>
        <w:t>Competitive Positioning and Setting Compensation</w:t>
      </w:r>
    </w:p>
    <w:p w:rsidR="00A621E3" w:rsidRDefault="00A621E3">
      <w:pPr>
        <w:spacing w:line="256" w:lineRule="exact"/>
        <w:rPr>
          <w:sz w:val="20"/>
          <w:szCs w:val="20"/>
        </w:rPr>
      </w:pPr>
    </w:p>
    <w:p w:rsidR="00A621E3" w:rsidRDefault="00EC630E">
      <w:pPr>
        <w:spacing w:line="272" w:lineRule="auto"/>
        <w:ind w:right="20"/>
        <w:jc w:val="both"/>
        <w:rPr>
          <w:sz w:val="20"/>
          <w:szCs w:val="20"/>
        </w:rPr>
      </w:pPr>
      <w:r>
        <w:rPr>
          <w:rFonts w:ascii="Arial" w:eastAsia="Arial" w:hAnsi="Arial" w:cs="Arial"/>
          <w:sz w:val="18"/>
          <w:szCs w:val="18"/>
        </w:rPr>
        <w:t>At the beginning of 2022, the Compensation Committee considered executive compensation peer group data as</w:t>
      </w:r>
      <w:r>
        <w:rPr>
          <w:rFonts w:ascii="Arial" w:eastAsia="Arial" w:hAnsi="Arial" w:cs="Arial"/>
          <w:sz w:val="18"/>
          <w:szCs w:val="18"/>
        </w:rPr>
        <w:t xml:space="preserve"> a frame of reference for establishing target compensation levels for base salary and annual and long-term incentive awards for each NEO. The Compensation Committee conducted an extensive review of market data and made the decision to position target total</w:t>
      </w:r>
      <w:r>
        <w:rPr>
          <w:rFonts w:ascii="Arial" w:eastAsia="Arial" w:hAnsi="Arial" w:cs="Arial"/>
          <w:sz w:val="18"/>
          <w:szCs w:val="18"/>
        </w:rPr>
        <w:t xml:space="preserve"> direct compensation close to the market median, with variation based on the marketability, performance and potential of each NEO and the criticality of the role on the organization.</w:t>
      </w:r>
    </w:p>
    <w:p w:rsidR="00A621E3" w:rsidRDefault="00A621E3">
      <w:pPr>
        <w:spacing w:line="363"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67"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71</w:t>
      </w:r>
    </w:p>
    <w:p w:rsidR="00A621E3" w:rsidRDefault="00EC630E">
      <w:pPr>
        <w:spacing w:line="20" w:lineRule="exact"/>
        <w:rPr>
          <w:sz w:val="20"/>
          <w:szCs w:val="20"/>
        </w:rPr>
      </w:pPr>
      <w:r>
        <w:rPr>
          <w:noProof/>
          <w:sz w:val="20"/>
          <w:szCs w:val="20"/>
        </w:rPr>
        <w:drawing>
          <wp:anchor distT="0" distB="0" distL="114300" distR="114300" simplePos="0" relativeHeight="251961344"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77" w:name="page77"/>
      <w:bookmarkEnd w:id="77"/>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62368"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195" w:lineRule="exact"/>
        <w:rPr>
          <w:sz w:val="20"/>
          <w:szCs w:val="20"/>
        </w:rPr>
      </w:pPr>
    </w:p>
    <w:p w:rsidR="00A621E3" w:rsidRDefault="00EC630E">
      <w:pPr>
        <w:ind w:left="120"/>
        <w:rPr>
          <w:sz w:val="20"/>
          <w:szCs w:val="20"/>
        </w:rPr>
      </w:pPr>
      <w:r>
        <w:rPr>
          <w:rFonts w:ascii="Arial" w:eastAsia="Arial" w:hAnsi="Arial" w:cs="Arial"/>
          <w:b/>
          <w:bCs/>
          <w:color w:val="CF0A2C"/>
          <w:sz w:val="25"/>
          <w:szCs w:val="25"/>
        </w:rPr>
        <w:t>Compensation Policies</w:t>
      </w:r>
    </w:p>
    <w:p w:rsidR="00A621E3" w:rsidRDefault="00A621E3">
      <w:pPr>
        <w:spacing w:line="374" w:lineRule="exact"/>
        <w:rPr>
          <w:sz w:val="20"/>
          <w:szCs w:val="20"/>
        </w:rPr>
      </w:pPr>
    </w:p>
    <w:p w:rsidR="00A621E3" w:rsidRDefault="00EC630E">
      <w:pPr>
        <w:ind w:left="120"/>
        <w:rPr>
          <w:sz w:val="20"/>
          <w:szCs w:val="20"/>
        </w:rPr>
      </w:pPr>
      <w:r>
        <w:rPr>
          <w:rFonts w:ascii="Arial" w:eastAsia="Arial" w:hAnsi="Arial" w:cs="Arial"/>
          <w:b/>
          <w:bCs/>
          <w:i/>
          <w:iCs/>
          <w:color w:val="CF0A2C"/>
          <w:sz w:val="20"/>
          <w:szCs w:val="20"/>
        </w:rPr>
        <w:t>Compensation Recovery Policy</w:t>
      </w:r>
    </w:p>
    <w:p w:rsidR="00A621E3" w:rsidRDefault="00A621E3">
      <w:pPr>
        <w:spacing w:line="256" w:lineRule="exact"/>
        <w:rPr>
          <w:sz w:val="20"/>
          <w:szCs w:val="20"/>
        </w:rPr>
      </w:pPr>
    </w:p>
    <w:p w:rsidR="00A621E3" w:rsidRDefault="00EC630E">
      <w:pPr>
        <w:spacing w:line="269" w:lineRule="auto"/>
        <w:ind w:left="120"/>
        <w:jc w:val="both"/>
        <w:rPr>
          <w:sz w:val="20"/>
          <w:szCs w:val="20"/>
        </w:rPr>
      </w:pPr>
      <w:r>
        <w:rPr>
          <w:rFonts w:ascii="Arial" w:eastAsia="Arial" w:hAnsi="Arial" w:cs="Arial"/>
          <w:sz w:val="18"/>
          <w:szCs w:val="18"/>
        </w:rPr>
        <w:t xml:space="preserve">Pursuant to the Company’s Compensation Recovery Policy, in the event of any restatement of the Company’s financial statements due to </w:t>
      </w:r>
      <w:r>
        <w:rPr>
          <w:rFonts w:ascii="Arial" w:eastAsia="Arial" w:hAnsi="Arial" w:cs="Arial"/>
          <w:sz w:val="18"/>
          <w:szCs w:val="18"/>
        </w:rPr>
        <w:t>material noncompliance with any financial reporting requirement under the securities laws, the Compensation Committee will recover or cancel any performance awards that were awarded to a current or former executive officer as a result of achieving performa</w:t>
      </w:r>
      <w:r>
        <w:rPr>
          <w:rFonts w:ascii="Arial" w:eastAsia="Arial" w:hAnsi="Arial" w:cs="Arial"/>
          <w:sz w:val="18"/>
          <w:szCs w:val="18"/>
        </w:rPr>
        <w:t>nce targets that would not have been met under the restated results. The Company’s recovery authority applies to any performance award received by a current or former executive officer during the three most-recently completed fiscal years immediately prece</w:t>
      </w:r>
      <w:r>
        <w:rPr>
          <w:rFonts w:ascii="Arial" w:eastAsia="Arial" w:hAnsi="Arial" w:cs="Arial"/>
          <w:sz w:val="18"/>
          <w:szCs w:val="18"/>
        </w:rPr>
        <w:t>ding the date on which the Company is required to prepare the restatement. Under the terms of the policy, a performance award means any cash or equity-based award that is made, vests or is payable based wholly or in part on the results of a financial repor</w:t>
      </w:r>
      <w:r>
        <w:rPr>
          <w:rFonts w:ascii="Arial" w:eastAsia="Arial" w:hAnsi="Arial" w:cs="Arial"/>
          <w:sz w:val="18"/>
          <w:szCs w:val="18"/>
        </w:rPr>
        <w:t>ting measure.</w:t>
      </w:r>
    </w:p>
    <w:p w:rsidR="00A621E3" w:rsidRDefault="00A621E3">
      <w:pPr>
        <w:spacing w:line="219" w:lineRule="exact"/>
        <w:rPr>
          <w:sz w:val="20"/>
          <w:szCs w:val="20"/>
        </w:rPr>
      </w:pPr>
    </w:p>
    <w:p w:rsidR="00A621E3" w:rsidRDefault="00EC630E">
      <w:pPr>
        <w:spacing w:line="244" w:lineRule="auto"/>
        <w:ind w:left="120"/>
        <w:jc w:val="both"/>
        <w:rPr>
          <w:sz w:val="20"/>
          <w:szCs w:val="20"/>
        </w:rPr>
      </w:pPr>
      <w:r>
        <w:rPr>
          <w:rFonts w:ascii="Arial" w:eastAsia="Arial" w:hAnsi="Arial" w:cs="Arial"/>
          <w:sz w:val="20"/>
          <w:szCs w:val="20"/>
        </w:rPr>
        <w:t>The Company will review and modify the Compensation Recovery Policy as necessary to reflect the final NYSE listing rules adopted to implement the compensation recovery requirements under the Dodd-Frank Wall Street Reform and Consumer Protect</w:t>
      </w:r>
      <w:r>
        <w:rPr>
          <w:rFonts w:ascii="Arial" w:eastAsia="Arial" w:hAnsi="Arial" w:cs="Arial"/>
          <w:sz w:val="20"/>
          <w:szCs w:val="20"/>
        </w:rPr>
        <w:t>ion Act.</w:t>
      </w:r>
    </w:p>
    <w:p w:rsidR="00A621E3" w:rsidRDefault="00A621E3">
      <w:pPr>
        <w:spacing w:line="221" w:lineRule="exact"/>
        <w:rPr>
          <w:sz w:val="20"/>
          <w:szCs w:val="20"/>
        </w:rPr>
      </w:pPr>
    </w:p>
    <w:p w:rsidR="00A621E3" w:rsidRDefault="00EC630E">
      <w:pPr>
        <w:ind w:left="120"/>
        <w:rPr>
          <w:sz w:val="20"/>
          <w:szCs w:val="20"/>
        </w:rPr>
      </w:pPr>
      <w:r>
        <w:rPr>
          <w:rFonts w:ascii="Arial" w:eastAsia="Arial" w:hAnsi="Arial" w:cs="Arial"/>
          <w:b/>
          <w:bCs/>
          <w:i/>
          <w:iCs/>
          <w:color w:val="CF0A2C"/>
          <w:sz w:val="20"/>
          <w:szCs w:val="20"/>
        </w:rPr>
        <w:t>Equity-Based Awards Grant Policy</w:t>
      </w:r>
    </w:p>
    <w:p w:rsidR="00A621E3" w:rsidRDefault="00A621E3">
      <w:pPr>
        <w:spacing w:line="256" w:lineRule="exact"/>
        <w:rPr>
          <w:sz w:val="20"/>
          <w:szCs w:val="20"/>
        </w:rPr>
      </w:pPr>
    </w:p>
    <w:p w:rsidR="00A621E3" w:rsidRDefault="00EC630E">
      <w:pPr>
        <w:spacing w:line="242" w:lineRule="auto"/>
        <w:ind w:left="120"/>
        <w:jc w:val="both"/>
        <w:rPr>
          <w:sz w:val="20"/>
          <w:szCs w:val="20"/>
        </w:rPr>
      </w:pPr>
      <w:r>
        <w:rPr>
          <w:rFonts w:ascii="Arial" w:eastAsia="Arial" w:hAnsi="Arial" w:cs="Arial"/>
          <w:sz w:val="20"/>
          <w:szCs w:val="20"/>
        </w:rPr>
        <w:t>The Company’s Equity-Based Awards Grant Policy provides for certain procedures with respect to the granting of equity awards, including specifying pre-determined dates for annual and off-cycle grants and specifyi</w:t>
      </w:r>
      <w:r>
        <w:rPr>
          <w:rFonts w:ascii="Arial" w:eastAsia="Arial" w:hAnsi="Arial" w:cs="Arial"/>
          <w:sz w:val="20"/>
          <w:szCs w:val="20"/>
        </w:rPr>
        <w:t>ng that the Company will not purposely accelerate or delay the public release of material information in consideration of pending equity grants. Generally, annual equity grants are effective as of the date that is two business days after the Company public</w:t>
      </w:r>
      <w:r>
        <w:rPr>
          <w:rFonts w:ascii="Arial" w:eastAsia="Arial" w:hAnsi="Arial" w:cs="Arial"/>
          <w:sz w:val="20"/>
          <w:szCs w:val="20"/>
        </w:rPr>
        <w:t>ly discloses its results for the previous fiscal year.</w:t>
      </w:r>
    </w:p>
    <w:p w:rsidR="00A621E3" w:rsidRDefault="00A621E3">
      <w:pPr>
        <w:spacing w:line="235" w:lineRule="exact"/>
        <w:rPr>
          <w:sz w:val="20"/>
          <w:szCs w:val="20"/>
        </w:rPr>
      </w:pPr>
    </w:p>
    <w:p w:rsidR="00A621E3" w:rsidRDefault="00EC630E">
      <w:pPr>
        <w:ind w:left="120"/>
        <w:rPr>
          <w:sz w:val="20"/>
          <w:szCs w:val="20"/>
        </w:rPr>
      </w:pPr>
      <w:r>
        <w:rPr>
          <w:rFonts w:ascii="Arial" w:eastAsia="Arial" w:hAnsi="Arial" w:cs="Arial"/>
          <w:b/>
          <w:bCs/>
          <w:i/>
          <w:iCs/>
          <w:color w:val="CF0A2C"/>
          <w:sz w:val="20"/>
          <w:szCs w:val="20"/>
        </w:rPr>
        <w:t>Stock Ownership Guidelines and Retention Policy</w:t>
      </w:r>
    </w:p>
    <w:p w:rsidR="00A621E3" w:rsidRDefault="00A621E3">
      <w:pPr>
        <w:spacing w:line="243" w:lineRule="exact"/>
        <w:rPr>
          <w:sz w:val="20"/>
          <w:szCs w:val="20"/>
        </w:rPr>
      </w:pPr>
    </w:p>
    <w:p w:rsidR="00A621E3" w:rsidRDefault="00EC630E">
      <w:pPr>
        <w:spacing w:line="250" w:lineRule="auto"/>
        <w:ind w:left="120"/>
        <w:jc w:val="both"/>
        <w:rPr>
          <w:sz w:val="20"/>
          <w:szCs w:val="20"/>
        </w:rPr>
      </w:pPr>
      <w:r>
        <w:rPr>
          <w:rFonts w:ascii="Arial" w:eastAsia="Arial" w:hAnsi="Arial" w:cs="Arial"/>
          <w:sz w:val="20"/>
          <w:szCs w:val="20"/>
        </w:rPr>
        <w:t>To align the efforts of our executives with the long-term interests of our stockholders and to reinforce their commitment to the Company’s long-term ob</w:t>
      </w:r>
      <w:r>
        <w:rPr>
          <w:rFonts w:ascii="Arial" w:eastAsia="Arial" w:hAnsi="Arial" w:cs="Arial"/>
          <w:sz w:val="20"/>
          <w:szCs w:val="20"/>
        </w:rPr>
        <w:t>jectives, the</w:t>
      </w:r>
    </w:p>
    <w:p w:rsidR="00A621E3" w:rsidRDefault="00A621E3">
      <w:pPr>
        <w:spacing w:line="274" w:lineRule="exact"/>
        <w:rPr>
          <w:sz w:val="20"/>
          <w:szCs w:val="20"/>
        </w:rPr>
      </w:pPr>
    </w:p>
    <w:p w:rsidR="00A621E3" w:rsidRDefault="00EC630E">
      <w:pPr>
        <w:numPr>
          <w:ilvl w:val="0"/>
          <w:numId w:val="98"/>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963392"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4" w:lineRule="exact"/>
        <w:rPr>
          <w:sz w:val="20"/>
          <w:szCs w:val="20"/>
        </w:rPr>
      </w:pPr>
    </w:p>
    <w:p w:rsidR="00A621E3" w:rsidRDefault="00EC630E">
      <w:pPr>
        <w:spacing w:line="270" w:lineRule="auto"/>
        <w:jc w:val="both"/>
        <w:rPr>
          <w:sz w:val="20"/>
          <w:szCs w:val="20"/>
        </w:rPr>
      </w:pPr>
      <w:r>
        <w:rPr>
          <w:rFonts w:ascii="Arial" w:eastAsia="Arial" w:hAnsi="Arial" w:cs="Arial"/>
          <w:sz w:val="18"/>
          <w:szCs w:val="18"/>
        </w:rPr>
        <w:t xml:space="preserve">Compensation Committee established a stock ownership and retention policy that applies to our Section 16 Officers and all members of our Leadership Team. Under the stock ownership and retention </w:t>
      </w:r>
      <w:r>
        <w:rPr>
          <w:rFonts w:ascii="Arial" w:eastAsia="Arial" w:hAnsi="Arial" w:cs="Arial"/>
          <w:sz w:val="18"/>
          <w:szCs w:val="18"/>
        </w:rPr>
        <w:t>policy, the executives have a five-year period from the date of appointment to a covered position to attain the required ownership level. During the five-year phase-in period, the executives must retain, until the required ownership guideline levels have b</w:t>
      </w:r>
      <w:r>
        <w:rPr>
          <w:rFonts w:ascii="Arial" w:eastAsia="Arial" w:hAnsi="Arial" w:cs="Arial"/>
          <w:sz w:val="18"/>
          <w:szCs w:val="18"/>
        </w:rPr>
        <w:t>een achieved, at least 50% of the after-tax shares resulting from the vesting or exercise of equity awards, including PSUs. If the guideline is not achieved after such five-year compliance period, the executive officer will be required to retain 100% of af</w:t>
      </w:r>
      <w:r>
        <w:rPr>
          <w:rFonts w:ascii="Arial" w:eastAsia="Arial" w:hAnsi="Arial" w:cs="Arial"/>
          <w:sz w:val="18"/>
          <w:szCs w:val="18"/>
        </w:rPr>
        <w:t>ter-tax shares resulting from the vesting or exercise of equity awards until the guideline is achieved.</w:t>
      </w:r>
    </w:p>
    <w:p w:rsidR="00A621E3" w:rsidRDefault="00EC630E">
      <w:pPr>
        <w:spacing w:line="20" w:lineRule="exact"/>
        <w:rPr>
          <w:sz w:val="20"/>
          <w:szCs w:val="20"/>
        </w:rPr>
      </w:pPr>
      <w:r>
        <w:rPr>
          <w:noProof/>
          <w:sz w:val="20"/>
          <w:szCs w:val="20"/>
        </w:rPr>
        <w:drawing>
          <wp:anchor distT="0" distB="0" distL="114300" distR="114300" simplePos="0" relativeHeight="251964416" behindDoc="1" locked="0" layoutInCell="0" allowOverlap="1">
            <wp:simplePos x="0" y="0"/>
            <wp:positionH relativeFrom="column">
              <wp:posOffset>-3651885</wp:posOffset>
            </wp:positionH>
            <wp:positionV relativeFrom="paragraph">
              <wp:posOffset>-3179445</wp:posOffset>
            </wp:positionV>
            <wp:extent cx="7174865" cy="55880"/>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p>
    <w:p w:rsidR="00A621E3" w:rsidRDefault="00A621E3">
      <w:pPr>
        <w:spacing w:line="193" w:lineRule="exact"/>
        <w:rPr>
          <w:sz w:val="20"/>
          <w:szCs w:val="20"/>
        </w:rPr>
      </w:pPr>
    </w:p>
    <w:p w:rsidR="00A621E3" w:rsidRDefault="00EC630E">
      <w:pPr>
        <w:spacing w:line="246" w:lineRule="auto"/>
        <w:ind w:right="20"/>
        <w:jc w:val="both"/>
        <w:rPr>
          <w:sz w:val="20"/>
          <w:szCs w:val="20"/>
        </w:rPr>
      </w:pPr>
      <w:r>
        <w:rPr>
          <w:rFonts w:ascii="Arial" w:eastAsia="Arial" w:hAnsi="Arial" w:cs="Arial"/>
          <w:sz w:val="20"/>
          <w:szCs w:val="20"/>
        </w:rPr>
        <w:t>The chart below shows stock ownership requirements as a multiple of annual base salary for our NEOs. As of the record date, each NEO is in compliance</w:t>
      </w:r>
      <w:r>
        <w:rPr>
          <w:rFonts w:ascii="Arial" w:eastAsia="Arial" w:hAnsi="Arial" w:cs="Arial"/>
          <w:sz w:val="20"/>
          <w:szCs w:val="20"/>
        </w:rPr>
        <w:t xml:space="preserve"> with the Company’s stock ownership requirements and retention policy.</w:t>
      </w:r>
    </w:p>
    <w:p w:rsidR="00A621E3" w:rsidRDefault="00A621E3">
      <w:pPr>
        <w:spacing w:line="27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720"/>
        <w:gridCol w:w="2620"/>
        <w:gridCol w:w="60"/>
      </w:tblGrid>
      <w:tr w:rsidR="00A621E3">
        <w:trPr>
          <w:trHeight w:val="189"/>
        </w:trPr>
        <w:tc>
          <w:tcPr>
            <w:tcW w:w="2720" w:type="dxa"/>
            <w:vAlign w:val="bottom"/>
          </w:tcPr>
          <w:p w:rsidR="00A621E3" w:rsidRDefault="00A621E3">
            <w:pPr>
              <w:rPr>
                <w:sz w:val="16"/>
                <w:szCs w:val="16"/>
              </w:rPr>
            </w:pPr>
          </w:p>
        </w:tc>
        <w:tc>
          <w:tcPr>
            <w:tcW w:w="2620" w:type="dxa"/>
            <w:vAlign w:val="bottom"/>
          </w:tcPr>
          <w:p w:rsidR="00A621E3" w:rsidRDefault="00EC630E">
            <w:pPr>
              <w:jc w:val="right"/>
              <w:rPr>
                <w:sz w:val="20"/>
                <w:szCs w:val="20"/>
              </w:rPr>
            </w:pPr>
            <w:r>
              <w:rPr>
                <w:rFonts w:ascii="Arial" w:eastAsia="Arial" w:hAnsi="Arial" w:cs="Arial"/>
                <w:b/>
                <w:bCs/>
                <w:color w:val="CF0A2C"/>
                <w:sz w:val="16"/>
                <w:szCs w:val="16"/>
              </w:rPr>
              <w:t>Stock Ownership as</w:t>
            </w:r>
          </w:p>
        </w:tc>
        <w:tc>
          <w:tcPr>
            <w:tcW w:w="60" w:type="dxa"/>
            <w:vAlign w:val="bottom"/>
          </w:tcPr>
          <w:p w:rsidR="00A621E3" w:rsidRDefault="00A621E3">
            <w:pPr>
              <w:rPr>
                <w:sz w:val="16"/>
                <w:szCs w:val="16"/>
              </w:rPr>
            </w:pPr>
          </w:p>
        </w:tc>
      </w:tr>
      <w:tr w:rsidR="00A621E3">
        <w:trPr>
          <w:trHeight w:val="189"/>
        </w:trPr>
        <w:tc>
          <w:tcPr>
            <w:tcW w:w="2720" w:type="dxa"/>
            <w:vAlign w:val="bottom"/>
          </w:tcPr>
          <w:p w:rsidR="00A621E3" w:rsidRDefault="00A621E3">
            <w:pPr>
              <w:rPr>
                <w:sz w:val="16"/>
                <w:szCs w:val="16"/>
              </w:rPr>
            </w:pPr>
          </w:p>
        </w:tc>
        <w:tc>
          <w:tcPr>
            <w:tcW w:w="2620" w:type="dxa"/>
            <w:vAlign w:val="bottom"/>
          </w:tcPr>
          <w:p w:rsidR="00A621E3" w:rsidRDefault="00EC630E">
            <w:pPr>
              <w:jc w:val="right"/>
              <w:rPr>
                <w:sz w:val="20"/>
                <w:szCs w:val="20"/>
              </w:rPr>
            </w:pPr>
            <w:r>
              <w:rPr>
                <w:rFonts w:ascii="Arial" w:eastAsia="Arial" w:hAnsi="Arial" w:cs="Arial"/>
                <w:b/>
                <w:bCs/>
                <w:color w:val="CF0A2C"/>
                <w:sz w:val="16"/>
                <w:szCs w:val="16"/>
              </w:rPr>
              <w:t>a Multiple of Annual</w:t>
            </w:r>
          </w:p>
        </w:tc>
        <w:tc>
          <w:tcPr>
            <w:tcW w:w="60" w:type="dxa"/>
            <w:vAlign w:val="bottom"/>
          </w:tcPr>
          <w:p w:rsidR="00A621E3" w:rsidRDefault="00A621E3">
            <w:pPr>
              <w:rPr>
                <w:sz w:val="16"/>
                <w:szCs w:val="16"/>
              </w:rPr>
            </w:pPr>
          </w:p>
        </w:tc>
      </w:tr>
      <w:tr w:rsidR="00A621E3">
        <w:trPr>
          <w:trHeight w:val="207"/>
        </w:trPr>
        <w:tc>
          <w:tcPr>
            <w:tcW w:w="2720" w:type="dxa"/>
            <w:tcBorders>
              <w:bottom w:val="single" w:sz="8" w:space="0" w:color="CF0A2C"/>
            </w:tcBorders>
            <w:vAlign w:val="bottom"/>
          </w:tcPr>
          <w:p w:rsidR="00A621E3" w:rsidRDefault="00EC630E">
            <w:pPr>
              <w:rPr>
                <w:sz w:val="20"/>
                <w:szCs w:val="20"/>
              </w:rPr>
            </w:pPr>
            <w:r>
              <w:rPr>
                <w:rFonts w:ascii="Arial" w:eastAsia="Arial" w:hAnsi="Arial" w:cs="Arial"/>
                <w:b/>
                <w:bCs/>
                <w:color w:val="CF0A2C"/>
                <w:sz w:val="16"/>
                <w:szCs w:val="16"/>
              </w:rPr>
              <w:t>NEO</w:t>
            </w:r>
          </w:p>
        </w:tc>
        <w:tc>
          <w:tcPr>
            <w:tcW w:w="2620" w:type="dxa"/>
            <w:tcBorders>
              <w:bottom w:val="single" w:sz="8" w:space="0" w:color="CF0A2C"/>
            </w:tcBorders>
            <w:vAlign w:val="bottom"/>
          </w:tcPr>
          <w:p w:rsidR="00A621E3" w:rsidRDefault="00EC630E">
            <w:pPr>
              <w:ind w:right="239"/>
              <w:jc w:val="right"/>
              <w:rPr>
                <w:sz w:val="20"/>
                <w:szCs w:val="20"/>
              </w:rPr>
            </w:pPr>
            <w:r>
              <w:rPr>
                <w:rFonts w:ascii="Arial" w:eastAsia="Arial" w:hAnsi="Arial" w:cs="Arial"/>
                <w:b/>
                <w:bCs/>
                <w:color w:val="CF0A2C"/>
                <w:sz w:val="16"/>
                <w:szCs w:val="16"/>
              </w:rPr>
              <w:t>Base Salary</w:t>
            </w:r>
          </w:p>
        </w:tc>
        <w:tc>
          <w:tcPr>
            <w:tcW w:w="60" w:type="dxa"/>
            <w:tcBorders>
              <w:bottom w:val="single" w:sz="8" w:space="0" w:color="CF0A2C"/>
            </w:tcBorders>
            <w:vAlign w:val="bottom"/>
          </w:tcPr>
          <w:p w:rsidR="00A621E3" w:rsidRDefault="00A621E3">
            <w:pPr>
              <w:rPr>
                <w:sz w:val="18"/>
                <w:szCs w:val="18"/>
              </w:rPr>
            </w:pPr>
          </w:p>
        </w:tc>
      </w:tr>
      <w:tr w:rsidR="00A621E3">
        <w:trPr>
          <w:trHeight w:val="184"/>
        </w:trPr>
        <w:tc>
          <w:tcPr>
            <w:tcW w:w="2720" w:type="dxa"/>
            <w:vAlign w:val="bottom"/>
          </w:tcPr>
          <w:p w:rsidR="00A621E3" w:rsidRDefault="00EC630E">
            <w:pPr>
              <w:rPr>
                <w:sz w:val="20"/>
                <w:szCs w:val="20"/>
              </w:rPr>
            </w:pPr>
            <w:r>
              <w:rPr>
                <w:rFonts w:ascii="Arial" w:eastAsia="Arial" w:hAnsi="Arial" w:cs="Arial"/>
                <w:color w:val="CF0A2C"/>
                <w:sz w:val="16"/>
                <w:szCs w:val="16"/>
              </w:rPr>
              <w:t>CEO</w:t>
            </w:r>
          </w:p>
        </w:tc>
        <w:tc>
          <w:tcPr>
            <w:tcW w:w="2620" w:type="dxa"/>
            <w:vAlign w:val="bottom"/>
          </w:tcPr>
          <w:p w:rsidR="00A621E3" w:rsidRDefault="00EC630E">
            <w:pPr>
              <w:jc w:val="right"/>
              <w:rPr>
                <w:sz w:val="20"/>
                <w:szCs w:val="20"/>
              </w:rPr>
            </w:pPr>
            <w:r>
              <w:rPr>
                <w:rFonts w:ascii="Arial" w:eastAsia="Arial" w:hAnsi="Arial" w:cs="Arial"/>
                <w:color w:val="CF0A2C"/>
                <w:sz w:val="16"/>
                <w:szCs w:val="16"/>
              </w:rPr>
              <w:t>6X</w:t>
            </w:r>
          </w:p>
        </w:tc>
        <w:tc>
          <w:tcPr>
            <w:tcW w:w="60" w:type="dxa"/>
            <w:vAlign w:val="bottom"/>
          </w:tcPr>
          <w:p w:rsidR="00A621E3" w:rsidRDefault="00A621E3">
            <w:pPr>
              <w:rPr>
                <w:sz w:val="16"/>
                <w:szCs w:val="16"/>
              </w:rPr>
            </w:pPr>
          </w:p>
        </w:tc>
      </w:tr>
      <w:tr w:rsidR="00A621E3">
        <w:trPr>
          <w:trHeight w:val="189"/>
        </w:trPr>
        <w:tc>
          <w:tcPr>
            <w:tcW w:w="2720" w:type="dxa"/>
            <w:vAlign w:val="bottom"/>
          </w:tcPr>
          <w:p w:rsidR="00A621E3" w:rsidRDefault="00EC630E">
            <w:pPr>
              <w:rPr>
                <w:sz w:val="20"/>
                <w:szCs w:val="20"/>
              </w:rPr>
            </w:pPr>
            <w:r>
              <w:rPr>
                <w:rFonts w:ascii="Arial" w:eastAsia="Arial" w:hAnsi="Arial" w:cs="Arial"/>
                <w:color w:val="CF0A2C"/>
                <w:sz w:val="16"/>
                <w:szCs w:val="16"/>
              </w:rPr>
              <w:t>CFO</w:t>
            </w:r>
          </w:p>
        </w:tc>
        <w:tc>
          <w:tcPr>
            <w:tcW w:w="2620" w:type="dxa"/>
            <w:vAlign w:val="bottom"/>
          </w:tcPr>
          <w:p w:rsidR="00A621E3" w:rsidRDefault="00EC630E">
            <w:pPr>
              <w:jc w:val="right"/>
              <w:rPr>
                <w:sz w:val="20"/>
                <w:szCs w:val="20"/>
              </w:rPr>
            </w:pPr>
            <w:r>
              <w:rPr>
                <w:rFonts w:ascii="Arial" w:eastAsia="Arial" w:hAnsi="Arial" w:cs="Arial"/>
                <w:color w:val="CF0A2C"/>
                <w:sz w:val="16"/>
                <w:szCs w:val="16"/>
              </w:rPr>
              <w:t>3X</w:t>
            </w:r>
          </w:p>
        </w:tc>
        <w:tc>
          <w:tcPr>
            <w:tcW w:w="60" w:type="dxa"/>
            <w:vAlign w:val="bottom"/>
          </w:tcPr>
          <w:p w:rsidR="00A621E3" w:rsidRDefault="00A621E3">
            <w:pPr>
              <w:rPr>
                <w:sz w:val="16"/>
                <w:szCs w:val="16"/>
              </w:rPr>
            </w:pPr>
          </w:p>
        </w:tc>
      </w:tr>
      <w:tr w:rsidR="00A621E3">
        <w:trPr>
          <w:trHeight w:val="189"/>
        </w:trPr>
        <w:tc>
          <w:tcPr>
            <w:tcW w:w="2720" w:type="dxa"/>
            <w:vAlign w:val="bottom"/>
          </w:tcPr>
          <w:p w:rsidR="00A621E3" w:rsidRDefault="00EC630E">
            <w:pPr>
              <w:rPr>
                <w:sz w:val="20"/>
                <w:szCs w:val="20"/>
              </w:rPr>
            </w:pPr>
            <w:r>
              <w:rPr>
                <w:rFonts w:ascii="Arial" w:eastAsia="Arial" w:hAnsi="Arial" w:cs="Arial"/>
                <w:color w:val="CF0A2C"/>
                <w:sz w:val="16"/>
                <w:szCs w:val="16"/>
              </w:rPr>
              <w:t>Chief Legal Officer</w:t>
            </w:r>
          </w:p>
        </w:tc>
        <w:tc>
          <w:tcPr>
            <w:tcW w:w="2620" w:type="dxa"/>
            <w:vAlign w:val="bottom"/>
          </w:tcPr>
          <w:p w:rsidR="00A621E3" w:rsidRDefault="00EC630E">
            <w:pPr>
              <w:jc w:val="right"/>
              <w:rPr>
                <w:sz w:val="20"/>
                <w:szCs w:val="20"/>
              </w:rPr>
            </w:pPr>
            <w:r>
              <w:rPr>
                <w:rFonts w:ascii="Arial" w:eastAsia="Arial" w:hAnsi="Arial" w:cs="Arial"/>
                <w:color w:val="CF0A2C"/>
                <w:sz w:val="16"/>
                <w:szCs w:val="16"/>
              </w:rPr>
              <w:t>2X</w:t>
            </w:r>
          </w:p>
        </w:tc>
        <w:tc>
          <w:tcPr>
            <w:tcW w:w="60" w:type="dxa"/>
            <w:vAlign w:val="bottom"/>
          </w:tcPr>
          <w:p w:rsidR="00A621E3" w:rsidRDefault="00A621E3">
            <w:pPr>
              <w:rPr>
                <w:sz w:val="16"/>
                <w:szCs w:val="16"/>
              </w:rPr>
            </w:pPr>
          </w:p>
        </w:tc>
      </w:tr>
      <w:tr w:rsidR="00A621E3">
        <w:trPr>
          <w:trHeight w:val="189"/>
        </w:trPr>
        <w:tc>
          <w:tcPr>
            <w:tcW w:w="2720" w:type="dxa"/>
            <w:vAlign w:val="bottom"/>
          </w:tcPr>
          <w:p w:rsidR="00A621E3" w:rsidRDefault="00EC630E">
            <w:pPr>
              <w:rPr>
                <w:sz w:val="20"/>
                <w:szCs w:val="20"/>
              </w:rPr>
            </w:pPr>
            <w:r>
              <w:rPr>
                <w:rFonts w:ascii="Arial" w:eastAsia="Arial" w:hAnsi="Arial" w:cs="Arial"/>
                <w:color w:val="CF0A2C"/>
                <w:sz w:val="16"/>
                <w:szCs w:val="16"/>
              </w:rPr>
              <w:t>Chief Customer Officer</w:t>
            </w:r>
          </w:p>
        </w:tc>
        <w:tc>
          <w:tcPr>
            <w:tcW w:w="2620" w:type="dxa"/>
            <w:vAlign w:val="bottom"/>
          </w:tcPr>
          <w:p w:rsidR="00A621E3" w:rsidRDefault="00EC630E">
            <w:pPr>
              <w:jc w:val="right"/>
              <w:rPr>
                <w:sz w:val="20"/>
                <w:szCs w:val="20"/>
              </w:rPr>
            </w:pPr>
            <w:r>
              <w:rPr>
                <w:rFonts w:ascii="Arial" w:eastAsia="Arial" w:hAnsi="Arial" w:cs="Arial"/>
                <w:color w:val="CF0A2C"/>
                <w:sz w:val="16"/>
                <w:szCs w:val="16"/>
              </w:rPr>
              <w:t>2X</w:t>
            </w:r>
          </w:p>
        </w:tc>
        <w:tc>
          <w:tcPr>
            <w:tcW w:w="60" w:type="dxa"/>
            <w:vAlign w:val="bottom"/>
          </w:tcPr>
          <w:p w:rsidR="00A621E3" w:rsidRDefault="00A621E3">
            <w:pPr>
              <w:rPr>
                <w:sz w:val="16"/>
                <w:szCs w:val="16"/>
              </w:rPr>
            </w:pPr>
          </w:p>
        </w:tc>
      </w:tr>
      <w:tr w:rsidR="00A621E3">
        <w:trPr>
          <w:trHeight w:val="187"/>
        </w:trPr>
        <w:tc>
          <w:tcPr>
            <w:tcW w:w="2720" w:type="dxa"/>
            <w:tcBorders>
              <w:bottom w:val="single" w:sz="8" w:space="0" w:color="CF0A2C"/>
            </w:tcBorders>
            <w:vAlign w:val="bottom"/>
          </w:tcPr>
          <w:p w:rsidR="00A621E3" w:rsidRDefault="00EC630E">
            <w:pPr>
              <w:rPr>
                <w:sz w:val="20"/>
                <w:szCs w:val="20"/>
              </w:rPr>
            </w:pPr>
            <w:r>
              <w:rPr>
                <w:rFonts w:ascii="Arial" w:eastAsia="Arial" w:hAnsi="Arial" w:cs="Arial"/>
                <w:color w:val="CF0A2C"/>
                <w:sz w:val="16"/>
                <w:szCs w:val="16"/>
              </w:rPr>
              <w:t>Chief People Officer</w:t>
            </w:r>
          </w:p>
        </w:tc>
        <w:tc>
          <w:tcPr>
            <w:tcW w:w="2620" w:type="dxa"/>
            <w:tcBorders>
              <w:bottom w:val="single" w:sz="8" w:space="0" w:color="CF0A2C"/>
            </w:tcBorders>
            <w:vAlign w:val="bottom"/>
          </w:tcPr>
          <w:p w:rsidR="00A621E3" w:rsidRDefault="00EC630E">
            <w:pPr>
              <w:jc w:val="right"/>
              <w:rPr>
                <w:sz w:val="20"/>
                <w:szCs w:val="20"/>
              </w:rPr>
            </w:pPr>
            <w:r>
              <w:rPr>
                <w:rFonts w:ascii="Arial" w:eastAsia="Arial" w:hAnsi="Arial" w:cs="Arial"/>
                <w:color w:val="CF0A2C"/>
                <w:sz w:val="16"/>
                <w:szCs w:val="16"/>
              </w:rPr>
              <w:t>2X</w:t>
            </w:r>
          </w:p>
        </w:tc>
        <w:tc>
          <w:tcPr>
            <w:tcW w:w="60" w:type="dxa"/>
            <w:vAlign w:val="bottom"/>
          </w:tcPr>
          <w:p w:rsidR="00A621E3" w:rsidRDefault="00A621E3">
            <w:pPr>
              <w:rPr>
                <w:sz w:val="16"/>
                <w:szCs w:val="16"/>
              </w:rPr>
            </w:pPr>
          </w:p>
        </w:tc>
      </w:tr>
    </w:tbl>
    <w:p w:rsidR="00A621E3" w:rsidRDefault="00A621E3">
      <w:pPr>
        <w:spacing w:line="253" w:lineRule="exact"/>
        <w:rPr>
          <w:sz w:val="20"/>
          <w:szCs w:val="20"/>
        </w:rPr>
      </w:pPr>
    </w:p>
    <w:p w:rsidR="00A621E3" w:rsidRDefault="00EC630E">
      <w:pPr>
        <w:rPr>
          <w:sz w:val="20"/>
          <w:szCs w:val="20"/>
        </w:rPr>
      </w:pPr>
      <w:r>
        <w:rPr>
          <w:rFonts w:ascii="Arial" w:eastAsia="Arial" w:hAnsi="Arial" w:cs="Arial"/>
          <w:b/>
          <w:bCs/>
          <w:i/>
          <w:iCs/>
          <w:color w:val="CF0A2C"/>
          <w:sz w:val="20"/>
          <w:szCs w:val="20"/>
        </w:rPr>
        <w:t xml:space="preserve">Hedging and Pledging </w:t>
      </w:r>
      <w:r>
        <w:rPr>
          <w:rFonts w:ascii="Arial" w:eastAsia="Arial" w:hAnsi="Arial" w:cs="Arial"/>
          <w:b/>
          <w:bCs/>
          <w:i/>
          <w:iCs/>
          <w:color w:val="CF0A2C"/>
          <w:sz w:val="20"/>
          <w:szCs w:val="20"/>
        </w:rPr>
        <w:t>of Company Stock</w:t>
      </w:r>
    </w:p>
    <w:p w:rsidR="00A621E3" w:rsidRDefault="00A621E3">
      <w:pPr>
        <w:spacing w:line="243" w:lineRule="exact"/>
        <w:rPr>
          <w:sz w:val="20"/>
          <w:szCs w:val="20"/>
        </w:rPr>
      </w:pPr>
    </w:p>
    <w:p w:rsidR="00A621E3" w:rsidRDefault="00EC630E">
      <w:pPr>
        <w:spacing w:line="271" w:lineRule="auto"/>
        <w:jc w:val="both"/>
        <w:rPr>
          <w:sz w:val="20"/>
          <w:szCs w:val="20"/>
        </w:rPr>
      </w:pPr>
      <w:r>
        <w:rPr>
          <w:rFonts w:ascii="Arial" w:eastAsia="Arial" w:hAnsi="Arial" w:cs="Arial"/>
          <w:sz w:val="18"/>
          <w:szCs w:val="18"/>
        </w:rPr>
        <w:t>Under the Company’s Code of Conduct, no employee or director is permitted to engage in securities transactions that would allow such employee or director either to insulate himself or herself from, or profit from, a decline in the Company</w:t>
      </w:r>
      <w:r>
        <w:rPr>
          <w:rFonts w:ascii="Arial" w:eastAsia="Arial" w:hAnsi="Arial" w:cs="Arial"/>
          <w:sz w:val="18"/>
          <w:szCs w:val="18"/>
        </w:rPr>
        <w:t>’s stock price. Similarly, no employee or director may enter into hedging transactions in Company stock. Such transactions include, without limitation, short sales as well as any hedging transactions in derivative securities (e.g., puts, calls, swaps or co</w:t>
      </w:r>
      <w:r>
        <w:rPr>
          <w:rFonts w:ascii="Arial" w:eastAsia="Arial" w:hAnsi="Arial" w:cs="Arial"/>
          <w:sz w:val="18"/>
          <w:szCs w:val="18"/>
        </w:rPr>
        <w:t>llars) or other speculative transactions related to the Company’s stock. Pledging of Company stock by executive officers and directors is also prohibited.</w:t>
      </w: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78" w:name="page78"/>
      <w:bookmarkEnd w:id="78"/>
      <w:r>
        <w:rPr>
          <w:rFonts w:ascii="Arial" w:eastAsia="Arial" w:hAnsi="Arial" w:cs="Arial"/>
          <w:b/>
          <w:bCs/>
          <w:noProof/>
          <w:color w:val="0000EE"/>
          <w:sz w:val="18"/>
          <w:szCs w:val="18"/>
          <w:u w:val="single"/>
        </w:rPr>
        <w:drawing>
          <wp:anchor distT="0" distB="0" distL="114300" distR="114300" simplePos="0" relativeHeight="25196544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66464"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680"/>
        <w:rPr>
          <w:sz w:val="20"/>
          <w:szCs w:val="20"/>
        </w:rPr>
      </w:pPr>
      <w:r>
        <w:rPr>
          <w:rFonts w:ascii="Arial" w:eastAsia="Arial" w:hAnsi="Arial" w:cs="Arial"/>
          <w:b/>
          <w:bCs/>
          <w:color w:val="FFFFFF"/>
          <w:sz w:val="16"/>
          <w:szCs w:val="16"/>
        </w:rPr>
        <w:t>EXECUTIVE COMPENSATION</w:t>
      </w:r>
    </w:p>
    <w:p w:rsidR="00A621E3" w:rsidRDefault="00A621E3">
      <w:pPr>
        <w:spacing w:line="189" w:lineRule="exact"/>
        <w:rPr>
          <w:sz w:val="20"/>
          <w:szCs w:val="20"/>
        </w:rPr>
      </w:pPr>
    </w:p>
    <w:p w:rsidR="00A621E3" w:rsidRDefault="00EC630E">
      <w:pPr>
        <w:ind w:left="120"/>
        <w:rPr>
          <w:sz w:val="20"/>
          <w:szCs w:val="20"/>
        </w:rPr>
      </w:pPr>
      <w:r>
        <w:rPr>
          <w:rFonts w:ascii="Arial" w:eastAsia="Arial" w:hAnsi="Arial" w:cs="Arial"/>
          <w:b/>
          <w:bCs/>
          <w:color w:val="CF0A2C"/>
          <w:sz w:val="32"/>
          <w:szCs w:val="32"/>
        </w:rPr>
        <w:t>COMPENSATION COMMITTEE REPOR</w:t>
      </w:r>
      <w:r>
        <w:rPr>
          <w:rFonts w:ascii="Arial" w:eastAsia="Arial" w:hAnsi="Arial" w:cs="Arial"/>
          <w:b/>
          <w:bCs/>
          <w:color w:val="CF0A2C"/>
          <w:sz w:val="32"/>
          <w:szCs w:val="32"/>
        </w:rPr>
        <w:t>T</w:t>
      </w:r>
    </w:p>
    <w:p w:rsidR="00A621E3" w:rsidRDefault="00EC630E">
      <w:pPr>
        <w:spacing w:line="20" w:lineRule="exact"/>
        <w:rPr>
          <w:sz w:val="20"/>
          <w:szCs w:val="20"/>
        </w:rPr>
      </w:pPr>
      <w:r>
        <w:rPr>
          <w:noProof/>
          <w:sz w:val="20"/>
          <w:szCs w:val="20"/>
        </w:rPr>
        <w:drawing>
          <wp:anchor distT="0" distB="0" distL="114300" distR="114300" simplePos="0" relativeHeight="251967488"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36" w:lineRule="exact"/>
        <w:rPr>
          <w:sz w:val="20"/>
          <w:szCs w:val="20"/>
        </w:rPr>
      </w:pPr>
    </w:p>
    <w:p w:rsidR="00A621E3" w:rsidRDefault="00EC630E">
      <w:pPr>
        <w:ind w:left="120"/>
        <w:rPr>
          <w:sz w:val="20"/>
          <w:szCs w:val="20"/>
        </w:rPr>
      </w:pPr>
      <w:r>
        <w:rPr>
          <w:rFonts w:ascii="Arial" w:eastAsia="Arial" w:hAnsi="Arial" w:cs="Arial"/>
          <w:sz w:val="20"/>
          <w:szCs w:val="20"/>
        </w:rPr>
        <w:t>The Compensation Committee has reviewed and discussed the Compensation Discussion and Analysis with management.</w:t>
      </w:r>
    </w:p>
    <w:p w:rsidR="00A621E3" w:rsidRDefault="00A621E3">
      <w:pPr>
        <w:spacing w:line="256" w:lineRule="exact"/>
        <w:rPr>
          <w:sz w:val="20"/>
          <w:szCs w:val="20"/>
        </w:rPr>
      </w:pPr>
    </w:p>
    <w:p w:rsidR="00A621E3" w:rsidRDefault="00EC630E">
      <w:pPr>
        <w:spacing w:line="250" w:lineRule="auto"/>
        <w:ind w:left="120"/>
        <w:jc w:val="both"/>
        <w:rPr>
          <w:sz w:val="20"/>
          <w:szCs w:val="20"/>
        </w:rPr>
      </w:pPr>
      <w:r>
        <w:rPr>
          <w:rFonts w:ascii="Arial" w:eastAsia="Arial" w:hAnsi="Arial" w:cs="Arial"/>
          <w:sz w:val="20"/>
          <w:szCs w:val="20"/>
        </w:rPr>
        <w:t xml:space="preserve">Based on such review and discussion with management, the Compensation Committee recommended to the Board of Directors that the </w:t>
      </w:r>
      <w:r>
        <w:rPr>
          <w:rFonts w:ascii="Arial" w:eastAsia="Arial" w:hAnsi="Arial" w:cs="Arial"/>
          <w:sz w:val="20"/>
          <w:szCs w:val="20"/>
        </w:rPr>
        <w:t>Compensation Discussion and Analysis be included in this Proxy Statement and incorporated by reference in the Company’s Annual Report on Form 10-K for the fiscal year ended December 31, 2022.</w:t>
      </w:r>
    </w:p>
    <w:p w:rsidR="00A621E3" w:rsidRDefault="00A621E3">
      <w:pPr>
        <w:spacing w:line="207" w:lineRule="exact"/>
        <w:rPr>
          <w:sz w:val="20"/>
          <w:szCs w:val="20"/>
        </w:rPr>
      </w:pPr>
    </w:p>
    <w:p w:rsidR="00A621E3" w:rsidRDefault="00EC630E">
      <w:pPr>
        <w:ind w:left="120"/>
        <w:rPr>
          <w:sz w:val="20"/>
          <w:szCs w:val="20"/>
        </w:rPr>
      </w:pPr>
      <w:r>
        <w:rPr>
          <w:rFonts w:ascii="Arial" w:eastAsia="Arial" w:hAnsi="Arial" w:cs="Arial"/>
          <w:b/>
          <w:bCs/>
          <w:sz w:val="20"/>
          <w:szCs w:val="20"/>
        </w:rPr>
        <w:t>Compensation Committee:</w:t>
      </w:r>
    </w:p>
    <w:p w:rsidR="00A621E3" w:rsidRDefault="00A621E3">
      <w:pPr>
        <w:spacing w:line="21" w:lineRule="exact"/>
        <w:rPr>
          <w:sz w:val="20"/>
          <w:szCs w:val="20"/>
        </w:rPr>
      </w:pPr>
    </w:p>
    <w:p w:rsidR="00A621E3" w:rsidRDefault="00EC630E">
      <w:pPr>
        <w:ind w:left="120"/>
        <w:rPr>
          <w:sz w:val="20"/>
          <w:szCs w:val="20"/>
        </w:rPr>
      </w:pPr>
      <w:r>
        <w:rPr>
          <w:rFonts w:ascii="Arial" w:eastAsia="Arial" w:hAnsi="Arial" w:cs="Arial"/>
          <w:sz w:val="20"/>
          <w:szCs w:val="20"/>
        </w:rPr>
        <w:t>Ruby Lu (Chair)</w:t>
      </w:r>
    </w:p>
    <w:p w:rsidR="00A621E3" w:rsidRDefault="00EC630E">
      <w:pPr>
        <w:ind w:left="120"/>
        <w:rPr>
          <w:sz w:val="20"/>
          <w:szCs w:val="20"/>
        </w:rPr>
      </w:pPr>
      <w:r>
        <w:rPr>
          <w:rFonts w:ascii="Arial" w:eastAsia="Arial" w:hAnsi="Arial" w:cs="Arial"/>
          <w:sz w:val="20"/>
          <w:szCs w:val="20"/>
        </w:rPr>
        <w:t>Edouard Ettedgui</w:t>
      </w:r>
    </w:p>
    <w:p w:rsidR="00A621E3" w:rsidRDefault="00EC630E">
      <w:pPr>
        <w:ind w:left="120"/>
        <w:rPr>
          <w:sz w:val="20"/>
          <w:szCs w:val="20"/>
        </w:rPr>
      </w:pPr>
      <w:r>
        <w:rPr>
          <w:rFonts w:ascii="Arial" w:eastAsia="Arial" w:hAnsi="Arial" w:cs="Arial"/>
          <w:sz w:val="20"/>
          <w:szCs w:val="20"/>
        </w:rPr>
        <w:t>Willi</w:t>
      </w:r>
      <w:r>
        <w:rPr>
          <w:rFonts w:ascii="Arial" w:eastAsia="Arial" w:hAnsi="Arial" w:cs="Arial"/>
          <w:sz w:val="20"/>
          <w:szCs w:val="20"/>
        </w:rPr>
        <w:t>am Wang</w:t>
      </w:r>
    </w:p>
    <w:p w:rsidR="00A621E3" w:rsidRDefault="00EC630E">
      <w:pPr>
        <w:ind w:left="120"/>
        <w:rPr>
          <w:sz w:val="20"/>
          <w:szCs w:val="20"/>
        </w:rPr>
      </w:pPr>
      <w:r>
        <w:rPr>
          <w:rFonts w:ascii="Arial" w:eastAsia="Arial" w:hAnsi="Arial" w:cs="Arial"/>
          <w:sz w:val="20"/>
          <w:szCs w:val="20"/>
        </w:rPr>
        <w:t>Min (Jenny) Zhang</w:t>
      </w:r>
    </w:p>
    <w:p w:rsidR="00A621E3" w:rsidRDefault="00A621E3">
      <w:pPr>
        <w:spacing w:line="136"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73</w:t>
      </w:r>
    </w:p>
    <w:p w:rsidR="00A621E3" w:rsidRDefault="00EC630E">
      <w:pPr>
        <w:spacing w:line="20" w:lineRule="exact"/>
        <w:rPr>
          <w:sz w:val="20"/>
          <w:szCs w:val="20"/>
        </w:rPr>
      </w:pPr>
      <w:r>
        <w:rPr>
          <w:noProof/>
          <w:sz w:val="20"/>
          <w:szCs w:val="20"/>
        </w:rPr>
        <w:drawing>
          <wp:anchor distT="0" distB="0" distL="114300" distR="114300" simplePos="0" relativeHeight="251968512"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79" w:name="page79"/>
      <w:bookmarkEnd w:id="79"/>
      <w:r>
        <w:rPr>
          <w:rFonts w:ascii="Arial" w:eastAsia="Arial" w:hAnsi="Arial" w:cs="Arial"/>
          <w:b/>
          <w:bCs/>
          <w:noProof/>
          <w:color w:val="0000EE"/>
          <w:sz w:val="18"/>
          <w:szCs w:val="18"/>
          <w:u w:val="single"/>
        </w:rPr>
        <w:drawing>
          <wp:anchor distT="0" distB="0" distL="114300" distR="114300" simplePos="0" relativeHeight="25196953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70560"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189" w:lineRule="exact"/>
        <w:rPr>
          <w:sz w:val="20"/>
          <w:szCs w:val="20"/>
        </w:rPr>
      </w:pPr>
    </w:p>
    <w:p w:rsidR="00A621E3" w:rsidRDefault="00EC630E">
      <w:pPr>
        <w:ind w:left="120"/>
        <w:rPr>
          <w:sz w:val="20"/>
          <w:szCs w:val="20"/>
        </w:rPr>
      </w:pPr>
      <w:r>
        <w:rPr>
          <w:rFonts w:ascii="Arial" w:eastAsia="Arial" w:hAnsi="Arial" w:cs="Arial"/>
          <w:b/>
          <w:bCs/>
          <w:color w:val="CF0A2C"/>
          <w:sz w:val="32"/>
          <w:szCs w:val="32"/>
        </w:rPr>
        <w:t>2022 SUMMARY COMPENSATION TABLE</w:t>
      </w:r>
    </w:p>
    <w:p w:rsidR="00A621E3" w:rsidRDefault="00EC630E">
      <w:pPr>
        <w:spacing w:line="20" w:lineRule="exact"/>
        <w:rPr>
          <w:sz w:val="20"/>
          <w:szCs w:val="20"/>
        </w:rPr>
      </w:pPr>
      <w:r>
        <w:rPr>
          <w:noProof/>
          <w:sz w:val="20"/>
          <w:szCs w:val="20"/>
        </w:rPr>
        <w:drawing>
          <wp:anchor distT="0" distB="0" distL="114300" distR="114300" simplePos="0" relativeHeight="251971584"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36" w:lineRule="exact"/>
        <w:rPr>
          <w:sz w:val="20"/>
          <w:szCs w:val="20"/>
        </w:rPr>
      </w:pPr>
    </w:p>
    <w:p w:rsidR="00A621E3" w:rsidRDefault="00EC630E">
      <w:pPr>
        <w:spacing w:line="250" w:lineRule="auto"/>
        <w:ind w:left="120" w:right="20"/>
        <w:jc w:val="both"/>
        <w:rPr>
          <w:sz w:val="20"/>
          <w:szCs w:val="20"/>
        </w:rPr>
      </w:pPr>
      <w:r>
        <w:rPr>
          <w:rFonts w:ascii="Arial" w:eastAsia="Arial" w:hAnsi="Arial" w:cs="Arial"/>
          <w:sz w:val="20"/>
          <w:szCs w:val="20"/>
        </w:rPr>
        <w:t xml:space="preserve">The following table and footnotes summarize the total compensation awarded to, earned by </w:t>
      </w:r>
      <w:r>
        <w:rPr>
          <w:rFonts w:ascii="Arial" w:eastAsia="Arial" w:hAnsi="Arial" w:cs="Arial"/>
          <w:sz w:val="20"/>
          <w:szCs w:val="20"/>
        </w:rPr>
        <w:t>or paid to the NEOs for fiscal year 2022 and, to the extent required by SEC executive compensation disclosure rules, fiscal years 2021 and 2020. The Company’s NEOs for the 2022 fiscal year are its CEO, CFO, the three other most highly compensated executive</w:t>
      </w:r>
      <w:r>
        <w:rPr>
          <w:rFonts w:ascii="Arial" w:eastAsia="Arial" w:hAnsi="Arial" w:cs="Arial"/>
          <w:sz w:val="20"/>
          <w:szCs w:val="20"/>
        </w:rPr>
        <w:t xml:space="preserve"> officers.</w:t>
      </w:r>
    </w:p>
    <w:p w:rsidR="00A621E3" w:rsidRDefault="00A621E3">
      <w:pPr>
        <w:spacing w:line="21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160"/>
        <w:gridCol w:w="1680"/>
        <w:gridCol w:w="800"/>
        <w:gridCol w:w="700"/>
        <w:gridCol w:w="860"/>
        <w:gridCol w:w="780"/>
        <w:gridCol w:w="1100"/>
        <w:gridCol w:w="1120"/>
        <w:gridCol w:w="820"/>
      </w:tblGrid>
      <w:tr w:rsidR="00A621E3">
        <w:trPr>
          <w:trHeight w:val="145"/>
        </w:trPr>
        <w:tc>
          <w:tcPr>
            <w:tcW w:w="3160" w:type="dxa"/>
            <w:tcBorders>
              <w:top w:val="single" w:sz="8" w:space="0" w:color="CF0A2C"/>
            </w:tcBorders>
            <w:shd w:val="clear" w:color="auto" w:fill="FAE6E9"/>
            <w:vAlign w:val="bottom"/>
          </w:tcPr>
          <w:p w:rsidR="00A621E3" w:rsidRDefault="00A621E3">
            <w:pPr>
              <w:rPr>
                <w:sz w:val="12"/>
                <w:szCs w:val="12"/>
              </w:rPr>
            </w:pPr>
          </w:p>
        </w:tc>
        <w:tc>
          <w:tcPr>
            <w:tcW w:w="1680" w:type="dxa"/>
            <w:tcBorders>
              <w:top w:val="single" w:sz="8" w:space="0" w:color="CF0A2C"/>
            </w:tcBorders>
            <w:shd w:val="clear" w:color="auto" w:fill="FAE6E9"/>
            <w:vAlign w:val="bottom"/>
          </w:tcPr>
          <w:p w:rsidR="00A621E3" w:rsidRDefault="00A621E3">
            <w:pPr>
              <w:rPr>
                <w:sz w:val="12"/>
                <w:szCs w:val="12"/>
              </w:rPr>
            </w:pPr>
          </w:p>
        </w:tc>
        <w:tc>
          <w:tcPr>
            <w:tcW w:w="800" w:type="dxa"/>
            <w:tcBorders>
              <w:top w:val="single" w:sz="8" w:space="0" w:color="CF0A2C"/>
            </w:tcBorders>
            <w:shd w:val="clear" w:color="auto" w:fill="FAE6E9"/>
            <w:vAlign w:val="bottom"/>
          </w:tcPr>
          <w:p w:rsidR="00A621E3" w:rsidRDefault="00A621E3">
            <w:pPr>
              <w:rPr>
                <w:sz w:val="12"/>
                <w:szCs w:val="12"/>
              </w:rPr>
            </w:pPr>
          </w:p>
        </w:tc>
        <w:tc>
          <w:tcPr>
            <w:tcW w:w="700" w:type="dxa"/>
            <w:tcBorders>
              <w:top w:val="single" w:sz="8" w:space="0" w:color="CF0A2C"/>
            </w:tcBorders>
            <w:shd w:val="clear" w:color="auto" w:fill="FAE6E9"/>
            <w:vAlign w:val="bottom"/>
          </w:tcPr>
          <w:p w:rsidR="00A621E3" w:rsidRDefault="00A621E3">
            <w:pPr>
              <w:rPr>
                <w:sz w:val="12"/>
                <w:szCs w:val="12"/>
              </w:rPr>
            </w:pPr>
          </w:p>
        </w:tc>
        <w:tc>
          <w:tcPr>
            <w:tcW w:w="860" w:type="dxa"/>
            <w:tcBorders>
              <w:top w:val="single" w:sz="8" w:space="0" w:color="CF0A2C"/>
            </w:tcBorders>
            <w:shd w:val="clear" w:color="auto" w:fill="FAE6E9"/>
            <w:vAlign w:val="bottom"/>
          </w:tcPr>
          <w:p w:rsidR="00A621E3" w:rsidRDefault="00A621E3">
            <w:pPr>
              <w:rPr>
                <w:sz w:val="12"/>
                <w:szCs w:val="12"/>
              </w:rPr>
            </w:pPr>
          </w:p>
        </w:tc>
        <w:tc>
          <w:tcPr>
            <w:tcW w:w="780" w:type="dxa"/>
            <w:tcBorders>
              <w:top w:val="single" w:sz="8" w:space="0" w:color="CF0A2C"/>
            </w:tcBorders>
            <w:shd w:val="clear" w:color="auto" w:fill="FAE6E9"/>
            <w:vAlign w:val="bottom"/>
          </w:tcPr>
          <w:p w:rsidR="00A621E3" w:rsidRDefault="00EC630E">
            <w:pPr>
              <w:spacing w:line="146" w:lineRule="exact"/>
              <w:jc w:val="center"/>
              <w:rPr>
                <w:sz w:val="20"/>
                <w:szCs w:val="20"/>
              </w:rPr>
            </w:pPr>
            <w:r>
              <w:rPr>
                <w:rFonts w:ascii="Arial" w:eastAsia="Arial" w:hAnsi="Arial" w:cs="Arial"/>
                <w:b/>
                <w:bCs/>
                <w:color w:val="CF0A2C"/>
                <w:sz w:val="13"/>
                <w:szCs w:val="13"/>
              </w:rPr>
              <w:t>Option/</w:t>
            </w:r>
          </w:p>
        </w:tc>
        <w:tc>
          <w:tcPr>
            <w:tcW w:w="1100" w:type="dxa"/>
            <w:tcBorders>
              <w:top w:val="single" w:sz="8" w:space="0" w:color="CF0A2C"/>
            </w:tcBorders>
            <w:shd w:val="clear" w:color="auto" w:fill="FAE6E9"/>
            <w:vAlign w:val="bottom"/>
          </w:tcPr>
          <w:p w:rsidR="00A621E3" w:rsidRDefault="00EC630E">
            <w:pPr>
              <w:spacing w:line="146" w:lineRule="exact"/>
              <w:jc w:val="center"/>
              <w:rPr>
                <w:sz w:val="20"/>
                <w:szCs w:val="20"/>
              </w:rPr>
            </w:pPr>
            <w:r>
              <w:rPr>
                <w:rFonts w:ascii="Arial" w:eastAsia="Arial" w:hAnsi="Arial" w:cs="Arial"/>
                <w:b/>
                <w:bCs/>
                <w:color w:val="CF0A2C"/>
                <w:sz w:val="13"/>
                <w:szCs w:val="13"/>
              </w:rPr>
              <w:t>Non-Equity</w:t>
            </w:r>
          </w:p>
        </w:tc>
        <w:tc>
          <w:tcPr>
            <w:tcW w:w="1120" w:type="dxa"/>
            <w:tcBorders>
              <w:top w:val="single" w:sz="8" w:space="0" w:color="CF0A2C"/>
            </w:tcBorders>
            <w:shd w:val="clear" w:color="auto" w:fill="FAE6E9"/>
            <w:vAlign w:val="bottom"/>
          </w:tcPr>
          <w:p w:rsidR="00A621E3" w:rsidRDefault="00A621E3">
            <w:pPr>
              <w:rPr>
                <w:sz w:val="12"/>
                <w:szCs w:val="12"/>
              </w:rPr>
            </w:pPr>
          </w:p>
        </w:tc>
        <w:tc>
          <w:tcPr>
            <w:tcW w:w="820" w:type="dxa"/>
            <w:tcBorders>
              <w:top w:val="single" w:sz="8" w:space="0" w:color="CF0A2C"/>
            </w:tcBorders>
            <w:shd w:val="clear" w:color="auto" w:fill="FAE6E9"/>
            <w:vAlign w:val="bottom"/>
          </w:tcPr>
          <w:p w:rsidR="00A621E3" w:rsidRDefault="00A621E3">
            <w:pPr>
              <w:rPr>
                <w:sz w:val="12"/>
                <w:szCs w:val="12"/>
              </w:rPr>
            </w:pPr>
          </w:p>
        </w:tc>
      </w:tr>
      <w:tr w:rsidR="00A621E3">
        <w:trPr>
          <w:trHeight w:val="148"/>
        </w:trPr>
        <w:tc>
          <w:tcPr>
            <w:tcW w:w="3160" w:type="dxa"/>
            <w:shd w:val="clear" w:color="auto" w:fill="FAE6E9"/>
            <w:vAlign w:val="bottom"/>
          </w:tcPr>
          <w:p w:rsidR="00A621E3" w:rsidRDefault="00A621E3">
            <w:pPr>
              <w:rPr>
                <w:sz w:val="12"/>
                <w:szCs w:val="12"/>
              </w:rPr>
            </w:pPr>
          </w:p>
        </w:tc>
        <w:tc>
          <w:tcPr>
            <w:tcW w:w="1680" w:type="dxa"/>
            <w:shd w:val="clear" w:color="auto" w:fill="FAE6E9"/>
            <w:vAlign w:val="bottom"/>
          </w:tcPr>
          <w:p w:rsidR="00A621E3" w:rsidRDefault="00A621E3">
            <w:pPr>
              <w:rPr>
                <w:sz w:val="12"/>
                <w:szCs w:val="12"/>
              </w:rPr>
            </w:pPr>
          </w:p>
        </w:tc>
        <w:tc>
          <w:tcPr>
            <w:tcW w:w="800" w:type="dxa"/>
            <w:shd w:val="clear" w:color="auto" w:fill="FAE6E9"/>
            <w:vAlign w:val="bottom"/>
          </w:tcPr>
          <w:p w:rsidR="00A621E3" w:rsidRDefault="00A621E3">
            <w:pPr>
              <w:rPr>
                <w:sz w:val="12"/>
                <w:szCs w:val="12"/>
              </w:rPr>
            </w:pPr>
          </w:p>
        </w:tc>
        <w:tc>
          <w:tcPr>
            <w:tcW w:w="700" w:type="dxa"/>
            <w:shd w:val="clear" w:color="auto" w:fill="FAE6E9"/>
            <w:vAlign w:val="bottom"/>
          </w:tcPr>
          <w:p w:rsidR="00A621E3" w:rsidRDefault="00A621E3">
            <w:pPr>
              <w:rPr>
                <w:sz w:val="12"/>
                <w:szCs w:val="12"/>
              </w:rPr>
            </w:pPr>
          </w:p>
        </w:tc>
        <w:tc>
          <w:tcPr>
            <w:tcW w:w="860" w:type="dxa"/>
            <w:shd w:val="clear" w:color="auto" w:fill="FAE6E9"/>
            <w:vAlign w:val="bottom"/>
          </w:tcPr>
          <w:p w:rsidR="00A621E3" w:rsidRDefault="00EC630E">
            <w:pPr>
              <w:jc w:val="center"/>
              <w:rPr>
                <w:sz w:val="20"/>
                <w:szCs w:val="20"/>
              </w:rPr>
            </w:pPr>
            <w:r>
              <w:rPr>
                <w:rFonts w:ascii="Arial" w:eastAsia="Arial" w:hAnsi="Arial" w:cs="Arial"/>
                <w:b/>
                <w:bCs/>
                <w:color w:val="CF0A2C"/>
                <w:sz w:val="13"/>
                <w:szCs w:val="13"/>
              </w:rPr>
              <w:t>Stock</w:t>
            </w:r>
          </w:p>
        </w:tc>
        <w:tc>
          <w:tcPr>
            <w:tcW w:w="780" w:type="dxa"/>
            <w:shd w:val="clear" w:color="auto" w:fill="FAE6E9"/>
            <w:vAlign w:val="bottom"/>
          </w:tcPr>
          <w:p w:rsidR="00A621E3" w:rsidRDefault="00EC630E">
            <w:pPr>
              <w:jc w:val="center"/>
              <w:rPr>
                <w:sz w:val="20"/>
                <w:szCs w:val="20"/>
              </w:rPr>
            </w:pPr>
            <w:r>
              <w:rPr>
                <w:rFonts w:ascii="Arial" w:eastAsia="Arial" w:hAnsi="Arial" w:cs="Arial"/>
                <w:b/>
                <w:bCs/>
                <w:color w:val="CF0A2C"/>
                <w:sz w:val="13"/>
                <w:szCs w:val="13"/>
              </w:rPr>
              <w:t>SAR</w:t>
            </w:r>
          </w:p>
        </w:tc>
        <w:tc>
          <w:tcPr>
            <w:tcW w:w="1100" w:type="dxa"/>
            <w:shd w:val="clear" w:color="auto" w:fill="FAE6E9"/>
            <w:vAlign w:val="bottom"/>
          </w:tcPr>
          <w:p w:rsidR="00A621E3" w:rsidRDefault="00EC630E">
            <w:pPr>
              <w:jc w:val="center"/>
              <w:rPr>
                <w:sz w:val="20"/>
                <w:szCs w:val="20"/>
              </w:rPr>
            </w:pPr>
            <w:r>
              <w:rPr>
                <w:rFonts w:ascii="Arial" w:eastAsia="Arial" w:hAnsi="Arial" w:cs="Arial"/>
                <w:b/>
                <w:bCs/>
                <w:color w:val="CF0A2C"/>
                <w:sz w:val="13"/>
                <w:szCs w:val="13"/>
              </w:rPr>
              <w:t>Incentive Plan</w:t>
            </w:r>
          </w:p>
        </w:tc>
        <w:tc>
          <w:tcPr>
            <w:tcW w:w="1120" w:type="dxa"/>
            <w:shd w:val="clear" w:color="auto" w:fill="FAE6E9"/>
            <w:vAlign w:val="bottom"/>
          </w:tcPr>
          <w:p w:rsidR="00A621E3" w:rsidRDefault="00EC630E">
            <w:pPr>
              <w:jc w:val="center"/>
              <w:rPr>
                <w:sz w:val="20"/>
                <w:szCs w:val="20"/>
              </w:rPr>
            </w:pPr>
            <w:r>
              <w:rPr>
                <w:rFonts w:ascii="Arial" w:eastAsia="Arial" w:hAnsi="Arial" w:cs="Arial"/>
                <w:b/>
                <w:bCs/>
                <w:color w:val="CF0A2C"/>
                <w:sz w:val="13"/>
                <w:szCs w:val="13"/>
              </w:rPr>
              <w:t>All Other</w:t>
            </w:r>
          </w:p>
        </w:tc>
        <w:tc>
          <w:tcPr>
            <w:tcW w:w="820" w:type="dxa"/>
            <w:shd w:val="clear" w:color="auto" w:fill="FAE6E9"/>
            <w:vAlign w:val="bottom"/>
          </w:tcPr>
          <w:p w:rsidR="00A621E3" w:rsidRDefault="00A621E3">
            <w:pPr>
              <w:rPr>
                <w:sz w:val="12"/>
                <w:szCs w:val="12"/>
              </w:rPr>
            </w:pPr>
          </w:p>
        </w:tc>
      </w:tr>
      <w:tr w:rsidR="00A621E3">
        <w:trPr>
          <w:trHeight w:val="148"/>
        </w:trPr>
        <w:tc>
          <w:tcPr>
            <w:tcW w:w="3160" w:type="dxa"/>
            <w:shd w:val="clear" w:color="auto" w:fill="FAE6E9"/>
            <w:vAlign w:val="bottom"/>
          </w:tcPr>
          <w:p w:rsidR="00A621E3" w:rsidRDefault="00A621E3">
            <w:pPr>
              <w:rPr>
                <w:sz w:val="12"/>
                <w:szCs w:val="12"/>
              </w:rPr>
            </w:pPr>
          </w:p>
        </w:tc>
        <w:tc>
          <w:tcPr>
            <w:tcW w:w="1680" w:type="dxa"/>
            <w:shd w:val="clear" w:color="auto" w:fill="FAE6E9"/>
            <w:vAlign w:val="bottom"/>
          </w:tcPr>
          <w:p w:rsidR="00A621E3" w:rsidRDefault="00A621E3">
            <w:pPr>
              <w:rPr>
                <w:sz w:val="12"/>
                <w:szCs w:val="12"/>
              </w:rPr>
            </w:pPr>
          </w:p>
        </w:tc>
        <w:tc>
          <w:tcPr>
            <w:tcW w:w="800" w:type="dxa"/>
            <w:shd w:val="clear" w:color="auto" w:fill="FAE6E9"/>
            <w:vAlign w:val="bottom"/>
          </w:tcPr>
          <w:p w:rsidR="00A621E3" w:rsidRDefault="00EC630E">
            <w:pPr>
              <w:ind w:right="152"/>
              <w:jc w:val="right"/>
              <w:rPr>
                <w:sz w:val="20"/>
                <w:szCs w:val="20"/>
              </w:rPr>
            </w:pPr>
            <w:r>
              <w:rPr>
                <w:rFonts w:ascii="Arial" w:eastAsia="Arial" w:hAnsi="Arial" w:cs="Arial"/>
                <w:b/>
                <w:bCs/>
                <w:color w:val="CF0A2C"/>
                <w:sz w:val="13"/>
                <w:szCs w:val="13"/>
              </w:rPr>
              <w:t>Salary</w:t>
            </w:r>
          </w:p>
        </w:tc>
        <w:tc>
          <w:tcPr>
            <w:tcW w:w="700" w:type="dxa"/>
            <w:shd w:val="clear" w:color="auto" w:fill="FAE6E9"/>
            <w:vAlign w:val="bottom"/>
          </w:tcPr>
          <w:p w:rsidR="00A621E3" w:rsidRDefault="00EC630E">
            <w:pPr>
              <w:jc w:val="center"/>
              <w:rPr>
                <w:sz w:val="20"/>
                <w:szCs w:val="20"/>
              </w:rPr>
            </w:pPr>
            <w:r>
              <w:rPr>
                <w:rFonts w:ascii="Arial" w:eastAsia="Arial" w:hAnsi="Arial" w:cs="Arial"/>
                <w:b/>
                <w:bCs/>
                <w:color w:val="CF0A2C"/>
                <w:sz w:val="13"/>
                <w:szCs w:val="13"/>
              </w:rPr>
              <w:t>Bonus</w:t>
            </w:r>
          </w:p>
        </w:tc>
        <w:tc>
          <w:tcPr>
            <w:tcW w:w="860" w:type="dxa"/>
            <w:shd w:val="clear" w:color="auto" w:fill="FAE6E9"/>
            <w:vAlign w:val="bottom"/>
          </w:tcPr>
          <w:p w:rsidR="00A621E3" w:rsidRDefault="00EC630E">
            <w:pPr>
              <w:jc w:val="center"/>
              <w:rPr>
                <w:sz w:val="20"/>
                <w:szCs w:val="20"/>
              </w:rPr>
            </w:pPr>
            <w:r>
              <w:rPr>
                <w:rFonts w:ascii="Arial" w:eastAsia="Arial" w:hAnsi="Arial" w:cs="Arial"/>
                <w:b/>
                <w:bCs/>
                <w:color w:val="CF0A2C"/>
                <w:sz w:val="13"/>
                <w:szCs w:val="13"/>
              </w:rPr>
              <w:t>Awards</w:t>
            </w:r>
          </w:p>
        </w:tc>
        <w:tc>
          <w:tcPr>
            <w:tcW w:w="780" w:type="dxa"/>
            <w:shd w:val="clear" w:color="auto" w:fill="FAE6E9"/>
            <w:vAlign w:val="bottom"/>
          </w:tcPr>
          <w:p w:rsidR="00A621E3" w:rsidRDefault="00EC630E">
            <w:pPr>
              <w:jc w:val="center"/>
              <w:rPr>
                <w:sz w:val="20"/>
                <w:szCs w:val="20"/>
              </w:rPr>
            </w:pPr>
            <w:r>
              <w:rPr>
                <w:rFonts w:ascii="Arial" w:eastAsia="Arial" w:hAnsi="Arial" w:cs="Arial"/>
                <w:b/>
                <w:bCs/>
                <w:color w:val="CF0A2C"/>
                <w:sz w:val="13"/>
                <w:szCs w:val="13"/>
              </w:rPr>
              <w:t>Awards</w:t>
            </w:r>
          </w:p>
        </w:tc>
        <w:tc>
          <w:tcPr>
            <w:tcW w:w="1100" w:type="dxa"/>
            <w:shd w:val="clear" w:color="auto" w:fill="FAE6E9"/>
            <w:vAlign w:val="bottom"/>
          </w:tcPr>
          <w:p w:rsidR="00A621E3" w:rsidRDefault="00EC630E">
            <w:pPr>
              <w:jc w:val="center"/>
              <w:rPr>
                <w:sz w:val="20"/>
                <w:szCs w:val="20"/>
              </w:rPr>
            </w:pPr>
            <w:r>
              <w:rPr>
                <w:rFonts w:ascii="Arial" w:eastAsia="Arial" w:hAnsi="Arial" w:cs="Arial"/>
                <w:b/>
                <w:bCs/>
                <w:color w:val="CF0A2C"/>
                <w:sz w:val="13"/>
                <w:szCs w:val="13"/>
              </w:rPr>
              <w:t>Compensation</w:t>
            </w:r>
          </w:p>
        </w:tc>
        <w:tc>
          <w:tcPr>
            <w:tcW w:w="1120" w:type="dxa"/>
            <w:shd w:val="clear" w:color="auto" w:fill="FAE6E9"/>
            <w:vAlign w:val="bottom"/>
          </w:tcPr>
          <w:p w:rsidR="00A621E3" w:rsidRDefault="00EC630E">
            <w:pPr>
              <w:jc w:val="center"/>
              <w:rPr>
                <w:sz w:val="20"/>
                <w:szCs w:val="20"/>
              </w:rPr>
            </w:pPr>
            <w:r>
              <w:rPr>
                <w:rFonts w:ascii="Arial" w:eastAsia="Arial" w:hAnsi="Arial" w:cs="Arial"/>
                <w:b/>
                <w:bCs/>
                <w:color w:val="CF0A2C"/>
                <w:sz w:val="13"/>
                <w:szCs w:val="13"/>
              </w:rPr>
              <w:t>Compensation</w:t>
            </w:r>
          </w:p>
        </w:tc>
        <w:tc>
          <w:tcPr>
            <w:tcW w:w="820" w:type="dxa"/>
            <w:shd w:val="clear" w:color="auto" w:fill="FAE6E9"/>
            <w:vAlign w:val="bottom"/>
          </w:tcPr>
          <w:p w:rsidR="00A621E3" w:rsidRDefault="00EC630E">
            <w:pPr>
              <w:jc w:val="center"/>
              <w:rPr>
                <w:sz w:val="20"/>
                <w:szCs w:val="20"/>
              </w:rPr>
            </w:pPr>
            <w:r>
              <w:rPr>
                <w:rFonts w:ascii="Arial" w:eastAsia="Arial" w:hAnsi="Arial" w:cs="Arial"/>
                <w:b/>
                <w:bCs/>
                <w:color w:val="CF0A2C"/>
                <w:w w:val="96"/>
                <w:sz w:val="13"/>
                <w:szCs w:val="13"/>
              </w:rPr>
              <w:t>Total</w:t>
            </w:r>
          </w:p>
        </w:tc>
      </w:tr>
      <w:tr w:rsidR="00A621E3">
        <w:trPr>
          <w:trHeight w:val="179"/>
        </w:trPr>
        <w:tc>
          <w:tcPr>
            <w:tcW w:w="3160" w:type="dxa"/>
            <w:tcBorders>
              <w:bottom w:val="single" w:sz="8" w:space="0" w:color="CF0A2C"/>
            </w:tcBorders>
            <w:shd w:val="clear" w:color="auto" w:fill="FAE6E9"/>
            <w:vAlign w:val="bottom"/>
          </w:tcPr>
          <w:p w:rsidR="00A621E3" w:rsidRDefault="00EC630E">
            <w:pPr>
              <w:ind w:left="60"/>
              <w:rPr>
                <w:sz w:val="20"/>
                <w:szCs w:val="20"/>
              </w:rPr>
            </w:pPr>
            <w:r>
              <w:rPr>
                <w:rFonts w:ascii="Arial" w:eastAsia="Arial" w:hAnsi="Arial" w:cs="Arial"/>
                <w:b/>
                <w:bCs/>
                <w:color w:val="CF0A2C"/>
                <w:sz w:val="13"/>
                <w:szCs w:val="13"/>
              </w:rPr>
              <w:t>Name and Principal Position</w:t>
            </w:r>
          </w:p>
        </w:tc>
        <w:tc>
          <w:tcPr>
            <w:tcW w:w="1680" w:type="dxa"/>
            <w:tcBorders>
              <w:bottom w:val="single" w:sz="8" w:space="0" w:color="CF0A2C"/>
            </w:tcBorders>
            <w:shd w:val="clear" w:color="auto" w:fill="FAE6E9"/>
            <w:vAlign w:val="bottom"/>
          </w:tcPr>
          <w:p w:rsidR="00A621E3" w:rsidRDefault="00EC630E">
            <w:pPr>
              <w:ind w:left="1280"/>
              <w:rPr>
                <w:sz w:val="20"/>
                <w:szCs w:val="20"/>
              </w:rPr>
            </w:pPr>
            <w:r>
              <w:rPr>
                <w:rFonts w:ascii="Arial" w:eastAsia="Arial" w:hAnsi="Arial" w:cs="Arial"/>
                <w:b/>
                <w:bCs/>
                <w:color w:val="CF0A2C"/>
                <w:sz w:val="13"/>
                <w:szCs w:val="13"/>
              </w:rPr>
              <w:t>Year</w:t>
            </w:r>
          </w:p>
        </w:tc>
        <w:tc>
          <w:tcPr>
            <w:tcW w:w="800" w:type="dxa"/>
            <w:tcBorders>
              <w:bottom w:val="single" w:sz="8" w:space="0" w:color="CF0A2C"/>
            </w:tcBorders>
            <w:shd w:val="clear" w:color="auto" w:fill="FAE6E9"/>
            <w:vAlign w:val="bottom"/>
          </w:tcPr>
          <w:p w:rsidR="00A621E3" w:rsidRDefault="00EC630E">
            <w:pPr>
              <w:ind w:right="272"/>
              <w:jc w:val="right"/>
              <w:rPr>
                <w:sz w:val="20"/>
                <w:szCs w:val="20"/>
              </w:rPr>
            </w:pPr>
            <w:r>
              <w:rPr>
                <w:rFonts w:ascii="Arial" w:eastAsia="Arial" w:hAnsi="Arial" w:cs="Arial"/>
                <w:b/>
                <w:bCs/>
                <w:color w:val="CF0A2C"/>
                <w:sz w:val="13"/>
                <w:szCs w:val="13"/>
              </w:rPr>
              <w:t>($)</w:t>
            </w:r>
          </w:p>
        </w:tc>
        <w:tc>
          <w:tcPr>
            <w:tcW w:w="700" w:type="dxa"/>
            <w:tcBorders>
              <w:bottom w:val="single" w:sz="8" w:space="0" w:color="CF0A2C"/>
            </w:tcBorders>
            <w:shd w:val="clear" w:color="auto" w:fill="FAE6E9"/>
            <w:vAlign w:val="bottom"/>
          </w:tcPr>
          <w:p w:rsidR="00A621E3" w:rsidRDefault="00EC630E">
            <w:pPr>
              <w:jc w:val="center"/>
              <w:rPr>
                <w:sz w:val="20"/>
                <w:szCs w:val="20"/>
              </w:rPr>
            </w:pPr>
            <w:r>
              <w:rPr>
                <w:rFonts w:ascii="Arial" w:eastAsia="Arial" w:hAnsi="Arial" w:cs="Arial"/>
                <w:b/>
                <w:bCs/>
                <w:color w:val="CF0A2C"/>
                <w:sz w:val="13"/>
                <w:szCs w:val="13"/>
              </w:rPr>
              <w:t>($)</w:t>
            </w:r>
          </w:p>
        </w:tc>
        <w:tc>
          <w:tcPr>
            <w:tcW w:w="860" w:type="dxa"/>
            <w:tcBorders>
              <w:bottom w:val="single" w:sz="8" w:space="0" w:color="CF0A2C"/>
            </w:tcBorders>
            <w:shd w:val="clear" w:color="auto" w:fill="FAE6E9"/>
            <w:vAlign w:val="bottom"/>
          </w:tcPr>
          <w:p w:rsidR="00A621E3" w:rsidRDefault="00EC630E">
            <w:pPr>
              <w:spacing w:line="179" w:lineRule="exact"/>
              <w:jc w:val="center"/>
              <w:rPr>
                <w:sz w:val="20"/>
                <w:szCs w:val="20"/>
              </w:rPr>
            </w:pPr>
            <w:r>
              <w:rPr>
                <w:rFonts w:ascii="Arial" w:eastAsia="Arial" w:hAnsi="Arial" w:cs="Arial"/>
                <w:b/>
                <w:bCs/>
                <w:color w:val="CF0A2C"/>
                <w:w w:val="93"/>
                <w:sz w:val="13"/>
                <w:szCs w:val="13"/>
              </w:rPr>
              <w:t>($)</w:t>
            </w:r>
            <w:r>
              <w:rPr>
                <w:rFonts w:ascii="Arial" w:eastAsia="Arial" w:hAnsi="Arial" w:cs="Arial"/>
                <w:b/>
                <w:bCs/>
                <w:color w:val="CF0A2C"/>
                <w:w w:val="93"/>
                <w:sz w:val="20"/>
                <w:szCs w:val="20"/>
                <w:vertAlign w:val="superscript"/>
              </w:rPr>
              <w:t>(1)</w:t>
            </w:r>
          </w:p>
        </w:tc>
        <w:tc>
          <w:tcPr>
            <w:tcW w:w="780" w:type="dxa"/>
            <w:tcBorders>
              <w:bottom w:val="single" w:sz="8" w:space="0" w:color="CF0A2C"/>
            </w:tcBorders>
            <w:shd w:val="clear" w:color="auto" w:fill="FAE6E9"/>
            <w:vAlign w:val="bottom"/>
          </w:tcPr>
          <w:p w:rsidR="00A621E3" w:rsidRDefault="00EC630E">
            <w:pPr>
              <w:spacing w:line="179" w:lineRule="exact"/>
              <w:jc w:val="center"/>
              <w:rPr>
                <w:sz w:val="20"/>
                <w:szCs w:val="20"/>
              </w:rPr>
            </w:pPr>
            <w:r>
              <w:rPr>
                <w:rFonts w:ascii="Arial" w:eastAsia="Arial" w:hAnsi="Arial" w:cs="Arial"/>
                <w:b/>
                <w:bCs/>
                <w:color w:val="CF0A2C"/>
                <w:w w:val="86"/>
                <w:sz w:val="13"/>
                <w:szCs w:val="13"/>
              </w:rPr>
              <w:t>($)</w:t>
            </w:r>
            <w:r>
              <w:rPr>
                <w:rFonts w:ascii="Arial" w:eastAsia="Arial" w:hAnsi="Arial" w:cs="Arial"/>
                <w:b/>
                <w:bCs/>
                <w:color w:val="CF0A2C"/>
                <w:w w:val="86"/>
                <w:sz w:val="20"/>
                <w:szCs w:val="20"/>
                <w:vertAlign w:val="superscript"/>
              </w:rPr>
              <w:t>(2)</w:t>
            </w:r>
          </w:p>
        </w:tc>
        <w:tc>
          <w:tcPr>
            <w:tcW w:w="1100" w:type="dxa"/>
            <w:tcBorders>
              <w:bottom w:val="single" w:sz="8" w:space="0" w:color="CF0A2C"/>
            </w:tcBorders>
            <w:shd w:val="clear" w:color="auto" w:fill="FAE6E9"/>
            <w:vAlign w:val="bottom"/>
          </w:tcPr>
          <w:p w:rsidR="00A621E3" w:rsidRDefault="00EC630E">
            <w:pPr>
              <w:spacing w:line="179" w:lineRule="exact"/>
              <w:jc w:val="center"/>
              <w:rPr>
                <w:sz w:val="20"/>
                <w:szCs w:val="20"/>
              </w:rPr>
            </w:pPr>
            <w:r>
              <w:rPr>
                <w:rFonts w:ascii="Arial" w:eastAsia="Arial" w:hAnsi="Arial" w:cs="Arial"/>
                <w:b/>
                <w:bCs/>
                <w:color w:val="CF0A2C"/>
                <w:w w:val="93"/>
                <w:sz w:val="13"/>
                <w:szCs w:val="13"/>
              </w:rPr>
              <w:t>($)</w:t>
            </w:r>
            <w:r>
              <w:rPr>
                <w:rFonts w:ascii="Arial" w:eastAsia="Arial" w:hAnsi="Arial" w:cs="Arial"/>
                <w:b/>
                <w:bCs/>
                <w:color w:val="CF0A2C"/>
                <w:w w:val="93"/>
                <w:sz w:val="20"/>
                <w:szCs w:val="20"/>
                <w:vertAlign w:val="superscript"/>
              </w:rPr>
              <w:t>(3)</w:t>
            </w:r>
          </w:p>
        </w:tc>
        <w:tc>
          <w:tcPr>
            <w:tcW w:w="1120" w:type="dxa"/>
            <w:tcBorders>
              <w:bottom w:val="single" w:sz="8" w:space="0" w:color="CF0A2C"/>
            </w:tcBorders>
            <w:shd w:val="clear" w:color="auto" w:fill="FAE6E9"/>
            <w:vAlign w:val="bottom"/>
          </w:tcPr>
          <w:p w:rsidR="00A621E3" w:rsidRDefault="00EC630E">
            <w:pPr>
              <w:spacing w:line="179" w:lineRule="exact"/>
              <w:jc w:val="center"/>
              <w:rPr>
                <w:sz w:val="20"/>
                <w:szCs w:val="20"/>
              </w:rPr>
            </w:pPr>
            <w:r>
              <w:rPr>
                <w:rFonts w:ascii="Arial" w:eastAsia="Arial" w:hAnsi="Arial" w:cs="Arial"/>
                <w:b/>
                <w:bCs/>
                <w:color w:val="CF0A2C"/>
                <w:w w:val="86"/>
                <w:sz w:val="13"/>
                <w:szCs w:val="13"/>
              </w:rPr>
              <w:t>($)</w:t>
            </w:r>
            <w:r>
              <w:rPr>
                <w:rFonts w:ascii="Arial" w:eastAsia="Arial" w:hAnsi="Arial" w:cs="Arial"/>
                <w:b/>
                <w:bCs/>
                <w:color w:val="CF0A2C"/>
                <w:w w:val="86"/>
                <w:sz w:val="20"/>
                <w:szCs w:val="20"/>
                <w:vertAlign w:val="superscript"/>
              </w:rPr>
              <w:t>(4)</w:t>
            </w:r>
          </w:p>
        </w:tc>
        <w:tc>
          <w:tcPr>
            <w:tcW w:w="820" w:type="dxa"/>
            <w:tcBorders>
              <w:bottom w:val="single" w:sz="8" w:space="0" w:color="CF0A2C"/>
            </w:tcBorders>
            <w:shd w:val="clear" w:color="auto" w:fill="FAE6E9"/>
            <w:vAlign w:val="bottom"/>
          </w:tcPr>
          <w:p w:rsidR="00A621E3" w:rsidRDefault="00EC630E">
            <w:pPr>
              <w:spacing w:line="179" w:lineRule="exact"/>
              <w:jc w:val="center"/>
              <w:rPr>
                <w:sz w:val="20"/>
                <w:szCs w:val="20"/>
              </w:rPr>
            </w:pPr>
            <w:r>
              <w:rPr>
                <w:rFonts w:ascii="Arial" w:eastAsia="Arial" w:hAnsi="Arial" w:cs="Arial"/>
                <w:b/>
                <w:bCs/>
                <w:color w:val="CF0A2C"/>
                <w:w w:val="93"/>
                <w:sz w:val="13"/>
                <w:szCs w:val="13"/>
              </w:rPr>
              <w:t>($)</w:t>
            </w:r>
            <w:r>
              <w:rPr>
                <w:rFonts w:ascii="Arial" w:eastAsia="Arial" w:hAnsi="Arial" w:cs="Arial"/>
                <w:b/>
                <w:bCs/>
                <w:color w:val="CF0A2C"/>
                <w:w w:val="93"/>
                <w:sz w:val="20"/>
                <w:szCs w:val="20"/>
                <w:vertAlign w:val="superscript"/>
              </w:rPr>
              <w:t>(5)</w:t>
            </w:r>
          </w:p>
        </w:tc>
      </w:tr>
      <w:tr w:rsidR="00A621E3">
        <w:trPr>
          <w:trHeight w:val="169"/>
        </w:trPr>
        <w:tc>
          <w:tcPr>
            <w:tcW w:w="3160" w:type="dxa"/>
            <w:vAlign w:val="bottom"/>
          </w:tcPr>
          <w:p w:rsidR="00A621E3" w:rsidRDefault="00EC630E">
            <w:pPr>
              <w:ind w:left="80"/>
              <w:rPr>
                <w:sz w:val="20"/>
                <w:szCs w:val="20"/>
              </w:rPr>
            </w:pPr>
            <w:r>
              <w:rPr>
                <w:rFonts w:ascii="Arial" w:eastAsia="Arial" w:hAnsi="Arial" w:cs="Arial"/>
                <w:b/>
                <w:bCs/>
                <w:color w:val="CF0A2C"/>
                <w:sz w:val="14"/>
                <w:szCs w:val="14"/>
              </w:rPr>
              <w:t>(a)</w:t>
            </w:r>
          </w:p>
        </w:tc>
        <w:tc>
          <w:tcPr>
            <w:tcW w:w="1680" w:type="dxa"/>
            <w:vAlign w:val="bottom"/>
          </w:tcPr>
          <w:p w:rsidR="00A621E3" w:rsidRDefault="00EC630E">
            <w:pPr>
              <w:ind w:left="1320"/>
              <w:rPr>
                <w:sz w:val="20"/>
                <w:szCs w:val="20"/>
              </w:rPr>
            </w:pPr>
            <w:r>
              <w:rPr>
                <w:rFonts w:ascii="Arial" w:eastAsia="Arial" w:hAnsi="Arial" w:cs="Arial"/>
                <w:b/>
                <w:bCs/>
                <w:color w:val="CF0A2C"/>
                <w:sz w:val="14"/>
                <w:szCs w:val="14"/>
              </w:rPr>
              <w:t>(b)</w:t>
            </w:r>
          </w:p>
        </w:tc>
        <w:tc>
          <w:tcPr>
            <w:tcW w:w="800" w:type="dxa"/>
            <w:vAlign w:val="bottom"/>
          </w:tcPr>
          <w:p w:rsidR="00A621E3" w:rsidRDefault="00EC630E">
            <w:pPr>
              <w:ind w:right="272"/>
              <w:jc w:val="right"/>
              <w:rPr>
                <w:sz w:val="20"/>
                <w:szCs w:val="20"/>
              </w:rPr>
            </w:pPr>
            <w:r>
              <w:rPr>
                <w:rFonts w:ascii="Arial" w:eastAsia="Arial" w:hAnsi="Arial" w:cs="Arial"/>
                <w:b/>
                <w:bCs/>
                <w:color w:val="CF0A2C"/>
                <w:sz w:val="14"/>
                <w:szCs w:val="14"/>
              </w:rPr>
              <w:t>(c)</w:t>
            </w:r>
          </w:p>
        </w:tc>
        <w:tc>
          <w:tcPr>
            <w:tcW w:w="700" w:type="dxa"/>
            <w:vAlign w:val="bottom"/>
          </w:tcPr>
          <w:p w:rsidR="00A621E3" w:rsidRDefault="00EC630E">
            <w:pPr>
              <w:jc w:val="center"/>
              <w:rPr>
                <w:sz w:val="20"/>
                <w:szCs w:val="20"/>
              </w:rPr>
            </w:pPr>
            <w:r>
              <w:rPr>
                <w:rFonts w:ascii="Arial" w:eastAsia="Arial" w:hAnsi="Arial" w:cs="Arial"/>
                <w:b/>
                <w:bCs/>
                <w:color w:val="CF0A2C"/>
                <w:sz w:val="14"/>
                <w:szCs w:val="14"/>
              </w:rPr>
              <w:t>(d)</w:t>
            </w:r>
          </w:p>
        </w:tc>
        <w:tc>
          <w:tcPr>
            <w:tcW w:w="860" w:type="dxa"/>
            <w:vAlign w:val="bottom"/>
          </w:tcPr>
          <w:p w:rsidR="00A621E3" w:rsidRDefault="00EC630E">
            <w:pPr>
              <w:jc w:val="center"/>
              <w:rPr>
                <w:sz w:val="20"/>
                <w:szCs w:val="20"/>
              </w:rPr>
            </w:pPr>
            <w:r>
              <w:rPr>
                <w:rFonts w:ascii="Arial" w:eastAsia="Arial" w:hAnsi="Arial" w:cs="Arial"/>
                <w:b/>
                <w:bCs/>
                <w:color w:val="CF0A2C"/>
                <w:sz w:val="14"/>
                <w:szCs w:val="14"/>
              </w:rPr>
              <w:t>(e)</w:t>
            </w:r>
          </w:p>
        </w:tc>
        <w:tc>
          <w:tcPr>
            <w:tcW w:w="780" w:type="dxa"/>
            <w:vAlign w:val="bottom"/>
          </w:tcPr>
          <w:p w:rsidR="00A621E3" w:rsidRDefault="00EC630E">
            <w:pPr>
              <w:jc w:val="center"/>
              <w:rPr>
                <w:sz w:val="20"/>
                <w:szCs w:val="20"/>
              </w:rPr>
            </w:pPr>
            <w:r>
              <w:rPr>
                <w:rFonts w:ascii="Arial" w:eastAsia="Arial" w:hAnsi="Arial" w:cs="Arial"/>
                <w:b/>
                <w:bCs/>
                <w:color w:val="CF0A2C"/>
                <w:w w:val="99"/>
                <w:sz w:val="14"/>
                <w:szCs w:val="14"/>
              </w:rPr>
              <w:t>(f)</w:t>
            </w:r>
          </w:p>
        </w:tc>
        <w:tc>
          <w:tcPr>
            <w:tcW w:w="1100" w:type="dxa"/>
            <w:vAlign w:val="bottom"/>
          </w:tcPr>
          <w:p w:rsidR="00A621E3" w:rsidRDefault="00EC630E">
            <w:pPr>
              <w:jc w:val="center"/>
              <w:rPr>
                <w:sz w:val="20"/>
                <w:szCs w:val="20"/>
              </w:rPr>
            </w:pPr>
            <w:r>
              <w:rPr>
                <w:rFonts w:ascii="Arial" w:eastAsia="Arial" w:hAnsi="Arial" w:cs="Arial"/>
                <w:b/>
                <w:bCs/>
                <w:color w:val="CF0A2C"/>
                <w:sz w:val="14"/>
                <w:szCs w:val="14"/>
              </w:rPr>
              <w:t>(g)</w:t>
            </w:r>
          </w:p>
        </w:tc>
        <w:tc>
          <w:tcPr>
            <w:tcW w:w="1120" w:type="dxa"/>
            <w:vAlign w:val="bottom"/>
          </w:tcPr>
          <w:p w:rsidR="00A621E3" w:rsidRDefault="00EC630E">
            <w:pPr>
              <w:jc w:val="center"/>
              <w:rPr>
                <w:sz w:val="20"/>
                <w:szCs w:val="20"/>
              </w:rPr>
            </w:pPr>
            <w:r>
              <w:rPr>
                <w:rFonts w:ascii="Arial" w:eastAsia="Arial" w:hAnsi="Arial" w:cs="Arial"/>
                <w:b/>
                <w:bCs/>
                <w:color w:val="CF0A2C"/>
                <w:sz w:val="14"/>
                <w:szCs w:val="14"/>
              </w:rPr>
              <w:t>(h)</w:t>
            </w:r>
          </w:p>
        </w:tc>
        <w:tc>
          <w:tcPr>
            <w:tcW w:w="820" w:type="dxa"/>
            <w:vAlign w:val="bottom"/>
          </w:tcPr>
          <w:p w:rsidR="00A621E3" w:rsidRDefault="00EC630E">
            <w:pPr>
              <w:jc w:val="center"/>
              <w:rPr>
                <w:sz w:val="20"/>
                <w:szCs w:val="20"/>
              </w:rPr>
            </w:pPr>
            <w:r>
              <w:rPr>
                <w:rFonts w:ascii="Arial" w:eastAsia="Arial" w:hAnsi="Arial" w:cs="Arial"/>
                <w:b/>
                <w:bCs/>
                <w:color w:val="CF0A2C"/>
                <w:sz w:val="14"/>
                <w:szCs w:val="14"/>
              </w:rPr>
              <w:t>(i)</w:t>
            </w:r>
          </w:p>
        </w:tc>
      </w:tr>
      <w:tr w:rsidR="00A621E3">
        <w:trPr>
          <w:trHeight w:val="190"/>
        </w:trPr>
        <w:tc>
          <w:tcPr>
            <w:tcW w:w="3160" w:type="dxa"/>
            <w:vAlign w:val="bottom"/>
          </w:tcPr>
          <w:p w:rsidR="00A621E3" w:rsidRDefault="00EC630E">
            <w:pPr>
              <w:rPr>
                <w:sz w:val="20"/>
                <w:szCs w:val="20"/>
              </w:rPr>
            </w:pPr>
            <w:r>
              <w:rPr>
                <w:rFonts w:ascii="Arial" w:eastAsia="Arial" w:hAnsi="Arial" w:cs="Arial"/>
                <w:b/>
                <w:bCs/>
                <w:color w:val="CF0A2C"/>
                <w:sz w:val="14"/>
                <w:szCs w:val="14"/>
              </w:rPr>
              <w:t>Joey Wat</w:t>
            </w:r>
          </w:p>
        </w:tc>
        <w:tc>
          <w:tcPr>
            <w:tcW w:w="1680" w:type="dxa"/>
            <w:vAlign w:val="bottom"/>
          </w:tcPr>
          <w:p w:rsidR="00A621E3" w:rsidRDefault="00EC630E">
            <w:pPr>
              <w:ind w:left="1280"/>
              <w:rPr>
                <w:sz w:val="20"/>
                <w:szCs w:val="20"/>
              </w:rPr>
            </w:pPr>
            <w:r>
              <w:rPr>
                <w:rFonts w:ascii="Arial" w:eastAsia="Arial" w:hAnsi="Arial" w:cs="Arial"/>
                <w:sz w:val="13"/>
                <w:szCs w:val="13"/>
              </w:rPr>
              <w:t>2022</w:t>
            </w:r>
          </w:p>
        </w:tc>
        <w:tc>
          <w:tcPr>
            <w:tcW w:w="800" w:type="dxa"/>
            <w:vAlign w:val="bottom"/>
          </w:tcPr>
          <w:p w:rsidR="00A621E3" w:rsidRDefault="00EC630E">
            <w:pPr>
              <w:ind w:right="32"/>
              <w:jc w:val="right"/>
              <w:rPr>
                <w:sz w:val="20"/>
                <w:szCs w:val="20"/>
              </w:rPr>
            </w:pPr>
            <w:r>
              <w:rPr>
                <w:rFonts w:ascii="Arial" w:eastAsia="Arial" w:hAnsi="Arial" w:cs="Arial"/>
                <w:sz w:val="13"/>
                <w:szCs w:val="13"/>
              </w:rPr>
              <w:t>1,418,750</w:t>
            </w:r>
          </w:p>
        </w:tc>
        <w:tc>
          <w:tcPr>
            <w:tcW w:w="700" w:type="dxa"/>
            <w:vAlign w:val="bottom"/>
          </w:tcPr>
          <w:p w:rsidR="00A621E3" w:rsidRDefault="00EC630E">
            <w:pPr>
              <w:ind w:right="32"/>
              <w:jc w:val="right"/>
              <w:rPr>
                <w:sz w:val="20"/>
                <w:szCs w:val="20"/>
              </w:rPr>
            </w:pPr>
            <w:r>
              <w:rPr>
                <w:rFonts w:ascii="Arial" w:eastAsia="Arial" w:hAnsi="Arial" w:cs="Arial"/>
                <w:sz w:val="13"/>
                <w:szCs w:val="13"/>
              </w:rPr>
              <w:t>—</w:t>
            </w:r>
          </w:p>
        </w:tc>
        <w:tc>
          <w:tcPr>
            <w:tcW w:w="860" w:type="dxa"/>
            <w:vAlign w:val="bottom"/>
          </w:tcPr>
          <w:p w:rsidR="00A621E3" w:rsidRDefault="00EC630E">
            <w:pPr>
              <w:ind w:right="12"/>
              <w:jc w:val="right"/>
              <w:rPr>
                <w:sz w:val="20"/>
                <w:szCs w:val="20"/>
              </w:rPr>
            </w:pPr>
            <w:r>
              <w:rPr>
                <w:rFonts w:ascii="Arial" w:eastAsia="Arial" w:hAnsi="Arial" w:cs="Arial"/>
                <w:sz w:val="13"/>
                <w:szCs w:val="13"/>
              </w:rPr>
              <w:t>6,035,116</w:t>
            </w:r>
          </w:p>
        </w:tc>
        <w:tc>
          <w:tcPr>
            <w:tcW w:w="780" w:type="dxa"/>
            <w:vAlign w:val="bottom"/>
          </w:tcPr>
          <w:p w:rsidR="00A621E3" w:rsidRDefault="00EC630E">
            <w:pPr>
              <w:ind w:right="12"/>
              <w:jc w:val="right"/>
              <w:rPr>
                <w:sz w:val="20"/>
                <w:szCs w:val="20"/>
              </w:rPr>
            </w:pPr>
            <w:r>
              <w:rPr>
                <w:rFonts w:ascii="Arial" w:eastAsia="Arial" w:hAnsi="Arial" w:cs="Arial"/>
                <w:sz w:val="13"/>
                <w:szCs w:val="13"/>
              </w:rPr>
              <w:t>3,250,011</w:t>
            </w:r>
          </w:p>
        </w:tc>
        <w:tc>
          <w:tcPr>
            <w:tcW w:w="1100" w:type="dxa"/>
            <w:vAlign w:val="bottom"/>
          </w:tcPr>
          <w:p w:rsidR="00A621E3" w:rsidRDefault="00EC630E">
            <w:pPr>
              <w:ind w:right="12"/>
              <w:jc w:val="right"/>
              <w:rPr>
                <w:sz w:val="20"/>
                <w:szCs w:val="20"/>
              </w:rPr>
            </w:pPr>
            <w:r>
              <w:rPr>
                <w:rFonts w:ascii="Arial" w:eastAsia="Arial" w:hAnsi="Arial" w:cs="Arial"/>
                <w:sz w:val="13"/>
                <w:szCs w:val="13"/>
              </w:rPr>
              <w:t>4,788,000</w:t>
            </w:r>
          </w:p>
        </w:tc>
        <w:tc>
          <w:tcPr>
            <w:tcW w:w="1120" w:type="dxa"/>
            <w:vAlign w:val="bottom"/>
          </w:tcPr>
          <w:p w:rsidR="00A621E3" w:rsidRDefault="00EC630E">
            <w:pPr>
              <w:ind w:right="32"/>
              <w:jc w:val="right"/>
              <w:rPr>
                <w:sz w:val="20"/>
                <w:szCs w:val="20"/>
              </w:rPr>
            </w:pPr>
            <w:r>
              <w:rPr>
                <w:rFonts w:ascii="Arial" w:eastAsia="Arial" w:hAnsi="Arial" w:cs="Arial"/>
                <w:sz w:val="13"/>
                <w:szCs w:val="13"/>
              </w:rPr>
              <w:t>401,002</w:t>
            </w:r>
          </w:p>
        </w:tc>
        <w:tc>
          <w:tcPr>
            <w:tcW w:w="820" w:type="dxa"/>
            <w:vAlign w:val="bottom"/>
          </w:tcPr>
          <w:p w:rsidR="00A621E3" w:rsidRDefault="00EC630E">
            <w:pPr>
              <w:jc w:val="right"/>
              <w:rPr>
                <w:sz w:val="20"/>
                <w:szCs w:val="20"/>
              </w:rPr>
            </w:pPr>
            <w:r>
              <w:rPr>
                <w:rFonts w:ascii="Arial" w:eastAsia="Arial" w:hAnsi="Arial" w:cs="Arial"/>
                <w:sz w:val="13"/>
                <w:szCs w:val="13"/>
              </w:rPr>
              <w:t>15,892,879</w:t>
            </w:r>
          </w:p>
        </w:tc>
      </w:tr>
      <w:tr w:rsidR="00A621E3">
        <w:trPr>
          <w:trHeight w:val="174"/>
        </w:trPr>
        <w:tc>
          <w:tcPr>
            <w:tcW w:w="3160" w:type="dxa"/>
            <w:vAlign w:val="bottom"/>
          </w:tcPr>
          <w:p w:rsidR="00A621E3" w:rsidRDefault="00EC630E">
            <w:pPr>
              <w:rPr>
                <w:sz w:val="20"/>
                <w:szCs w:val="20"/>
              </w:rPr>
            </w:pPr>
            <w:r>
              <w:rPr>
                <w:rFonts w:ascii="Arial" w:eastAsia="Arial" w:hAnsi="Arial" w:cs="Arial"/>
                <w:sz w:val="13"/>
                <w:szCs w:val="13"/>
              </w:rPr>
              <w:t>Chief Executive Officer</w:t>
            </w:r>
          </w:p>
        </w:tc>
        <w:tc>
          <w:tcPr>
            <w:tcW w:w="1680" w:type="dxa"/>
            <w:vAlign w:val="bottom"/>
          </w:tcPr>
          <w:p w:rsidR="00A621E3" w:rsidRDefault="00EC630E">
            <w:pPr>
              <w:ind w:left="1280"/>
              <w:rPr>
                <w:sz w:val="20"/>
                <w:szCs w:val="20"/>
              </w:rPr>
            </w:pPr>
            <w:r>
              <w:rPr>
                <w:rFonts w:ascii="Arial" w:eastAsia="Arial" w:hAnsi="Arial" w:cs="Arial"/>
                <w:sz w:val="13"/>
                <w:szCs w:val="13"/>
              </w:rPr>
              <w:t>2021</w:t>
            </w:r>
          </w:p>
        </w:tc>
        <w:tc>
          <w:tcPr>
            <w:tcW w:w="800" w:type="dxa"/>
            <w:vAlign w:val="bottom"/>
          </w:tcPr>
          <w:p w:rsidR="00A621E3" w:rsidRDefault="00EC630E">
            <w:pPr>
              <w:ind w:right="32"/>
              <w:jc w:val="right"/>
              <w:rPr>
                <w:sz w:val="20"/>
                <w:szCs w:val="20"/>
              </w:rPr>
            </w:pPr>
            <w:r>
              <w:rPr>
                <w:rFonts w:ascii="Arial" w:eastAsia="Arial" w:hAnsi="Arial" w:cs="Arial"/>
                <w:sz w:val="13"/>
                <w:szCs w:val="13"/>
              </w:rPr>
              <w:t>1,341,667</w:t>
            </w:r>
          </w:p>
        </w:tc>
        <w:tc>
          <w:tcPr>
            <w:tcW w:w="700" w:type="dxa"/>
            <w:vAlign w:val="bottom"/>
          </w:tcPr>
          <w:p w:rsidR="00A621E3" w:rsidRDefault="00EC630E">
            <w:pPr>
              <w:ind w:right="32"/>
              <w:jc w:val="right"/>
              <w:rPr>
                <w:sz w:val="20"/>
                <w:szCs w:val="20"/>
              </w:rPr>
            </w:pPr>
            <w:r>
              <w:rPr>
                <w:rFonts w:ascii="Arial" w:eastAsia="Arial" w:hAnsi="Arial" w:cs="Arial"/>
                <w:sz w:val="13"/>
                <w:szCs w:val="13"/>
              </w:rPr>
              <w:t>—</w:t>
            </w:r>
          </w:p>
        </w:tc>
        <w:tc>
          <w:tcPr>
            <w:tcW w:w="860" w:type="dxa"/>
            <w:vAlign w:val="bottom"/>
          </w:tcPr>
          <w:p w:rsidR="00A621E3" w:rsidRDefault="00EC630E">
            <w:pPr>
              <w:ind w:right="12"/>
              <w:jc w:val="right"/>
              <w:rPr>
                <w:sz w:val="20"/>
                <w:szCs w:val="20"/>
              </w:rPr>
            </w:pPr>
            <w:r>
              <w:rPr>
                <w:rFonts w:ascii="Arial" w:eastAsia="Arial" w:hAnsi="Arial" w:cs="Arial"/>
                <w:sz w:val="13"/>
                <w:szCs w:val="13"/>
              </w:rPr>
              <w:t>5,703,920</w:t>
            </w:r>
          </w:p>
        </w:tc>
        <w:tc>
          <w:tcPr>
            <w:tcW w:w="780" w:type="dxa"/>
            <w:vAlign w:val="bottom"/>
          </w:tcPr>
          <w:p w:rsidR="00A621E3" w:rsidRDefault="00EC630E">
            <w:pPr>
              <w:ind w:right="12"/>
              <w:jc w:val="right"/>
              <w:rPr>
                <w:sz w:val="20"/>
                <w:szCs w:val="20"/>
              </w:rPr>
            </w:pPr>
            <w:r>
              <w:rPr>
                <w:rFonts w:ascii="Arial" w:eastAsia="Arial" w:hAnsi="Arial" w:cs="Arial"/>
                <w:sz w:val="13"/>
                <w:szCs w:val="13"/>
              </w:rPr>
              <w:t>3,000,004</w:t>
            </w:r>
          </w:p>
        </w:tc>
        <w:tc>
          <w:tcPr>
            <w:tcW w:w="1100" w:type="dxa"/>
            <w:vAlign w:val="bottom"/>
          </w:tcPr>
          <w:p w:rsidR="00A621E3" w:rsidRDefault="00EC630E">
            <w:pPr>
              <w:ind w:right="12"/>
              <w:jc w:val="right"/>
              <w:rPr>
                <w:sz w:val="20"/>
                <w:szCs w:val="20"/>
              </w:rPr>
            </w:pPr>
            <w:r>
              <w:rPr>
                <w:rFonts w:ascii="Arial" w:eastAsia="Arial" w:hAnsi="Arial" w:cs="Arial"/>
                <w:sz w:val="13"/>
                <w:szCs w:val="13"/>
              </w:rPr>
              <w:t>3,607,246</w:t>
            </w:r>
          </w:p>
        </w:tc>
        <w:tc>
          <w:tcPr>
            <w:tcW w:w="1120" w:type="dxa"/>
            <w:vAlign w:val="bottom"/>
          </w:tcPr>
          <w:p w:rsidR="00A621E3" w:rsidRDefault="00EC630E">
            <w:pPr>
              <w:ind w:right="32"/>
              <w:jc w:val="right"/>
              <w:rPr>
                <w:sz w:val="20"/>
                <w:szCs w:val="20"/>
              </w:rPr>
            </w:pPr>
            <w:r>
              <w:rPr>
                <w:rFonts w:ascii="Arial" w:eastAsia="Arial" w:hAnsi="Arial" w:cs="Arial"/>
                <w:sz w:val="13"/>
                <w:szCs w:val="13"/>
              </w:rPr>
              <w:t>2,902,835</w:t>
            </w:r>
          </w:p>
        </w:tc>
        <w:tc>
          <w:tcPr>
            <w:tcW w:w="820" w:type="dxa"/>
            <w:vAlign w:val="bottom"/>
          </w:tcPr>
          <w:p w:rsidR="00A621E3" w:rsidRDefault="00EC630E">
            <w:pPr>
              <w:jc w:val="right"/>
              <w:rPr>
                <w:sz w:val="20"/>
                <w:szCs w:val="20"/>
              </w:rPr>
            </w:pPr>
            <w:r>
              <w:rPr>
                <w:rFonts w:ascii="Arial" w:eastAsia="Arial" w:hAnsi="Arial" w:cs="Arial"/>
                <w:sz w:val="13"/>
                <w:szCs w:val="13"/>
              </w:rPr>
              <w:t>16,555,672</w:t>
            </w:r>
          </w:p>
        </w:tc>
      </w:tr>
      <w:tr w:rsidR="00A621E3">
        <w:trPr>
          <w:trHeight w:val="163"/>
        </w:trPr>
        <w:tc>
          <w:tcPr>
            <w:tcW w:w="3160" w:type="dxa"/>
            <w:tcBorders>
              <w:bottom w:val="single" w:sz="8" w:space="0" w:color="CF0A2C"/>
            </w:tcBorders>
            <w:vAlign w:val="bottom"/>
          </w:tcPr>
          <w:p w:rsidR="00A621E3" w:rsidRDefault="00A621E3">
            <w:pPr>
              <w:rPr>
                <w:sz w:val="14"/>
                <w:szCs w:val="14"/>
              </w:rPr>
            </w:pPr>
          </w:p>
        </w:tc>
        <w:tc>
          <w:tcPr>
            <w:tcW w:w="1680" w:type="dxa"/>
            <w:tcBorders>
              <w:bottom w:val="single" w:sz="8" w:space="0" w:color="CF0A2C"/>
            </w:tcBorders>
            <w:vAlign w:val="bottom"/>
          </w:tcPr>
          <w:p w:rsidR="00A621E3" w:rsidRDefault="00EC630E">
            <w:pPr>
              <w:ind w:left="1280"/>
              <w:rPr>
                <w:sz w:val="20"/>
                <w:szCs w:val="20"/>
              </w:rPr>
            </w:pPr>
            <w:r>
              <w:rPr>
                <w:rFonts w:ascii="Arial" w:eastAsia="Arial" w:hAnsi="Arial" w:cs="Arial"/>
                <w:sz w:val="13"/>
                <w:szCs w:val="13"/>
              </w:rPr>
              <w:t>2020</w:t>
            </w:r>
          </w:p>
        </w:tc>
        <w:tc>
          <w:tcPr>
            <w:tcW w:w="80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1,151,083</w:t>
            </w:r>
          </w:p>
        </w:tc>
        <w:tc>
          <w:tcPr>
            <w:tcW w:w="70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w:t>
            </w:r>
          </w:p>
        </w:tc>
        <w:tc>
          <w:tcPr>
            <w:tcW w:w="86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14,500,084</w:t>
            </w:r>
          </w:p>
        </w:tc>
        <w:tc>
          <w:tcPr>
            <w:tcW w:w="78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2,500,003</w:t>
            </w:r>
          </w:p>
        </w:tc>
        <w:tc>
          <w:tcPr>
            <w:tcW w:w="110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2,502,664</w:t>
            </w:r>
          </w:p>
        </w:tc>
        <w:tc>
          <w:tcPr>
            <w:tcW w:w="112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517,744</w:t>
            </w:r>
          </w:p>
        </w:tc>
        <w:tc>
          <w:tcPr>
            <w:tcW w:w="82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21,171,578</w:t>
            </w:r>
          </w:p>
        </w:tc>
      </w:tr>
      <w:tr w:rsidR="00A621E3">
        <w:trPr>
          <w:trHeight w:val="184"/>
        </w:trPr>
        <w:tc>
          <w:tcPr>
            <w:tcW w:w="3160" w:type="dxa"/>
            <w:vAlign w:val="bottom"/>
          </w:tcPr>
          <w:p w:rsidR="00A621E3" w:rsidRDefault="00EC630E">
            <w:pPr>
              <w:rPr>
                <w:sz w:val="20"/>
                <w:szCs w:val="20"/>
              </w:rPr>
            </w:pPr>
            <w:r>
              <w:rPr>
                <w:rFonts w:ascii="Arial" w:eastAsia="Arial" w:hAnsi="Arial" w:cs="Arial"/>
                <w:b/>
                <w:bCs/>
                <w:color w:val="CF0A2C"/>
                <w:sz w:val="14"/>
                <w:szCs w:val="14"/>
              </w:rPr>
              <w:t>Andy Yeung</w:t>
            </w:r>
          </w:p>
        </w:tc>
        <w:tc>
          <w:tcPr>
            <w:tcW w:w="1680" w:type="dxa"/>
            <w:vAlign w:val="bottom"/>
          </w:tcPr>
          <w:p w:rsidR="00A621E3" w:rsidRDefault="00EC630E">
            <w:pPr>
              <w:ind w:left="1280"/>
              <w:rPr>
                <w:sz w:val="20"/>
                <w:szCs w:val="20"/>
              </w:rPr>
            </w:pPr>
            <w:r>
              <w:rPr>
                <w:rFonts w:ascii="Arial" w:eastAsia="Arial" w:hAnsi="Arial" w:cs="Arial"/>
                <w:sz w:val="13"/>
                <w:szCs w:val="13"/>
              </w:rPr>
              <w:t>2022</w:t>
            </w:r>
          </w:p>
        </w:tc>
        <w:tc>
          <w:tcPr>
            <w:tcW w:w="800" w:type="dxa"/>
            <w:vAlign w:val="bottom"/>
          </w:tcPr>
          <w:p w:rsidR="00A621E3" w:rsidRDefault="00EC630E">
            <w:pPr>
              <w:ind w:right="32"/>
              <w:jc w:val="right"/>
              <w:rPr>
                <w:sz w:val="20"/>
                <w:szCs w:val="20"/>
              </w:rPr>
            </w:pPr>
            <w:r>
              <w:rPr>
                <w:rFonts w:ascii="Arial" w:eastAsia="Arial" w:hAnsi="Arial" w:cs="Arial"/>
                <w:sz w:val="13"/>
                <w:szCs w:val="13"/>
              </w:rPr>
              <w:t>836,667</w:t>
            </w:r>
          </w:p>
        </w:tc>
        <w:tc>
          <w:tcPr>
            <w:tcW w:w="700" w:type="dxa"/>
            <w:vAlign w:val="bottom"/>
          </w:tcPr>
          <w:p w:rsidR="00A621E3" w:rsidRDefault="00EC630E">
            <w:pPr>
              <w:ind w:right="32"/>
              <w:jc w:val="right"/>
              <w:rPr>
                <w:sz w:val="20"/>
                <w:szCs w:val="20"/>
              </w:rPr>
            </w:pPr>
            <w:r>
              <w:rPr>
                <w:rFonts w:ascii="Arial" w:eastAsia="Arial" w:hAnsi="Arial" w:cs="Arial"/>
                <w:sz w:val="13"/>
                <w:szCs w:val="13"/>
              </w:rPr>
              <w:t>—</w:t>
            </w:r>
          </w:p>
        </w:tc>
        <w:tc>
          <w:tcPr>
            <w:tcW w:w="860" w:type="dxa"/>
            <w:vAlign w:val="bottom"/>
          </w:tcPr>
          <w:p w:rsidR="00A621E3" w:rsidRDefault="00EC630E">
            <w:pPr>
              <w:ind w:right="12"/>
              <w:jc w:val="right"/>
              <w:rPr>
                <w:sz w:val="20"/>
                <w:szCs w:val="20"/>
              </w:rPr>
            </w:pPr>
            <w:r>
              <w:rPr>
                <w:rFonts w:ascii="Arial" w:eastAsia="Arial" w:hAnsi="Arial" w:cs="Arial"/>
                <w:sz w:val="13"/>
                <w:szCs w:val="13"/>
              </w:rPr>
              <w:t>1,458,490</w:t>
            </w:r>
          </w:p>
        </w:tc>
        <w:tc>
          <w:tcPr>
            <w:tcW w:w="780" w:type="dxa"/>
            <w:vAlign w:val="bottom"/>
          </w:tcPr>
          <w:p w:rsidR="00A621E3" w:rsidRDefault="00EC630E">
            <w:pPr>
              <w:ind w:right="12"/>
              <w:jc w:val="right"/>
              <w:rPr>
                <w:sz w:val="20"/>
                <w:szCs w:val="20"/>
              </w:rPr>
            </w:pPr>
            <w:r>
              <w:rPr>
                <w:rFonts w:ascii="Arial" w:eastAsia="Arial" w:hAnsi="Arial" w:cs="Arial"/>
                <w:sz w:val="13"/>
                <w:szCs w:val="13"/>
              </w:rPr>
              <w:t>790,010</w:t>
            </w:r>
          </w:p>
        </w:tc>
        <w:tc>
          <w:tcPr>
            <w:tcW w:w="1100" w:type="dxa"/>
            <w:vAlign w:val="bottom"/>
          </w:tcPr>
          <w:p w:rsidR="00A621E3" w:rsidRDefault="00EC630E">
            <w:pPr>
              <w:ind w:right="12"/>
              <w:jc w:val="right"/>
              <w:rPr>
                <w:sz w:val="20"/>
                <w:szCs w:val="20"/>
              </w:rPr>
            </w:pPr>
            <w:r>
              <w:rPr>
                <w:rFonts w:ascii="Arial" w:eastAsia="Arial" w:hAnsi="Arial" w:cs="Arial"/>
                <w:sz w:val="13"/>
                <w:szCs w:val="13"/>
              </w:rPr>
              <w:t>1,411,200</w:t>
            </w:r>
          </w:p>
        </w:tc>
        <w:tc>
          <w:tcPr>
            <w:tcW w:w="1120" w:type="dxa"/>
            <w:vAlign w:val="bottom"/>
          </w:tcPr>
          <w:p w:rsidR="00A621E3" w:rsidRDefault="00EC630E">
            <w:pPr>
              <w:ind w:right="32"/>
              <w:jc w:val="right"/>
              <w:rPr>
                <w:sz w:val="20"/>
                <w:szCs w:val="20"/>
              </w:rPr>
            </w:pPr>
            <w:r>
              <w:rPr>
                <w:rFonts w:ascii="Arial" w:eastAsia="Arial" w:hAnsi="Arial" w:cs="Arial"/>
                <w:sz w:val="13"/>
                <w:szCs w:val="13"/>
              </w:rPr>
              <w:t>198,795</w:t>
            </w:r>
          </w:p>
        </w:tc>
        <w:tc>
          <w:tcPr>
            <w:tcW w:w="820" w:type="dxa"/>
            <w:vAlign w:val="bottom"/>
          </w:tcPr>
          <w:p w:rsidR="00A621E3" w:rsidRDefault="00EC630E">
            <w:pPr>
              <w:jc w:val="right"/>
              <w:rPr>
                <w:sz w:val="20"/>
                <w:szCs w:val="20"/>
              </w:rPr>
            </w:pPr>
            <w:r>
              <w:rPr>
                <w:rFonts w:ascii="Arial" w:eastAsia="Arial" w:hAnsi="Arial" w:cs="Arial"/>
                <w:sz w:val="13"/>
                <w:szCs w:val="13"/>
              </w:rPr>
              <w:t>4,695,162</w:t>
            </w:r>
          </w:p>
        </w:tc>
      </w:tr>
      <w:tr w:rsidR="00A621E3">
        <w:trPr>
          <w:trHeight w:val="174"/>
        </w:trPr>
        <w:tc>
          <w:tcPr>
            <w:tcW w:w="3160" w:type="dxa"/>
            <w:vAlign w:val="bottom"/>
          </w:tcPr>
          <w:p w:rsidR="00A621E3" w:rsidRDefault="00EC630E">
            <w:pPr>
              <w:rPr>
                <w:sz w:val="20"/>
                <w:szCs w:val="20"/>
              </w:rPr>
            </w:pPr>
            <w:r>
              <w:rPr>
                <w:rFonts w:ascii="Arial" w:eastAsia="Arial" w:hAnsi="Arial" w:cs="Arial"/>
                <w:sz w:val="13"/>
                <w:szCs w:val="13"/>
              </w:rPr>
              <w:t>Chief Financial Officer</w:t>
            </w:r>
          </w:p>
        </w:tc>
        <w:tc>
          <w:tcPr>
            <w:tcW w:w="1680" w:type="dxa"/>
            <w:vAlign w:val="bottom"/>
          </w:tcPr>
          <w:p w:rsidR="00A621E3" w:rsidRDefault="00EC630E">
            <w:pPr>
              <w:ind w:left="1280"/>
              <w:rPr>
                <w:sz w:val="20"/>
                <w:szCs w:val="20"/>
              </w:rPr>
            </w:pPr>
            <w:r>
              <w:rPr>
                <w:rFonts w:ascii="Arial" w:eastAsia="Arial" w:hAnsi="Arial" w:cs="Arial"/>
                <w:sz w:val="13"/>
                <w:szCs w:val="13"/>
              </w:rPr>
              <w:t>2021</w:t>
            </w:r>
          </w:p>
        </w:tc>
        <w:tc>
          <w:tcPr>
            <w:tcW w:w="800" w:type="dxa"/>
            <w:vAlign w:val="bottom"/>
          </w:tcPr>
          <w:p w:rsidR="00A621E3" w:rsidRDefault="00EC630E">
            <w:pPr>
              <w:ind w:right="32"/>
              <w:jc w:val="right"/>
              <w:rPr>
                <w:sz w:val="20"/>
                <w:szCs w:val="20"/>
              </w:rPr>
            </w:pPr>
            <w:r>
              <w:rPr>
                <w:rFonts w:ascii="Arial" w:eastAsia="Arial" w:hAnsi="Arial" w:cs="Arial"/>
                <w:sz w:val="13"/>
                <w:szCs w:val="13"/>
              </w:rPr>
              <w:t>791,512</w:t>
            </w:r>
          </w:p>
        </w:tc>
        <w:tc>
          <w:tcPr>
            <w:tcW w:w="700" w:type="dxa"/>
            <w:vAlign w:val="bottom"/>
          </w:tcPr>
          <w:p w:rsidR="00A621E3" w:rsidRDefault="00EC630E">
            <w:pPr>
              <w:ind w:right="32"/>
              <w:jc w:val="right"/>
              <w:rPr>
                <w:sz w:val="20"/>
                <w:szCs w:val="20"/>
              </w:rPr>
            </w:pPr>
            <w:r>
              <w:rPr>
                <w:rFonts w:ascii="Arial" w:eastAsia="Arial" w:hAnsi="Arial" w:cs="Arial"/>
                <w:sz w:val="13"/>
                <w:szCs w:val="13"/>
              </w:rPr>
              <w:t>—</w:t>
            </w:r>
          </w:p>
        </w:tc>
        <w:tc>
          <w:tcPr>
            <w:tcW w:w="860" w:type="dxa"/>
            <w:vAlign w:val="bottom"/>
          </w:tcPr>
          <w:p w:rsidR="00A621E3" w:rsidRDefault="00EC630E">
            <w:pPr>
              <w:ind w:right="12"/>
              <w:jc w:val="right"/>
              <w:rPr>
                <w:sz w:val="20"/>
                <w:szCs w:val="20"/>
              </w:rPr>
            </w:pPr>
            <w:r>
              <w:rPr>
                <w:rFonts w:ascii="Arial" w:eastAsia="Arial" w:hAnsi="Arial" w:cs="Arial"/>
                <w:sz w:val="13"/>
                <w:szCs w:val="13"/>
              </w:rPr>
              <w:t>2,401,075</w:t>
            </w:r>
          </w:p>
        </w:tc>
        <w:tc>
          <w:tcPr>
            <w:tcW w:w="780" w:type="dxa"/>
            <w:vAlign w:val="bottom"/>
          </w:tcPr>
          <w:p w:rsidR="00A621E3" w:rsidRDefault="00EC630E">
            <w:pPr>
              <w:ind w:right="12"/>
              <w:jc w:val="right"/>
              <w:rPr>
                <w:sz w:val="20"/>
                <w:szCs w:val="20"/>
              </w:rPr>
            </w:pPr>
            <w:r>
              <w:rPr>
                <w:rFonts w:ascii="Arial" w:eastAsia="Arial" w:hAnsi="Arial" w:cs="Arial"/>
                <w:sz w:val="13"/>
                <w:szCs w:val="13"/>
              </w:rPr>
              <w:t>750,014</w:t>
            </w:r>
          </w:p>
        </w:tc>
        <w:tc>
          <w:tcPr>
            <w:tcW w:w="1100" w:type="dxa"/>
            <w:vAlign w:val="bottom"/>
          </w:tcPr>
          <w:p w:rsidR="00A621E3" w:rsidRDefault="00EC630E">
            <w:pPr>
              <w:ind w:right="12"/>
              <w:jc w:val="right"/>
              <w:rPr>
                <w:sz w:val="20"/>
                <w:szCs w:val="20"/>
              </w:rPr>
            </w:pPr>
            <w:r>
              <w:rPr>
                <w:rFonts w:ascii="Arial" w:eastAsia="Arial" w:hAnsi="Arial" w:cs="Arial"/>
                <w:sz w:val="13"/>
                <w:szCs w:val="13"/>
              </w:rPr>
              <w:t>1,032,164</w:t>
            </w:r>
          </w:p>
        </w:tc>
        <w:tc>
          <w:tcPr>
            <w:tcW w:w="1120" w:type="dxa"/>
            <w:vAlign w:val="bottom"/>
          </w:tcPr>
          <w:p w:rsidR="00A621E3" w:rsidRDefault="00EC630E">
            <w:pPr>
              <w:ind w:right="32"/>
              <w:jc w:val="right"/>
              <w:rPr>
                <w:sz w:val="20"/>
                <w:szCs w:val="20"/>
              </w:rPr>
            </w:pPr>
            <w:r>
              <w:rPr>
                <w:rFonts w:ascii="Arial" w:eastAsia="Arial" w:hAnsi="Arial" w:cs="Arial"/>
                <w:sz w:val="13"/>
                <w:szCs w:val="13"/>
              </w:rPr>
              <w:t>135,769</w:t>
            </w:r>
          </w:p>
        </w:tc>
        <w:tc>
          <w:tcPr>
            <w:tcW w:w="820" w:type="dxa"/>
            <w:vAlign w:val="bottom"/>
          </w:tcPr>
          <w:p w:rsidR="00A621E3" w:rsidRDefault="00EC630E">
            <w:pPr>
              <w:jc w:val="right"/>
              <w:rPr>
                <w:sz w:val="20"/>
                <w:szCs w:val="20"/>
              </w:rPr>
            </w:pPr>
            <w:r>
              <w:rPr>
                <w:rFonts w:ascii="Arial" w:eastAsia="Arial" w:hAnsi="Arial" w:cs="Arial"/>
                <w:sz w:val="13"/>
                <w:szCs w:val="13"/>
              </w:rPr>
              <w:t>5,110,534</w:t>
            </w:r>
          </w:p>
        </w:tc>
      </w:tr>
      <w:tr w:rsidR="00A621E3">
        <w:trPr>
          <w:trHeight w:val="163"/>
        </w:trPr>
        <w:tc>
          <w:tcPr>
            <w:tcW w:w="3160" w:type="dxa"/>
            <w:tcBorders>
              <w:bottom w:val="single" w:sz="8" w:space="0" w:color="CF0A2C"/>
            </w:tcBorders>
            <w:vAlign w:val="bottom"/>
          </w:tcPr>
          <w:p w:rsidR="00A621E3" w:rsidRDefault="00A621E3">
            <w:pPr>
              <w:rPr>
                <w:sz w:val="14"/>
                <w:szCs w:val="14"/>
              </w:rPr>
            </w:pPr>
          </w:p>
        </w:tc>
        <w:tc>
          <w:tcPr>
            <w:tcW w:w="1680" w:type="dxa"/>
            <w:tcBorders>
              <w:bottom w:val="single" w:sz="8" w:space="0" w:color="CF0A2C"/>
            </w:tcBorders>
            <w:vAlign w:val="bottom"/>
          </w:tcPr>
          <w:p w:rsidR="00A621E3" w:rsidRDefault="00EC630E">
            <w:pPr>
              <w:ind w:left="1280"/>
              <w:rPr>
                <w:sz w:val="20"/>
                <w:szCs w:val="20"/>
              </w:rPr>
            </w:pPr>
            <w:r>
              <w:rPr>
                <w:rFonts w:ascii="Arial" w:eastAsia="Arial" w:hAnsi="Arial" w:cs="Arial"/>
                <w:sz w:val="13"/>
                <w:szCs w:val="13"/>
              </w:rPr>
              <w:t>2020</w:t>
            </w:r>
          </w:p>
        </w:tc>
        <w:tc>
          <w:tcPr>
            <w:tcW w:w="80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643,333</w:t>
            </w:r>
          </w:p>
        </w:tc>
        <w:tc>
          <w:tcPr>
            <w:tcW w:w="70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w:t>
            </w:r>
          </w:p>
        </w:tc>
        <w:tc>
          <w:tcPr>
            <w:tcW w:w="86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2,600,068</w:t>
            </w:r>
          </w:p>
        </w:tc>
        <w:tc>
          <w:tcPr>
            <w:tcW w:w="78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600,013</w:t>
            </w:r>
          </w:p>
        </w:tc>
        <w:tc>
          <w:tcPr>
            <w:tcW w:w="110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701,865</w:t>
            </w:r>
          </w:p>
        </w:tc>
        <w:tc>
          <w:tcPr>
            <w:tcW w:w="112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149,144</w:t>
            </w:r>
          </w:p>
        </w:tc>
        <w:tc>
          <w:tcPr>
            <w:tcW w:w="82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4,694,423</w:t>
            </w:r>
          </w:p>
        </w:tc>
      </w:tr>
      <w:tr w:rsidR="00A621E3">
        <w:trPr>
          <w:trHeight w:val="184"/>
        </w:trPr>
        <w:tc>
          <w:tcPr>
            <w:tcW w:w="3160" w:type="dxa"/>
            <w:vAlign w:val="bottom"/>
          </w:tcPr>
          <w:p w:rsidR="00A621E3" w:rsidRDefault="00EC630E">
            <w:pPr>
              <w:rPr>
                <w:sz w:val="20"/>
                <w:szCs w:val="20"/>
              </w:rPr>
            </w:pPr>
            <w:r>
              <w:rPr>
                <w:rFonts w:ascii="Arial" w:eastAsia="Arial" w:hAnsi="Arial" w:cs="Arial"/>
                <w:b/>
                <w:bCs/>
                <w:color w:val="CF0A2C"/>
                <w:sz w:val="14"/>
                <w:szCs w:val="14"/>
              </w:rPr>
              <w:t>Joseph Chan</w:t>
            </w:r>
          </w:p>
        </w:tc>
        <w:tc>
          <w:tcPr>
            <w:tcW w:w="1680" w:type="dxa"/>
            <w:vAlign w:val="bottom"/>
          </w:tcPr>
          <w:p w:rsidR="00A621E3" w:rsidRDefault="00EC630E">
            <w:pPr>
              <w:ind w:left="1280"/>
              <w:rPr>
                <w:sz w:val="20"/>
                <w:szCs w:val="20"/>
              </w:rPr>
            </w:pPr>
            <w:r>
              <w:rPr>
                <w:rFonts w:ascii="Arial" w:eastAsia="Arial" w:hAnsi="Arial" w:cs="Arial"/>
                <w:sz w:val="13"/>
                <w:szCs w:val="13"/>
              </w:rPr>
              <w:t>2022</w:t>
            </w:r>
          </w:p>
        </w:tc>
        <w:tc>
          <w:tcPr>
            <w:tcW w:w="800" w:type="dxa"/>
            <w:vAlign w:val="bottom"/>
          </w:tcPr>
          <w:p w:rsidR="00A621E3" w:rsidRDefault="00EC630E">
            <w:pPr>
              <w:ind w:right="32"/>
              <w:jc w:val="right"/>
              <w:rPr>
                <w:sz w:val="20"/>
                <w:szCs w:val="20"/>
              </w:rPr>
            </w:pPr>
            <w:r>
              <w:rPr>
                <w:rFonts w:ascii="Arial" w:eastAsia="Arial" w:hAnsi="Arial" w:cs="Arial"/>
                <w:sz w:val="13"/>
                <w:szCs w:val="13"/>
              </w:rPr>
              <w:t>627,500</w:t>
            </w:r>
          </w:p>
        </w:tc>
        <w:tc>
          <w:tcPr>
            <w:tcW w:w="700" w:type="dxa"/>
            <w:vAlign w:val="bottom"/>
          </w:tcPr>
          <w:p w:rsidR="00A621E3" w:rsidRDefault="00EC630E">
            <w:pPr>
              <w:ind w:right="32"/>
              <w:jc w:val="right"/>
              <w:rPr>
                <w:sz w:val="20"/>
                <w:szCs w:val="20"/>
              </w:rPr>
            </w:pPr>
            <w:r>
              <w:rPr>
                <w:rFonts w:ascii="Arial" w:eastAsia="Arial" w:hAnsi="Arial" w:cs="Arial"/>
                <w:sz w:val="13"/>
                <w:szCs w:val="13"/>
              </w:rPr>
              <w:t>—</w:t>
            </w:r>
          </w:p>
        </w:tc>
        <w:tc>
          <w:tcPr>
            <w:tcW w:w="860" w:type="dxa"/>
            <w:vAlign w:val="bottom"/>
          </w:tcPr>
          <w:p w:rsidR="00A621E3" w:rsidRDefault="00EC630E">
            <w:pPr>
              <w:ind w:right="12"/>
              <w:jc w:val="right"/>
              <w:rPr>
                <w:sz w:val="20"/>
                <w:szCs w:val="20"/>
              </w:rPr>
            </w:pPr>
            <w:r>
              <w:rPr>
                <w:rFonts w:ascii="Arial" w:eastAsia="Arial" w:hAnsi="Arial" w:cs="Arial"/>
                <w:sz w:val="13"/>
                <w:szCs w:val="13"/>
              </w:rPr>
              <w:t>1,045,708</w:t>
            </w:r>
          </w:p>
        </w:tc>
        <w:tc>
          <w:tcPr>
            <w:tcW w:w="780" w:type="dxa"/>
            <w:vAlign w:val="bottom"/>
          </w:tcPr>
          <w:p w:rsidR="00A621E3" w:rsidRDefault="00EC630E">
            <w:pPr>
              <w:ind w:right="12"/>
              <w:jc w:val="right"/>
              <w:rPr>
                <w:sz w:val="20"/>
                <w:szCs w:val="20"/>
              </w:rPr>
            </w:pPr>
            <w:r>
              <w:rPr>
                <w:rFonts w:ascii="Arial" w:eastAsia="Arial" w:hAnsi="Arial" w:cs="Arial"/>
                <w:sz w:val="13"/>
                <w:szCs w:val="13"/>
              </w:rPr>
              <w:t>600,004</w:t>
            </w:r>
          </w:p>
        </w:tc>
        <w:tc>
          <w:tcPr>
            <w:tcW w:w="1100" w:type="dxa"/>
            <w:vAlign w:val="bottom"/>
          </w:tcPr>
          <w:p w:rsidR="00A621E3" w:rsidRDefault="00EC630E">
            <w:pPr>
              <w:ind w:right="12"/>
              <w:jc w:val="right"/>
              <w:rPr>
                <w:sz w:val="20"/>
                <w:szCs w:val="20"/>
              </w:rPr>
            </w:pPr>
            <w:r>
              <w:rPr>
                <w:rFonts w:ascii="Arial" w:eastAsia="Arial" w:hAnsi="Arial" w:cs="Arial"/>
                <w:sz w:val="13"/>
                <w:szCs w:val="13"/>
              </w:rPr>
              <w:t>483,840</w:t>
            </w:r>
          </w:p>
        </w:tc>
        <w:tc>
          <w:tcPr>
            <w:tcW w:w="1120" w:type="dxa"/>
            <w:vAlign w:val="bottom"/>
          </w:tcPr>
          <w:p w:rsidR="00A621E3" w:rsidRDefault="00EC630E">
            <w:pPr>
              <w:ind w:right="32"/>
              <w:jc w:val="right"/>
              <w:rPr>
                <w:sz w:val="20"/>
                <w:szCs w:val="20"/>
              </w:rPr>
            </w:pPr>
            <w:r>
              <w:rPr>
                <w:rFonts w:ascii="Arial" w:eastAsia="Arial" w:hAnsi="Arial" w:cs="Arial"/>
                <w:sz w:val="13"/>
                <w:szCs w:val="13"/>
              </w:rPr>
              <w:t>172,256</w:t>
            </w:r>
          </w:p>
        </w:tc>
        <w:tc>
          <w:tcPr>
            <w:tcW w:w="820" w:type="dxa"/>
            <w:vAlign w:val="bottom"/>
          </w:tcPr>
          <w:p w:rsidR="00A621E3" w:rsidRDefault="00EC630E">
            <w:pPr>
              <w:jc w:val="right"/>
              <w:rPr>
                <w:sz w:val="20"/>
                <w:szCs w:val="20"/>
              </w:rPr>
            </w:pPr>
            <w:r>
              <w:rPr>
                <w:rFonts w:ascii="Arial" w:eastAsia="Arial" w:hAnsi="Arial" w:cs="Arial"/>
                <w:sz w:val="13"/>
                <w:szCs w:val="13"/>
              </w:rPr>
              <w:t>2,929,308</w:t>
            </w:r>
          </w:p>
        </w:tc>
      </w:tr>
      <w:tr w:rsidR="00A621E3">
        <w:trPr>
          <w:trHeight w:val="161"/>
        </w:trPr>
        <w:tc>
          <w:tcPr>
            <w:tcW w:w="3160" w:type="dxa"/>
            <w:tcBorders>
              <w:bottom w:val="single" w:sz="8" w:space="0" w:color="CF0A2C"/>
            </w:tcBorders>
            <w:vAlign w:val="bottom"/>
          </w:tcPr>
          <w:p w:rsidR="00A621E3" w:rsidRDefault="00EC630E">
            <w:pPr>
              <w:rPr>
                <w:sz w:val="20"/>
                <w:szCs w:val="20"/>
              </w:rPr>
            </w:pPr>
            <w:r>
              <w:rPr>
                <w:rFonts w:ascii="Arial" w:eastAsia="Arial" w:hAnsi="Arial" w:cs="Arial"/>
                <w:sz w:val="13"/>
                <w:szCs w:val="13"/>
              </w:rPr>
              <w:t>Chief Legal Officer</w:t>
            </w:r>
          </w:p>
        </w:tc>
        <w:tc>
          <w:tcPr>
            <w:tcW w:w="1680" w:type="dxa"/>
            <w:tcBorders>
              <w:bottom w:val="single" w:sz="8" w:space="0" w:color="CF0A2C"/>
            </w:tcBorders>
            <w:vAlign w:val="bottom"/>
          </w:tcPr>
          <w:p w:rsidR="00A621E3" w:rsidRDefault="00EC630E">
            <w:pPr>
              <w:ind w:left="1280"/>
              <w:rPr>
                <w:sz w:val="20"/>
                <w:szCs w:val="20"/>
              </w:rPr>
            </w:pPr>
            <w:r>
              <w:rPr>
                <w:rFonts w:ascii="Arial" w:eastAsia="Arial" w:hAnsi="Arial" w:cs="Arial"/>
                <w:sz w:val="13"/>
                <w:szCs w:val="13"/>
              </w:rPr>
              <w:t>2021</w:t>
            </w:r>
          </w:p>
        </w:tc>
        <w:tc>
          <w:tcPr>
            <w:tcW w:w="80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595,000</w:t>
            </w:r>
          </w:p>
        </w:tc>
        <w:tc>
          <w:tcPr>
            <w:tcW w:w="70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w:t>
            </w:r>
          </w:p>
        </w:tc>
        <w:tc>
          <w:tcPr>
            <w:tcW w:w="86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2,100,748</w:t>
            </w:r>
          </w:p>
        </w:tc>
        <w:tc>
          <w:tcPr>
            <w:tcW w:w="78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562,502</w:t>
            </w:r>
          </w:p>
        </w:tc>
        <w:tc>
          <w:tcPr>
            <w:tcW w:w="110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619,967</w:t>
            </w:r>
          </w:p>
        </w:tc>
        <w:tc>
          <w:tcPr>
            <w:tcW w:w="112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177,468</w:t>
            </w:r>
          </w:p>
        </w:tc>
        <w:tc>
          <w:tcPr>
            <w:tcW w:w="82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4,055,685</w:t>
            </w:r>
          </w:p>
        </w:tc>
      </w:tr>
      <w:tr w:rsidR="00A621E3">
        <w:trPr>
          <w:trHeight w:val="184"/>
        </w:trPr>
        <w:tc>
          <w:tcPr>
            <w:tcW w:w="3160" w:type="dxa"/>
            <w:vAlign w:val="bottom"/>
          </w:tcPr>
          <w:p w:rsidR="00A621E3" w:rsidRDefault="00EC630E">
            <w:pPr>
              <w:rPr>
                <w:sz w:val="20"/>
                <w:szCs w:val="20"/>
              </w:rPr>
            </w:pPr>
            <w:r>
              <w:rPr>
                <w:rFonts w:ascii="Arial" w:eastAsia="Arial" w:hAnsi="Arial" w:cs="Arial"/>
                <w:b/>
                <w:bCs/>
                <w:color w:val="CF0A2C"/>
                <w:sz w:val="14"/>
                <w:szCs w:val="14"/>
              </w:rPr>
              <w:t>Johnson Huang</w:t>
            </w:r>
          </w:p>
        </w:tc>
        <w:tc>
          <w:tcPr>
            <w:tcW w:w="1680" w:type="dxa"/>
            <w:vAlign w:val="bottom"/>
          </w:tcPr>
          <w:p w:rsidR="00A621E3" w:rsidRDefault="00EC630E">
            <w:pPr>
              <w:ind w:left="1280"/>
              <w:rPr>
                <w:sz w:val="20"/>
                <w:szCs w:val="20"/>
              </w:rPr>
            </w:pPr>
            <w:r>
              <w:rPr>
                <w:rFonts w:ascii="Arial" w:eastAsia="Arial" w:hAnsi="Arial" w:cs="Arial"/>
                <w:sz w:val="13"/>
                <w:szCs w:val="13"/>
              </w:rPr>
              <w:t>2022</w:t>
            </w:r>
          </w:p>
        </w:tc>
        <w:tc>
          <w:tcPr>
            <w:tcW w:w="800" w:type="dxa"/>
            <w:vAlign w:val="bottom"/>
          </w:tcPr>
          <w:p w:rsidR="00A621E3" w:rsidRDefault="00EC630E">
            <w:pPr>
              <w:ind w:right="32"/>
              <w:jc w:val="right"/>
              <w:rPr>
                <w:sz w:val="20"/>
                <w:szCs w:val="20"/>
              </w:rPr>
            </w:pPr>
            <w:r>
              <w:rPr>
                <w:rFonts w:ascii="Arial" w:eastAsia="Arial" w:hAnsi="Arial" w:cs="Arial"/>
                <w:sz w:val="13"/>
                <w:szCs w:val="13"/>
              </w:rPr>
              <w:t>760,350</w:t>
            </w:r>
          </w:p>
        </w:tc>
        <w:tc>
          <w:tcPr>
            <w:tcW w:w="700" w:type="dxa"/>
            <w:vAlign w:val="bottom"/>
          </w:tcPr>
          <w:p w:rsidR="00A621E3" w:rsidRDefault="00EC630E">
            <w:pPr>
              <w:ind w:right="32"/>
              <w:jc w:val="right"/>
              <w:rPr>
                <w:sz w:val="20"/>
                <w:szCs w:val="20"/>
              </w:rPr>
            </w:pPr>
            <w:r>
              <w:rPr>
                <w:rFonts w:ascii="Arial" w:eastAsia="Arial" w:hAnsi="Arial" w:cs="Arial"/>
                <w:sz w:val="13"/>
                <w:szCs w:val="13"/>
              </w:rPr>
              <w:t>—</w:t>
            </w:r>
          </w:p>
        </w:tc>
        <w:tc>
          <w:tcPr>
            <w:tcW w:w="860" w:type="dxa"/>
            <w:vAlign w:val="bottom"/>
          </w:tcPr>
          <w:p w:rsidR="00A621E3" w:rsidRDefault="00EC630E">
            <w:pPr>
              <w:ind w:right="12"/>
              <w:jc w:val="right"/>
              <w:rPr>
                <w:sz w:val="20"/>
                <w:szCs w:val="20"/>
              </w:rPr>
            </w:pPr>
            <w:r>
              <w:rPr>
                <w:rFonts w:ascii="Arial" w:eastAsia="Arial" w:hAnsi="Arial" w:cs="Arial"/>
                <w:sz w:val="13"/>
                <w:szCs w:val="13"/>
              </w:rPr>
              <w:t>1,333,522</w:t>
            </w:r>
          </w:p>
        </w:tc>
        <w:tc>
          <w:tcPr>
            <w:tcW w:w="780" w:type="dxa"/>
            <w:vAlign w:val="bottom"/>
          </w:tcPr>
          <w:p w:rsidR="00A621E3" w:rsidRDefault="00EC630E">
            <w:pPr>
              <w:ind w:right="12"/>
              <w:jc w:val="right"/>
              <w:rPr>
                <w:sz w:val="20"/>
                <w:szCs w:val="20"/>
              </w:rPr>
            </w:pPr>
            <w:r>
              <w:rPr>
                <w:rFonts w:ascii="Arial" w:eastAsia="Arial" w:hAnsi="Arial" w:cs="Arial"/>
                <w:sz w:val="13"/>
                <w:szCs w:val="13"/>
              </w:rPr>
              <w:t>665,014</w:t>
            </w:r>
          </w:p>
        </w:tc>
        <w:tc>
          <w:tcPr>
            <w:tcW w:w="1100" w:type="dxa"/>
            <w:vAlign w:val="bottom"/>
          </w:tcPr>
          <w:p w:rsidR="00A621E3" w:rsidRDefault="00EC630E">
            <w:pPr>
              <w:ind w:right="12"/>
              <w:jc w:val="right"/>
              <w:rPr>
                <w:sz w:val="20"/>
                <w:szCs w:val="20"/>
              </w:rPr>
            </w:pPr>
            <w:r>
              <w:rPr>
                <w:rFonts w:ascii="Arial" w:eastAsia="Arial" w:hAnsi="Arial" w:cs="Arial"/>
                <w:sz w:val="13"/>
                <w:szCs w:val="13"/>
              </w:rPr>
              <w:t>970,896</w:t>
            </w:r>
          </w:p>
        </w:tc>
        <w:tc>
          <w:tcPr>
            <w:tcW w:w="1120" w:type="dxa"/>
            <w:vAlign w:val="bottom"/>
          </w:tcPr>
          <w:p w:rsidR="00A621E3" w:rsidRDefault="00EC630E">
            <w:pPr>
              <w:ind w:right="32"/>
              <w:jc w:val="right"/>
              <w:rPr>
                <w:sz w:val="20"/>
                <w:szCs w:val="20"/>
              </w:rPr>
            </w:pPr>
            <w:r>
              <w:rPr>
                <w:rFonts w:ascii="Arial" w:eastAsia="Arial" w:hAnsi="Arial" w:cs="Arial"/>
                <w:sz w:val="13"/>
                <w:szCs w:val="13"/>
              </w:rPr>
              <w:t>305,908</w:t>
            </w:r>
          </w:p>
        </w:tc>
        <w:tc>
          <w:tcPr>
            <w:tcW w:w="820" w:type="dxa"/>
            <w:vAlign w:val="bottom"/>
          </w:tcPr>
          <w:p w:rsidR="00A621E3" w:rsidRDefault="00EC630E">
            <w:pPr>
              <w:jc w:val="right"/>
              <w:rPr>
                <w:sz w:val="20"/>
                <w:szCs w:val="20"/>
              </w:rPr>
            </w:pPr>
            <w:r>
              <w:rPr>
                <w:rFonts w:ascii="Arial" w:eastAsia="Arial" w:hAnsi="Arial" w:cs="Arial"/>
                <w:sz w:val="13"/>
                <w:szCs w:val="13"/>
              </w:rPr>
              <w:t>4,035,690</w:t>
            </w:r>
          </w:p>
        </w:tc>
      </w:tr>
      <w:tr w:rsidR="00A621E3">
        <w:trPr>
          <w:trHeight w:val="173"/>
        </w:trPr>
        <w:tc>
          <w:tcPr>
            <w:tcW w:w="3160" w:type="dxa"/>
            <w:vAlign w:val="bottom"/>
          </w:tcPr>
          <w:p w:rsidR="00A621E3" w:rsidRDefault="00EC630E">
            <w:pPr>
              <w:rPr>
                <w:sz w:val="20"/>
                <w:szCs w:val="20"/>
              </w:rPr>
            </w:pPr>
            <w:r>
              <w:rPr>
                <w:rFonts w:ascii="Arial" w:eastAsia="Arial" w:hAnsi="Arial" w:cs="Arial"/>
                <w:sz w:val="13"/>
                <w:szCs w:val="13"/>
              </w:rPr>
              <w:t>Chief Customer Officer</w:t>
            </w:r>
          </w:p>
        </w:tc>
        <w:tc>
          <w:tcPr>
            <w:tcW w:w="1680" w:type="dxa"/>
            <w:vAlign w:val="bottom"/>
          </w:tcPr>
          <w:p w:rsidR="00A621E3" w:rsidRDefault="00EC630E">
            <w:pPr>
              <w:ind w:left="1280"/>
              <w:rPr>
                <w:sz w:val="20"/>
                <w:szCs w:val="20"/>
              </w:rPr>
            </w:pPr>
            <w:r>
              <w:rPr>
                <w:rFonts w:ascii="Arial" w:eastAsia="Arial" w:hAnsi="Arial" w:cs="Arial"/>
                <w:sz w:val="13"/>
                <w:szCs w:val="13"/>
              </w:rPr>
              <w:t>2021</w:t>
            </w:r>
          </w:p>
        </w:tc>
        <w:tc>
          <w:tcPr>
            <w:tcW w:w="800" w:type="dxa"/>
            <w:vAlign w:val="bottom"/>
          </w:tcPr>
          <w:p w:rsidR="00A621E3" w:rsidRDefault="00EC630E">
            <w:pPr>
              <w:ind w:right="32"/>
              <w:jc w:val="right"/>
              <w:rPr>
                <w:sz w:val="20"/>
                <w:szCs w:val="20"/>
              </w:rPr>
            </w:pPr>
            <w:r>
              <w:rPr>
                <w:rFonts w:ascii="Arial" w:eastAsia="Arial" w:hAnsi="Arial" w:cs="Arial"/>
                <w:sz w:val="13"/>
                <w:szCs w:val="13"/>
              </w:rPr>
              <w:t>740,000</w:t>
            </w:r>
          </w:p>
        </w:tc>
        <w:tc>
          <w:tcPr>
            <w:tcW w:w="700" w:type="dxa"/>
            <w:vAlign w:val="bottom"/>
          </w:tcPr>
          <w:p w:rsidR="00A621E3" w:rsidRDefault="00EC630E">
            <w:pPr>
              <w:ind w:right="32"/>
              <w:jc w:val="right"/>
              <w:rPr>
                <w:sz w:val="20"/>
                <w:szCs w:val="20"/>
              </w:rPr>
            </w:pPr>
            <w:r>
              <w:rPr>
                <w:rFonts w:ascii="Arial" w:eastAsia="Arial" w:hAnsi="Arial" w:cs="Arial"/>
                <w:sz w:val="13"/>
                <w:szCs w:val="13"/>
              </w:rPr>
              <w:t>—</w:t>
            </w:r>
          </w:p>
        </w:tc>
        <w:tc>
          <w:tcPr>
            <w:tcW w:w="860" w:type="dxa"/>
            <w:vAlign w:val="bottom"/>
          </w:tcPr>
          <w:p w:rsidR="00A621E3" w:rsidRDefault="00EC630E">
            <w:pPr>
              <w:ind w:right="12"/>
              <w:jc w:val="right"/>
              <w:rPr>
                <w:sz w:val="20"/>
                <w:szCs w:val="20"/>
              </w:rPr>
            </w:pPr>
            <w:r>
              <w:rPr>
                <w:rFonts w:ascii="Arial" w:eastAsia="Arial" w:hAnsi="Arial" w:cs="Arial"/>
                <w:sz w:val="13"/>
                <w:szCs w:val="13"/>
              </w:rPr>
              <w:t>667,558</w:t>
            </w:r>
          </w:p>
        </w:tc>
        <w:tc>
          <w:tcPr>
            <w:tcW w:w="780" w:type="dxa"/>
            <w:vAlign w:val="bottom"/>
          </w:tcPr>
          <w:p w:rsidR="00A621E3" w:rsidRDefault="00EC630E">
            <w:pPr>
              <w:ind w:right="12"/>
              <w:jc w:val="right"/>
              <w:rPr>
                <w:sz w:val="20"/>
                <w:szCs w:val="20"/>
              </w:rPr>
            </w:pPr>
            <w:r>
              <w:rPr>
                <w:rFonts w:ascii="Arial" w:eastAsia="Arial" w:hAnsi="Arial" w:cs="Arial"/>
                <w:sz w:val="13"/>
                <w:szCs w:val="13"/>
              </w:rPr>
              <w:t>625,000</w:t>
            </w:r>
          </w:p>
        </w:tc>
        <w:tc>
          <w:tcPr>
            <w:tcW w:w="1100" w:type="dxa"/>
            <w:vAlign w:val="bottom"/>
          </w:tcPr>
          <w:p w:rsidR="00A621E3" w:rsidRDefault="00EC630E">
            <w:pPr>
              <w:ind w:right="12"/>
              <w:jc w:val="right"/>
              <w:rPr>
                <w:sz w:val="20"/>
                <w:szCs w:val="20"/>
              </w:rPr>
            </w:pPr>
            <w:r>
              <w:rPr>
                <w:rFonts w:ascii="Arial" w:eastAsia="Arial" w:hAnsi="Arial" w:cs="Arial"/>
                <w:sz w:val="13"/>
                <w:szCs w:val="13"/>
              </w:rPr>
              <w:t>847,441</w:t>
            </w:r>
          </w:p>
        </w:tc>
        <w:tc>
          <w:tcPr>
            <w:tcW w:w="1120" w:type="dxa"/>
            <w:vAlign w:val="bottom"/>
          </w:tcPr>
          <w:p w:rsidR="00A621E3" w:rsidRDefault="00EC630E">
            <w:pPr>
              <w:ind w:right="32"/>
              <w:jc w:val="right"/>
              <w:rPr>
                <w:sz w:val="20"/>
                <w:szCs w:val="20"/>
              </w:rPr>
            </w:pPr>
            <w:r>
              <w:rPr>
                <w:rFonts w:ascii="Arial" w:eastAsia="Arial" w:hAnsi="Arial" w:cs="Arial"/>
                <w:sz w:val="13"/>
                <w:szCs w:val="13"/>
              </w:rPr>
              <w:t>320,245</w:t>
            </w:r>
          </w:p>
        </w:tc>
        <w:tc>
          <w:tcPr>
            <w:tcW w:w="820" w:type="dxa"/>
            <w:vAlign w:val="bottom"/>
          </w:tcPr>
          <w:p w:rsidR="00A621E3" w:rsidRDefault="00EC630E">
            <w:pPr>
              <w:jc w:val="right"/>
              <w:rPr>
                <w:sz w:val="20"/>
                <w:szCs w:val="20"/>
              </w:rPr>
            </w:pPr>
            <w:r>
              <w:rPr>
                <w:rFonts w:ascii="Arial" w:eastAsia="Arial" w:hAnsi="Arial" w:cs="Arial"/>
                <w:sz w:val="13"/>
                <w:szCs w:val="13"/>
              </w:rPr>
              <w:t>3,200,244</w:t>
            </w:r>
          </w:p>
        </w:tc>
      </w:tr>
      <w:tr w:rsidR="00A621E3">
        <w:trPr>
          <w:trHeight w:val="163"/>
        </w:trPr>
        <w:tc>
          <w:tcPr>
            <w:tcW w:w="3160" w:type="dxa"/>
            <w:tcBorders>
              <w:bottom w:val="single" w:sz="8" w:space="0" w:color="CF0A2C"/>
            </w:tcBorders>
            <w:vAlign w:val="bottom"/>
          </w:tcPr>
          <w:p w:rsidR="00A621E3" w:rsidRDefault="00A621E3">
            <w:pPr>
              <w:rPr>
                <w:sz w:val="14"/>
                <w:szCs w:val="14"/>
              </w:rPr>
            </w:pPr>
          </w:p>
        </w:tc>
        <w:tc>
          <w:tcPr>
            <w:tcW w:w="1680" w:type="dxa"/>
            <w:tcBorders>
              <w:bottom w:val="single" w:sz="8" w:space="0" w:color="CF0A2C"/>
            </w:tcBorders>
            <w:vAlign w:val="bottom"/>
          </w:tcPr>
          <w:p w:rsidR="00A621E3" w:rsidRDefault="00EC630E">
            <w:pPr>
              <w:ind w:left="1280"/>
              <w:rPr>
                <w:sz w:val="20"/>
                <w:szCs w:val="20"/>
              </w:rPr>
            </w:pPr>
            <w:r>
              <w:rPr>
                <w:rFonts w:ascii="Arial" w:eastAsia="Arial" w:hAnsi="Arial" w:cs="Arial"/>
                <w:sz w:val="13"/>
                <w:szCs w:val="13"/>
              </w:rPr>
              <w:t>2020</w:t>
            </w:r>
          </w:p>
        </w:tc>
        <w:tc>
          <w:tcPr>
            <w:tcW w:w="80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516,814</w:t>
            </w:r>
          </w:p>
        </w:tc>
        <w:tc>
          <w:tcPr>
            <w:tcW w:w="70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w:t>
            </w:r>
          </w:p>
        </w:tc>
        <w:tc>
          <w:tcPr>
            <w:tcW w:w="86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2,600,068</w:t>
            </w:r>
          </w:p>
        </w:tc>
        <w:tc>
          <w:tcPr>
            <w:tcW w:w="78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600,013</w:t>
            </w:r>
          </w:p>
        </w:tc>
        <w:tc>
          <w:tcPr>
            <w:tcW w:w="110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251,021</w:t>
            </w:r>
          </w:p>
        </w:tc>
        <w:tc>
          <w:tcPr>
            <w:tcW w:w="112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209,701</w:t>
            </w:r>
          </w:p>
        </w:tc>
        <w:tc>
          <w:tcPr>
            <w:tcW w:w="82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4,177,617</w:t>
            </w:r>
          </w:p>
        </w:tc>
      </w:tr>
      <w:tr w:rsidR="00A621E3">
        <w:trPr>
          <w:trHeight w:val="184"/>
        </w:trPr>
        <w:tc>
          <w:tcPr>
            <w:tcW w:w="3160" w:type="dxa"/>
            <w:vAlign w:val="bottom"/>
          </w:tcPr>
          <w:p w:rsidR="00A621E3" w:rsidRDefault="00EC630E">
            <w:pPr>
              <w:rPr>
                <w:sz w:val="20"/>
                <w:szCs w:val="20"/>
              </w:rPr>
            </w:pPr>
            <w:r>
              <w:rPr>
                <w:rFonts w:ascii="Arial" w:eastAsia="Arial" w:hAnsi="Arial" w:cs="Arial"/>
                <w:b/>
                <w:bCs/>
                <w:color w:val="CF0A2C"/>
                <w:sz w:val="14"/>
                <w:szCs w:val="14"/>
              </w:rPr>
              <w:t>Aiken Yuen</w:t>
            </w:r>
          </w:p>
        </w:tc>
        <w:tc>
          <w:tcPr>
            <w:tcW w:w="1680" w:type="dxa"/>
            <w:vAlign w:val="bottom"/>
          </w:tcPr>
          <w:p w:rsidR="00A621E3" w:rsidRDefault="00EC630E">
            <w:pPr>
              <w:ind w:left="1280"/>
              <w:rPr>
                <w:sz w:val="20"/>
                <w:szCs w:val="20"/>
              </w:rPr>
            </w:pPr>
            <w:r>
              <w:rPr>
                <w:rFonts w:ascii="Arial" w:eastAsia="Arial" w:hAnsi="Arial" w:cs="Arial"/>
                <w:sz w:val="13"/>
                <w:szCs w:val="13"/>
              </w:rPr>
              <w:t>2022</w:t>
            </w:r>
          </w:p>
        </w:tc>
        <w:tc>
          <w:tcPr>
            <w:tcW w:w="800" w:type="dxa"/>
            <w:vAlign w:val="bottom"/>
          </w:tcPr>
          <w:p w:rsidR="00A621E3" w:rsidRDefault="00EC630E">
            <w:pPr>
              <w:ind w:right="32"/>
              <w:jc w:val="right"/>
              <w:rPr>
                <w:sz w:val="20"/>
                <w:szCs w:val="20"/>
              </w:rPr>
            </w:pPr>
            <w:r>
              <w:rPr>
                <w:rFonts w:ascii="Arial" w:eastAsia="Arial" w:hAnsi="Arial" w:cs="Arial"/>
                <w:sz w:val="13"/>
                <w:szCs w:val="13"/>
              </w:rPr>
              <w:t>621,063</w:t>
            </w:r>
          </w:p>
        </w:tc>
        <w:tc>
          <w:tcPr>
            <w:tcW w:w="700" w:type="dxa"/>
            <w:vAlign w:val="bottom"/>
          </w:tcPr>
          <w:p w:rsidR="00A621E3" w:rsidRDefault="00EC630E">
            <w:pPr>
              <w:ind w:right="32"/>
              <w:jc w:val="right"/>
              <w:rPr>
                <w:sz w:val="20"/>
                <w:szCs w:val="20"/>
              </w:rPr>
            </w:pPr>
            <w:r>
              <w:rPr>
                <w:rFonts w:ascii="Arial" w:eastAsia="Arial" w:hAnsi="Arial" w:cs="Arial"/>
                <w:sz w:val="13"/>
                <w:szCs w:val="13"/>
              </w:rPr>
              <w:t>—</w:t>
            </w:r>
          </w:p>
        </w:tc>
        <w:tc>
          <w:tcPr>
            <w:tcW w:w="860" w:type="dxa"/>
            <w:vAlign w:val="bottom"/>
          </w:tcPr>
          <w:p w:rsidR="00A621E3" w:rsidRDefault="00EC630E">
            <w:pPr>
              <w:ind w:right="12"/>
              <w:jc w:val="right"/>
              <w:rPr>
                <w:sz w:val="20"/>
                <w:szCs w:val="20"/>
              </w:rPr>
            </w:pPr>
            <w:r>
              <w:rPr>
                <w:rFonts w:ascii="Arial" w:eastAsia="Arial" w:hAnsi="Arial" w:cs="Arial"/>
                <w:sz w:val="13"/>
                <w:szCs w:val="13"/>
              </w:rPr>
              <w:t>737,151</w:t>
            </w:r>
          </w:p>
        </w:tc>
        <w:tc>
          <w:tcPr>
            <w:tcW w:w="780" w:type="dxa"/>
            <w:vAlign w:val="bottom"/>
          </w:tcPr>
          <w:p w:rsidR="00A621E3" w:rsidRDefault="00EC630E">
            <w:pPr>
              <w:ind w:right="12"/>
              <w:jc w:val="right"/>
              <w:rPr>
                <w:sz w:val="20"/>
                <w:szCs w:val="20"/>
              </w:rPr>
            </w:pPr>
            <w:r>
              <w:rPr>
                <w:rFonts w:ascii="Arial" w:eastAsia="Arial" w:hAnsi="Arial" w:cs="Arial"/>
                <w:sz w:val="13"/>
                <w:szCs w:val="13"/>
              </w:rPr>
              <w:t>375,004</w:t>
            </w:r>
          </w:p>
        </w:tc>
        <w:tc>
          <w:tcPr>
            <w:tcW w:w="1100" w:type="dxa"/>
            <w:vAlign w:val="bottom"/>
          </w:tcPr>
          <w:p w:rsidR="00A621E3" w:rsidRDefault="00EC630E">
            <w:pPr>
              <w:ind w:right="12"/>
              <w:jc w:val="right"/>
              <w:rPr>
                <w:sz w:val="20"/>
                <w:szCs w:val="20"/>
              </w:rPr>
            </w:pPr>
            <w:r>
              <w:rPr>
                <w:rFonts w:ascii="Arial" w:eastAsia="Arial" w:hAnsi="Arial" w:cs="Arial"/>
                <w:sz w:val="13"/>
                <w:szCs w:val="13"/>
              </w:rPr>
              <w:t>661,500</w:t>
            </w:r>
          </w:p>
        </w:tc>
        <w:tc>
          <w:tcPr>
            <w:tcW w:w="1120" w:type="dxa"/>
            <w:vAlign w:val="bottom"/>
          </w:tcPr>
          <w:p w:rsidR="00A621E3" w:rsidRDefault="00EC630E">
            <w:pPr>
              <w:ind w:right="32"/>
              <w:jc w:val="right"/>
              <w:rPr>
                <w:sz w:val="20"/>
                <w:szCs w:val="20"/>
              </w:rPr>
            </w:pPr>
            <w:r>
              <w:rPr>
                <w:rFonts w:ascii="Arial" w:eastAsia="Arial" w:hAnsi="Arial" w:cs="Arial"/>
                <w:sz w:val="13"/>
                <w:szCs w:val="13"/>
              </w:rPr>
              <w:t>253,560</w:t>
            </w:r>
          </w:p>
        </w:tc>
        <w:tc>
          <w:tcPr>
            <w:tcW w:w="820" w:type="dxa"/>
            <w:vAlign w:val="bottom"/>
          </w:tcPr>
          <w:p w:rsidR="00A621E3" w:rsidRDefault="00EC630E">
            <w:pPr>
              <w:jc w:val="right"/>
              <w:rPr>
                <w:sz w:val="20"/>
                <w:szCs w:val="20"/>
              </w:rPr>
            </w:pPr>
            <w:r>
              <w:rPr>
                <w:rFonts w:ascii="Arial" w:eastAsia="Arial" w:hAnsi="Arial" w:cs="Arial"/>
                <w:sz w:val="13"/>
                <w:szCs w:val="13"/>
              </w:rPr>
              <w:t>2,648,278</w:t>
            </w:r>
          </w:p>
        </w:tc>
      </w:tr>
      <w:tr w:rsidR="00A621E3">
        <w:trPr>
          <w:trHeight w:val="173"/>
        </w:trPr>
        <w:tc>
          <w:tcPr>
            <w:tcW w:w="3160" w:type="dxa"/>
            <w:vAlign w:val="bottom"/>
          </w:tcPr>
          <w:p w:rsidR="00A621E3" w:rsidRDefault="00EC630E">
            <w:pPr>
              <w:rPr>
                <w:sz w:val="20"/>
                <w:szCs w:val="20"/>
              </w:rPr>
            </w:pPr>
            <w:r>
              <w:rPr>
                <w:rFonts w:ascii="Arial" w:eastAsia="Arial" w:hAnsi="Arial" w:cs="Arial"/>
                <w:sz w:val="13"/>
                <w:szCs w:val="13"/>
              </w:rPr>
              <w:t>Chief People Officer</w:t>
            </w:r>
          </w:p>
        </w:tc>
        <w:tc>
          <w:tcPr>
            <w:tcW w:w="1680" w:type="dxa"/>
            <w:vAlign w:val="bottom"/>
          </w:tcPr>
          <w:p w:rsidR="00A621E3" w:rsidRDefault="00EC630E">
            <w:pPr>
              <w:ind w:left="1280"/>
              <w:rPr>
                <w:sz w:val="20"/>
                <w:szCs w:val="20"/>
              </w:rPr>
            </w:pPr>
            <w:r>
              <w:rPr>
                <w:rFonts w:ascii="Arial" w:eastAsia="Arial" w:hAnsi="Arial" w:cs="Arial"/>
                <w:sz w:val="13"/>
                <w:szCs w:val="13"/>
              </w:rPr>
              <w:t>2021</w:t>
            </w:r>
          </w:p>
        </w:tc>
        <w:tc>
          <w:tcPr>
            <w:tcW w:w="800" w:type="dxa"/>
            <w:vAlign w:val="bottom"/>
          </w:tcPr>
          <w:p w:rsidR="00A621E3" w:rsidRDefault="00EC630E">
            <w:pPr>
              <w:ind w:right="32"/>
              <w:jc w:val="right"/>
              <w:rPr>
                <w:sz w:val="20"/>
                <w:szCs w:val="20"/>
              </w:rPr>
            </w:pPr>
            <w:r>
              <w:rPr>
                <w:rFonts w:ascii="Arial" w:eastAsia="Arial" w:hAnsi="Arial" w:cs="Arial"/>
                <w:sz w:val="13"/>
                <w:szCs w:val="13"/>
              </w:rPr>
              <w:t>595,236</w:t>
            </w:r>
          </w:p>
        </w:tc>
        <w:tc>
          <w:tcPr>
            <w:tcW w:w="700" w:type="dxa"/>
            <w:vAlign w:val="bottom"/>
          </w:tcPr>
          <w:p w:rsidR="00A621E3" w:rsidRDefault="00EC630E">
            <w:pPr>
              <w:ind w:right="32"/>
              <w:jc w:val="right"/>
              <w:rPr>
                <w:sz w:val="20"/>
                <w:szCs w:val="20"/>
              </w:rPr>
            </w:pPr>
            <w:r>
              <w:rPr>
                <w:rFonts w:ascii="Arial" w:eastAsia="Arial" w:hAnsi="Arial" w:cs="Arial"/>
                <w:sz w:val="13"/>
                <w:szCs w:val="13"/>
              </w:rPr>
              <w:t>—</w:t>
            </w:r>
          </w:p>
        </w:tc>
        <w:tc>
          <w:tcPr>
            <w:tcW w:w="860" w:type="dxa"/>
            <w:vAlign w:val="bottom"/>
          </w:tcPr>
          <w:p w:rsidR="00A621E3" w:rsidRDefault="00EC630E">
            <w:pPr>
              <w:ind w:right="12"/>
              <w:jc w:val="right"/>
              <w:rPr>
                <w:sz w:val="20"/>
                <w:szCs w:val="20"/>
              </w:rPr>
            </w:pPr>
            <w:r>
              <w:rPr>
                <w:rFonts w:ascii="Arial" w:eastAsia="Arial" w:hAnsi="Arial" w:cs="Arial"/>
                <w:sz w:val="13"/>
                <w:szCs w:val="13"/>
              </w:rPr>
              <w:t>373,881</w:t>
            </w:r>
          </w:p>
        </w:tc>
        <w:tc>
          <w:tcPr>
            <w:tcW w:w="780" w:type="dxa"/>
            <w:vAlign w:val="bottom"/>
          </w:tcPr>
          <w:p w:rsidR="00A621E3" w:rsidRDefault="00EC630E">
            <w:pPr>
              <w:ind w:right="12"/>
              <w:jc w:val="right"/>
              <w:rPr>
                <w:sz w:val="20"/>
                <w:szCs w:val="20"/>
              </w:rPr>
            </w:pPr>
            <w:r>
              <w:rPr>
                <w:rFonts w:ascii="Arial" w:eastAsia="Arial" w:hAnsi="Arial" w:cs="Arial"/>
                <w:sz w:val="13"/>
                <w:szCs w:val="13"/>
              </w:rPr>
              <w:t>350,011</w:t>
            </w:r>
          </w:p>
        </w:tc>
        <w:tc>
          <w:tcPr>
            <w:tcW w:w="1100" w:type="dxa"/>
            <w:vAlign w:val="bottom"/>
          </w:tcPr>
          <w:p w:rsidR="00A621E3" w:rsidRDefault="00EC630E">
            <w:pPr>
              <w:ind w:right="12"/>
              <w:jc w:val="right"/>
              <w:rPr>
                <w:sz w:val="20"/>
                <w:szCs w:val="20"/>
              </w:rPr>
            </w:pPr>
            <w:r>
              <w:rPr>
                <w:rFonts w:ascii="Arial" w:eastAsia="Arial" w:hAnsi="Arial" w:cs="Arial"/>
                <w:sz w:val="13"/>
                <w:szCs w:val="13"/>
              </w:rPr>
              <w:t>547,906</w:t>
            </w:r>
          </w:p>
        </w:tc>
        <w:tc>
          <w:tcPr>
            <w:tcW w:w="1120" w:type="dxa"/>
            <w:vAlign w:val="bottom"/>
          </w:tcPr>
          <w:p w:rsidR="00A621E3" w:rsidRDefault="00EC630E">
            <w:pPr>
              <w:ind w:right="32"/>
              <w:jc w:val="right"/>
              <w:rPr>
                <w:sz w:val="20"/>
                <w:szCs w:val="20"/>
              </w:rPr>
            </w:pPr>
            <w:r>
              <w:rPr>
                <w:rFonts w:ascii="Arial" w:eastAsia="Arial" w:hAnsi="Arial" w:cs="Arial"/>
                <w:sz w:val="13"/>
                <w:szCs w:val="13"/>
              </w:rPr>
              <w:t>596,068</w:t>
            </w:r>
          </w:p>
        </w:tc>
        <w:tc>
          <w:tcPr>
            <w:tcW w:w="820" w:type="dxa"/>
            <w:vAlign w:val="bottom"/>
          </w:tcPr>
          <w:p w:rsidR="00A621E3" w:rsidRDefault="00EC630E">
            <w:pPr>
              <w:jc w:val="right"/>
              <w:rPr>
                <w:sz w:val="20"/>
                <w:szCs w:val="20"/>
              </w:rPr>
            </w:pPr>
            <w:r>
              <w:rPr>
                <w:rFonts w:ascii="Arial" w:eastAsia="Arial" w:hAnsi="Arial" w:cs="Arial"/>
                <w:sz w:val="13"/>
                <w:szCs w:val="13"/>
              </w:rPr>
              <w:t>2,463,102</w:t>
            </w:r>
          </w:p>
        </w:tc>
      </w:tr>
      <w:tr w:rsidR="00A621E3">
        <w:trPr>
          <w:trHeight w:val="163"/>
        </w:trPr>
        <w:tc>
          <w:tcPr>
            <w:tcW w:w="3160" w:type="dxa"/>
            <w:tcBorders>
              <w:bottom w:val="single" w:sz="8" w:space="0" w:color="CF0A2C"/>
            </w:tcBorders>
            <w:vAlign w:val="bottom"/>
          </w:tcPr>
          <w:p w:rsidR="00A621E3" w:rsidRDefault="00A621E3">
            <w:pPr>
              <w:rPr>
                <w:sz w:val="14"/>
                <w:szCs w:val="14"/>
              </w:rPr>
            </w:pPr>
          </w:p>
        </w:tc>
        <w:tc>
          <w:tcPr>
            <w:tcW w:w="1680" w:type="dxa"/>
            <w:tcBorders>
              <w:bottom w:val="single" w:sz="8" w:space="0" w:color="CF0A2C"/>
            </w:tcBorders>
            <w:vAlign w:val="bottom"/>
          </w:tcPr>
          <w:p w:rsidR="00A621E3" w:rsidRDefault="00EC630E">
            <w:pPr>
              <w:ind w:left="1280"/>
              <w:rPr>
                <w:sz w:val="20"/>
                <w:szCs w:val="20"/>
              </w:rPr>
            </w:pPr>
            <w:r>
              <w:rPr>
                <w:rFonts w:ascii="Arial" w:eastAsia="Arial" w:hAnsi="Arial" w:cs="Arial"/>
                <w:sz w:val="13"/>
                <w:szCs w:val="13"/>
              </w:rPr>
              <w:t>2020</w:t>
            </w:r>
          </w:p>
        </w:tc>
        <w:tc>
          <w:tcPr>
            <w:tcW w:w="80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517,413</w:t>
            </w:r>
          </w:p>
        </w:tc>
        <w:tc>
          <w:tcPr>
            <w:tcW w:w="70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100,566</w:t>
            </w:r>
          </w:p>
        </w:tc>
        <w:tc>
          <w:tcPr>
            <w:tcW w:w="86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1,825,078</w:t>
            </w:r>
          </w:p>
        </w:tc>
        <w:tc>
          <w:tcPr>
            <w:tcW w:w="78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325,011</w:t>
            </w:r>
          </w:p>
        </w:tc>
        <w:tc>
          <w:tcPr>
            <w:tcW w:w="110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461,599</w:t>
            </w:r>
          </w:p>
        </w:tc>
        <w:tc>
          <w:tcPr>
            <w:tcW w:w="112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542,754</w:t>
            </w:r>
          </w:p>
        </w:tc>
        <w:tc>
          <w:tcPr>
            <w:tcW w:w="82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3,772,421</w:t>
            </w:r>
          </w:p>
        </w:tc>
      </w:tr>
    </w:tbl>
    <w:p w:rsidR="00A621E3" w:rsidRDefault="00A621E3">
      <w:pPr>
        <w:spacing w:line="280" w:lineRule="exact"/>
        <w:rPr>
          <w:sz w:val="20"/>
          <w:szCs w:val="20"/>
        </w:rPr>
      </w:pPr>
    </w:p>
    <w:p w:rsidR="00A621E3" w:rsidRDefault="00EC630E">
      <w:pPr>
        <w:numPr>
          <w:ilvl w:val="0"/>
          <w:numId w:val="99"/>
        </w:numPr>
        <w:tabs>
          <w:tab w:val="left" w:pos="760"/>
        </w:tabs>
        <w:spacing w:line="268" w:lineRule="auto"/>
        <w:ind w:left="760" w:hanging="644"/>
        <w:jc w:val="both"/>
        <w:rPr>
          <w:rFonts w:ascii="Arial" w:eastAsia="Arial" w:hAnsi="Arial" w:cs="Arial"/>
          <w:color w:val="CF0A2C"/>
          <w:sz w:val="18"/>
          <w:szCs w:val="18"/>
        </w:rPr>
      </w:pPr>
      <w:r>
        <w:rPr>
          <w:rFonts w:ascii="Arial" w:eastAsia="Arial" w:hAnsi="Arial" w:cs="Arial"/>
          <w:sz w:val="18"/>
          <w:szCs w:val="18"/>
        </w:rPr>
        <w:t xml:space="preserve">The amounts reported in this column for 2022 represent the grant date fair value of the 2022 Annual PSU Awards, RSU awards granted to each Named Executive Officer, as well as the incremental fair value associated with the modification </w:t>
      </w:r>
      <w:r>
        <w:rPr>
          <w:rFonts w:ascii="Arial" w:eastAsia="Arial" w:hAnsi="Arial" w:cs="Arial"/>
          <w:sz w:val="18"/>
          <w:szCs w:val="18"/>
        </w:rPr>
        <w:t>of the 2020 Annual PSUs, as described in the CD&amp;A, calculated in accordance with Accounting Standards Codification Topic 718 (“</w:t>
      </w:r>
      <w:r>
        <w:rPr>
          <w:rFonts w:ascii="Arial" w:eastAsia="Arial" w:hAnsi="Arial" w:cs="Arial"/>
          <w:b/>
          <w:bCs/>
          <w:i/>
          <w:iCs/>
          <w:sz w:val="18"/>
          <w:szCs w:val="18"/>
        </w:rPr>
        <w:t>ASC</w:t>
      </w:r>
      <w:r>
        <w:rPr>
          <w:rFonts w:ascii="Arial" w:eastAsia="Arial" w:hAnsi="Arial" w:cs="Arial"/>
          <w:sz w:val="18"/>
          <w:szCs w:val="18"/>
        </w:rPr>
        <w:t xml:space="preserve"> </w:t>
      </w:r>
      <w:r>
        <w:rPr>
          <w:rFonts w:ascii="Arial" w:eastAsia="Arial" w:hAnsi="Arial" w:cs="Arial"/>
          <w:b/>
          <w:bCs/>
          <w:i/>
          <w:iCs/>
          <w:sz w:val="18"/>
          <w:szCs w:val="18"/>
        </w:rPr>
        <w:t>718</w:t>
      </w:r>
      <w:r>
        <w:rPr>
          <w:rFonts w:ascii="Arial" w:eastAsia="Arial" w:hAnsi="Arial" w:cs="Arial"/>
          <w:sz w:val="18"/>
          <w:szCs w:val="18"/>
        </w:rPr>
        <w:t>”), Compensation—Stock Compensation. The grant date fair value for the RSU awards was calculated by multiplying the</w:t>
      </w:r>
      <w:r>
        <w:rPr>
          <w:rFonts w:ascii="Arial" w:eastAsia="Arial" w:hAnsi="Arial" w:cs="Arial"/>
          <w:b/>
          <w:bCs/>
          <w:i/>
          <w:iCs/>
          <w:sz w:val="18"/>
          <w:szCs w:val="18"/>
        </w:rPr>
        <w:t xml:space="preserve"> </w:t>
      </w:r>
      <w:r>
        <w:rPr>
          <w:rFonts w:ascii="Arial" w:eastAsia="Arial" w:hAnsi="Arial" w:cs="Arial"/>
          <w:sz w:val="18"/>
          <w:szCs w:val="18"/>
        </w:rPr>
        <w:t>number</w:t>
      </w:r>
      <w:r>
        <w:rPr>
          <w:rFonts w:ascii="Arial" w:eastAsia="Arial" w:hAnsi="Arial" w:cs="Arial"/>
          <w:sz w:val="18"/>
          <w:szCs w:val="18"/>
        </w:rPr>
        <w:t xml:space="preserve"> of RSUs granted by the closing price of a share of Company common stock on the date of grant. The per share fair value of the 2022 Annual PSU Awards was calculated using a Monte-Carlo simulation model. Under ASC 718, the rTSR vesting condition related to </w:t>
      </w:r>
      <w:r>
        <w:rPr>
          <w:rFonts w:ascii="Arial" w:eastAsia="Arial" w:hAnsi="Arial" w:cs="Arial"/>
          <w:sz w:val="18"/>
          <w:szCs w:val="18"/>
        </w:rPr>
        <w:t>the 2022 Annual PSU Awards is considered a market-based condition and not a performance-based condition. Accordingly, there is no maximum performance, and no grant date fair value below or in excess of the amount reflected in the table above for the 2022 A</w:t>
      </w:r>
      <w:r>
        <w:rPr>
          <w:rFonts w:ascii="Arial" w:eastAsia="Arial" w:hAnsi="Arial" w:cs="Arial"/>
          <w:sz w:val="18"/>
          <w:szCs w:val="18"/>
        </w:rPr>
        <w:t>nnual PSU Awards that could be calculated and disclosed. See Note 15 to the Audited Financial Statements for further discussion of the relevant assumptions used in calculating these amounts. For 2022, the amounts reported in this column also includes the i</w:t>
      </w:r>
      <w:r>
        <w:rPr>
          <w:rFonts w:ascii="Arial" w:eastAsia="Arial" w:hAnsi="Arial" w:cs="Arial"/>
          <w:sz w:val="18"/>
          <w:szCs w:val="18"/>
        </w:rPr>
        <w:t>ncremental fair value of the 2020 Annual PSUs due to the modifications approved by the Compensation Committee in December 2022, as follows: Ms. Wat, $2,785,040; Mr. Yeung, $668,425; Mr. Chan, $445,649; Mr. Huang, $668,425; and Mr. Yuen, $362,095. See “CD&amp;A</w:t>
      </w:r>
      <w:r>
        <w:rPr>
          <w:rFonts w:ascii="Arial" w:eastAsia="Arial" w:hAnsi="Arial" w:cs="Arial"/>
          <w:sz w:val="18"/>
          <w:szCs w:val="18"/>
        </w:rPr>
        <w:t>—Recent Compensation Highlights—Modification of 2020 Annual PSUs,” “CD&amp;A—Elements of the Executive Compensation Program—Long Term Equity Incentives—2020 Annual PSUs.” As of the grant date, the achievement of the performance-based vesting conditions and the</w:t>
      </w:r>
      <w:r>
        <w:rPr>
          <w:rFonts w:ascii="Arial" w:eastAsia="Arial" w:hAnsi="Arial" w:cs="Arial"/>
          <w:sz w:val="18"/>
          <w:szCs w:val="18"/>
        </w:rPr>
        <w:t xml:space="preserve"> occurrence of a liquidity event with respect to the 2022 Lavazza ESOP Grants were not considered probable, and therefore no associated expenses was recognized for accounting purposes that can be included for the 2022 Lavazza ESOP Grants in this column. As</w:t>
      </w:r>
      <w:r>
        <w:rPr>
          <w:rFonts w:ascii="Arial" w:eastAsia="Arial" w:hAnsi="Arial" w:cs="Arial"/>
          <w:sz w:val="18"/>
          <w:szCs w:val="18"/>
        </w:rPr>
        <w:t>suming the liquidity event and the performance conditions for the 2022 Lavazza ESOP Grants were achieved, the grant date fair value for the awards would be as follows: Ms. Wat, $1,000,000; Mr. Yeung, $200,000; Mr. Chan, $200,000; Mr. Huang, $200,000; and M</w:t>
      </w:r>
      <w:r>
        <w:rPr>
          <w:rFonts w:ascii="Arial" w:eastAsia="Arial" w:hAnsi="Arial" w:cs="Arial"/>
          <w:sz w:val="18"/>
          <w:szCs w:val="18"/>
        </w:rPr>
        <w:t>r. Yuen, $200,000.</w:t>
      </w:r>
    </w:p>
    <w:p w:rsidR="00A621E3" w:rsidRDefault="00A621E3">
      <w:pPr>
        <w:spacing w:line="125" w:lineRule="exact"/>
        <w:rPr>
          <w:sz w:val="20"/>
          <w:szCs w:val="20"/>
        </w:rPr>
      </w:pPr>
    </w:p>
    <w:p w:rsidR="00A621E3" w:rsidRDefault="00EC630E">
      <w:pPr>
        <w:numPr>
          <w:ilvl w:val="0"/>
          <w:numId w:val="100"/>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97260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80" w:name="page80"/>
      <w:bookmarkEnd w:id="80"/>
      <w:r>
        <w:rPr>
          <w:rFonts w:ascii="Arial" w:eastAsia="Arial" w:hAnsi="Arial" w:cs="Arial"/>
          <w:b/>
          <w:bCs/>
          <w:noProof/>
          <w:color w:val="0000EE"/>
          <w:sz w:val="18"/>
          <w:szCs w:val="18"/>
          <w:u w:val="single"/>
        </w:rPr>
        <w:drawing>
          <wp:anchor distT="0" distB="0" distL="114300" distR="114300" simplePos="0" relativeHeight="25197363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74656"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680"/>
        <w:rPr>
          <w:sz w:val="20"/>
          <w:szCs w:val="20"/>
        </w:rPr>
      </w:pPr>
      <w:r>
        <w:rPr>
          <w:rFonts w:ascii="Arial" w:eastAsia="Arial" w:hAnsi="Arial" w:cs="Arial"/>
          <w:b/>
          <w:bCs/>
          <w:color w:val="FFFFFF"/>
          <w:sz w:val="16"/>
          <w:szCs w:val="16"/>
        </w:rPr>
        <w:t>EXECUTIVE COMPENSATION</w:t>
      </w:r>
    </w:p>
    <w:p w:rsidR="00A621E3" w:rsidRDefault="00A621E3">
      <w:pPr>
        <w:spacing w:line="209" w:lineRule="exact"/>
        <w:rPr>
          <w:sz w:val="20"/>
          <w:szCs w:val="20"/>
        </w:rPr>
      </w:pPr>
    </w:p>
    <w:p w:rsidR="00A621E3" w:rsidRDefault="00EC630E">
      <w:pPr>
        <w:numPr>
          <w:ilvl w:val="0"/>
          <w:numId w:val="101"/>
        </w:numPr>
        <w:tabs>
          <w:tab w:val="left" w:pos="760"/>
        </w:tabs>
        <w:spacing w:line="250" w:lineRule="auto"/>
        <w:ind w:left="760" w:hanging="644"/>
        <w:jc w:val="both"/>
        <w:rPr>
          <w:rFonts w:ascii="Arial" w:eastAsia="Arial" w:hAnsi="Arial" w:cs="Arial"/>
          <w:color w:val="CF0A2C"/>
          <w:sz w:val="20"/>
          <w:szCs w:val="20"/>
        </w:rPr>
      </w:pPr>
      <w:r>
        <w:rPr>
          <w:rFonts w:ascii="Arial" w:eastAsia="Arial" w:hAnsi="Arial" w:cs="Arial"/>
          <w:sz w:val="20"/>
          <w:szCs w:val="20"/>
        </w:rPr>
        <w:t xml:space="preserve">The amounts reported in this column for 2022 represent the grant date fair value of the SAR awards granted to each of the NEOs, </w:t>
      </w:r>
      <w:r>
        <w:rPr>
          <w:rFonts w:ascii="Arial" w:eastAsia="Arial" w:hAnsi="Arial" w:cs="Arial"/>
          <w:sz w:val="20"/>
          <w:szCs w:val="20"/>
        </w:rPr>
        <w:t>calculated in accordance with ASC 718. See Note 15 to the Company’s Audited Financial Statements for further discussion of the relevant assumptions used in calculating these amounts.</w:t>
      </w:r>
    </w:p>
    <w:p w:rsidR="00A621E3" w:rsidRDefault="00A621E3">
      <w:pPr>
        <w:spacing w:line="266" w:lineRule="exact"/>
        <w:rPr>
          <w:rFonts w:ascii="Arial" w:eastAsia="Arial" w:hAnsi="Arial" w:cs="Arial"/>
          <w:color w:val="CF0A2C"/>
          <w:sz w:val="20"/>
          <w:szCs w:val="20"/>
        </w:rPr>
      </w:pPr>
    </w:p>
    <w:p w:rsidR="00A621E3" w:rsidRDefault="00EC630E">
      <w:pPr>
        <w:numPr>
          <w:ilvl w:val="0"/>
          <w:numId w:val="101"/>
        </w:numPr>
        <w:tabs>
          <w:tab w:val="left" w:pos="760"/>
        </w:tabs>
        <w:spacing w:line="316" w:lineRule="auto"/>
        <w:ind w:left="760" w:hanging="644"/>
        <w:rPr>
          <w:rFonts w:ascii="Arial" w:eastAsia="Arial" w:hAnsi="Arial" w:cs="Arial"/>
          <w:color w:val="CF0A2C"/>
          <w:sz w:val="18"/>
          <w:szCs w:val="18"/>
        </w:rPr>
      </w:pPr>
      <w:r>
        <w:rPr>
          <w:rFonts w:ascii="Arial" w:eastAsia="Arial" w:hAnsi="Arial" w:cs="Arial"/>
          <w:sz w:val="18"/>
          <w:szCs w:val="18"/>
        </w:rPr>
        <w:t xml:space="preserve">Amounts in this column reflect the annual incentive awards earned for </w:t>
      </w:r>
      <w:r>
        <w:rPr>
          <w:rFonts w:ascii="Arial" w:eastAsia="Arial" w:hAnsi="Arial" w:cs="Arial"/>
          <w:sz w:val="18"/>
          <w:szCs w:val="18"/>
        </w:rPr>
        <w:t>the applicable fiscal year performance periods under the annual bonus program, which is described further in our CD&amp;A under the heading “Annual Performance-Based Cash Bonuses.”</w:t>
      </w:r>
    </w:p>
    <w:p w:rsidR="00A621E3" w:rsidRDefault="00A621E3">
      <w:pPr>
        <w:spacing w:line="210" w:lineRule="exact"/>
        <w:rPr>
          <w:rFonts w:ascii="Arial" w:eastAsia="Arial" w:hAnsi="Arial" w:cs="Arial"/>
          <w:color w:val="CF0A2C"/>
          <w:sz w:val="18"/>
          <w:szCs w:val="18"/>
        </w:rPr>
      </w:pPr>
    </w:p>
    <w:p w:rsidR="00A621E3" w:rsidRDefault="00EC630E">
      <w:pPr>
        <w:numPr>
          <w:ilvl w:val="0"/>
          <w:numId w:val="101"/>
        </w:numPr>
        <w:tabs>
          <w:tab w:val="left" w:pos="760"/>
        </w:tabs>
        <w:spacing w:line="260" w:lineRule="auto"/>
        <w:ind w:left="760" w:hanging="644"/>
        <w:rPr>
          <w:rFonts w:ascii="Arial" w:eastAsia="Arial" w:hAnsi="Arial" w:cs="Arial"/>
          <w:color w:val="CF0A2C"/>
          <w:sz w:val="20"/>
          <w:szCs w:val="20"/>
        </w:rPr>
      </w:pPr>
      <w:r>
        <w:rPr>
          <w:rFonts w:ascii="Arial" w:eastAsia="Arial" w:hAnsi="Arial" w:cs="Arial"/>
          <w:sz w:val="20"/>
          <w:szCs w:val="20"/>
        </w:rPr>
        <w:t>The amounts in this column for 2022 are detailed in the 2022 All Other Compens</w:t>
      </w:r>
      <w:r>
        <w:rPr>
          <w:rFonts w:ascii="Arial" w:eastAsia="Arial" w:hAnsi="Arial" w:cs="Arial"/>
          <w:sz w:val="20"/>
          <w:szCs w:val="20"/>
        </w:rPr>
        <w:t>ation Table and footnotes to that table, which follow.</w:t>
      </w:r>
    </w:p>
    <w:p w:rsidR="00A621E3" w:rsidRDefault="00A621E3">
      <w:pPr>
        <w:spacing w:line="257" w:lineRule="exact"/>
        <w:rPr>
          <w:rFonts w:ascii="Arial" w:eastAsia="Arial" w:hAnsi="Arial" w:cs="Arial"/>
          <w:color w:val="CF0A2C"/>
          <w:sz w:val="20"/>
          <w:szCs w:val="20"/>
        </w:rPr>
      </w:pPr>
    </w:p>
    <w:p w:rsidR="00A621E3" w:rsidRDefault="00EC630E">
      <w:pPr>
        <w:numPr>
          <w:ilvl w:val="0"/>
          <w:numId w:val="101"/>
        </w:numPr>
        <w:tabs>
          <w:tab w:val="left" w:pos="760"/>
        </w:tabs>
        <w:spacing w:line="250" w:lineRule="auto"/>
        <w:ind w:left="760" w:hanging="644"/>
        <w:jc w:val="both"/>
        <w:rPr>
          <w:rFonts w:ascii="Arial" w:eastAsia="Arial" w:hAnsi="Arial" w:cs="Arial"/>
          <w:color w:val="CF0A2C"/>
          <w:sz w:val="20"/>
          <w:szCs w:val="20"/>
        </w:rPr>
      </w:pPr>
      <w:r>
        <w:rPr>
          <w:rFonts w:ascii="Arial" w:eastAsia="Arial" w:hAnsi="Arial" w:cs="Arial"/>
          <w:sz w:val="20"/>
          <w:szCs w:val="20"/>
        </w:rPr>
        <w:t>Certain compensation included in the All Other Compensation column was denominated in Chinese Renminbi, which was converted to U.S. dollars using an exchange rate of 6.72. Mr. Yuen’s 2022 salary and a</w:t>
      </w:r>
      <w:r>
        <w:rPr>
          <w:rFonts w:ascii="Arial" w:eastAsia="Arial" w:hAnsi="Arial" w:cs="Arial"/>
          <w:sz w:val="20"/>
          <w:szCs w:val="20"/>
        </w:rPr>
        <w:t>nnual incentive was denominated in Hong Kong dollars, which was converted to U.S. dollars using an exchange rate of 7.83.</w:t>
      </w:r>
    </w:p>
    <w:p w:rsidR="00A621E3" w:rsidRDefault="00A621E3">
      <w:pPr>
        <w:spacing w:line="122"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75</w:t>
      </w:r>
    </w:p>
    <w:p w:rsidR="00A621E3" w:rsidRDefault="00EC630E">
      <w:pPr>
        <w:spacing w:line="20" w:lineRule="exact"/>
        <w:rPr>
          <w:sz w:val="20"/>
          <w:szCs w:val="20"/>
        </w:rPr>
      </w:pPr>
      <w:r>
        <w:rPr>
          <w:noProof/>
          <w:sz w:val="20"/>
          <w:szCs w:val="20"/>
        </w:rPr>
        <w:drawing>
          <wp:anchor distT="0" distB="0" distL="114300" distR="114300" simplePos="0" relativeHeight="251975680"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59" w:bottom="1440" w:left="320" w:header="0" w:footer="0" w:gutter="0"/>
          <w:cols w:space="720" w:equalWidth="0">
            <w:col w:w="11120"/>
          </w:cols>
        </w:sectPr>
      </w:pPr>
    </w:p>
    <w:p w:rsidR="00A621E3" w:rsidRDefault="00EC630E">
      <w:pPr>
        <w:rPr>
          <w:sz w:val="20"/>
          <w:szCs w:val="20"/>
        </w:rPr>
      </w:pPr>
      <w:bookmarkStart w:id="81" w:name="page81"/>
      <w:bookmarkEnd w:id="81"/>
      <w:r>
        <w:rPr>
          <w:rFonts w:ascii="Arial" w:eastAsia="Arial" w:hAnsi="Arial" w:cs="Arial"/>
          <w:b/>
          <w:bCs/>
          <w:noProof/>
          <w:color w:val="0000EE"/>
          <w:sz w:val="18"/>
          <w:szCs w:val="18"/>
          <w:u w:val="single"/>
        </w:rPr>
        <w:drawing>
          <wp:anchor distT="0" distB="0" distL="114300" distR="114300" simplePos="0" relativeHeight="25197670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77728"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189" w:lineRule="exact"/>
        <w:rPr>
          <w:sz w:val="20"/>
          <w:szCs w:val="20"/>
        </w:rPr>
      </w:pPr>
    </w:p>
    <w:p w:rsidR="00A621E3" w:rsidRDefault="00EC630E">
      <w:pPr>
        <w:ind w:left="120"/>
        <w:rPr>
          <w:sz w:val="20"/>
          <w:szCs w:val="20"/>
        </w:rPr>
      </w:pPr>
      <w:r>
        <w:rPr>
          <w:rFonts w:ascii="Arial" w:eastAsia="Arial" w:hAnsi="Arial" w:cs="Arial"/>
          <w:b/>
          <w:bCs/>
          <w:color w:val="CF0A2C"/>
          <w:sz w:val="32"/>
          <w:szCs w:val="32"/>
        </w:rPr>
        <w:t xml:space="preserve">2022 ALL OTHER COMPENSATION </w:t>
      </w:r>
      <w:r>
        <w:rPr>
          <w:rFonts w:ascii="Arial" w:eastAsia="Arial" w:hAnsi="Arial" w:cs="Arial"/>
          <w:b/>
          <w:bCs/>
          <w:color w:val="CF0A2C"/>
          <w:sz w:val="32"/>
          <w:szCs w:val="32"/>
        </w:rPr>
        <w:t>TABLE</w:t>
      </w:r>
    </w:p>
    <w:p w:rsidR="00A621E3" w:rsidRDefault="00EC630E">
      <w:pPr>
        <w:spacing w:line="20" w:lineRule="exact"/>
        <w:rPr>
          <w:sz w:val="20"/>
          <w:szCs w:val="20"/>
        </w:rPr>
      </w:pPr>
      <w:r>
        <w:rPr>
          <w:noProof/>
          <w:sz w:val="20"/>
          <w:szCs w:val="20"/>
        </w:rPr>
        <w:drawing>
          <wp:anchor distT="0" distB="0" distL="114300" distR="114300" simplePos="0" relativeHeight="251978752"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36" w:lineRule="exact"/>
        <w:rPr>
          <w:sz w:val="20"/>
          <w:szCs w:val="20"/>
        </w:rPr>
      </w:pPr>
    </w:p>
    <w:p w:rsidR="00A621E3" w:rsidRDefault="00EC630E">
      <w:pPr>
        <w:spacing w:line="250" w:lineRule="auto"/>
        <w:ind w:left="120"/>
        <w:jc w:val="both"/>
        <w:rPr>
          <w:sz w:val="20"/>
          <w:szCs w:val="20"/>
        </w:rPr>
      </w:pPr>
      <w:r>
        <w:rPr>
          <w:rFonts w:ascii="Arial" w:eastAsia="Arial" w:hAnsi="Arial" w:cs="Arial"/>
          <w:sz w:val="20"/>
          <w:szCs w:val="20"/>
        </w:rPr>
        <w:t xml:space="preserve">The following table and footnotes summarize the compensation and benefits included under the “All Other Compensation” column in the 2022 Summary Compensation Table that were awarded to, earned by or paid to the Company’s NEOs for the fiscal year </w:t>
      </w:r>
      <w:r>
        <w:rPr>
          <w:rFonts w:ascii="Arial" w:eastAsia="Arial" w:hAnsi="Arial" w:cs="Arial"/>
          <w:sz w:val="20"/>
          <w:szCs w:val="20"/>
        </w:rPr>
        <w:t>ended December 31, 2022.</w:t>
      </w:r>
    </w:p>
    <w:p w:rsidR="00A621E3" w:rsidRDefault="00A621E3">
      <w:pPr>
        <w:spacing w:line="21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760"/>
        <w:gridCol w:w="3400"/>
        <w:gridCol w:w="1660"/>
        <w:gridCol w:w="1440"/>
        <w:gridCol w:w="960"/>
        <w:gridCol w:w="800"/>
      </w:tblGrid>
      <w:tr w:rsidR="00A621E3">
        <w:trPr>
          <w:trHeight w:val="162"/>
        </w:trPr>
        <w:tc>
          <w:tcPr>
            <w:tcW w:w="2760" w:type="dxa"/>
            <w:tcBorders>
              <w:top w:val="single" w:sz="8" w:space="0" w:color="CF0A2C"/>
            </w:tcBorders>
            <w:shd w:val="clear" w:color="auto" w:fill="FAE6E9"/>
            <w:vAlign w:val="bottom"/>
          </w:tcPr>
          <w:p w:rsidR="00A621E3" w:rsidRDefault="00A621E3">
            <w:pPr>
              <w:rPr>
                <w:sz w:val="14"/>
                <w:szCs w:val="14"/>
              </w:rPr>
            </w:pPr>
          </w:p>
        </w:tc>
        <w:tc>
          <w:tcPr>
            <w:tcW w:w="3400" w:type="dxa"/>
            <w:tcBorders>
              <w:top w:val="single" w:sz="8" w:space="0" w:color="CF0A2C"/>
            </w:tcBorders>
            <w:shd w:val="clear" w:color="auto" w:fill="FAE6E9"/>
            <w:vAlign w:val="bottom"/>
          </w:tcPr>
          <w:p w:rsidR="00A621E3" w:rsidRDefault="00EC630E">
            <w:pPr>
              <w:ind w:left="1750"/>
              <w:jc w:val="center"/>
              <w:rPr>
                <w:sz w:val="20"/>
                <w:szCs w:val="20"/>
              </w:rPr>
            </w:pPr>
            <w:r>
              <w:rPr>
                <w:rFonts w:ascii="Arial" w:eastAsia="Arial" w:hAnsi="Arial" w:cs="Arial"/>
                <w:b/>
                <w:bCs/>
                <w:color w:val="CF0A2C"/>
                <w:sz w:val="14"/>
                <w:szCs w:val="14"/>
              </w:rPr>
              <w:t>Perquisites and</w:t>
            </w:r>
          </w:p>
        </w:tc>
        <w:tc>
          <w:tcPr>
            <w:tcW w:w="1660" w:type="dxa"/>
            <w:tcBorders>
              <w:top w:val="single" w:sz="8" w:space="0" w:color="CF0A2C"/>
            </w:tcBorders>
            <w:shd w:val="clear" w:color="auto" w:fill="FAE6E9"/>
            <w:vAlign w:val="bottom"/>
          </w:tcPr>
          <w:p w:rsidR="00A621E3" w:rsidRDefault="00A621E3">
            <w:pPr>
              <w:rPr>
                <w:sz w:val="14"/>
                <w:szCs w:val="14"/>
              </w:rPr>
            </w:pPr>
          </w:p>
        </w:tc>
        <w:tc>
          <w:tcPr>
            <w:tcW w:w="1440" w:type="dxa"/>
            <w:tcBorders>
              <w:top w:val="single" w:sz="8" w:space="0" w:color="CF0A2C"/>
            </w:tcBorders>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Retirement</w:t>
            </w:r>
          </w:p>
        </w:tc>
        <w:tc>
          <w:tcPr>
            <w:tcW w:w="960" w:type="dxa"/>
            <w:tcBorders>
              <w:top w:val="single" w:sz="8" w:space="0" w:color="CF0A2C"/>
            </w:tcBorders>
            <w:shd w:val="clear" w:color="auto" w:fill="FAE6E9"/>
            <w:vAlign w:val="bottom"/>
          </w:tcPr>
          <w:p w:rsidR="00A621E3" w:rsidRDefault="00A621E3">
            <w:pPr>
              <w:rPr>
                <w:sz w:val="14"/>
                <w:szCs w:val="14"/>
              </w:rPr>
            </w:pPr>
          </w:p>
        </w:tc>
        <w:tc>
          <w:tcPr>
            <w:tcW w:w="800" w:type="dxa"/>
            <w:tcBorders>
              <w:top w:val="single" w:sz="8" w:space="0" w:color="CF0A2C"/>
            </w:tcBorders>
            <w:shd w:val="clear" w:color="auto" w:fill="FAE6E9"/>
            <w:vAlign w:val="bottom"/>
          </w:tcPr>
          <w:p w:rsidR="00A621E3" w:rsidRDefault="00A621E3">
            <w:pPr>
              <w:rPr>
                <w:sz w:val="14"/>
                <w:szCs w:val="14"/>
              </w:rPr>
            </w:pPr>
          </w:p>
        </w:tc>
      </w:tr>
      <w:tr w:rsidR="00A621E3">
        <w:trPr>
          <w:trHeight w:val="162"/>
        </w:trPr>
        <w:tc>
          <w:tcPr>
            <w:tcW w:w="2760" w:type="dxa"/>
            <w:shd w:val="clear" w:color="auto" w:fill="FAE6E9"/>
            <w:vAlign w:val="bottom"/>
          </w:tcPr>
          <w:p w:rsidR="00A621E3" w:rsidRDefault="00A621E3">
            <w:pPr>
              <w:rPr>
                <w:sz w:val="14"/>
                <w:szCs w:val="14"/>
              </w:rPr>
            </w:pPr>
          </w:p>
        </w:tc>
        <w:tc>
          <w:tcPr>
            <w:tcW w:w="3400" w:type="dxa"/>
            <w:shd w:val="clear" w:color="auto" w:fill="FAE6E9"/>
            <w:vAlign w:val="bottom"/>
          </w:tcPr>
          <w:p w:rsidR="00A621E3" w:rsidRDefault="00EC630E">
            <w:pPr>
              <w:ind w:left="1750"/>
              <w:jc w:val="center"/>
              <w:rPr>
                <w:sz w:val="20"/>
                <w:szCs w:val="20"/>
              </w:rPr>
            </w:pPr>
            <w:r>
              <w:rPr>
                <w:rFonts w:ascii="Arial" w:eastAsia="Arial" w:hAnsi="Arial" w:cs="Arial"/>
                <w:b/>
                <w:bCs/>
                <w:color w:val="CF0A2C"/>
                <w:sz w:val="14"/>
                <w:szCs w:val="14"/>
              </w:rPr>
              <w:t>Other Personal</w:t>
            </w:r>
          </w:p>
        </w:tc>
        <w:tc>
          <w:tcPr>
            <w:tcW w:w="1660" w:type="dxa"/>
            <w:shd w:val="clear" w:color="auto" w:fill="FAE6E9"/>
            <w:vAlign w:val="bottom"/>
          </w:tcPr>
          <w:p w:rsidR="00A621E3" w:rsidRDefault="00EC630E">
            <w:pPr>
              <w:jc w:val="center"/>
              <w:rPr>
                <w:sz w:val="20"/>
                <w:szCs w:val="20"/>
              </w:rPr>
            </w:pPr>
            <w:r>
              <w:rPr>
                <w:rFonts w:ascii="Arial" w:eastAsia="Arial" w:hAnsi="Arial" w:cs="Arial"/>
                <w:b/>
                <w:bCs/>
                <w:color w:val="CF0A2C"/>
                <w:w w:val="99"/>
                <w:sz w:val="14"/>
                <w:szCs w:val="14"/>
              </w:rPr>
              <w:t>Tax</w:t>
            </w:r>
          </w:p>
        </w:tc>
        <w:tc>
          <w:tcPr>
            <w:tcW w:w="144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Scheme</w:t>
            </w:r>
          </w:p>
        </w:tc>
        <w:tc>
          <w:tcPr>
            <w:tcW w:w="960" w:type="dxa"/>
            <w:shd w:val="clear" w:color="auto" w:fill="FAE6E9"/>
            <w:vAlign w:val="bottom"/>
          </w:tcPr>
          <w:p w:rsidR="00A621E3" w:rsidRDefault="00A621E3">
            <w:pPr>
              <w:rPr>
                <w:sz w:val="14"/>
                <w:szCs w:val="14"/>
              </w:rPr>
            </w:pPr>
          </w:p>
        </w:tc>
        <w:tc>
          <w:tcPr>
            <w:tcW w:w="800" w:type="dxa"/>
            <w:shd w:val="clear" w:color="auto" w:fill="FAE6E9"/>
            <w:vAlign w:val="bottom"/>
          </w:tcPr>
          <w:p w:rsidR="00A621E3" w:rsidRDefault="00A621E3">
            <w:pPr>
              <w:rPr>
                <w:sz w:val="14"/>
                <w:szCs w:val="14"/>
              </w:rPr>
            </w:pPr>
          </w:p>
        </w:tc>
      </w:tr>
      <w:tr w:rsidR="00A621E3">
        <w:trPr>
          <w:trHeight w:val="160"/>
        </w:trPr>
        <w:tc>
          <w:tcPr>
            <w:tcW w:w="2760" w:type="dxa"/>
            <w:shd w:val="clear" w:color="auto" w:fill="FAE6E9"/>
            <w:vAlign w:val="bottom"/>
          </w:tcPr>
          <w:p w:rsidR="00A621E3" w:rsidRDefault="00A621E3">
            <w:pPr>
              <w:rPr>
                <w:sz w:val="13"/>
                <w:szCs w:val="13"/>
              </w:rPr>
            </w:pPr>
          </w:p>
        </w:tc>
        <w:tc>
          <w:tcPr>
            <w:tcW w:w="3400" w:type="dxa"/>
            <w:shd w:val="clear" w:color="auto" w:fill="FAE6E9"/>
            <w:vAlign w:val="bottom"/>
          </w:tcPr>
          <w:p w:rsidR="00A621E3" w:rsidRDefault="00EC630E">
            <w:pPr>
              <w:ind w:left="1750"/>
              <w:jc w:val="center"/>
              <w:rPr>
                <w:sz w:val="20"/>
                <w:szCs w:val="20"/>
              </w:rPr>
            </w:pPr>
            <w:r>
              <w:rPr>
                <w:rFonts w:ascii="Arial" w:eastAsia="Arial" w:hAnsi="Arial" w:cs="Arial"/>
                <w:b/>
                <w:bCs/>
                <w:color w:val="CF0A2C"/>
                <w:sz w:val="14"/>
                <w:szCs w:val="14"/>
              </w:rPr>
              <w:t>Benefits</w:t>
            </w:r>
          </w:p>
        </w:tc>
        <w:tc>
          <w:tcPr>
            <w:tcW w:w="166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Reimbursements</w:t>
            </w:r>
          </w:p>
        </w:tc>
        <w:tc>
          <w:tcPr>
            <w:tcW w:w="144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Contributions</w:t>
            </w:r>
          </w:p>
        </w:tc>
        <w:tc>
          <w:tcPr>
            <w:tcW w:w="960" w:type="dxa"/>
            <w:shd w:val="clear" w:color="auto" w:fill="FAE6E9"/>
            <w:vAlign w:val="bottom"/>
          </w:tcPr>
          <w:p w:rsidR="00A621E3" w:rsidRDefault="00EC630E">
            <w:pPr>
              <w:ind w:left="260"/>
              <w:rPr>
                <w:sz w:val="20"/>
                <w:szCs w:val="20"/>
              </w:rPr>
            </w:pPr>
            <w:r>
              <w:rPr>
                <w:rFonts w:ascii="Arial" w:eastAsia="Arial" w:hAnsi="Arial" w:cs="Arial"/>
                <w:b/>
                <w:bCs/>
                <w:color w:val="CF0A2C"/>
                <w:sz w:val="14"/>
                <w:szCs w:val="14"/>
              </w:rPr>
              <w:t>Other</w:t>
            </w:r>
          </w:p>
        </w:tc>
        <w:tc>
          <w:tcPr>
            <w:tcW w:w="800" w:type="dxa"/>
            <w:shd w:val="clear" w:color="auto" w:fill="FAE6E9"/>
            <w:vAlign w:val="bottom"/>
          </w:tcPr>
          <w:p w:rsidR="00A621E3" w:rsidRDefault="00EC630E">
            <w:pPr>
              <w:ind w:left="91"/>
              <w:jc w:val="center"/>
              <w:rPr>
                <w:sz w:val="20"/>
                <w:szCs w:val="20"/>
              </w:rPr>
            </w:pPr>
            <w:r>
              <w:rPr>
                <w:rFonts w:ascii="Arial" w:eastAsia="Arial" w:hAnsi="Arial" w:cs="Arial"/>
                <w:b/>
                <w:bCs/>
                <w:color w:val="CF0A2C"/>
                <w:w w:val="95"/>
                <w:sz w:val="14"/>
                <w:szCs w:val="14"/>
              </w:rPr>
              <w:t>Total</w:t>
            </w:r>
          </w:p>
        </w:tc>
      </w:tr>
      <w:tr w:rsidR="00A621E3">
        <w:trPr>
          <w:trHeight w:val="191"/>
        </w:trPr>
        <w:tc>
          <w:tcPr>
            <w:tcW w:w="2760" w:type="dxa"/>
            <w:tcBorders>
              <w:bottom w:val="single" w:sz="8" w:space="0" w:color="CF0A2C"/>
            </w:tcBorders>
            <w:shd w:val="clear" w:color="auto" w:fill="FAE6E9"/>
            <w:vAlign w:val="bottom"/>
          </w:tcPr>
          <w:p w:rsidR="00A621E3" w:rsidRDefault="00EC630E">
            <w:pPr>
              <w:ind w:left="60"/>
              <w:rPr>
                <w:sz w:val="20"/>
                <w:szCs w:val="20"/>
              </w:rPr>
            </w:pPr>
            <w:r>
              <w:rPr>
                <w:rFonts w:ascii="Arial" w:eastAsia="Arial" w:hAnsi="Arial" w:cs="Arial"/>
                <w:b/>
                <w:bCs/>
                <w:color w:val="CF0A2C"/>
                <w:sz w:val="14"/>
                <w:szCs w:val="14"/>
              </w:rPr>
              <w:t>Name</w:t>
            </w:r>
          </w:p>
        </w:tc>
        <w:tc>
          <w:tcPr>
            <w:tcW w:w="3400" w:type="dxa"/>
            <w:tcBorders>
              <w:bottom w:val="single" w:sz="8" w:space="0" w:color="CF0A2C"/>
            </w:tcBorders>
            <w:shd w:val="clear" w:color="auto" w:fill="FAE6E9"/>
            <w:vAlign w:val="bottom"/>
          </w:tcPr>
          <w:p w:rsidR="00A621E3" w:rsidRDefault="00EC630E">
            <w:pPr>
              <w:spacing w:line="191" w:lineRule="exact"/>
              <w:ind w:left="1750"/>
              <w:jc w:val="center"/>
              <w:rPr>
                <w:sz w:val="20"/>
                <w:szCs w:val="20"/>
              </w:rPr>
            </w:pPr>
            <w:r>
              <w:rPr>
                <w:rFonts w:ascii="Arial" w:eastAsia="Arial" w:hAnsi="Arial" w:cs="Arial"/>
                <w:b/>
                <w:bCs/>
                <w:color w:val="CF0A2C"/>
                <w:w w:val="87"/>
                <w:sz w:val="14"/>
                <w:szCs w:val="14"/>
              </w:rPr>
              <w:t>($)</w:t>
            </w:r>
            <w:r>
              <w:rPr>
                <w:rFonts w:ascii="Arial" w:eastAsia="Arial" w:hAnsi="Arial" w:cs="Arial"/>
                <w:b/>
                <w:bCs/>
                <w:color w:val="CF0A2C"/>
                <w:w w:val="87"/>
                <w:sz w:val="21"/>
                <w:szCs w:val="21"/>
                <w:vertAlign w:val="superscript"/>
              </w:rPr>
              <w:t>(1)</w:t>
            </w:r>
          </w:p>
        </w:tc>
        <w:tc>
          <w:tcPr>
            <w:tcW w:w="1660" w:type="dxa"/>
            <w:tcBorders>
              <w:bottom w:val="single" w:sz="8" w:space="0" w:color="CF0A2C"/>
            </w:tcBorders>
            <w:shd w:val="clear" w:color="auto" w:fill="FAE6E9"/>
            <w:vAlign w:val="bottom"/>
          </w:tcPr>
          <w:p w:rsidR="00A621E3" w:rsidRDefault="00EC630E">
            <w:pPr>
              <w:spacing w:line="191" w:lineRule="exact"/>
              <w:jc w:val="center"/>
              <w:rPr>
                <w:sz w:val="20"/>
                <w:szCs w:val="20"/>
              </w:rPr>
            </w:pPr>
            <w:r>
              <w:rPr>
                <w:rFonts w:ascii="Arial" w:eastAsia="Arial" w:hAnsi="Arial" w:cs="Arial"/>
                <w:b/>
                <w:bCs/>
                <w:color w:val="CF0A2C"/>
                <w:w w:val="93"/>
                <w:sz w:val="14"/>
                <w:szCs w:val="14"/>
              </w:rPr>
              <w:t>($)</w:t>
            </w:r>
            <w:r>
              <w:rPr>
                <w:rFonts w:ascii="Arial" w:eastAsia="Arial" w:hAnsi="Arial" w:cs="Arial"/>
                <w:b/>
                <w:bCs/>
                <w:color w:val="CF0A2C"/>
                <w:w w:val="93"/>
                <w:sz w:val="21"/>
                <w:szCs w:val="21"/>
                <w:vertAlign w:val="superscript"/>
              </w:rPr>
              <w:t>(2)</w:t>
            </w:r>
          </w:p>
        </w:tc>
        <w:tc>
          <w:tcPr>
            <w:tcW w:w="1440" w:type="dxa"/>
            <w:tcBorders>
              <w:bottom w:val="single" w:sz="8" w:space="0" w:color="CF0A2C"/>
            </w:tcBorders>
            <w:shd w:val="clear" w:color="auto" w:fill="FAE6E9"/>
            <w:vAlign w:val="bottom"/>
          </w:tcPr>
          <w:p w:rsidR="00A621E3" w:rsidRDefault="00EC630E">
            <w:pPr>
              <w:spacing w:line="191" w:lineRule="exact"/>
              <w:jc w:val="center"/>
              <w:rPr>
                <w:sz w:val="20"/>
                <w:szCs w:val="20"/>
              </w:rPr>
            </w:pPr>
            <w:r>
              <w:rPr>
                <w:rFonts w:ascii="Arial" w:eastAsia="Arial" w:hAnsi="Arial" w:cs="Arial"/>
                <w:b/>
                <w:bCs/>
                <w:color w:val="CF0A2C"/>
                <w:w w:val="87"/>
                <w:sz w:val="14"/>
                <w:szCs w:val="14"/>
              </w:rPr>
              <w:t>($)</w:t>
            </w:r>
            <w:r>
              <w:rPr>
                <w:rFonts w:ascii="Arial" w:eastAsia="Arial" w:hAnsi="Arial" w:cs="Arial"/>
                <w:b/>
                <w:bCs/>
                <w:color w:val="CF0A2C"/>
                <w:w w:val="87"/>
                <w:sz w:val="21"/>
                <w:szCs w:val="21"/>
                <w:vertAlign w:val="superscript"/>
              </w:rPr>
              <w:t>(3)</w:t>
            </w:r>
          </w:p>
        </w:tc>
        <w:tc>
          <w:tcPr>
            <w:tcW w:w="960" w:type="dxa"/>
            <w:tcBorders>
              <w:bottom w:val="single" w:sz="8" w:space="0" w:color="CF0A2C"/>
            </w:tcBorders>
            <w:shd w:val="clear" w:color="auto" w:fill="FAE6E9"/>
            <w:vAlign w:val="bottom"/>
          </w:tcPr>
          <w:p w:rsidR="00A621E3" w:rsidRDefault="00EC630E">
            <w:pPr>
              <w:spacing w:line="191" w:lineRule="exact"/>
              <w:ind w:left="300"/>
              <w:rPr>
                <w:sz w:val="20"/>
                <w:szCs w:val="20"/>
              </w:rPr>
            </w:pPr>
            <w:r>
              <w:rPr>
                <w:rFonts w:ascii="Arial" w:eastAsia="Arial" w:hAnsi="Arial" w:cs="Arial"/>
                <w:b/>
                <w:bCs/>
                <w:color w:val="CF0A2C"/>
                <w:sz w:val="14"/>
                <w:szCs w:val="14"/>
              </w:rPr>
              <w:t>($)</w:t>
            </w:r>
            <w:r>
              <w:rPr>
                <w:rFonts w:ascii="Arial" w:eastAsia="Arial" w:hAnsi="Arial" w:cs="Arial"/>
                <w:b/>
                <w:bCs/>
                <w:color w:val="CF0A2C"/>
                <w:sz w:val="21"/>
                <w:szCs w:val="21"/>
                <w:vertAlign w:val="superscript"/>
              </w:rPr>
              <w:t>(4)</w:t>
            </w:r>
          </w:p>
        </w:tc>
        <w:tc>
          <w:tcPr>
            <w:tcW w:w="800" w:type="dxa"/>
            <w:tcBorders>
              <w:bottom w:val="single" w:sz="8" w:space="0" w:color="CF0A2C"/>
            </w:tcBorders>
            <w:shd w:val="clear" w:color="auto" w:fill="FAE6E9"/>
            <w:vAlign w:val="bottom"/>
          </w:tcPr>
          <w:p w:rsidR="00A621E3" w:rsidRDefault="00EC630E">
            <w:pPr>
              <w:ind w:left="91"/>
              <w:jc w:val="center"/>
              <w:rPr>
                <w:sz w:val="20"/>
                <w:szCs w:val="20"/>
              </w:rPr>
            </w:pPr>
            <w:r>
              <w:rPr>
                <w:rFonts w:ascii="Arial" w:eastAsia="Arial" w:hAnsi="Arial" w:cs="Arial"/>
                <w:b/>
                <w:bCs/>
                <w:color w:val="CF0A2C"/>
                <w:w w:val="93"/>
                <w:sz w:val="14"/>
                <w:szCs w:val="14"/>
              </w:rPr>
              <w:t>($)</w:t>
            </w:r>
          </w:p>
        </w:tc>
      </w:tr>
      <w:tr w:rsidR="00A621E3">
        <w:trPr>
          <w:trHeight w:val="169"/>
        </w:trPr>
        <w:tc>
          <w:tcPr>
            <w:tcW w:w="2760" w:type="dxa"/>
            <w:vAlign w:val="bottom"/>
          </w:tcPr>
          <w:p w:rsidR="00A621E3" w:rsidRDefault="00EC630E">
            <w:pPr>
              <w:ind w:left="60"/>
              <w:rPr>
                <w:sz w:val="20"/>
                <w:szCs w:val="20"/>
              </w:rPr>
            </w:pPr>
            <w:r>
              <w:rPr>
                <w:rFonts w:ascii="Arial" w:eastAsia="Arial" w:hAnsi="Arial" w:cs="Arial"/>
                <w:b/>
                <w:bCs/>
                <w:color w:val="CF0A2C"/>
                <w:sz w:val="14"/>
                <w:szCs w:val="14"/>
              </w:rPr>
              <w:t>(a)</w:t>
            </w:r>
          </w:p>
        </w:tc>
        <w:tc>
          <w:tcPr>
            <w:tcW w:w="3400" w:type="dxa"/>
            <w:vAlign w:val="bottom"/>
          </w:tcPr>
          <w:p w:rsidR="00A621E3" w:rsidRDefault="00EC630E">
            <w:pPr>
              <w:ind w:left="1750"/>
              <w:jc w:val="center"/>
              <w:rPr>
                <w:sz w:val="20"/>
                <w:szCs w:val="20"/>
              </w:rPr>
            </w:pPr>
            <w:r>
              <w:rPr>
                <w:rFonts w:ascii="Arial" w:eastAsia="Arial" w:hAnsi="Arial" w:cs="Arial"/>
                <w:b/>
                <w:bCs/>
                <w:color w:val="CF0A2C"/>
                <w:sz w:val="14"/>
                <w:szCs w:val="14"/>
              </w:rPr>
              <w:t>(b)</w:t>
            </w:r>
          </w:p>
        </w:tc>
        <w:tc>
          <w:tcPr>
            <w:tcW w:w="1660" w:type="dxa"/>
            <w:vAlign w:val="bottom"/>
          </w:tcPr>
          <w:p w:rsidR="00A621E3" w:rsidRDefault="00EC630E">
            <w:pPr>
              <w:jc w:val="center"/>
              <w:rPr>
                <w:sz w:val="20"/>
                <w:szCs w:val="20"/>
              </w:rPr>
            </w:pPr>
            <w:r>
              <w:rPr>
                <w:rFonts w:ascii="Arial" w:eastAsia="Arial" w:hAnsi="Arial" w:cs="Arial"/>
                <w:b/>
                <w:bCs/>
                <w:color w:val="CF0A2C"/>
                <w:sz w:val="14"/>
                <w:szCs w:val="14"/>
              </w:rPr>
              <w:t>(c)</w:t>
            </w:r>
          </w:p>
        </w:tc>
        <w:tc>
          <w:tcPr>
            <w:tcW w:w="1440" w:type="dxa"/>
            <w:vAlign w:val="bottom"/>
          </w:tcPr>
          <w:p w:rsidR="00A621E3" w:rsidRDefault="00EC630E">
            <w:pPr>
              <w:jc w:val="center"/>
              <w:rPr>
                <w:sz w:val="20"/>
                <w:szCs w:val="20"/>
              </w:rPr>
            </w:pPr>
            <w:r>
              <w:rPr>
                <w:rFonts w:ascii="Arial" w:eastAsia="Arial" w:hAnsi="Arial" w:cs="Arial"/>
                <w:b/>
                <w:bCs/>
                <w:color w:val="CF0A2C"/>
                <w:sz w:val="14"/>
                <w:szCs w:val="14"/>
              </w:rPr>
              <w:t>(d)</w:t>
            </w:r>
          </w:p>
        </w:tc>
        <w:tc>
          <w:tcPr>
            <w:tcW w:w="960" w:type="dxa"/>
            <w:vAlign w:val="bottom"/>
          </w:tcPr>
          <w:p w:rsidR="00A621E3" w:rsidRDefault="00EC630E">
            <w:pPr>
              <w:ind w:left="360"/>
              <w:rPr>
                <w:sz w:val="20"/>
                <w:szCs w:val="20"/>
              </w:rPr>
            </w:pPr>
            <w:r>
              <w:rPr>
                <w:rFonts w:ascii="Arial" w:eastAsia="Arial" w:hAnsi="Arial" w:cs="Arial"/>
                <w:b/>
                <w:bCs/>
                <w:color w:val="CF0A2C"/>
                <w:sz w:val="14"/>
                <w:szCs w:val="14"/>
              </w:rPr>
              <w:t>(e)</w:t>
            </w:r>
          </w:p>
        </w:tc>
        <w:tc>
          <w:tcPr>
            <w:tcW w:w="800" w:type="dxa"/>
            <w:vAlign w:val="bottom"/>
          </w:tcPr>
          <w:p w:rsidR="00A621E3" w:rsidRDefault="00EC630E">
            <w:pPr>
              <w:ind w:left="91"/>
              <w:jc w:val="center"/>
              <w:rPr>
                <w:sz w:val="20"/>
                <w:szCs w:val="20"/>
              </w:rPr>
            </w:pPr>
            <w:r>
              <w:rPr>
                <w:rFonts w:ascii="Arial" w:eastAsia="Arial" w:hAnsi="Arial" w:cs="Arial"/>
                <w:b/>
                <w:bCs/>
                <w:color w:val="CF0A2C"/>
                <w:sz w:val="14"/>
                <w:szCs w:val="14"/>
              </w:rPr>
              <w:t>(f)</w:t>
            </w:r>
          </w:p>
        </w:tc>
      </w:tr>
      <w:tr w:rsidR="00A621E3">
        <w:trPr>
          <w:trHeight w:val="189"/>
        </w:trPr>
        <w:tc>
          <w:tcPr>
            <w:tcW w:w="2760" w:type="dxa"/>
            <w:vAlign w:val="bottom"/>
          </w:tcPr>
          <w:p w:rsidR="00A621E3" w:rsidRDefault="00EC630E">
            <w:pPr>
              <w:rPr>
                <w:sz w:val="20"/>
                <w:szCs w:val="20"/>
              </w:rPr>
            </w:pPr>
            <w:r>
              <w:rPr>
                <w:rFonts w:ascii="Arial" w:eastAsia="Arial" w:hAnsi="Arial" w:cs="Arial"/>
                <w:b/>
                <w:bCs/>
                <w:color w:val="CF0A2C"/>
                <w:sz w:val="14"/>
                <w:szCs w:val="14"/>
              </w:rPr>
              <w:t>Ms. Wat</w:t>
            </w:r>
          </w:p>
        </w:tc>
        <w:tc>
          <w:tcPr>
            <w:tcW w:w="3400" w:type="dxa"/>
            <w:vAlign w:val="bottom"/>
          </w:tcPr>
          <w:p w:rsidR="00A621E3" w:rsidRDefault="00EC630E">
            <w:pPr>
              <w:ind w:right="190"/>
              <w:jc w:val="right"/>
              <w:rPr>
                <w:sz w:val="20"/>
                <w:szCs w:val="20"/>
              </w:rPr>
            </w:pPr>
            <w:r>
              <w:rPr>
                <w:rFonts w:ascii="Arial" w:eastAsia="Arial" w:hAnsi="Arial" w:cs="Arial"/>
                <w:sz w:val="13"/>
                <w:szCs w:val="13"/>
              </w:rPr>
              <w:t>174,177</w:t>
            </w:r>
          </w:p>
        </w:tc>
        <w:tc>
          <w:tcPr>
            <w:tcW w:w="1660" w:type="dxa"/>
            <w:vAlign w:val="bottom"/>
          </w:tcPr>
          <w:p w:rsidR="00A621E3" w:rsidRDefault="00EC630E">
            <w:pPr>
              <w:ind w:right="191"/>
              <w:jc w:val="right"/>
              <w:rPr>
                <w:sz w:val="20"/>
                <w:szCs w:val="20"/>
              </w:rPr>
            </w:pPr>
            <w:r>
              <w:rPr>
                <w:rFonts w:ascii="Arial" w:eastAsia="Arial" w:hAnsi="Arial" w:cs="Arial"/>
                <w:sz w:val="13"/>
                <w:szCs w:val="13"/>
              </w:rPr>
              <w:t>—</w:t>
            </w:r>
          </w:p>
        </w:tc>
        <w:tc>
          <w:tcPr>
            <w:tcW w:w="1440" w:type="dxa"/>
            <w:vAlign w:val="bottom"/>
          </w:tcPr>
          <w:p w:rsidR="00A621E3" w:rsidRDefault="00EC630E">
            <w:pPr>
              <w:ind w:right="190"/>
              <w:jc w:val="right"/>
              <w:rPr>
                <w:sz w:val="20"/>
                <w:szCs w:val="20"/>
              </w:rPr>
            </w:pPr>
            <w:r>
              <w:rPr>
                <w:rFonts w:ascii="Arial" w:eastAsia="Arial" w:hAnsi="Arial" w:cs="Arial"/>
                <w:sz w:val="13"/>
                <w:szCs w:val="13"/>
              </w:rPr>
              <w:t>141,897</w:t>
            </w:r>
          </w:p>
        </w:tc>
        <w:tc>
          <w:tcPr>
            <w:tcW w:w="960" w:type="dxa"/>
            <w:vAlign w:val="bottom"/>
          </w:tcPr>
          <w:p w:rsidR="00A621E3" w:rsidRDefault="00EC630E">
            <w:pPr>
              <w:ind w:left="280"/>
              <w:rPr>
                <w:sz w:val="20"/>
                <w:szCs w:val="20"/>
              </w:rPr>
            </w:pPr>
            <w:r>
              <w:rPr>
                <w:rFonts w:ascii="Arial" w:eastAsia="Arial" w:hAnsi="Arial" w:cs="Arial"/>
                <w:sz w:val="13"/>
                <w:szCs w:val="13"/>
              </w:rPr>
              <w:t>84,928</w:t>
            </w:r>
          </w:p>
        </w:tc>
        <w:tc>
          <w:tcPr>
            <w:tcW w:w="800" w:type="dxa"/>
            <w:vAlign w:val="bottom"/>
          </w:tcPr>
          <w:p w:rsidR="00A621E3" w:rsidRDefault="00EC630E">
            <w:pPr>
              <w:jc w:val="right"/>
              <w:rPr>
                <w:sz w:val="20"/>
                <w:szCs w:val="20"/>
              </w:rPr>
            </w:pPr>
            <w:r>
              <w:rPr>
                <w:rFonts w:ascii="Arial" w:eastAsia="Arial" w:hAnsi="Arial" w:cs="Arial"/>
                <w:sz w:val="13"/>
                <w:szCs w:val="13"/>
              </w:rPr>
              <w:t>401,002</w:t>
            </w:r>
          </w:p>
        </w:tc>
      </w:tr>
      <w:tr w:rsidR="00A621E3">
        <w:trPr>
          <w:trHeight w:val="189"/>
        </w:trPr>
        <w:tc>
          <w:tcPr>
            <w:tcW w:w="2760" w:type="dxa"/>
            <w:vAlign w:val="bottom"/>
          </w:tcPr>
          <w:p w:rsidR="00A621E3" w:rsidRDefault="00EC630E">
            <w:pPr>
              <w:rPr>
                <w:sz w:val="20"/>
                <w:szCs w:val="20"/>
              </w:rPr>
            </w:pPr>
            <w:r>
              <w:rPr>
                <w:rFonts w:ascii="Arial" w:eastAsia="Arial" w:hAnsi="Arial" w:cs="Arial"/>
                <w:b/>
                <w:bCs/>
                <w:color w:val="CF0A2C"/>
                <w:sz w:val="14"/>
                <w:szCs w:val="14"/>
              </w:rPr>
              <w:t>Mr. Yeung</w:t>
            </w:r>
          </w:p>
        </w:tc>
        <w:tc>
          <w:tcPr>
            <w:tcW w:w="3400" w:type="dxa"/>
            <w:vAlign w:val="bottom"/>
          </w:tcPr>
          <w:p w:rsidR="00A621E3" w:rsidRDefault="00EC630E">
            <w:pPr>
              <w:ind w:right="190"/>
              <w:jc w:val="right"/>
              <w:rPr>
                <w:sz w:val="20"/>
                <w:szCs w:val="20"/>
              </w:rPr>
            </w:pPr>
            <w:r>
              <w:rPr>
                <w:rFonts w:ascii="Arial" w:eastAsia="Arial" w:hAnsi="Arial" w:cs="Arial"/>
                <w:sz w:val="13"/>
                <w:szCs w:val="13"/>
              </w:rPr>
              <w:t>91,292</w:t>
            </w:r>
          </w:p>
        </w:tc>
        <w:tc>
          <w:tcPr>
            <w:tcW w:w="1660" w:type="dxa"/>
            <w:vAlign w:val="bottom"/>
          </w:tcPr>
          <w:p w:rsidR="00A621E3" w:rsidRDefault="00EC630E">
            <w:pPr>
              <w:ind w:right="191"/>
              <w:jc w:val="right"/>
              <w:rPr>
                <w:sz w:val="20"/>
                <w:szCs w:val="20"/>
              </w:rPr>
            </w:pPr>
            <w:r>
              <w:rPr>
                <w:rFonts w:ascii="Arial" w:eastAsia="Arial" w:hAnsi="Arial" w:cs="Arial"/>
                <w:sz w:val="13"/>
                <w:szCs w:val="13"/>
              </w:rPr>
              <w:t>—</w:t>
            </w:r>
          </w:p>
        </w:tc>
        <w:tc>
          <w:tcPr>
            <w:tcW w:w="1440" w:type="dxa"/>
            <w:vAlign w:val="bottom"/>
          </w:tcPr>
          <w:p w:rsidR="00A621E3" w:rsidRDefault="00EC630E">
            <w:pPr>
              <w:ind w:right="190"/>
              <w:jc w:val="right"/>
              <w:rPr>
                <w:sz w:val="20"/>
                <w:szCs w:val="20"/>
              </w:rPr>
            </w:pPr>
            <w:r>
              <w:rPr>
                <w:rFonts w:ascii="Arial" w:eastAsia="Arial" w:hAnsi="Arial" w:cs="Arial"/>
                <w:sz w:val="13"/>
                <w:szCs w:val="13"/>
              </w:rPr>
              <w:t>41,840</w:t>
            </w:r>
          </w:p>
        </w:tc>
        <w:tc>
          <w:tcPr>
            <w:tcW w:w="960" w:type="dxa"/>
            <w:vAlign w:val="bottom"/>
          </w:tcPr>
          <w:p w:rsidR="00A621E3" w:rsidRDefault="00EC630E">
            <w:pPr>
              <w:ind w:left="280"/>
              <w:rPr>
                <w:sz w:val="20"/>
                <w:szCs w:val="20"/>
              </w:rPr>
            </w:pPr>
            <w:r>
              <w:rPr>
                <w:rFonts w:ascii="Arial" w:eastAsia="Arial" w:hAnsi="Arial" w:cs="Arial"/>
                <w:sz w:val="13"/>
                <w:szCs w:val="13"/>
              </w:rPr>
              <w:t>65,663</w:t>
            </w:r>
          </w:p>
        </w:tc>
        <w:tc>
          <w:tcPr>
            <w:tcW w:w="800" w:type="dxa"/>
            <w:vAlign w:val="bottom"/>
          </w:tcPr>
          <w:p w:rsidR="00A621E3" w:rsidRDefault="00EC630E">
            <w:pPr>
              <w:jc w:val="right"/>
              <w:rPr>
                <w:sz w:val="20"/>
                <w:szCs w:val="20"/>
              </w:rPr>
            </w:pPr>
            <w:r>
              <w:rPr>
                <w:rFonts w:ascii="Arial" w:eastAsia="Arial" w:hAnsi="Arial" w:cs="Arial"/>
                <w:sz w:val="13"/>
                <w:szCs w:val="13"/>
              </w:rPr>
              <w:t>198,795</w:t>
            </w:r>
          </w:p>
        </w:tc>
      </w:tr>
      <w:tr w:rsidR="00A621E3">
        <w:trPr>
          <w:trHeight w:val="189"/>
        </w:trPr>
        <w:tc>
          <w:tcPr>
            <w:tcW w:w="2760" w:type="dxa"/>
            <w:vAlign w:val="bottom"/>
          </w:tcPr>
          <w:p w:rsidR="00A621E3" w:rsidRDefault="00EC630E">
            <w:pPr>
              <w:rPr>
                <w:sz w:val="20"/>
                <w:szCs w:val="20"/>
              </w:rPr>
            </w:pPr>
            <w:r>
              <w:rPr>
                <w:rFonts w:ascii="Arial" w:eastAsia="Arial" w:hAnsi="Arial" w:cs="Arial"/>
                <w:b/>
                <w:bCs/>
                <w:color w:val="CF0A2C"/>
                <w:sz w:val="14"/>
                <w:szCs w:val="14"/>
              </w:rPr>
              <w:t>Mr. Chan</w:t>
            </w:r>
          </w:p>
        </w:tc>
        <w:tc>
          <w:tcPr>
            <w:tcW w:w="3400" w:type="dxa"/>
            <w:vAlign w:val="bottom"/>
          </w:tcPr>
          <w:p w:rsidR="00A621E3" w:rsidRDefault="00EC630E">
            <w:pPr>
              <w:ind w:right="190"/>
              <w:jc w:val="right"/>
              <w:rPr>
                <w:sz w:val="20"/>
                <w:szCs w:val="20"/>
              </w:rPr>
            </w:pPr>
            <w:r>
              <w:rPr>
                <w:rFonts w:ascii="Arial" w:eastAsia="Arial" w:hAnsi="Arial" w:cs="Arial"/>
                <w:sz w:val="13"/>
                <w:szCs w:val="13"/>
              </w:rPr>
              <w:t>97,222</w:t>
            </w:r>
          </w:p>
        </w:tc>
        <w:tc>
          <w:tcPr>
            <w:tcW w:w="1660" w:type="dxa"/>
            <w:vAlign w:val="bottom"/>
          </w:tcPr>
          <w:p w:rsidR="00A621E3" w:rsidRDefault="00EC630E">
            <w:pPr>
              <w:ind w:right="191"/>
              <w:jc w:val="right"/>
              <w:rPr>
                <w:sz w:val="20"/>
                <w:szCs w:val="20"/>
              </w:rPr>
            </w:pPr>
            <w:r>
              <w:rPr>
                <w:rFonts w:ascii="Arial" w:eastAsia="Arial" w:hAnsi="Arial" w:cs="Arial"/>
                <w:sz w:val="13"/>
                <w:szCs w:val="13"/>
              </w:rPr>
              <w:t>—</w:t>
            </w:r>
          </w:p>
        </w:tc>
        <w:tc>
          <w:tcPr>
            <w:tcW w:w="1440" w:type="dxa"/>
            <w:vAlign w:val="bottom"/>
          </w:tcPr>
          <w:p w:rsidR="00A621E3" w:rsidRDefault="00EC630E">
            <w:pPr>
              <w:ind w:right="190"/>
              <w:jc w:val="right"/>
              <w:rPr>
                <w:sz w:val="20"/>
                <w:szCs w:val="20"/>
              </w:rPr>
            </w:pPr>
            <w:r>
              <w:rPr>
                <w:rFonts w:ascii="Arial" w:eastAsia="Arial" w:hAnsi="Arial" w:cs="Arial"/>
                <w:sz w:val="13"/>
                <w:szCs w:val="13"/>
              </w:rPr>
              <w:t>31,380</w:t>
            </w:r>
          </w:p>
        </w:tc>
        <w:tc>
          <w:tcPr>
            <w:tcW w:w="960" w:type="dxa"/>
            <w:vAlign w:val="bottom"/>
          </w:tcPr>
          <w:p w:rsidR="00A621E3" w:rsidRDefault="00EC630E">
            <w:pPr>
              <w:ind w:left="280"/>
              <w:rPr>
                <w:sz w:val="20"/>
                <w:szCs w:val="20"/>
              </w:rPr>
            </w:pPr>
            <w:r>
              <w:rPr>
                <w:rFonts w:ascii="Arial" w:eastAsia="Arial" w:hAnsi="Arial" w:cs="Arial"/>
                <w:sz w:val="13"/>
                <w:szCs w:val="13"/>
              </w:rPr>
              <w:t>43,654</w:t>
            </w:r>
          </w:p>
        </w:tc>
        <w:tc>
          <w:tcPr>
            <w:tcW w:w="800" w:type="dxa"/>
            <w:vAlign w:val="bottom"/>
          </w:tcPr>
          <w:p w:rsidR="00A621E3" w:rsidRDefault="00EC630E">
            <w:pPr>
              <w:jc w:val="right"/>
              <w:rPr>
                <w:sz w:val="20"/>
                <w:szCs w:val="20"/>
              </w:rPr>
            </w:pPr>
            <w:r>
              <w:rPr>
                <w:rFonts w:ascii="Arial" w:eastAsia="Arial" w:hAnsi="Arial" w:cs="Arial"/>
                <w:sz w:val="13"/>
                <w:szCs w:val="13"/>
              </w:rPr>
              <w:t>172,256</w:t>
            </w:r>
          </w:p>
        </w:tc>
      </w:tr>
      <w:tr w:rsidR="00A621E3">
        <w:trPr>
          <w:trHeight w:val="189"/>
        </w:trPr>
        <w:tc>
          <w:tcPr>
            <w:tcW w:w="2760" w:type="dxa"/>
            <w:vAlign w:val="bottom"/>
          </w:tcPr>
          <w:p w:rsidR="00A621E3" w:rsidRDefault="00EC630E">
            <w:pPr>
              <w:rPr>
                <w:sz w:val="20"/>
                <w:szCs w:val="20"/>
              </w:rPr>
            </w:pPr>
            <w:r>
              <w:rPr>
                <w:rFonts w:ascii="Arial" w:eastAsia="Arial" w:hAnsi="Arial" w:cs="Arial"/>
                <w:b/>
                <w:bCs/>
                <w:color w:val="CF0A2C"/>
                <w:sz w:val="14"/>
                <w:szCs w:val="14"/>
              </w:rPr>
              <w:t>Mr. Huang</w:t>
            </w:r>
          </w:p>
        </w:tc>
        <w:tc>
          <w:tcPr>
            <w:tcW w:w="3400" w:type="dxa"/>
            <w:vAlign w:val="bottom"/>
          </w:tcPr>
          <w:p w:rsidR="00A621E3" w:rsidRDefault="00EC630E">
            <w:pPr>
              <w:ind w:right="190"/>
              <w:jc w:val="right"/>
              <w:rPr>
                <w:sz w:val="20"/>
                <w:szCs w:val="20"/>
              </w:rPr>
            </w:pPr>
            <w:r>
              <w:rPr>
                <w:rFonts w:ascii="Arial" w:eastAsia="Arial" w:hAnsi="Arial" w:cs="Arial"/>
                <w:sz w:val="13"/>
                <w:szCs w:val="13"/>
              </w:rPr>
              <w:t>96,250</w:t>
            </w:r>
          </w:p>
        </w:tc>
        <w:tc>
          <w:tcPr>
            <w:tcW w:w="1660" w:type="dxa"/>
            <w:vAlign w:val="bottom"/>
          </w:tcPr>
          <w:p w:rsidR="00A621E3" w:rsidRDefault="00EC630E">
            <w:pPr>
              <w:ind w:right="191"/>
              <w:jc w:val="right"/>
              <w:rPr>
                <w:sz w:val="20"/>
                <w:szCs w:val="20"/>
              </w:rPr>
            </w:pPr>
            <w:r>
              <w:rPr>
                <w:rFonts w:ascii="Arial" w:eastAsia="Arial" w:hAnsi="Arial" w:cs="Arial"/>
                <w:sz w:val="13"/>
                <w:szCs w:val="13"/>
              </w:rPr>
              <w:t>100,030</w:t>
            </w:r>
          </w:p>
        </w:tc>
        <w:tc>
          <w:tcPr>
            <w:tcW w:w="1440" w:type="dxa"/>
            <w:vAlign w:val="bottom"/>
          </w:tcPr>
          <w:p w:rsidR="00A621E3" w:rsidRDefault="00EC630E">
            <w:pPr>
              <w:ind w:right="190"/>
              <w:jc w:val="right"/>
              <w:rPr>
                <w:sz w:val="20"/>
                <w:szCs w:val="20"/>
              </w:rPr>
            </w:pPr>
            <w:r>
              <w:rPr>
                <w:rFonts w:ascii="Arial" w:eastAsia="Arial" w:hAnsi="Arial" w:cs="Arial"/>
                <w:sz w:val="13"/>
                <w:szCs w:val="13"/>
              </w:rPr>
              <w:t>76,046</w:t>
            </w:r>
          </w:p>
        </w:tc>
        <w:tc>
          <w:tcPr>
            <w:tcW w:w="960" w:type="dxa"/>
            <w:vAlign w:val="bottom"/>
          </w:tcPr>
          <w:p w:rsidR="00A621E3" w:rsidRDefault="00EC630E">
            <w:pPr>
              <w:ind w:left="280"/>
              <w:rPr>
                <w:sz w:val="20"/>
                <w:szCs w:val="20"/>
              </w:rPr>
            </w:pPr>
            <w:r>
              <w:rPr>
                <w:rFonts w:ascii="Arial" w:eastAsia="Arial" w:hAnsi="Arial" w:cs="Arial"/>
                <w:sz w:val="13"/>
                <w:szCs w:val="13"/>
              </w:rPr>
              <w:t>33,582</w:t>
            </w:r>
          </w:p>
        </w:tc>
        <w:tc>
          <w:tcPr>
            <w:tcW w:w="800" w:type="dxa"/>
            <w:vAlign w:val="bottom"/>
          </w:tcPr>
          <w:p w:rsidR="00A621E3" w:rsidRDefault="00EC630E">
            <w:pPr>
              <w:jc w:val="right"/>
              <w:rPr>
                <w:sz w:val="20"/>
                <w:szCs w:val="20"/>
              </w:rPr>
            </w:pPr>
            <w:r>
              <w:rPr>
                <w:rFonts w:ascii="Arial" w:eastAsia="Arial" w:hAnsi="Arial" w:cs="Arial"/>
                <w:sz w:val="13"/>
                <w:szCs w:val="13"/>
              </w:rPr>
              <w:t>305,908</w:t>
            </w:r>
          </w:p>
        </w:tc>
      </w:tr>
      <w:tr w:rsidR="00A621E3">
        <w:trPr>
          <w:trHeight w:val="189"/>
        </w:trPr>
        <w:tc>
          <w:tcPr>
            <w:tcW w:w="2760" w:type="dxa"/>
            <w:tcBorders>
              <w:bottom w:val="single" w:sz="8" w:space="0" w:color="CF0A2C"/>
            </w:tcBorders>
            <w:vAlign w:val="bottom"/>
          </w:tcPr>
          <w:p w:rsidR="00A621E3" w:rsidRDefault="00EC630E">
            <w:pPr>
              <w:rPr>
                <w:sz w:val="20"/>
                <w:szCs w:val="20"/>
              </w:rPr>
            </w:pPr>
            <w:r>
              <w:rPr>
                <w:rFonts w:ascii="Arial" w:eastAsia="Arial" w:hAnsi="Arial" w:cs="Arial"/>
                <w:b/>
                <w:bCs/>
                <w:color w:val="CF0A2C"/>
                <w:sz w:val="14"/>
                <w:szCs w:val="14"/>
              </w:rPr>
              <w:t>Mr. Yuen</w:t>
            </w:r>
          </w:p>
        </w:tc>
        <w:tc>
          <w:tcPr>
            <w:tcW w:w="3400" w:type="dxa"/>
            <w:tcBorders>
              <w:bottom w:val="single" w:sz="8" w:space="0" w:color="CF0A2C"/>
            </w:tcBorders>
            <w:vAlign w:val="bottom"/>
          </w:tcPr>
          <w:p w:rsidR="00A621E3" w:rsidRDefault="00EC630E">
            <w:pPr>
              <w:ind w:right="190"/>
              <w:jc w:val="right"/>
              <w:rPr>
                <w:sz w:val="20"/>
                <w:szCs w:val="20"/>
              </w:rPr>
            </w:pPr>
            <w:r>
              <w:rPr>
                <w:rFonts w:ascii="Arial" w:eastAsia="Arial" w:hAnsi="Arial" w:cs="Arial"/>
                <w:sz w:val="13"/>
                <w:szCs w:val="13"/>
              </w:rPr>
              <w:t>81,487</w:t>
            </w:r>
          </w:p>
        </w:tc>
        <w:tc>
          <w:tcPr>
            <w:tcW w:w="1660" w:type="dxa"/>
            <w:tcBorders>
              <w:bottom w:val="single" w:sz="8" w:space="0" w:color="CF0A2C"/>
            </w:tcBorders>
            <w:vAlign w:val="bottom"/>
          </w:tcPr>
          <w:p w:rsidR="00A621E3" w:rsidRDefault="00EC630E">
            <w:pPr>
              <w:ind w:right="191"/>
              <w:jc w:val="right"/>
              <w:rPr>
                <w:sz w:val="20"/>
                <w:szCs w:val="20"/>
              </w:rPr>
            </w:pPr>
            <w:r>
              <w:rPr>
                <w:rFonts w:ascii="Arial" w:eastAsia="Arial" w:hAnsi="Arial" w:cs="Arial"/>
                <w:sz w:val="13"/>
                <w:szCs w:val="13"/>
              </w:rPr>
              <w:t>84,781</w:t>
            </w:r>
          </w:p>
        </w:tc>
        <w:tc>
          <w:tcPr>
            <w:tcW w:w="1440" w:type="dxa"/>
            <w:tcBorders>
              <w:bottom w:val="single" w:sz="8" w:space="0" w:color="CF0A2C"/>
            </w:tcBorders>
            <w:vAlign w:val="bottom"/>
          </w:tcPr>
          <w:p w:rsidR="00A621E3" w:rsidRDefault="00EC630E">
            <w:pPr>
              <w:ind w:right="190"/>
              <w:jc w:val="right"/>
              <w:rPr>
                <w:sz w:val="20"/>
                <w:szCs w:val="20"/>
              </w:rPr>
            </w:pPr>
            <w:r>
              <w:rPr>
                <w:rFonts w:ascii="Arial" w:eastAsia="Arial" w:hAnsi="Arial" w:cs="Arial"/>
                <w:sz w:val="13"/>
                <w:szCs w:val="13"/>
              </w:rPr>
              <w:t>62,107</w:t>
            </w:r>
          </w:p>
        </w:tc>
        <w:tc>
          <w:tcPr>
            <w:tcW w:w="960" w:type="dxa"/>
            <w:tcBorders>
              <w:bottom w:val="single" w:sz="8" w:space="0" w:color="CF0A2C"/>
            </w:tcBorders>
            <w:vAlign w:val="bottom"/>
          </w:tcPr>
          <w:p w:rsidR="00A621E3" w:rsidRDefault="00EC630E">
            <w:pPr>
              <w:ind w:left="280"/>
              <w:rPr>
                <w:sz w:val="20"/>
                <w:szCs w:val="20"/>
              </w:rPr>
            </w:pPr>
            <w:r>
              <w:rPr>
                <w:rFonts w:ascii="Arial" w:eastAsia="Arial" w:hAnsi="Arial" w:cs="Arial"/>
                <w:sz w:val="13"/>
                <w:szCs w:val="13"/>
              </w:rPr>
              <w:t>25,185</w:t>
            </w:r>
          </w:p>
        </w:tc>
        <w:tc>
          <w:tcPr>
            <w:tcW w:w="80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253,560</w:t>
            </w:r>
          </w:p>
        </w:tc>
      </w:tr>
    </w:tbl>
    <w:p w:rsidR="00A621E3" w:rsidRDefault="00A621E3">
      <w:pPr>
        <w:spacing w:line="280" w:lineRule="exact"/>
        <w:rPr>
          <w:sz w:val="20"/>
          <w:szCs w:val="20"/>
        </w:rPr>
      </w:pPr>
    </w:p>
    <w:p w:rsidR="00A621E3" w:rsidRDefault="00EC630E">
      <w:pPr>
        <w:numPr>
          <w:ilvl w:val="0"/>
          <w:numId w:val="102"/>
        </w:numPr>
        <w:tabs>
          <w:tab w:val="left" w:pos="760"/>
        </w:tabs>
        <w:spacing w:line="250" w:lineRule="auto"/>
        <w:ind w:left="760" w:right="20" w:hanging="644"/>
        <w:jc w:val="both"/>
        <w:rPr>
          <w:rFonts w:ascii="Arial" w:eastAsia="Arial" w:hAnsi="Arial" w:cs="Arial"/>
          <w:color w:val="CF0A2C"/>
          <w:sz w:val="20"/>
          <w:szCs w:val="20"/>
        </w:rPr>
      </w:pPr>
      <w:r>
        <w:rPr>
          <w:rFonts w:ascii="Arial" w:eastAsia="Arial" w:hAnsi="Arial" w:cs="Arial"/>
          <w:sz w:val="20"/>
          <w:szCs w:val="20"/>
        </w:rPr>
        <w:t xml:space="preserve">Amounts in this column represent: for Ms. Wat, an education reimbursement ($33,279) and </w:t>
      </w:r>
      <w:r>
        <w:rPr>
          <w:rFonts w:ascii="Arial" w:eastAsia="Arial" w:hAnsi="Arial" w:cs="Arial"/>
          <w:sz w:val="20"/>
          <w:szCs w:val="20"/>
        </w:rPr>
        <w:t>housing cost subsidy ($140,898); and for Messrs. Yeung, Chan, Huang and Yuen, a housing cost subsidy. Such amounts are valued based on the amounts paid directly to the NEOs or the service providers, as applicable.</w:t>
      </w:r>
    </w:p>
    <w:p w:rsidR="00A621E3" w:rsidRDefault="00A621E3">
      <w:pPr>
        <w:spacing w:line="266" w:lineRule="exact"/>
        <w:rPr>
          <w:rFonts w:ascii="Arial" w:eastAsia="Arial" w:hAnsi="Arial" w:cs="Arial"/>
          <w:color w:val="CF0A2C"/>
          <w:sz w:val="20"/>
          <w:szCs w:val="20"/>
        </w:rPr>
      </w:pPr>
    </w:p>
    <w:p w:rsidR="00A621E3" w:rsidRDefault="00EC630E">
      <w:pPr>
        <w:numPr>
          <w:ilvl w:val="0"/>
          <w:numId w:val="102"/>
        </w:numPr>
        <w:tabs>
          <w:tab w:val="left" w:pos="760"/>
        </w:tabs>
        <w:spacing w:line="316" w:lineRule="auto"/>
        <w:ind w:left="760" w:right="20" w:hanging="644"/>
        <w:rPr>
          <w:rFonts w:ascii="Arial" w:eastAsia="Arial" w:hAnsi="Arial" w:cs="Arial"/>
          <w:color w:val="CF0A2C"/>
          <w:sz w:val="18"/>
          <w:szCs w:val="18"/>
        </w:rPr>
      </w:pPr>
      <w:r>
        <w:rPr>
          <w:rFonts w:ascii="Arial" w:eastAsia="Arial" w:hAnsi="Arial" w:cs="Arial"/>
          <w:sz w:val="18"/>
          <w:szCs w:val="18"/>
        </w:rPr>
        <w:t xml:space="preserve">Amounts in this column for Messrs. Huang </w:t>
      </w:r>
      <w:r>
        <w:rPr>
          <w:rFonts w:ascii="Arial" w:eastAsia="Arial" w:hAnsi="Arial" w:cs="Arial"/>
          <w:sz w:val="18"/>
          <w:szCs w:val="18"/>
        </w:rPr>
        <w:t>and Yuen represent legacy tax reimbursements for gains realized in 2022 on equity awards granted before 2018, and do not represent any new benefits but rather the settlement of existing contractual agreements.</w:t>
      </w:r>
    </w:p>
    <w:p w:rsidR="00A621E3" w:rsidRDefault="00A621E3">
      <w:pPr>
        <w:spacing w:line="210" w:lineRule="exact"/>
        <w:rPr>
          <w:rFonts w:ascii="Arial" w:eastAsia="Arial" w:hAnsi="Arial" w:cs="Arial"/>
          <w:color w:val="CF0A2C"/>
          <w:sz w:val="18"/>
          <w:szCs w:val="18"/>
        </w:rPr>
      </w:pPr>
    </w:p>
    <w:p w:rsidR="00A621E3" w:rsidRDefault="00EC630E">
      <w:pPr>
        <w:numPr>
          <w:ilvl w:val="0"/>
          <w:numId w:val="102"/>
        </w:numPr>
        <w:tabs>
          <w:tab w:val="left" w:pos="760"/>
        </w:tabs>
        <w:ind w:left="760" w:hanging="644"/>
        <w:rPr>
          <w:rFonts w:ascii="Arial" w:eastAsia="Arial" w:hAnsi="Arial" w:cs="Arial"/>
          <w:color w:val="CF0A2C"/>
          <w:sz w:val="20"/>
          <w:szCs w:val="20"/>
        </w:rPr>
      </w:pPr>
      <w:r>
        <w:rPr>
          <w:rFonts w:ascii="Arial" w:eastAsia="Arial" w:hAnsi="Arial" w:cs="Arial"/>
          <w:sz w:val="20"/>
          <w:szCs w:val="20"/>
        </w:rPr>
        <w:t>This column represents contributions to the B</w:t>
      </w:r>
      <w:r>
        <w:rPr>
          <w:rFonts w:ascii="Arial" w:eastAsia="Arial" w:hAnsi="Arial" w:cs="Arial"/>
          <w:sz w:val="20"/>
          <w:szCs w:val="20"/>
        </w:rPr>
        <w:t>SRCHLRS for all of our NEOs.</w:t>
      </w:r>
    </w:p>
    <w:p w:rsidR="00A621E3" w:rsidRDefault="00A621E3">
      <w:pPr>
        <w:spacing w:line="296" w:lineRule="exact"/>
        <w:rPr>
          <w:rFonts w:ascii="Arial" w:eastAsia="Arial" w:hAnsi="Arial" w:cs="Arial"/>
          <w:color w:val="CF0A2C"/>
          <w:sz w:val="20"/>
          <w:szCs w:val="20"/>
        </w:rPr>
      </w:pPr>
    </w:p>
    <w:p w:rsidR="00A621E3" w:rsidRDefault="00EC630E">
      <w:pPr>
        <w:numPr>
          <w:ilvl w:val="0"/>
          <w:numId w:val="102"/>
        </w:numPr>
        <w:tabs>
          <w:tab w:val="left" w:pos="760"/>
        </w:tabs>
        <w:spacing w:line="243" w:lineRule="auto"/>
        <w:ind w:left="760" w:hanging="644"/>
        <w:jc w:val="both"/>
        <w:rPr>
          <w:rFonts w:ascii="Arial" w:eastAsia="Arial" w:hAnsi="Arial" w:cs="Arial"/>
          <w:color w:val="CF0A2C"/>
          <w:sz w:val="20"/>
          <w:szCs w:val="20"/>
        </w:rPr>
      </w:pPr>
      <w:r>
        <w:rPr>
          <w:rFonts w:ascii="Arial" w:eastAsia="Arial" w:hAnsi="Arial" w:cs="Arial"/>
          <w:sz w:val="20"/>
          <w:szCs w:val="20"/>
        </w:rPr>
        <w:t>This column reports the total amount of other benefits provided. Such amounts, which are reflective of market practice for similarly situated global executives working in international companies based in mainland China, are pa</w:t>
      </w:r>
      <w:r>
        <w:rPr>
          <w:rFonts w:ascii="Arial" w:eastAsia="Arial" w:hAnsi="Arial" w:cs="Arial"/>
          <w:sz w:val="20"/>
          <w:szCs w:val="20"/>
        </w:rPr>
        <w:t>id directly to the NEOs or service providers, as applicable. Other than for certain benefits described below, none of the other benefits individually exceeded the greater of $25,000 or 10% of the total amount of these other benefits and the perquisites and</w:t>
      </w:r>
      <w:r>
        <w:rPr>
          <w:rFonts w:ascii="Arial" w:eastAsia="Arial" w:hAnsi="Arial" w:cs="Arial"/>
          <w:sz w:val="20"/>
          <w:szCs w:val="20"/>
        </w:rPr>
        <w:t xml:space="preserve"> other personal benefits shown in column (b) for the NEO. These other benefits consist of amounts paid for utilities, home leave expenses, transportation allowances, and executive physicals. In 2022, Ms. Wat received home leave reimbursement of $49,801, an</w:t>
      </w:r>
      <w:r>
        <w:rPr>
          <w:rFonts w:ascii="Arial" w:eastAsia="Arial" w:hAnsi="Arial" w:cs="Arial"/>
          <w:sz w:val="20"/>
          <w:szCs w:val="20"/>
        </w:rPr>
        <w:t>d Mr. Yeung received home leave reimbursement of $34,700.</w:t>
      </w:r>
    </w:p>
    <w:p w:rsidR="00A621E3" w:rsidRDefault="00A621E3">
      <w:pPr>
        <w:spacing w:line="133" w:lineRule="exact"/>
        <w:rPr>
          <w:sz w:val="20"/>
          <w:szCs w:val="20"/>
        </w:rPr>
      </w:pPr>
    </w:p>
    <w:p w:rsidR="00A621E3" w:rsidRDefault="00EC630E">
      <w:pPr>
        <w:numPr>
          <w:ilvl w:val="0"/>
          <w:numId w:val="103"/>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979776"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82" w:name="page82"/>
      <w:bookmarkEnd w:id="82"/>
      <w:r>
        <w:rPr>
          <w:rFonts w:ascii="Arial" w:eastAsia="Arial" w:hAnsi="Arial" w:cs="Arial"/>
          <w:b/>
          <w:bCs/>
          <w:noProof/>
          <w:color w:val="0000EE"/>
          <w:sz w:val="18"/>
          <w:szCs w:val="18"/>
          <w:u w:val="single"/>
        </w:rPr>
        <w:drawing>
          <wp:anchor distT="0" distB="0" distL="114300" distR="114300" simplePos="0" relativeHeight="25198080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81824"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680"/>
        <w:rPr>
          <w:sz w:val="20"/>
          <w:szCs w:val="20"/>
        </w:rPr>
      </w:pPr>
      <w:r>
        <w:rPr>
          <w:rFonts w:ascii="Arial" w:eastAsia="Arial" w:hAnsi="Arial" w:cs="Arial"/>
          <w:b/>
          <w:bCs/>
          <w:color w:val="FFFFFF"/>
          <w:sz w:val="16"/>
          <w:szCs w:val="16"/>
        </w:rPr>
        <w:t>EXECUTIVE COMPENSATION</w:t>
      </w:r>
    </w:p>
    <w:p w:rsidR="00A621E3" w:rsidRDefault="00A621E3">
      <w:pPr>
        <w:spacing w:line="189" w:lineRule="exact"/>
        <w:rPr>
          <w:sz w:val="20"/>
          <w:szCs w:val="20"/>
        </w:rPr>
      </w:pPr>
    </w:p>
    <w:p w:rsidR="00A621E3" w:rsidRDefault="00EC630E">
      <w:pPr>
        <w:ind w:left="120"/>
        <w:rPr>
          <w:sz w:val="20"/>
          <w:szCs w:val="20"/>
        </w:rPr>
      </w:pPr>
      <w:r>
        <w:rPr>
          <w:rFonts w:ascii="Arial" w:eastAsia="Arial" w:hAnsi="Arial" w:cs="Arial"/>
          <w:b/>
          <w:bCs/>
          <w:color w:val="CF0A2C"/>
          <w:sz w:val="32"/>
          <w:szCs w:val="32"/>
        </w:rPr>
        <w:t>2022 GRANTS OF PLAN-BASED AWARDS</w:t>
      </w:r>
    </w:p>
    <w:p w:rsidR="00A621E3" w:rsidRDefault="00EC630E">
      <w:pPr>
        <w:spacing w:line="20" w:lineRule="exact"/>
        <w:rPr>
          <w:sz w:val="20"/>
          <w:szCs w:val="20"/>
        </w:rPr>
      </w:pPr>
      <w:r>
        <w:rPr>
          <w:noProof/>
          <w:sz w:val="20"/>
          <w:szCs w:val="20"/>
        </w:rPr>
        <w:drawing>
          <wp:anchor distT="0" distB="0" distL="114300" distR="114300" simplePos="0" relativeHeight="251982848"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36" w:lineRule="exact"/>
        <w:rPr>
          <w:sz w:val="20"/>
          <w:szCs w:val="20"/>
        </w:rPr>
      </w:pPr>
    </w:p>
    <w:p w:rsidR="00A621E3" w:rsidRDefault="00EC630E">
      <w:pPr>
        <w:spacing w:line="282" w:lineRule="auto"/>
        <w:ind w:left="120" w:right="20"/>
        <w:jc w:val="both"/>
        <w:rPr>
          <w:sz w:val="20"/>
          <w:szCs w:val="20"/>
        </w:rPr>
      </w:pPr>
      <w:r>
        <w:rPr>
          <w:rFonts w:ascii="Arial" w:eastAsia="Arial" w:hAnsi="Arial" w:cs="Arial"/>
          <w:sz w:val="18"/>
          <w:szCs w:val="18"/>
        </w:rPr>
        <w:t xml:space="preserve">The following table provides information on the annual </w:t>
      </w:r>
      <w:r>
        <w:rPr>
          <w:rFonts w:ascii="Arial" w:eastAsia="Arial" w:hAnsi="Arial" w:cs="Arial"/>
          <w:sz w:val="18"/>
          <w:szCs w:val="18"/>
        </w:rPr>
        <w:t>incentive program that the Company’s NEOs participated in during 2022, including the SARs, 2022 Annual PSU Awards and RSUs granted under the Company’s long term incentive plan adopted in 2016 (the “</w:t>
      </w:r>
      <w:r>
        <w:rPr>
          <w:rFonts w:ascii="Arial" w:eastAsia="Arial" w:hAnsi="Arial" w:cs="Arial"/>
          <w:b/>
          <w:bCs/>
          <w:i/>
          <w:iCs/>
          <w:sz w:val="18"/>
          <w:szCs w:val="18"/>
        </w:rPr>
        <w:t>2016 LTIP</w:t>
      </w:r>
      <w:r>
        <w:rPr>
          <w:rFonts w:ascii="Arial" w:eastAsia="Arial" w:hAnsi="Arial" w:cs="Arial"/>
          <w:sz w:val="18"/>
          <w:szCs w:val="18"/>
        </w:rPr>
        <w:t>”) in 2022 and the 2022 Lavazza ESOP Grants grant</w:t>
      </w:r>
      <w:r>
        <w:rPr>
          <w:rFonts w:ascii="Arial" w:eastAsia="Arial" w:hAnsi="Arial" w:cs="Arial"/>
          <w:sz w:val="18"/>
          <w:szCs w:val="18"/>
        </w:rPr>
        <w:t>ed under the JV Equity Plans to the Company’s NEOs. In addition, the table below includes the 2020 Annual PSUs due to the modification of such PSUs in 2022, as further disclosed in the CD&amp;A.</w:t>
      </w:r>
    </w:p>
    <w:p w:rsidR="00A621E3" w:rsidRDefault="00A621E3">
      <w:pPr>
        <w:spacing w:line="185"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540"/>
        <w:gridCol w:w="960"/>
        <w:gridCol w:w="880"/>
        <w:gridCol w:w="740"/>
        <w:gridCol w:w="780"/>
        <w:gridCol w:w="200"/>
        <w:gridCol w:w="780"/>
        <w:gridCol w:w="880"/>
        <w:gridCol w:w="720"/>
        <w:gridCol w:w="880"/>
        <w:gridCol w:w="880"/>
        <w:gridCol w:w="880"/>
        <w:gridCol w:w="900"/>
        <w:gridCol w:w="20"/>
      </w:tblGrid>
      <w:tr w:rsidR="00A621E3">
        <w:trPr>
          <w:trHeight w:val="162"/>
        </w:trPr>
        <w:tc>
          <w:tcPr>
            <w:tcW w:w="1540" w:type="dxa"/>
            <w:tcBorders>
              <w:top w:val="single" w:sz="8" w:space="0" w:color="CF0A2C"/>
            </w:tcBorders>
            <w:shd w:val="clear" w:color="auto" w:fill="FAE6E9"/>
            <w:vAlign w:val="bottom"/>
          </w:tcPr>
          <w:p w:rsidR="00A621E3" w:rsidRDefault="00A621E3">
            <w:pPr>
              <w:rPr>
                <w:sz w:val="14"/>
                <w:szCs w:val="14"/>
              </w:rPr>
            </w:pPr>
          </w:p>
        </w:tc>
        <w:tc>
          <w:tcPr>
            <w:tcW w:w="960" w:type="dxa"/>
            <w:tcBorders>
              <w:top w:val="single" w:sz="8" w:space="0" w:color="CF0A2C"/>
            </w:tcBorders>
            <w:shd w:val="clear" w:color="auto" w:fill="FAE6E9"/>
            <w:vAlign w:val="bottom"/>
          </w:tcPr>
          <w:p w:rsidR="00A621E3" w:rsidRDefault="00A621E3">
            <w:pPr>
              <w:rPr>
                <w:sz w:val="14"/>
                <w:szCs w:val="14"/>
              </w:rPr>
            </w:pPr>
          </w:p>
        </w:tc>
        <w:tc>
          <w:tcPr>
            <w:tcW w:w="880" w:type="dxa"/>
            <w:tcBorders>
              <w:top w:val="single" w:sz="8" w:space="0" w:color="CF0A2C"/>
            </w:tcBorders>
            <w:shd w:val="clear" w:color="auto" w:fill="FAE6E9"/>
            <w:vAlign w:val="bottom"/>
          </w:tcPr>
          <w:p w:rsidR="00A621E3" w:rsidRDefault="00A621E3">
            <w:pPr>
              <w:rPr>
                <w:sz w:val="14"/>
                <w:szCs w:val="14"/>
              </w:rPr>
            </w:pPr>
          </w:p>
        </w:tc>
        <w:tc>
          <w:tcPr>
            <w:tcW w:w="740" w:type="dxa"/>
            <w:tcBorders>
              <w:top w:val="single" w:sz="8" w:space="0" w:color="CF0A2C"/>
            </w:tcBorders>
            <w:shd w:val="clear" w:color="auto" w:fill="FAE6E9"/>
            <w:vAlign w:val="bottom"/>
          </w:tcPr>
          <w:p w:rsidR="00A621E3" w:rsidRDefault="00A621E3">
            <w:pPr>
              <w:rPr>
                <w:sz w:val="14"/>
                <w:szCs w:val="14"/>
              </w:rPr>
            </w:pPr>
          </w:p>
        </w:tc>
        <w:tc>
          <w:tcPr>
            <w:tcW w:w="780" w:type="dxa"/>
            <w:tcBorders>
              <w:top w:val="single" w:sz="8" w:space="0" w:color="CF0A2C"/>
            </w:tcBorders>
            <w:shd w:val="clear" w:color="auto" w:fill="FAE6E9"/>
            <w:vAlign w:val="bottom"/>
          </w:tcPr>
          <w:p w:rsidR="00A621E3" w:rsidRDefault="00A621E3">
            <w:pPr>
              <w:rPr>
                <w:sz w:val="14"/>
                <w:szCs w:val="14"/>
              </w:rPr>
            </w:pPr>
          </w:p>
        </w:tc>
        <w:tc>
          <w:tcPr>
            <w:tcW w:w="200" w:type="dxa"/>
            <w:tcBorders>
              <w:top w:val="single" w:sz="8" w:space="0" w:color="CF0A2C"/>
            </w:tcBorders>
            <w:shd w:val="clear" w:color="auto" w:fill="FAE6E9"/>
            <w:vAlign w:val="bottom"/>
          </w:tcPr>
          <w:p w:rsidR="00A621E3" w:rsidRDefault="00A621E3">
            <w:pPr>
              <w:rPr>
                <w:sz w:val="14"/>
                <w:szCs w:val="14"/>
              </w:rPr>
            </w:pPr>
          </w:p>
        </w:tc>
        <w:tc>
          <w:tcPr>
            <w:tcW w:w="780" w:type="dxa"/>
            <w:tcBorders>
              <w:top w:val="single" w:sz="8" w:space="0" w:color="CF0A2C"/>
            </w:tcBorders>
            <w:shd w:val="clear" w:color="auto" w:fill="FAE6E9"/>
            <w:vAlign w:val="bottom"/>
          </w:tcPr>
          <w:p w:rsidR="00A621E3" w:rsidRDefault="00A621E3">
            <w:pPr>
              <w:rPr>
                <w:sz w:val="14"/>
                <w:szCs w:val="14"/>
              </w:rPr>
            </w:pPr>
          </w:p>
        </w:tc>
        <w:tc>
          <w:tcPr>
            <w:tcW w:w="880" w:type="dxa"/>
            <w:tcBorders>
              <w:top w:val="single" w:sz="8" w:space="0" w:color="CF0A2C"/>
            </w:tcBorders>
            <w:shd w:val="clear" w:color="auto" w:fill="FAE6E9"/>
            <w:vAlign w:val="bottom"/>
          </w:tcPr>
          <w:p w:rsidR="00A621E3" w:rsidRDefault="00A621E3">
            <w:pPr>
              <w:rPr>
                <w:sz w:val="14"/>
                <w:szCs w:val="14"/>
              </w:rPr>
            </w:pPr>
          </w:p>
        </w:tc>
        <w:tc>
          <w:tcPr>
            <w:tcW w:w="720" w:type="dxa"/>
            <w:tcBorders>
              <w:top w:val="single" w:sz="8" w:space="0" w:color="CF0A2C"/>
            </w:tcBorders>
            <w:shd w:val="clear" w:color="auto" w:fill="FAE6E9"/>
            <w:vAlign w:val="bottom"/>
          </w:tcPr>
          <w:p w:rsidR="00A621E3" w:rsidRDefault="00A621E3">
            <w:pPr>
              <w:rPr>
                <w:sz w:val="14"/>
                <w:szCs w:val="14"/>
              </w:rPr>
            </w:pPr>
          </w:p>
        </w:tc>
        <w:tc>
          <w:tcPr>
            <w:tcW w:w="880" w:type="dxa"/>
            <w:tcBorders>
              <w:top w:val="single" w:sz="8" w:space="0" w:color="CF0A2C"/>
            </w:tcBorders>
            <w:shd w:val="clear" w:color="auto" w:fill="FAE6E9"/>
            <w:vAlign w:val="bottom"/>
          </w:tcPr>
          <w:p w:rsidR="00A621E3" w:rsidRDefault="00A621E3">
            <w:pPr>
              <w:rPr>
                <w:sz w:val="14"/>
                <w:szCs w:val="14"/>
              </w:rPr>
            </w:pPr>
          </w:p>
        </w:tc>
        <w:tc>
          <w:tcPr>
            <w:tcW w:w="880" w:type="dxa"/>
            <w:tcBorders>
              <w:top w:val="single" w:sz="8" w:space="0" w:color="CF0A2C"/>
            </w:tcBorders>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All Other</w:t>
            </w:r>
          </w:p>
        </w:tc>
        <w:tc>
          <w:tcPr>
            <w:tcW w:w="880" w:type="dxa"/>
            <w:tcBorders>
              <w:top w:val="single" w:sz="8" w:space="0" w:color="CF0A2C"/>
            </w:tcBorders>
            <w:shd w:val="clear" w:color="auto" w:fill="FAE6E9"/>
            <w:vAlign w:val="bottom"/>
          </w:tcPr>
          <w:p w:rsidR="00A621E3" w:rsidRDefault="00A621E3">
            <w:pPr>
              <w:rPr>
                <w:sz w:val="14"/>
                <w:szCs w:val="14"/>
              </w:rPr>
            </w:pPr>
          </w:p>
        </w:tc>
        <w:tc>
          <w:tcPr>
            <w:tcW w:w="900" w:type="dxa"/>
            <w:tcBorders>
              <w:top w:val="single" w:sz="8" w:space="0" w:color="CF0A2C"/>
            </w:tcBorders>
            <w:shd w:val="clear" w:color="auto" w:fill="FAE6E9"/>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1540" w:type="dxa"/>
            <w:shd w:val="clear" w:color="auto" w:fill="FAE6E9"/>
            <w:vAlign w:val="bottom"/>
          </w:tcPr>
          <w:p w:rsidR="00A621E3" w:rsidRDefault="00A621E3">
            <w:pPr>
              <w:rPr>
                <w:sz w:val="14"/>
                <w:szCs w:val="14"/>
              </w:rPr>
            </w:pPr>
          </w:p>
        </w:tc>
        <w:tc>
          <w:tcPr>
            <w:tcW w:w="960" w:type="dxa"/>
            <w:shd w:val="clear" w:color="auto" w:fill="FAE6E9"/>
            <w:vAlign w:val="bottom"/>
          </w:tcPr>
          <w:p w:rsidR="00A621E3" w:rsidRDefault="00A621E3">
            <w:pPr>
              <w:rPr>
                <w:sz w:val="14"/>
                <w:szCs w:val="14"/>
              </w:rPr>
            </w:pPr>
          </w:p>
        </w:tc>
        <w:tc>
          <w:tcPr>
            <w:tcW w:w="880" w:type="dxa"/>
            <w:shd w:val="clear" w:color="auto" w:fill="FAE6E9"/>
            <w:vAlign w:val="bottom"/>
          </w:tcPr>
          <w:p w:rsidR="00A621E3" w:rsidRDefault="00A621E3">
            <w:pPr>
              <w:rPr>
                <w:sz w:val="14"/>
                <w:szCs w:val="14"/>
              </w:rPr>
            </w:pPr>
          </w:p>
        </w:tc>
        <w:tc>
          <w:tcPr>
            <w:tcW w:w="740" w:type="dxa"/>
            <w:shd w:val="clear" w:color="auto" w:fill="FAE6E9"/>
            <w:vAlign w:val="bottom"/>
          </w:tcPr>
          <w:p w:rsidR="00A621E3" w:rsidRDefault="00A621E3">
            <w:pPr>
              <w:rPr>
                <w:sz w:val="14"/>
                <w:szCs w:val="14"/>
              </w:rPr>
            </w:pPr>
          </w:p>
        </w:tc>
        <w:tc>
          <w:tcPr>
            <w:tcW w:w="780" w:type="dxa"/>
            <w:shd w:val="clear" w:color="auto" w:fill="FAE6E9"/>
            <w:vAlign w:val="bottom"/>
          </w:tcPr>
          <w:p w:rsidR="00A621E3" w:rsidRDefault="00A621E3">
            <w:pPr>
              <w:rPr>
                <w:sz w:val="14"/>
                <w:szCs w:val="14"/>
              </w:rPr>
            </w:pPr>
          </w:p>
        </w:tc>
        <w:tc>
          <w:tcPr>
            <w:tcW w:w="200" w:type="dxa"/>
            <w:shd w:val="clear" w:color="auto" w:fill="FAE6E9"/>
            <w:vAlign w:val="bottom"/>
          </w:tcPr>
          <w:p w:rsidR="00A621E3" w:rsidRDefault="00A621E3">
            <w:pPr>
              <w:rPr>
                <w:sz w:val="14"/>
                <w:szCs w:val="14"/>
              </w:rPr>
            </w:pPr>
          </w:p>
        </w:tc>
        <w:tc>
          <w:tcPr>
            <w:tcW w:w="780" w:type="dxa"/>
            <w:shd w:val="clear" w:color="auto" w:fill="FAE6E9"/>
            <w:vAlign w:val="bottom"/>
          </w:tcPr>
          <w:p w:rsidR="00A621E3" w:rsidRDefault="00A621E3">
            <w:pPr>
              <w:rPr>
                <w:sz w:val="14"/>
                <w:szCs w:val="14"/>
              </w:rPr>
            </w:pPr>
          </w:p>
        </w:tc>
        <w:tc>
          <w:tcPr>
            <w:tcW w:w="880" w:type="dxa"/>
            <w:shd w:val="clear" w:color="auto" w:fill="FAE6E9"/>
            <w:vAlign w:val="bottom"/>
          </w:tcPr>
          <w:p w:rsidR="00A621E3" w:rsidRDefault="00A621E3">
            <w:pPr>
              <w:rPr>
                <w:sz w:val="14"/>
                <w:szCs w:val="14"/>
              </w:rPr>
            </w:pPr>
          </w:p>
        </w:tc>
        <w:tc>
          <w:tcPr>
            <w:tcW w:w="720" w:type="dxa"/>
            <w:shd w:val="clear" w:color="auto" w:fill="FAE6E9"/>
            <w:vAlign w:val="bottom"/>
          </w:tcPr>
          <w:p w:rsidR="00A621E3" w:rsidRDefault="00A621E3">
            <w:pPr>
              <w:rPr>
                <w:sz w:val="14"/>
                <w:szCs w:val="14"/>
              </w:rPr>
            </w:pPr>
          </w:p>
        </w:tc>
        <w:tc>
          <w:tcPr>
            <w:tcW w:w="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All Other</w:t>
            </w:r>
          </w:p>
        </w:tc>
        <w:tc>
          <w:tcPr>
            <w:tcW w:w="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Option/</w:t>
            </w:r>
          </w:p>
        </w:tc>
        <w:tc>
          <w:tcPr>
            <w:tcW w:w="880" w:type="dxa"/>
            <w:shd w:val="clear" w:color="auto" w:fill="FAE6E9"/>
            <w:vAlign w:val="bottom"/>
          </w:tcPr>
          <w:p w:rsidR="00A621E3" w:rsidRDefault="00A621E3">
            <w:pPr>
              <w:rPr>
                <w:sz w:val="14"/>
                <w:szCs w:val="14"/>
              </w:rPr>
            </w:pPr>
          </w:p>
        </w:tc>
        <w:tc>
          <w:tcPr>
            <w:tcW w:w="900" w:type="dxa"/>
            <w:vMerge w:val="restart"/>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Grant Date</w:t>
            </w:r>
          </w:p>
        </w:tc>
        <w:tc>
          <w:tcPr>
            <w:tcW w:w="0" w:type="dxa"/>
            <w:vAlign w:val="bottom"/>
          </w:tcPr>
          <w:p w:rsidR="00A621E3" w:rsidRDefault="00A621E3">
            <w:pPr>
              <w:rPr>
                <w:sz w:val="1"/>
                <w:szCs w:val="1"/>
              </w:rPr>
            </w:pPr>
          </w:p>
        </w:tc>
      </w:tr>
      <w:tr w:rsidR="00A621E3">
        <w:trPr>
          <w:trHeight w:val="189"/>
        </w:trPr>
        <w:tc>
          <w:tcPr>
            <w:tcW w:w="1540" w:type="dxa"/>
            <w:shd w:val="clear" w:color="auto" w:fill="FAE6E9"/>
            <w:vAlign w:val="bottom"/>
          </w:tcPr>
          <w:p w:rsidR="00A621E3" w:rsidRDefault="00A621E3">
            <w:pPr>
              <w:rPr>
                <w:sz w:val="16"/>
                <w:szCs w:val="16"/>
              </w:rPr>
            </w:pPr>
          </w:p>
        </w:tc>
        <w:tc>
          <w:tcPr>
            <w:tcW w:w="960" w:type="dxa"/>
            <w:shd w:val="clear" w:color="auto" w:fill="FAE6E9"/>
            <w:vAlign w:val="bottom"/>
          </w:tcPr>
          <w:p w:rsidR="00A621E3" w:rsidRDefault="00A621E3">
            <w:pPr>
              <w:rPr>
                <w:sz w:val="16"/>
                <w:szCs w:val="16"/>
              </w:rPr>
            </w:pPr>
          </w:p>
        </w:tc>
        <w:tc>
          <w:tcPr>
            <w:tcW w:w="2600" w:type="dxa"/>
            <w:gridSpan w:val="4"/>
            <w:shd w:val="clear" w:color="auto" w:fill="FAE6E9"/>
            <w:vAlign w:val="bottom"/>
          </w:tcPr>
          <w:p w:rsidR="00A621E3" w:rsidRDefault="00EC630E">
            <w:pPr>
              <w:ind w:right="160"/>
              <w:jc w:val="center"/>
              <w:rPr>
                <w:sz w:val="20"/>
                <w:szCs w:val="20"/>
              </w:rPr>
            </w:pPr>
            <w:r>
              <w:rPr>
                <w:rFonts w:ascii="Arial" w:eastAsia="Arial" w:hAnsi="Arial" w:cs="Arial"/>
                <w:b/>
                <w:bCs/>
                <w:color w:val="CF0A2C"/>
                <w:sz w:val="14"/>
                <w:szCs w:val="14"/>
              </w:rPr>
              <w:t>Estimated Future Payouts</w:t>
            </w:r>
          </w:p>
        </w:tc>
        <w:tc>
          <w:tcPr>
            <w:tcW w:w="2380" w:type="dxa"/>
            <w:gridSpan w:val="3"/>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Estimated Future Payouts</w:t>
            </w:r>
          </w:p>
        </w:tc>
        <w:tc>
          <w:tcPr>
            <w:tcW w:w="880" w:type="dxa"/>
            <w:shd w:val="clear" w:color="auto" w:fill="FAE6E9"/>
            <w:vAlign w:val="bottom"/>
          </w:tcPr>
          <w:p w:rsidR="00A621E3" w:rsidRDefault="00EC630E">
            <w:pPr>
              <w:jc w:val="center"/>
              <w:rPr>
                <w:sz w:val="20"/>
                <w:szCs w:val="20"/>
              </w:rPr>
            </w:pPr>
            <w:r>
              <w:rPr>
                <w:rFonts w:ascii="Arial" w:eastAsia="Arial" w:hAnsi="Arial" w:cs="Arial"/>
                <w:b/>
                <w:bCs/>
                <w:color w:val="CF0A2C"/>
                <w:w w:val="99"/>
                <w:sz w:val="14"/>
                <w:szCs w:val="14"/>
              </w:rPr>
              <w:t>Stock</w:t>
            </w:r>
          </w:p>
        </w:tc>
        <w:tc>
          <w:tcPr>
            <w:tcW w:w="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SAR</w:t>
            </w:r>
          </w:p>
        </w:tc>
        <w:tc>
          <w:tcPr>
            <w:tcW w:w="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Exercise or</w:t>
            </w:r>
          </w:p>
        </w:tc>
        <w:tc>
          <w:tcPr>
            <w:tcW w:w="900" w:type="dxa"/>
            <w:vMerge/>
            <w:shd w:val="clear" w:color="auto" w:fill="FAE6E9"/>
            <w:vAlign w:val="bottom"/>
          </w:tcPr>
          <w:p w:rsidR="00A621E3" w:rsidRDefault="00A621E3">
            <w:pPr>
              <w:rPr>
                <w:sz w:val="16"/>
                <w:szCs w:val="16"/>
              </w:rPr>
            </w:pPr>
          </w:p>
        </w:tc>
        <w:tc>
          <w:tcPr>
            <w:tcW w:w="0" w:type="dxa"/>
            <w:vAlign w:val="bottom"/>
          </w:tcPr>
          <w:p w:rsidR="00A621E3" w:rsidRDefault="00A621E3">
            <w:pPr>
              <w:rPr>
                <w:sz w:val="1"/>
                <w:szCs w:val="1"/>
              </w:rPr>
            </w:pPr>
          </w:p>
        </w:tc>
      </w:tr>
      <w:tr w:rsidR="00A621E3">
        <w:trPr>
          <w:trHeight w:val="162"/>
        </w:trPr>
        <w:tc>
          <w:tcPr>
            <w:tcW w:w="1540" w:type="dxa"/>
            <w:shd w:val="clear" w:color="auto" w:fill="FAE6E9"/>
            <w:vAlign w:val="bottom"/>
          </w:tcPr>
          <w:p w:rsidR="00A621E3" w:rsidRDefault="00A621E3">
            <w:pPr>
              <w:rPr>
                <w:sz w:val="14"/>
                <w:szCs w:val="14"/>
              </w:rPr>
            </w:pPr>
          </w:p>
        </w:tc>
        <w:tc>
          <w:tcPr>
            <w:tcW w:w="960" w:type="dxa"/>
            <w:shd w:val="clear" w:color="auto" w:fill="FAE6E9"/>
            <w:vAlign w:val="bottom"/>
          </w:tcPr>
          <w:p w:rsidR="00A621E3" w:rsidRDefault="00A621E3">
            <w:pPr>
              <w:rPr>
                <w:sz w:val="14"/>
                <w:szCs w:val="14"/>
              </w:rPr>
            </w:pPr>
          </w:p>
        </w:tc>
        <w:tc>
          <w:tcPr>
            <w:tcW w:w="2600" w:type="dxa"/>
            <w:gridSpan w:val="4"/>
            <w:shd w:val="clear" w:color="auto" w:fill="FAE6E9"/>
            <w:vAlign w:val="bottom"/>
          </w:tcPr>
          <w:p w:rsidR="00A621E3" w:rsidRDefault="00EC630E">
            <w:pPr>
              <w:ind w:right="160"/>
              <w:jc w:val="center"/>
              <w:rPr>
                <w:sz w:val="20"/>
                <w:szCs w:val="20"/>
              </w:rPr>
            </w:pPr>
            <w:r>
              <w:rPr>
                <w:rFonts w:ascii="Arial" w:eastAsia="Arial" w:hAnsi="Arial" w:cs="Arial"/>
                <w:b/>
                <w:bCs/>
                <w:color w:val="CF0A2C"/>
                <w:sz w:val="14"/>
                <w:szCs w:val="14"/>
              </w:rPr>
              <w:t>Under Non-Equity Incentive</w:t>
            </w:r>
          </w:p>
        </w:tc>
        <w:tc>
          <w:tcPr>
            <w:tcW w:w="2380" w:type="dxa"/>
            <w:gridSpan w:val="3"/>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Under Equity Incentive</w:t>
            </w:r>
          </w:p>
        </w:tc>
        <w:tc>
          <w:tcPr>
            <w:tcW w:w="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Awards:</w:t>
            </w:r>
          </w:p>
        </w:tc>
        <w:tc>
          <w:tcPr>
            <w:tcW w:w="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Awards:</w:t>
            </w:r>
          </w:p>
        </w:tc>
        <w:tc>
          <w:tcPr>
            <w:tcW w:w="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Base Price</w:t>
            </w:r>
          </w:p>
        </w:tc>
        <w:tc>
          <w:tcPr>
            <w:tcW w:w="90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Fair Value</w:t>
            </w:r>
          </w:p>
        </w:tc>
        <w:tc>
          <w:tcPr>
            <w:tcW w:w="0" w:type="dxa"/>
            <w:vAlign w:val="bottom"/>
          </w:tcPr>
          <w:p w:rsidR="00A621E3" w:rsidRDefault="00A621E3">
            <w:pPr>
              <w:rPr>
                <w:sz w:val="1"/>
                <w:szCs w:val="1"/>
              </w:rPr>
            </w:pPr>
          </w:p>
        </w:tc>
      </w:tr>
      <w:tr w:rsidR="00A621E3">
        <w:trPr>
          <w:trHeight w:val="194"/>
        </w:trPr>
        <w:tc>
          <w:tcPr>
            <w:tcW w:w="1540" w:type="dxa"/>
            <w:tcBorders>
              <w:bottom w:val="single" w:sz="8" w:space="0" w:color="FAE6E9"/>
            </w:tcBorders>
            <w:shd w:val="clear" w:color="auto" w:fill="FAE6E9"/>
            <w:vAlign w:val="bottom"/>
          </w:tcPr>
          <w:p w:rsidR="00A621E3" w:rsidRDefault="00A621E3">
            <w:pPr>
              <w:rPr>
                <w:sz w:val="16"/>
                <w:szCs w:val="16"/>
              </w:rPr>
            </w:pPr>
          </w:p>
        </w:tc>
        <w:tc>
          <w:tcPr>
            <w:tcW w:w="960" w:type="dxa"/>
            <w:tcBorders>
              <w:bottom w:val="single" w:sz="8" w:space="0" w:color="FAE6E9"/>
            </w:tcBorders>
            <w:shd w:val="clear" w:color="auto" w:fill="FAE6E9"/>
            <w:vAlign w:val="bottom"/>
          </w:tcPr>
          <w:p w:rsidR="00A621E3" w:rsidRDefault="00A621E3">
            <w:pPr>
              <w:rPr>
                <w:sz w:val="16"/>
                <w:szCs w:val="16"/>
              </w:rPr>
            </w:pPr>
          </w:p>
        </w:tc>
        <w:tc>
          <w:tcPr>
            <w:tcW w:w="2600" w:type="dxa"/>
            <w:gridSpan w:val="4"/>
            <w:tcBorders>
              <w:bottom w:val="single" w:sz="8" w:space="0" w:color="FAE6E9"/>
            </w:tcBorders>
            <w:shd w:val="clear" w:color="auto" w:fill="FAE6E9"/>
            <w:vAlign w:val="bottom"/>
          </w:tcPr>
          <w:p w:rsidR="00A621E3" w:rsidRDefault="00EC630E">
            <w:pPr>
              <w:spacing w:line="162" w:lineRule="exact"/>
              <w:ind w:right="160"/>
              <w:jc w:val="center"/>
              <w:rPr>
                <w:sz w:val="20"/>
                <w:szCs w:val="20"/>
              </w:rPr>
            </w:pPr>
            <w:r>
              <w:rPr>
                <w:rFonts w:ascii="Arial" w:eastAsia="Arial" w:hAnsi="Arial" w:cs="Arial"/>
                <w:b/>
                <w:bCs/>
                <w:color w:val="CF0A2C"/>
                <w:sz w:val="13"/>
                <w:szCs w:val="13"/>
              </w:rPr>
              <w:t>Plan Awards</w:t>
            </w:r>
            <w:r>
              <w:rPr>
                <w:rFonts w:ascii="Arial" w:eastAsia="Arial" w:hAnsi="Arial" w:cs="Arial"/>
                <w:b/>
                <w:bCs/>
                <w:color w:val="CF0A2C"/>
                <w:sz w:val="18"/>
                <w:szCs w:val="18"/>
                <w:vertAlign w:val="superscript"/>
              </w:rPr>
              <w:t>(1)</w:t>
            </w:r>
          </w:p>
        </w:tc>
        <w:tc>
          <w:tcPr>
            <w:tcW w:w="780" w:type="dxa"/>
            <w:tcBorders>
              <w:bottom w:val="single" w:sz="8" w:space="0" w:color="FAE6E9"/>
            </w:tcBorders>
            <w:shd w:val="clear" w:color="auto" w:fill="FAE6E9"/>
            <w:vAlign w:val="bottom"/>
          </w:tcPr>
          <w:p w:rsidR="00A621E3" w:rsidRDefault="00A621E3">
            <w:pPr>
              <w:rPr>
                <w:sz w:val="16"/>
                <w:szCs w:val="16"/>
              </w:rPr>
            </w:pPr>
          </w:p>
        </w:tc>
        <w:tc>
          <w:tcPr>
            <w:tcW w:w="880" w:type="dxa"/>
            <w:tcBorders>
              <w:bottom w:val="single" w:sz="8" w:space="0" w:color="FAE6E9"/>
            </w:tcBorders>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Plan Awards</w:t>
            </w:r>
          </w:p>
        </w:tc>
        <w:tc>
          <w:tcPr>
            <w:tcW w:w="720" w:type="dxa"/>
            <w:tcBorders>
              <w:bottom w:val="single" w:sz="8" w:space="0" w:color="FAE6E9"/>
            </w:tcBorders>
            <w:shd w:val="clear" w:color="auto" w:fill="FAE6E9"/>
            <w:vAlign w:val="bottom"/>
          </w:tcPr>
          <w:p w:rsidR="00A621E3" w:rsidRDefault="00A621E3">
            <w:pPr>
              <w:rPr>
                <w:sz w:val="16"/>
                <w:szCs w:val="16"/>
              </w:rPr>
            </w:pPr>
          </w:p>
        </w:tc>
        <w:tc>
          <w:tcPr>
            <w:tcW w:w="880" w:type="dxa"/>
            <w:tcBorders>
              <w:bottom w:val="single" w:sz="8" w:space="0" w:color="FAE6E9"/>
            </w:tcBorders>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Number of</w:t>
            </w:r>
          </w:p>
        </w:tc>
        <w:tc>
          <w:tcPr>
            <w:tcW w:w="880" w:type="dxa"/>
            <w:tcBorders>
              <w:bottom w:val="single" w:sz="8" w:space="0" w:color="FAE6E9"/>
            </w:tcBorders>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Number of</w:t>
            </w:r>
          </w:p>
        </w:tc>
        <w:tc>
          <w:tcPr>
            <w:tcW w:w="880" w:type="dxa"/>
            <w:tcBorders>
              <w:bottom w:val="single" w:sz="8" w:space="0" w:color="FAE6E9"/>
            </w:tcBorders>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of</w:t>
            </w:r>
          </w:p>
        </w:tc>
        <w:tc>
          <w:tcPr>
            <w:tcW w:w="900" w:type="dxa"/>
            <w:tcBorders>
              <w:bottom w:val="single" w:sz="8" w:space="0" w:color="FAE6E9"/>
            </w:tcBorders>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of Stock,</w:t>
            </w:r>
          </w:p>
        </w:tc>
        <w:tc>
          <w:tcPr>
            <w:tcW w:w="0" w:type="dxa"/>
            <w:vAlign w:val="bottom"/>
          </w:tcPr>
          <w:p w:rsidR="00A621E3" w:rsidRDefault="00A621E3">
            <w:pPr>
              <w:rPr>
                <w:sz w:val="1"/>
                <w:szCs w:val="1"/>
              </w:rPr>
            </w:pPr>
          </w:p>
        </w:tc>
      </w:tr>
      <w:tr w:rsidR="00A621E3">
        <w:trPr>
          <w:trHeight w:val="75"/>
        </w:trPr>
        <w:tc>
          <w:tcPr>
            <w:tcW w:w="1540" w:type="dxa"/>
            <w:tcBorders>
              <w:top w:val="single" w:sz="8" w:space="0" w:color="FAE6E9"/>
            </w:tcBorders>
            <w:shd w:val="clear" w:color="auto" w:fill="FAE6E9"/>
            <w:vAlign w:val="bottom"/>
          </w:tcPr>
          <w:p w:rsidR="00A621E3" w:rsidRDefault="00A621E3">
            <w:pPr>
              <w:rPr>
                <w:sz w:val="6"/>
                <w:szCs w:val="6"/>
              </w:rPr>
            </w:pPr>
          </w:p>
        </w:tc>
        <w:tc>
          <w:tcPr>
            <w:tcW w:w="960" w:type="dxa"/>
            <w:tcBorders>
              <w:top w:val="single" w:sz="8" w:space="0" w:color="FAE6E9"/>
            </w:tcBorders>
            <w:shd w:val="clear" w:color="auto" w:fill="FAE6E9"/>
            <w:vAlign w:val="bottom"/>
          </w:tcPr>
          <w:p w:rsidR="00A621E3" w:rsidRDefault="00A621E3">
            <w:pPr>
              <w:rPr>
                <w:sz w:val="6"/>
                <w:szCs w:val="6"/>
              </w:rPr>
            </w:pPr>
          </w:p>
        </w:tc>
        <w:tc>
          <w:tcPr>
            <w:tcW w:w="880" w:type="dxa"/>
            <w:tcBorders>
              <w:top w:val="single" w:sz="8" w:space="0" w:color="CF0A2C"/>
            </w:tcBorders>
            <w:shd w:val="clear" w:color="auto" w:fill="FAE6E9"/>
            <w:vAlign w:val="bottom"/>
          </w:tcPr>
          <w:p w:rsidR="00A621E3" w:rsidRDefault="00A621E3">
            <w:pPr>
              <w:rPr>
                <w:sz w:val="6"/>
                <w:szCs w:val="6"/>
              </w:rPr>
            </w:pPr>
          </w:p>
        </w:tc>
        <w:tc>
          <w:tcPr>
            <w:tcW w:w="740" w:type="dxa"/>
            <w:tcBorders>
              <w:top w:val="single" w:sz="8" w:space="0" w:color="CF0A2C"/>
            </w:tcBorders>
            <w:shd w:val="clear" w:color="auto" w:fill="FAE6E9"/>
            <w:vAlign w:val="bottom"/>
          </w:tcPr>
          <w:p w:rsidR="00A621E3" w:rsidRDefault="00A621E3">
            <w:pPr>
              <w:rPr>
                <w:sz w:val="6"/>
                <w:szCs w:val="6"/>
              </w:rPr>
            </w:pPr>
          </w:p>
        </w:tc>
        <w:tc>
          <w:tcPr>
            <w:tcW w:w="780" w:type="dxa"/>
            <w:tcBorders>
              <w:top w:val="single" w:sz="8" w:space="0" w:color="CF0A2C"/>
            </w:tcBorders>
            <w:shd w:val="clear" w:color="auto" w:fill="FAE6E9"/>
            <w:vAlign w:val="bottom"/>
          </w:tcPr>
          <w:p w:rsidR="00A621E3" w:rsidRDefault="00A621E3">
            <w:pPr>
              <w:rPr>
                <w:sz w:val="6"/>
                <w:szCs w:val="6"/>
              </w:rPr>
            </w:pPr>
          </w:p>
        </w:tc>
        <w:tc>
          <w:tcPr>
            <w:tcW w:w="200" w:type="dxa"/>
            <w:tcBorders>
              <w:top w:val="single" w:sz="8" w:space="0" w:color="FAE6E9"/>
            </w:tcBorders>
            <w:shd w:val="clear" w:color="auto" w:fill="FAE6E9"/>
            <w:vAlign w:val="bottom"/>
          </w:tcPr>
          <w:p w:rsidR="00A621E3" w:rsidRDefault="00A621E3">
            <w:pPr>
              <w:rPr>
                <w:sz w:val="6"/>
                <w:szCs w:val="6"/>
              </w:rPr>
            </w:pPr>
          </w:p>
        </w:tc>
        <w:tc>
          <w:tcPr>
            <w:tcW w:w="780" w:type="dxa"/>
            <w:tcBorders>
              <w:top w:val="single" w:sz="8" w:space="0" w:color="CF0A2C"/>
            </w:tcBorders>
            <w:shd w:val="clear" w:color="auto" w:fill="FAE6E9"/>
            <w:vAlign w:val="bottom"/>
          </w:tcPr>
          <w:p w:rsidR="00A621E3" w:rsidRDefault="00A621E3">
            <w:pPr>
              <w:rPr>
                <w:sz w:val="6"/>
                <w:szCs w:val="6"/>
              </w:rPr>
            </w:pPr>
          </w:p>
        </w:tc>
        <w:tc>
          <w:tcPr>
            <w:tcW w:w="880" w:type="dxa"/>
            <w:tcBorders>
              <w:top w:val="single" w:sz="8" w:space="0" w:color="CF0A2C"/>
            </w:tcBorders>
            <w:shd w:val="clear" w:color="auto" w:fill="FAE6E9"/>
            <w:vAlign w:val="bottom"/>
          </w:tcPr>
          <w:p w:rsidR="00A621E3" w:rsidRDefault="00A621E3">
            <w:pPr>
              <w:rPr>
                <w:sz w:val="6"/>
                <w:szCs w:val="6"/>
              </w:rPr>
            </w:pPr>
          </w:p>
        </w:tc>
        <w:tc>
          <w:tcPr>
            <w:tcW w:w="720" w:type="dxa"/>
            <w:tcBorders>
              <w:top w:val="single" w:sz="8" w:space="0" w:color="CF0A2C"/>
            </w:tcBorders>
            <w:shd w:val="clear" w:color="auto" w:fill="FAE6E9"/>
            <w:vAlign w:val="bottom"/>
          </w:tcPr>
          <w:p w:rsidR="00A621E3" w:rsidRDefault="00A621E3">
            <w:pPr>
              <w:rPr>
                <w:sz w:val="6"/>
                <w:szCs w:val="6"/>
              </w:rPr>
            </w:pPr>
          </w:p>
        </w:tc>
        <w:tc>
          <w:tcPr>
            <w:tcW w:w="880" w:type="dxa"/>
            <w:tcBorders>
              <w:top w:val="single" w:sz="8" w:space="0" w:color="FAE6E9"/>
            </w:tcBorders>
            <w:shd w:val="clear" w:color="auto" w:fill="FAE6E9"/>
            <w:vAlign w:val="bottom"/>
          </w:tcPr>
          <w:p w:rsidR="00A621E3" w:rsidRDefault="00EC630E">
            <w:pPr>
              <w:spacing w:line="75" w:lineRule="exact"/>
              <w:jc w:val="center"/>
              <w:rPr>
                <w:sz w:val="20"/>
                <w:szCs w:val="20"/>
              </w:rPr>
            </w:pPr>
            <w:r>
              <w:rPr>
                <w:rFonts w:ascii="Arial" w:eastAsia="Arial" w:hAnsi="Arial" w:cs="Arial"/>
                <w:b/>
                <w:bCs/>
                <w:color w:val="CF0A2C"/>
                <w:sz w:val="8"/>
                <w:szCs w:val="8"/>
              </w:rPr>
              <w:t>Shares of</w:t>
            </w:r>
          </w:p>
        </w:tc>
        <w:tc>
          <w:tcPr>
            <w:tcW w:w="880" w:type="dxa"/>
            <w:tcBorders>
              <w:top w:val="single" w:sz="8" w:space="0" w:color="FAE6E9"/>
            </w:tcBorders>
            <w:shd w:val="clear" w:color="auto" w:fill="FAE6E9"/>
            <w:vAlign w:val="bottom"/>
          </w:tcPr>
          <w:p w:rsidR="00A621E3" w:rsidRDefault="00EC630E">
            <w:pPr>
              <w:spacing w:line="75" w:lineRule="exact"/>
              <w:jc w:val="center"/>
              <w:rPr>
                <w:sz w:val="20"/>
                <w:szCs w:val="20"/>
              </w:rPr>
            </w:pPr>
            <w:r>
              <w:rPr>
                <w:rFonts w:ascii="Arial" w:eastAsia="Arial" w:hAnsi="Arial" w:cs="Arial"/>
                <w:b/>
                <w:bCs/>
                <w:color w:val="CF0A2C"/>
                <w:sz w:val="8"/>
                <w:szCs w:val="8"/>
              </w:rPr>
              <w:t>Securities</w:t>
            </w:r>
          </w:p>
        </w:tc>
        <w:tc>
          <w:tcPr>
            <w:tcW w:w="880" w:type="dxa"/>
            <w:tcBorders>
              <w:top w:val="single" w:sz="8" w:space="0" w:color="FAE6E9"/>
            </w:tcBorders>
            <w:shd w:val="clear" w:color="auto" w:fill="FAE6E9"/>
            <w:vAlign w:val="bottom"/>
          </w:tcPr>
          <w:p w:rsidR="00A621E3" w:rsidRDefault="00EC630E">
            <w:pPr>
              <w:spacing w:line="75" w:lineRule="exact"/>
              <w:jc w:val="center"/>
              <w:rPr>
                <w:sz w:val="20"/>
                <w:szCs w:val="20"/>
              </w:rPr>
            </w:pPr>
            <w:r>
              <w:rPr>
                <w:rFonts w:ascii="Arial" w:eastAsia="Arial" w:hAnsi="Arial" w:cs="Arial"/>
                <w:b/>
                <w:bCs/>
                <w:color w:val="CF0A2C"/>
                <w:sz w:val="8"/>
                <w:szCs w:val="8"/>
              </w:rPr>
              <w:t>Option/</w:t>
            </w:r>
          </w:p>
        </w:tc>
        <w:tc>
          <w:tcPr>
            <w:tcW w:w="900" w:type="dxa"/>
            <w:tcBorders>
              <w:top w:val="single" w:sz="8" w:space="0" w:color="FAE6E9"/>
            </w:tcBorders>
            <w:shd w:val="clear" w:color="auto" w:fill="FAE6E9"/>
            <w:vAlign w:val="bottom"/>
          </w:tcPr>
          <w:p w:rsidR="00A621E3" w:rsidRDefault="00EC630E">
            <w:pPr>
              <w:spacing w:line="75" w:lineRule="exact"/>
              <w:jc w:val="center"/>
              <w:rPr>
                <w:sz w:val="20"/>
                <w:szCs w:val="20"/>
              </w:rPr>
            </w:pPr>
            <w:r>
              <w:rPr>
                <w:rFonts w:ascii="Arial" w:eastAsia="Arial" w:hAnsi="Arial" w:cs="Arial"/>
                <w:b/>
                <w:bCs/>
                <w:color w:val="CF0A2C"/>
                <w:sz w:val="8"/>
                <w:szCs w:val="8"/>
              </w:rPr>
              <w:t>Option and</w:t>
            </w:r>
          </w:p>
        </w:tc>
        <w:tc>
          <w:tcPr>
            <w:tcW w:w="0" w:type="dxa"/>
            <w:vAlign w:val="bottom"/>
          </w:tcPr>
          <w:p w:rsidR="00A621E3" w:rsidRDefault="00A621E3">
            <w:pPr>
              <w:rPr>
                <w:sz w:val="1"/>
                <w:szCs w:val="1"/>
              </w:rPr>
            </w:pPr>
          </w:p>
        </w:tc>
      </w:tr>
      <w:tr w:rsidR="00A621E3">
        <w:trPr>
          <w:trHeight w:val="162"/>
        </w:trPr>
        <w:tc>
          <w:tcPr>
            <w:tcW w:w="1540" w:type="dxa"/>
            <w:shd w:val="clear" w:color="auto" w:fill="FAE6E9"/>
            <w:vAlign w:val="bottom"/>
          </w:tcPr>
          <w:p w:rsidR="00A621E3" w:rsidRDefault="00A621E3">
            <w:pPr>
              <w:rPr>
                <w:sz w:val="14"/>
                <w:szCs w:val="14"/>
              </w:rPr>
            </w:pPr>
          </w:p>
        </w:tc>
        <w:tc>
          <w:tcPr>
            <w:tcW w:w="960" w:type="dxa"/>
            <w:shd w:val="clear" w:color="auto" w:fill="FAE6E9"/>
            <w:vAlign w:val="bottom"/>
          </w:tcPr>
          <w:p w:rsidR="00A621E3" w:rsidRDefault="00A621E3">
            <w:pPr>
              <w:rPr>
                <w:sz w:val="14"/>
                <w:szCs w:val="14"/>
              </w:rPr>
            </w:pPr>
          </w:p>
        </w:tc>
        <w:tc>
          <w:tcPr>
            <w:tcW w:w="880" w:type="dxa"/>
            <w:shd w:val="clear" w:color="auto" w:fill="FAE6E9"/>
            <w:vAlign w:val="bottom"/>
          </w:tcPr>
          <w:p w:rsidR="00A621E3" w:rsidRDefault="00A621E3">
            <w:pPr>
              <w:rPr>
                <w:sz w:val="14"/>
                <w:szCs w:val="14"/>
              </w:rPr>
            </w:pPr>
          </w:p>
        </w:tc>
        <w:tc>
          <w:tcPr>
            <w:tcW w:w="740" w:type="dxa"/>
            <w:shd w:val="clear" w:color="auto" w:fill="FAE6E9"/>
            <w:vAlign w:val="bottom"/>
          </w:tcPr>
          <w:p w:rsidR="00A621E3" w:rsidRDefault="00A621E3">
            <w:pPr>
              <w:rPr>
                <w:sz w:val="14"/>
                <w:szCs w:val="14"/>
              </w:rPr>
            </w:pPr>
          </w:p>
        </w:tc>
        <w:tc>
          <w:tcPr>
            <w:tcW w:w="780" w:type="dxa"/>
            <w:shd w:val="clear" w:color="auto" w:fill="FAE6E9"/>
            <w:vAlign w:val="bottom"/>
          </w:tcPr>
          <w:p w:rsidR="00A621E3" w:rsidRDefault="00A621E3">
            <w:pPr>
              <w:rPr>
                <w:sz w:val="14"/>
                <w:szCs w:val="14"/>
              </w:rPr>
            </w:pPr>
          </w:p>
        </w:tc>
        <w:tc>
          <w:tcPr>
            <w:tcW w:w="200" w:type="dxa"/>
            <w:shd w:val="clear" w:color="auto" w:fill="FAE6E9"/>
            <w:vAlign w:val="bottom"/>
          </w:tcPr>
          <w:p w:rsidR="00A621E3" w:rsidRDefault="00A621E3">
            <w:pPr>
              <w:rPr>
                <w:sz w:val="14"/>
                <w:szCs w:val="14"/>
              </w:rPr>
            </w:pPr>
          </w:p>
        </w:tc>
        <w:tc>
          <w:tcPr>
            <w:tcW w:w="780" w:type="dxa"/>
            <w:shd w:val="clear" w:color="auto" w:fill="FAE6E9"/>
            <w:vAlign w:val="bottom"/>
          </w:tcPr>
          <w:p w:rsidR="00A621E3" w:rsidRDefault="00A621E3">
            <w:pPr>
              <w:rPr>
                <w:sz w:val="14"/>
                <w:szCs w:val="14"/>
              </w:rPr>
            </w:pPr>
          </w:p>
        </w:tc>
        <w:tc>
          <w:tcPr>
            <w:tcW w:w="880" w:type="dxa"/>
            <w:shd w:val="clear" w:color="auto" w:fill="FAE6E9"/>
            <w:vAlign w:val="bottom"/>
          </w:tcPr>
          <w:p w:rsidR="00A621E3" w:rsidRDefault="00A621E3">
            <w:pPr>
              <w:rPr>
                <w:sz w:val="14"/>
                <w:szCs w:val="14"/>
              </w:rPr>
            </w:pPr>
          </w:p>
        </w:tc>
        <w:tc>
          <w:tcPr>
            <w:tcW w:w="720" w:type="dxa"/>
            <w:shd w:val="clear" w:color="auto" w:fill="FAE6E9"/>
            <w:vAlign w:val="bottom"/>
          </w:tcPr>
          <w:p w:rsidR="00A621E3" w:rsidRDefault="00A621E3">
            <w:pPr>
              <w:rPr>
                <w:sz w:val="14"/>
                <w:szCs w:val="14"/>
              </w:rPr>
            </w:pPr>
          </w:p>
        </w:tc>
        <w:tc>
          <w:tcPr>
            <w:tcW w:w="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Stock or</w:t>
            </w:r>
          </w:p>
        </w:tc>
        <w:tc>
          <w:tcPr>
            <w:tcW w:w="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Underlying</w:t>
            </w:r>
          </w:p>
        </w:tc>
        <w:tc>
          <w:tcPr>
            <w:tcW w:w="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SAR</w:t>
            </w:r>
          </w:p>
        </w:tc>
        <w:tc>
          <w:tcPr>
            <w:tcW w:w="90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SAR</w:t>
            </w:r>
          </w:p>
        </w:tc>
        <w:tc>
          <w:tcPr>
            <w:tcW w:w="0" w:type="dxa"/>
            <w:vAlign w:val="bottom"/>
          </w:tcPr>
          <w:p w:rsidR="00A621E3" w:rsidRDefault="00A621E3">
            <w:pPr>
              <w:rPr>
                <w:sz w:val="1"/>
                <w:szCs w:val="1"/>
              </w:rPr>
            </w:pPr>
          </w:p>
        </w:tc>
      </w:tr>
      <w:tr w:rsidR="00A621E3">
        <w:trPr>
          <w:trHeight w:val="162"/>
        </w:trPr>
        <w:tc>
          <w:tcPr>
            <w:tcW w:w="1540" w:type="dxa"/>
            <w:shd w:val="clear" w:color="auto" w:fill="FAE6E9"/>
            <w:vAlign w:val="bottom"/>
          </w:tcPr>
          <w:p w:rsidR="00A621E3" w:rsidRDefault="00A621E3">
            <w:pPr>
              <w:rPr>
                <w:sz w:val="14"/>
                <w:szCs w:val="14"/>
              </w:rPr>
            </w:pPr>
          </w:p>
        </w:tc>
        <w:tc>
          <w:tcPr>
            <w:tcW w:w="960" w:type="dxa"/>
            <w:shd w:val="clear" w:color="auto" w:fill="FAE6E9"/>
            <w:vAlign w:val="bottom"/>
          </w:tcPr>
          <w:p w:rsidR="00A621E3" w:rsidRDefault="00EC630E">
            <w:pPr>
              <w:ind w:right="13"/>
              <w:jc w:val="center"/>
              <w:rPr>
                <w:sz w:val="20"/>
                <w:szCs w:val="20"/>
              </w:rPr>
            </w:pPr>
            <w:r>
              <w:rPr>
                <w:rFonts w:ascii="Arial" w:eastAsia="Arial" w:hAnsi="Arial" w:cs="Arial"/>
                <w:b/>
                <w:bCs/>
                <w:color w:val="CF0A2C"/>
                <w:sz w:val="14"/>
                <w:szCs w:val="14"/>
              </w:rPr>
              <w:t>Grant</w:t>
            </w:r>
          </w:p>
        </w:tc>
        <w:tc>
          <w:tcPr>
            <w:tcW w:w="880" w:type="dxa"/>
            <w:shd w:val="clear" w:color="auto" w:fill="FAE6E9"/>
            <w:vAlign w:val="bottom"/>
          </w:tcPr>
          <w:p w:rsidR="00A621E3" w:rsidRDefault="00EC630E">
            <w:pPr>
              <w:ind w:right="32"/>
              <w:jc w:val="right"/>
              <w:rPr>
                <w:sz w:val="20"/>
                <w:szCs w:val="20"/>
              </w:rPr>
            </w:pPr>
            <w:r>
              <w:rPr>
                <w:rFonts w:ascii="Arial" w:eastAsia="Arial" w:hAnsi="Arial" w:cs="Arial"/>
                <w:b/>
                <w:bCs/>
                <w:color w:val="CF0A2C"/>
                <w:sz w:val="14"/>
                <w:szCs w:val="14"/>
              </w:rPr>
              <w:t>Threshold</w:t>
            </w:r>
          </w:p>
        </w:tc>
        <w:tc>
          <w:tcPr>
            <w:tcW w:w="74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Target</w:t>
            </w:r>
          </w:p>
        </w:tc>
        <w:tc>
          <w:tcPr>
            <w:tcW w:w="980" w:type="dxa"/>
            <w:gridSpan w:val="2"/>
            <w:shd w:val="clear" w:color="auto" w:fill="FAE6E9"/>
            <w:vAlign w:val="bottom"/>
          </w:tcPr>
          <w:p w:rsidR="00A621E3" w:rsidRDefault="00EC630E">
            <w:pPr>
              <w:ind w:right="180"/>
              <w:jc w:val="center"/>
              <w:rPr>
                <w:sz w:val="20"/>
                <w:szCs w:val="20"/>
              </w:rPr>
            </w:pPr>
            <w:r>
              <w:rPr>
                <w:rFonts w:ascii="Arial" w:eastAsia="Arial" w:hAnsi="Arial" w:cs="Arial"/>
                <w:b/>
                <w:bCs/>
                <w:color w:val="CF0A2C"/>
                <w:sz w:val="14"/>
                <w:szCs w:val="14"/>
              </w:rPr>
              <w:t>Maximum</w:t>
            </w:r>
          </w:p>
        </w:tc>
        <w:tc>
          <w:tcPr>
            <w:tcW w:w="780" w:type="dxa"/>
            <w:shd w:val="clear" w:color="auto" w:fill="FAE6E9"/>
            <w:vAlign w:val="bottom"/>
          </w:tcPr>
          <w:p w:rsidR="00A621E3" w:rsidRDefault="00EC630E">
            <w:pPr>
              <w:ind w:left="12"/>
              <w:jc w:val="center"/>
              <w:rPr>
                <w:sz w:val="20"/>
                <w:szCs w:val="20"/>
              </w:rPr>
            </w:pPr>
            <w:r>
              <w:rPr>
                <w:rFonts w:ascii="Arial" w:eastAsia="Arial" w:hAnsi="Arial" w:cs="Arial"/>
                <w:b/>
                <w:bCs/>
                <w:color w:val="CF0A2C"/>
                <w:sz w:val="14"/>
                <w:szCs w:val="14"/>
              </w:rPr>
              <w:t>Threshold</w:t>
            </w:r>
          </w:p>
        </w:tc>
        <w:tc>
          <w:tcPr>
            <w:tcW w:w="880" w:type="dxa"/>
            <w:shd w:val="clear" w:color="auto" w:fill="FAE6E9"/>
            <w:vAlign w:val="bottom"/>
          </w:tcPr>
          <w:p w:rsidR="00A621E3" w:rsidRDefault="00EC630E">
            <w:pPr>
              <w:jc w:val="center"/>
              <w:rPr>
                <w:sz w:val="20"/>
                <w:szCs w:val="20"/>
              </w:rPr>
            </w:pPr>
            <w:r>
              <w:rPr>
                <w:rFonts w:ascii="Arial" w:eastAsia="Arial" w:hAnsi="Arial" w:cs="Arial"/>
                <w:b/>
                <w:bCs/>
                <w:color w:val="CF0A2C"/>
                <w:w w:val="98"/>
                <w:sz w:val="14"/>
                <w:szCs w:val="14"/>
              </w:rPr>
              <w:t>Target</w:t>
            </w:r>
          </w:p>
        </w:tc>
        <w:tc>
          <w:tcPr>
            <w:tcW w:w="720" w:type="dxa"/>
            <w:shd w:val="clear" w:color="auto" w:fill="FAE6E9"/>
            <w:vAlign w:val="bottom"/>
          </w:tcPr>
          <w:p w:rsidR="00A621E3" w:rsidRDefault="00EC630E">
            <w:pPr>
              <w:jc w:val="right"/>
              <w:rPr>
                <w:sz w:val="20"/>
                <w:szCs w:val="20"/>
              </w:rPr>
            </w:pPr>
            <w:r>
              <w:rPr>
                <w:rFonts w:ascii="Arial" w:eastAsia="Arial" w:hAnsi="Arial" w:cs="Arial"/>
                <w:b/>
                <w:bCs/>
                <w:color w:val="CF0A2C"/>
                <w:sz w:val="14"/>
                <w:szCs w:val="14"/>
              </w:rPr>
              <w:t>Maximum</w:t>
            </w:r>
          </w:p>
        </w:tc>
        <w:tc>
          <w:tcPr>
            <w:tcW w:w="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Units</w:t>
            </w:r>
          </w:p>
        </w:tc>
        <w:tc>
          <w:tcPr>
            <w:tcW w:w="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Options</w:t>
            </w:r>
          </w:p>
        </w:tc>
        <w:tc>
          <w:tcPr>
            <w:tcW w:w="880" w:type="dxa"/>
            <w:shd w:val="clear" w:color="auto" w:fill="FAE6E9"/>
            <w:vAlign w:val="bottom"/>
          </w:tcPr>
          <w:p w:rsidR="00A621E3" w:rsidRDefault="00EC630E">
            <w:pPr>
              <w:jc w:val="center"/>
              <w:rPr>
                <w:sz w:val="20"/>
                <w:szCs w:val="20"/>
              </w:rPr>
            </w:pPr>
            <w:r>
              <w:rPr>
                <w:rFonts w:ascii="Arial" w:eastAsia="Arial" w:hAnsi="Arial" w:cs="Arial"/>
                <w:b/>
                <w:bCs/>
                <w:color w:val="CF0A2C"/>
                <w:w w:val="98"/>
                <w:sz w:val="14"/>
                <w:szCs w:val="14"/>
              </w:rPr>
              <w:t>Awards</w:t>
            </w:r>
          </w:p>
        </w:tc>
        <w:tc>
          <w:tcPr>
            <w:tcW w:w="90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Awards</w:t>
            </w:r>
          </w:p>
        </w:tc>
        <w:tc>
          <w:tcPr>
            <w:tcW w:w="0" w:type="dxa"/>
            <w:vAlign w:val="bottom"/>
          </w:tcPr>
          <w:p w:rsidR="00A621E3" w:rsidRDefault="00A621E3">
            <w:pPr>
              <w:rPr>
                <w:sz w:val="1"/>
                <w:szCs w:val="1"/>
              </w:rPr>
            </w:pPr>
          </w:p>
        </w:tc>
      </w:tr>
      <w:tr w:rsidR="00A621E3">
        <w:trPr>
          <w:trHeight w:val="189"/>
        </w:trPr>
        <w:tc>
          <w:tcPr>
            <w:tcW w:w="1540" w:type="dxa"/>
            <w:tcBorders>
              <w:bottom w:val="single" w:sz="8" w:space="0" w:color="CF0A2C"/>
            </w:tcBorders>
            <w:shd w:val="clear" w:color="auto" w:fill="FAE6E9"/>
            <w:vAlign w:val="bottom"/>
          </w:tcPr>
          <w:p w:rsidR="00A621E3" w:rsidRDefault="00EC630E">
            <w:pPr>
              <w:rPr>
                <w:sz w:val="20"/>
                <w:szCs w:val="20"/>
              </w:rPr>
            </w:pPr>
            <w:r>
              <w:rPr>
                <w:rFonts w:ascii="Arial" w:eastAsia="Arial" w:hAnsi="Arial" w:cs="Arial"/>
                <w:b/>
                <w:bCs/>
                <w:color w:val="CF0A2C"/>
                <w:sz w:val="14"/>
                <w:szCs w:val="14"/>
              </w:rPr>
              <w:t>Name</w:t>
            </w:r>
          </w:p>
        </w:tc>
        <w:tc>
          <w:tcPr>
            <w:tcW w:w="960" w:type="dxa"/>
            <w:tcBorders>
              <w:bottom w:val="single" w:sz="8" w:space="0" w:color="CF0A2C"/>
            </w:tcBorders>
            <w:shd w:val="clear" w:color="auto" w:fill="FAE6E9"/>
            <w:vAlign w:val="bottom"/>
          </w:tcPr>
          <w:p w:rsidR="00A621E3" w:rsidRDefault="00EC630E">
            <w:pPr>
              <w:ind w:right="13"/>
              <w:jc w:val="center"/>
              <w:rPr>
                <w:sz w:val="20"/>
                <w:szCs w:val="20"/>
              </w:rPr>
            </w:pPr>
            <w:r>
              <w:rPr>
                <w:rFonts w:ascii="Arial" w:eastAsia="Arial" w:hAnsi="Arial" w:cs="Arial"/>
                <w:b/>
                <w:bCs/>
                <w:color w:val="CF0A2C"/>
                <w:sz w:val="14"/>
                <w:szCs w:val="14"/>
              </w:rPr>
              <w:t>Date</w:t>
            </w:r>
          </w:p>
        </w:tc>
        <w:tc>
          <w:tcPr>
            <w:tcW w:w="880" w:type="dxa"/>
            <w:tcBorders>
              <w:bottom w:val="single" w:sz="8" w:space="0" w:color="CF0A2C"/>
            </w:tcBorders>
            <w:shd w:val="clear" w:color="auto" w:fill="FAE6E9"/>
            <w:vAlign w:val="bottom"/>
          </w:tcPr>
          <w:p w:rsidR="00A621E3" w:rsidRDefault="00EC630E">
            <w:pPr>
              <w:ind w:right="292"/>
              <w:jc w:val="right"/>
              <w:rPr>
                <w:sz w:val="20"/>
                <w:szCs w:val="20"/>
              </w:rPr>
            </w:pPr>
            <w:r>
              <w:rPr>
                <w:rFonts w:ascii="Arial" w:eastAsia="Arial" w:hAnsi="Arial" w:cs="Arial"/>
                <w:b/>
                <w:bCs/>
                <w:color w:val="CF0A2C"/>
                <w:sz w:val="14"/>
                <w:szCs w:val="14"/>
              </w:rPr>
              <w:t>($)</w:t>
            </w:r>
          </w:p>
        </w:tc>
        <w:tc>
          <w:tcPr>
            <w:tcW w:w="740" w:type="dxa"/>
            <w:tcBorders>
              <w:bottom w:val="single" w:sz="8" w:space="0" w:color="CF0A2C"/>
            </w:tcBorders>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w:t>
            </w:r>
          </w:p>
        </w:tc>
        <w:tc>
          <w:tcPr>
            <w:tcW w:w="780" w:type="dxa"/>
            <w:tcBorders>
              <w:bottom w:val="single" w:sz="8" w:space="0" w:color="CF0A2C"/>
            </w:tcBorders>
            <w:shd w:val="clear" w:color="auto" w:fill="FAE6E9"/>
            <w:vAlign w:val="bottom"/>
          </w:tcPr>
          <w:p w:rsidR="00A621E3" w:rsidRDefault="00EC630E">
            <w:pPr>
              <w:jc w:val="center"/>
              <w:rPr>
                <w:sz w:val="20"/>
                <w:szCs w:val="20"/>
              </w:rPr>
            </w:pPr>
            <w:r>
              <w:rPr>
                <w:rFonts w:ascii="Arial" w:eastAsia="Arial" w:hAnsi="Arial" w:cs="Arial"/>
                <w:b/>
                <w:bCs/>
                <w:color w:val="CF0A2C"/>
                <w:w w:val="93"/>
                <w:sz w:val="14"/>
                <w:szCs w:val="14"/>
              </w:rPr>
              <w:t>($)</w:t>
            </w:r>
          </w:p>
        </w:tc>
        <w:tc>
          <w:tcPr>
            <w:tcW w:w="200" w:type="dxa"/>
            <w:tcBorders>
              <w:bottom w:val="single" w:sz="8" w:space="0" w:color="CF0A2C"/>
            </w:tcBorders>
            <w:shd w:val="clear" w:color="auto" w:fill="FAE6E9"/>
            <w:vAlign w:val="bottom"/>
          </w:tcPr>
          <w:p w:rsidR="00A621E3" w:rsidRDefault="00A621E3">
            <w:pPr>
              <w:rPr>
                <w:sz w:val="16"/>
                <w:szCs w:val="16"/>
              </w:rPr>
            </w:pPr>
          </w:p>
        </w:tc>
        <w:tc>
          <w:tcPr>
            <w:tcW w:w="780" w:type="dxa"/>
            <w:tcBorders>
              <w:bottom w:val="single" w:sz="8" w:space="0" w:color="CF0A2C"/>
            </w:tcBorders>
            <w:shd w:val="clear" w:color="auto" w:fill="FAE6E9"/>
            <w:vAlign w:val="bottom"/>
          </w:tcPr>
          <w:p w:rsidR="00A621E3" w:rsidRDefault="00EC630E">
            <w:pPr>
              <w:ind w:left="12"/>
              <w:jc w:val="center"/>
              <w:rPr>
                <w:sz w:val="20"/>
                <w:szCs w:val="20"/>
              </w:rPr>
            </w:pPr>
            <w:r>
              <w:rPr>
                <w:rFonts w:ascii="Arial" w:eastAsia="Arial" w:hAnsi="Arial" w:cs="Arial"/>
                <w:b/>
                <w:bCs/>
                <w:color w:val="CF0A2C"/>
                <w:sz w:val="14"/>
                <w:szCs w:val="14"/>
              </w:rPr>
              <w:t>(#)</w:t>
            </w:r>
          </w:p>
        </w:tc>
        <w:tc>
          <w:tcPr>
            <w:tcW w:w="880" w:type="dxa"/>
            <w:tcBorders>
              <w:bottom w:val="single" w:sz="8" w:space="0" w:color="CF0A2C"/>
            </w:tcBorders>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w:t>
            </w:r>
          </w:p>
        </w:tc>
        <w:tc>
          <w:tcPr>
            <w:tcW w:w="720" w:type="dxa"/>
            <w:tcBorders>
              <w:bottom w:val="single" w:sz="8" w:space="0" w:color="CF0A2C"/>
            </w:tcBorders>
            <w:shd w:val="clear" w:color="auto" w:fill="FAE6E9"/>
            <w:vAlign w:val="bottom"/>
          </w:tcPr>
          <w:p w:rsidR="00A621E3" w:rsidRDefault="00EC630E">
            <w:pPr>
              <w:ind w:right="212"/>
              <w:jc w:val="right"/>
              <w:rPr>
                <w:sz w:val="20"/>
                <w:szCs w:val="20"/>
              </w:rPr>
            </w:pPr>
            <w:r>
              <w:rPr>
                <w:rFonts w:ascii="Arial" w:eastAsia="Arial" w:hAnsi="Arial" w:cs="Arial"/>
                <w:b/>
                <w:bCs/>
                <w:color w:val="CF0A2C"/>
                <w:sz w:val="14"/>
                <w:szCs w:val="14"/>
              </w:rPr>
              <w:t>(#)</w:t>
            </w:r>
          </w:p>
        </w:tc>
        <w:tc>
          <w:tcPr>
            <w:tcW w:w="880" w:type="dxa"/>
            <w:tcBorders>
              <w:bottom w:val="single" w:sz="8" w:space="0" w:color="CF0A2C"/>
            </w:tcBorders>
            <w:shd w:val="clear" w:color="auto" w:fill="FAE6E9"/>
            <w:vAlign w:val="bottom"/>
          </w:tcPr>
          <w:p w:rsidR="00A621E3" w:rsidRDefault="00EC630E">
            <w:pPr>
              <w:spacing w:line="189" w:lineRule="exact"/>
              <w:jc w:val="center"/>
              <w:rPr>
                <w:sz w:val="20"/>
                <w:szCs w:val="20"/>
              </w:rPr>
            </w:pPr>
            <w:r>
              <w:rPr>
                <w:rFonts w:ascii="Arial" w:eastAsia="Arial" w:hAnsi="Arial" w:cs="Arial"/>
                <w:b/>
                <w:bCs/>
                <w:color w:val="CF0A2C"/>
                <w:sz w:val="21"/>
                <w:szCs w:val="21"/>
                <w:vertAlign w:val="subscript"/>
              </w:rPr>
              <w:t>(#)</w:t>
            </w:r>
            <w:r>
              <w:rPr>
                <w:rFonts w:ascii="Arial" w:eastAsia="Arial" w:hAnsi="Arial" w:cs="Arial"/>
                <w:b/>
                <w:bCs/>
                <w:color w:val="CF0A2C"/>
                <w:sz w:val="9"/>
                <w:szCs w:val="9"/>
              </w:rPr>
              <w:t>(2)</w:t>
            </w:r>
          </w:p>
        </w:tc>
        <w:tc>
          <w:tcPr>
            <w:tcW w:w="880" w:type="dxa"/>
            <w:tcBorders>
              <w:bottom w:val="single" w:sz="8" w:space="0" w:color="CF0A2C"/>
            </w:tcBorders>
            <w:shd w:val="clear" w:color="auto" w:fill="FAE6E9"/>
            <w:vAlign w:val="bottom"/>
          </w:tcPr>
          <w:p w:rsidR="00A621E3" w:rsidRDefault="00EC630E">
            <w:pPr>
              <w:spacing w:line="189" w:lineRule="exact"/>
              <w:jc w:val="center"/>
              <w:rPr>
                <w:sz w:val="20"/>
                <w:szCs w:val="20"/>
              </w:rPr>
            </w:pPr>
            <w:r>
              <w:rPr>
                <w:rFonts w:ascii="Arial" w:eastAsia="Arial" w:hAnsi="Arial" w:cs="Arial"/>
                <w:b/>
                <w:bCs/>
                <w:color w:val="CF0A2C"/>
                <w:sz w:val="21"/>
                <w:szCs w:val="21"/>
                <w:vertAlign w:val="subscript"/>
              </w:rPr>
              <w:t>(#)</w:t>
            </w:r>
            <w:r>
              <w:rPr>
                <w:rFonts w:ascii="Arial" w:eastAsia="Arial" w:hAnsi="Arial" w:cs="Arial"/>
                <w:b/>
                <w:bCs/>
                <w:color w:val="CF0A2C"/>
                <w:sz w:val="9"/>
                <w:szCs w:val="9"/>
              </w:rPr>
              <w:t xml:space="preserve"> (3)</w:t>
            </w:r>
          </w:p>
        </w:tc>
        <w:tc>
          <w:tcPr>
            <w:tcW w:w="880" w:type="dxa"/>
            <w:tcBorders>
              <w:bottom w:val="single" w:sz="8" w:space="0" w:color="CF0A2C"/>
            </w:tcBorders>
            <w:shd w:val="clear" w:color="auto" w:fill="FAE6E9"/>
            <w:vAlign w:val="bottom"/>
          </w:tcPr>
          <w:p w:rsidR="00A621E3" w:rsidRDefault="00EC630E">
            <w:pPr>
              <w:spacing w:line="189" w:lineRule="exact"/>
              <w:jc w:val="center"/>
              <w:rPr>
                <w:sz w:val="20"/>
                <w:szCs w:val="20"/>
              </w:rPr>
            </w:pPr>
            <w:r>
              <w:rPr>
                <w:rFonts w:ascii="Arial" w:eastAsia="Arial" w:hAnsi="Arial" w:cs="Arial"/>
                <w:b/>
                <w:bCs/>
                <w:color w:val="CF0A2C"/>
                <w:w w:val="96"/>
                <w:sz w:val="14"/>
                <w:szCs w:val="14"/>
              </w:rPr>
              <w:t>($/Sh)</w:t>
            </w:r>
            <w:r>
              <w:rPr>
                <w:rFonts w:ascii="Arial" w:eastAsia="Arial" w:hAnsi="Arial" w:cs="Arial"/>
                <w:b/>
                <w:bCs/>
                <w:color w:val="CF0A2C"/>
                <w:w w:val="96"/>
                <w:sz w:val="21"/>
                <w:szCs w:val="21"/>
                <w:vertAlign w:val="superscript"/>
              </w:rPr>
              <w:t>(4)</w:t>
            </w:r>
          </w:p>
        </w:tc>
        <w:tc>
          <w:tcPr>
            <w:tcW w:w="900" w:type="dxa"/>
            <w:tcBorders>
              <w:bottom w:val="single" w:sz="8" w:space="0" w:color="CF0A2C"/>
            </w:tcBorders>
            <w:shd w:val="clear" w:color="auto" w:fill="FAE6E9"/>
            <w:vAlign w:val="bottom"/>
          </w:tcPr>
          <w:p w:rsidR="00A621E3" w:rsidRDefault="00EC630E">
            <w:pPr>
              <w:spacing w:line="189" w:lineRule="exact"/>
              <w:jc w:val="center"/>
              <w:rPr>
                <w:sz w:val="20"/>
                <w:szCs w:val="20"/>
              </w:rPr>
            </w:pPr>
            <w:r>
              <w:rPr>
                <w:rFonts w:ascii="Arial" w:eastAsia="Arial" w:hAnsi="Arial" w:cs="Arial"/>
                <w:b/>
                <w:bCs/>
                <w:color w:val="CF0A2C"/>
                <w:w w:val="87"/>
                <w:sz w:val="14"/>
                <w:szCs w:val="14"/>
              </w:rPr>
              <w:t>($)</w:t>
            </w:r>
            <w:r>
              <w:rPr>
                <w:rFonts w:ascii="Arial" w:eastAsia="Arial" w:hAnsi="Arial" w:cs="Arial"/>
                <w:b/>
                <w:bCs/>
                <w:color w:val="CF0A2C"/>
                <w:w w:val="87"/>
                <w:sz w:val="21"/>
                <w:szCs w:val="21"/>
                <w:vertAlign w:val="superscript"/>
              </w:rPr>
              <w:t>(5)</w:t>
            </w:r>
          </w:p>
        </w:tc>
        <w:tc>
          <w:tcPr>
            <w:tcW w:w="0" w:type="dxa"/>
            <w:vAlign w:val="bottom"/>
          </w:tcPr>
          <w:p w:rsidR="00A621E3" w:rsidRDefault="00A621E3">
            <w:pPr>
              <w:rPr>
                <w:sz w:val="1"/>
                <w:szCs w:val="1"/>
              </w:rPr>
            </w:pPr>
          </w:p>
        </w:tc>
      </w:tr>
      <w:tr w:rsidR="00A621E3">
        <w:trPr>
          <w:trHeight w:val="169"/>
        </w:trPr>
        <w:tc>
          <w:tcPr>
            <w:tcW w:w="1540" w:type="dxa"/>
            <w:vAlign w:val="bottom"/>
          </w:tcPr>
          <w:p w:rsidR="00A621E3" w:rsidRDefault="00EC630E">
            <w:pPr>
              <w:ind w:left="60"/>
              <w:rPr>
                <w:sz w:val="20"/>
                <w:szCs w:val="20"/>
              </w:rPr>
            </w:pPr>
            <w:r>
              <w:rPr>
                <w:rFonts w:ascii="Arial" w:eastAsia="Arial" w:hAnsi="Arial" w:cs="Arial"/>
                <w:b/>
                <w:bCs/>
                <w:color w:val="CF0A2C"/>
                <w:sz w:val="14"/>
                <w:szCs w:val="14"/>
              </w:rPr>
              <w:t>(a)</w:t>
            </w:r>
          </w:p>
        </w:tc>
        <w:tc>
          <w:tcPr>
            <w:tcW w:w="960" w:type="dxa"/>
            <w:vAlign w:val="bottom"/>
          </w:tcPr>
          <w:p w:rsidR="00A621E3" w:rsidRDefault="00EC630E">
            <w:pPr>
              <w:ind w:right="13"/>
              <w:jc w:val="center"/>
              <w:rPr>
                <w:sz w:val="20"/>
                <w:szCs w:val="20"/>
              </w:rPr>
            </w:pPr>
            <w:r>
              <w:rPr>
                <w:rFonts w:ascii="Arial" w:eastAsia="Arial" w:hAnsi="Arial" w:cs="Arial"/>
                <w:b/>
                <w:bCs/>
                <w:color w:val="CF0A2C"/>
                <w:sz w:val="14"/>
                <w:szCs w:val="14"/>
              </w:rPr>
              <w:t>(b)</w:t>
            </w:r>
          </w:p>
        </w:tc>
        <w:tc>
          <w:tcPr>
            <w:tcW w:w="880" w:type="dxa"/>
            <w:vAlign w:val="bottom"/>
          </w:tcPr>
          <w:p w:rsidR="00A621E3" w:rsidRDefault="00EC630E">
            <w:pPr>
              <w:ind w:right="292"/>
              <w:jc w:val="right"/>
              <w:rPr>
                <w:sz w:val="20"/>
                <w:szCs w:val="20"/>
              </w:rPr>
            </w:pPr>
            <w:r>
              <w:rPr>
                <w:rFonts w:ascii="Arial" w:eastAsia="Arial" w:hAnsi="Arial" w:cs="Arial"/>
                <w:b/>
                <w:bCs/>
                <w:color w:val="CF0A2C"/>
                <w:sz w:val="14"/>
                <w:szCs w:val="14"/>
              </w:rPr>
              <w:t>(c)</w:t>
            </w:r>
          </w:p>
        </w:tc>
        <w:tc>
          <w:tcPr>
            <w:tcW w:w="740" w:type="dxa"/>
            <w:vAlign w:val="bottom"/>
          </w:tcPr>
          <w:p w:rsidR="00A621E3" w:rsidRDefault="00EC630E">
            <w:pPr>
              <w:jc w:val="center"/>
              <w:rPr>
                <w:sz w:val="20"/>
                <w:szCs w:val="20"/>
              </w:rPr>
            </w:pPr>
            <w:r>
              <w:rPr>
                <w:rFonts w:ascii="Arial" w:eastAsia="Arial" w:hAnsi="Arial" w:cs="Arial"/>
                <w:b/>
                <w:bCs/>
                <w:color w:val="CF0A2C"/>
                <w:sz w:val="14"/>
                <w:szCs w:val="14"/>
              </w:rPr>
              <w:t>(d)</w:t>
            </w:r>
          </w:p>
        </w:tc>
        <w:tc>
          <w:tcPr>
            <w:tcW w:w="980" w:type="dxa"/>
            <w:gridSpan w:val="2"/>
            <w:vAlign w:val="bottom"/>
          </w:tcPr>
          <w:p w:rsidR="00A621E3" w:rsidRDefault="00EC630E">
            <w:pPr>
              <w:ind w:right="180"/>
              <w:jc w:val="center"/>
              <w:rPr>
                <w:sz w:val="20"/>
                <w:szCs w:val="20"/>
              </w:rPr>
            </w:pPr>
            <w:r>
              <w:rPr>
                <w:rFonts w:ascii="Arial" w:eastAsia="Arial" w:hAnsi="Arial" w:cs="Arial"/>
                <w:b/>
                <w:bCs/>
                <w:color w:val="CF0A2C"/>
                <w:w w:val="93"/>
                <w:sz w:val="14"/>
                <w:szCs w:val="14"/>
              </w:rPr>
              <w:t>(e)</w:t>
            </w:r>
          </w:p>
        </w:tc>
        <w:tc>
          <w:tcPr>
            <w:tcW w:w="780" w:type="dxa"/>
            <w:vAlign w:val="bottom"/>
          </w:tcPr>
          <w:p w:rsidR="00A621E3" w:rsidRDefault="00EC630E">
            <w:pPr>
              <w:ind w:left="12"/>
              <w:jc w:val="center"/>
              <w:rPr>
                <w:sz w:val="20"/>
                <w:szCs w:val="20"/>
              </w:rPr>
            </w:pPr>
            <w:r>
              <w:rPr>
                <w:rFonts w:ascii="Arial" w:eastAsia="Arial" w:hAnsi="Arial" w:cs="Arial"/>
                <w:b/>
                <w:bCs/>
                <w:color w:val="CF0A2C"/>
                <w:w w:val="99"/>
                <w:sz w:val="14"/>
                <w:szCs w:val="14"/>
              </w:rPr>
              <w:t>(f)</w:t>
            </w:r>
          </w:p>
        </w:tc>
        <w:tc>
          <w:tcPr>
            <w:tcW w:w="880" w:type="dxa"/>
            <w:vAlign w:val="bottom"/>
          </w:tcPr>
          <w:p w:rsidR="00A621E3" w:rsidRDefault="00EC630E">
            <w:pPr>
              <w:jc w:val="center"/>
              <w:rPr>
                <w:sz w:val="20"/>
                <w:szCs w:val="20"/>
              </w:rPr>
            </w:pPr>
            <w:r>
              <w:rPr>
                <w:rFonts w:ascii="Arial" w:eastAsia="Arial" w:hAnsi="Arial" w:cs="Arial"/>
                <w:b/>
                <w:bCs/>
                <w:color w:val="CF0A2C"/>
                <w:sz w:val="14"/>
                <w:szCs w:val="14"/>
              </w:rPr>
              <w:t>(g)</w:t>
            </w:r>
          </w:p>
        </w:tc>
        <w:tc>
          <w:tcPr>
            <w:tcW w:w="720" w:type="dxa"/>
            <w:vAlign w:val="bottom"/>
          </w:tcPr>
          <w:p w:rsidR="00A621E3" w:rsidRDefault="00EC630E">
            <w:pPr>
              <w:ind w:right="212"/>
              <w:jc w:val="right"/>
              <w:rPr>
                <w:sz w:val="20"/>
                <w:szCs w:val="20"/>
              </w:rPr>
            </w:pPr>
            <w:r>
              <w:rPr>
                <w:rFonts w:ascii="Arial" w:eastAsia="Arial" w:hAnsi="Arial" w:cs="Arial"/>
                <w:b/>
                <w:bCs/>
                <w:color w:val="CF0A2C"/>
                <w:sz w:val="14"/>
                <w:szCs w:val="14"/>
              </w:rPr>
              <w:t>(h)</w:t>
            </w:r>
          </w:p>
        </w:tc>
        <w:tc>
          <w:tcPr>
            <w:tcW w:w="880" w:type="dxa"/>
            <w:vAlign w:val="bottom"/>
          </w:tcPr>
          <w:p w:rsidR="00A621E3" w:rsidRDefault="00EC630E">
            <w:pPr>
              <w:jc w:val="center"/>
              <w:rPr>
                <w:sz w:val="20"/>
                <w:szCs w:val="20"/>
              </w:rPr>
            </w:pPr>
            <w:r>
              <w:rPr>
                <w:rFonts w:ascii="Arial" w:eastAsia="Arial" w:hAnsi="Arial" w:cs="Arial"/>
                <w:b/>
                <w:bCs/>
                <w:color w:val="CF0A2C"/>
                <w:sz w:val="14"/>
                <w:szCs w:val="14"/>
              </w:rPr>
              <w:t>(i)</w:t>
            </w:r>
          </w:p>
        </w:tc>
        <w:tc>
          <w:tcPr>
            <w:tcW w:w="880" w:type="dxa"/>
            <w:vAlign w:val="bottom"/>
          </w:tcPr>
          <w:p w:rsidR="00A621E3" w:rsidRDefault="00EC630E">
            <w:pPr>
              <w:jc w:val="center"/>
              <w:rPr>
                <w:sz w:val="20"/>
                <w:szCs w:val="20"/>
              </w:rPr>
            </w:pPr>
            <w:r>
              <w:rPr>
                <w:rFonts w:ascii="Arial" w:eastAsia="Arial" w:hAnsi="Arial" w:cs="Arial"/>
                <w:b/>
                <w:bCs/>
                <w:color w:val="CF0A2C"/>
                <w:w w:val="90"/>
                <w:sz w:val="14"/>
                <w:szCs w:val="14"/>
              </w:rPr>
              <w:t>(j)</w:t>
            </w:r>
          </w:p>
        </w:tc>
        <w:tc>
          <w:tcPr>
            <w:tcW w:w="880" w:type="dxa"/>
            <w:vAlign w:val="bottom"/>
          </w:tcPr>
          <w:p w:rsidR="00A621E3" w:rsidRDefault="00EC630E">
            <w:pPr>
              <w:jc w:val="center"/>
              <w:rPr>
                <w:sz w:val="20"/>
                <w:szCs w:val="20"/>
              </w:rPr>
            </w:pPr>
            <w:r>
              <w:rPr>
                <w:rFonts w:ascii="Arial" w:eastAsia="Arial" w:hAnsi="Arial" w:cs="Arial"/>
                <w:b/>
                <w:bCs/>
                <w:color w:val="CF0A2C"/>
                <w:sz w:val="14"/>
                <w:szCs w:val="14"/>
              </w:rPr>
              <w:t>(k)</w:t>
            </w:r>
          </w:p>
        </w:tc>
        <w:tc>
          <w:tcPr>
            <w:tcW w:w="900" w:type="dxa"/>
            <w:vAlign w:val="bottom"/>
          </w:tcPr>
          <w:p w:rsidR="00A621E3" w:rsidRDefault="00EC630E">
            <w:pPr>
              <w:jc w:val="center"/>
              <w:rPr>
                <w:sz w:val="20"/>
                <w:szCs w:val="20"/>
              </w:rPr>
            </w:pPr>
            <w:r>
              <w:rPr>
                <w:rFonts w:ascii="Arial" w:eastAsia="Arial" w:hAnsi="Arial" w:cs="Arial"/>
                <w:b/>
                <w:bCs/>
                <w:color w:val="CF0A2C"/>
                <w:sz w:val="14"/>
                <w:szCs w:val="14"/>
              </w:rPr>
              <w:t>(l)</w:t>
            </w:r>
          </w:p>
        </w:tc>
        <w:tc>
          <w:tcPr>
            <w:tcW w:w="0" w:type="dxa"/>
            <w:vAlign w:val="bottom"/>
          </w:tcPr>
          <w:p w:rsidR="00A621E3" w:rsidRDefault="00A621E3">
            <w:pPr>
              <w:rPr>
                <w:sz w:val="1"/>
                <w:szCs w:val="1"/>
              </w:rPr>
            </w:pPr>
          </w:p>
        </w:tc>
      </w:tr>
      <w:tr w:rsidR="00A621E3">
        <w:trPr>
          <w:trHeight w:val="190"/>
        </w:trPr>
        <w:tc>
          <w:tcPr>
            <w:tcW w:w="1540" w:type="dxa"/>
            <w:vAlign w:val="bottom"/>
          </w:tcPr>
          <w:p w:rsidR="00A621E3" w:rsidRDefault="00EC630E">
            <w:pPr>
              <w:rPr>
                <w:sz w:val="20"/>
                <w:szCs w:val="20"/>
              </w:rPr>
            </w:pPr>
            <w:r>
              <w:rPr>
                <w:rFonts w:ascii="Arial" w:eastAsia="Arial" w:hAnsi="Arial" w:cs="Arial"/>
                <w:b/>
                <w:bCs/>
                <w:color w:val="CF0A2C"/>
                <w:sz w:val="14"/>
                <w:szCs w:val="14"/>
              </w:rPr>
              <w:t>Ms. Wat</w:t>
            </w:r>
          </w:p>
        </w:tc>
        <w:tc>
          <w:tcPr>
            <w:tcW w:w="960" w:type="dxa"/>
            <w:vAlign w:val="bottom"/>
          </w:tcPr>
          <w:p w:rsidR="00A621E3" w:rsidRDefault="00EC630E">
            <w:pPr>
              <w:ind w:right="93"/>
              <w:jc w:val="right"/>
              <w:rPr>
                <w:sz w:val="20"/>
                <w:szCs w:val="20"/>
              </w:rPr>
            </w:pPr>
            <w:r>
              <w:rPr>
                <w:rFonts w:ascii="Arial" w:eastAsia="Arial" w:hAnsi="Arial" w:cs="Arial"/>
                <w:sz w:val="13"/>
                <w:szCs w:val="13"/>
              </w:rPr>
              <w:t>—</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2,850,000</w:t>
            </w:r>
          </w:p>
        </w:tc>
        <w:tc>
          <w:tcPr>
            <w:tcW w:w="780" w:type="dxa"/>
            <w:vAlign w:val="bottom"/>
          </w:tcPr>
          <w:p w:rsidR="00A621E3" w:rsidRDefault="00EC630E">
            <w:pPr>
              <w:jc w:val="right"/>
              <w:rPr>
                <w:sz w:val="20"/>
                <w:szCs w:val="20"/>
              </w:rPr>
            </w:pPr>
            <w:r>
              <w:rPr>
                <w:rFonts w:ascii="Arial" w:eastAsia="Arial" w:hAnsi="Arial" w:cs="Arial"/>
                <w:sz w:val="13"/>
                <w:szCs w:val="13"/>
              </w:rPr>
              <w:t>8,550,000</w:t>
            </w:r>
          </w:p>
        </w:tc>
        <w:tc>
          <w:tcPr>
            <w:tcW w:w="200" w:type="dxa"/>
            <w:vAlign w:val="bottom"/>
          </w:tcPr>
          <w:p w:rsidR="00A621E3" w:rsidRDefault="00A621E3">
            <w:pPr>
              <w:rPr>
                <w:sz w:val="16"/>
                <w:szCs w:val="16"/>
              </w:rPr>
            </w:pPr>
          </w:p>
        </w:tc>
        <w:tc>
          <w:tcPr>
            <w:tcW w:w="7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ind w:right="32"/>
              <w:jc w:val="right"/>
              <w:rPr>
                <w:sz w:val="20"/>
                <w:szCs w:val="20"/>
              </w:rPr>
            </w:pPr>
            <w:r>
              <w:rPr>
                <w:rFonts w:ascii="Arial" w:eastAsia="Arial" w:hAnsi="Arial" w:cs="Arial"/>
                <w:sz w:val="13"/>
                <w:szCs w:val="13"/>
              </w:rPr>
              <w:t>—</w:t>
            </w:r>
          </w:p>
        </w:tc>
        <w:tc>
          <w:tcPr>
            <w:tcW w:w="72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4"/>
        </w:trPr>
        <w:tc>
          <w:tcPr>
            <w:tcW w:w="1540" w:type="dxa"/>
            <w:vAlign w:val="bottom"/>
          </w:tcPr>
          <w:p w:rsidR="00A621E3" w:rsidRDefault="00A621E3">
            <w:pPr>
              <w:rPr>
                <w:sz w:val="15"/>
                <w:szCs w:val="15"/>
              </w:rPr>
            </w:pPr>
          </w:p>
        </w:tc>
        <w:tc>
          <w:tcPr>
            <w:tcW w:w="960" w:type="dxa"/>
            <w:vAlign w:val="bottom"/>
          </w:tcPr>
          <w:p w:rsidR="00A621E3" w:rsidRDefault="00EC630E">
            <w:pPr>
              <w:ind w:right="93"/>
              <w:jc w:val="right"/>
              <w:rPr>
                <w:sz w:val="20"/>
                <w:szCs w:val="20"/>
              </w:rPr>
            </w:pPr>
            <w:r>
              <w:rPr>
                <w:rFonts w:ascii="Arial" w:eastAsia="Arial" w:hAnsi="Arial" w:cs="Arial"/>
                <w:sz w:val="13"/>
                <w:szCs w:val="13"/>
              </w:rPr>
              <w:t>2/10/2022</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ind w:right="32"/>
              <w:jc w:val="right"/>
              <w:rPr>
                <w:sz w:val="20"/>
                <w:szCs w:val="20"/>
              </w:rPr>
            </w:pPr>
            <w:r>
              <w:rPr>
                <w:rFonts w:ascii="Arial" w:eastAsia="Arial" w:hAnsi="Arial" w:cs="Arial"/>
                <w:sz w:val="13"/>
                <w:szCs w:val="13"/>
              </w:rPr>
              <w:t>—</w:t>
            </w:r>
          </w:p>
        </w:tc>
        <w:tc>
          <w:tcPr>
            <w:tcW w:w="72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208,969</w:t>
            </w:r>
          </w:p>
        </w:tc>
        <w:tc>
          <w:tcPr>
            <w:tcW w:w="880" w:type="dxa"/>
            <w:vAlign w:val="bottom"/>
          </w:tcPr>
          <w:p w:rsidR="00A621E3" w:rsidRDefault="00EC630E">
            <w:pPr>
              <w:jc w:val="right"/>
              <w:rPr>
                <w:sz w:val="20"/>
                <w:szCs w:val="20"/>
              </w:rPr>
            </w:pPr>
            <w:r>
              <w:rPr>
                <w:rFonts w:ascii="Arial" w:eastAsia="Arial" w:hAnsi="Arial" w:cs="Arial"/>
                <w:sz w:val="13"/>
                <w:szCs w:val="13"/>
              </w:rPr>
              <w:t>50.16</w:t>
            </w:r>
          </w:p>
        </w:tc>
        <w:tc>
          <w:tcPr>
            <w:tcW w:w="900" w:type="dxa"/>
            <w:vAlign w:val="bottom"/>
          </w:tcPr>
          <w:p w:rsidR="00A621E3" w:rsidRDefault="00EC630E">
            <w:pPr>
              <w:ind w:right="12"/>
              <w:jc w:val="right"/>
              <w:rPr>
                <w:sz w:val="20"/>
                <w:szCs w:val="20"/>
              </w:rPr>
            </w:pPr>
            <w:r>
              <w:rPr>
                <w:rFonts w:ascii="Arial" w:eastAsia="Arial" w:hAnsi="Arial" w:cs="Arial"/>
                <w:sz w:val="13"/>
                <w:szCs w:val="13"/>
              </w:rPr>
              <w:t>3,250,011</w:t>
            </w:r>
          </w:p>
        </w:tc>
        <w:tc>
          <w:tcPr>
            <w:tcW w:w="0" w:type="dxa"/>
            <w:vAlign w:val="bottom"/>
          </w:tcPr>
          <w:p w:rsidR="00A621E3" w:rsidRDefault="00A621E3">
            <w:pPr>
              <w:rPr>
                <w:sz w:val="1"/>
                <w:szCs w:val="1"/>
              </w:rPr>
            </w:pPr>
          </w:p>
        </w:tc>
      </w:tr>
      <w:tr w:rsidR="00A621E3">
        <w:trPr>
          <w:trHeight w:val="176"/>
        </w:trPr>
        <w:tc>
          <w:tcPr>
            <w:tcW w:w="1540" w:type="dxa"/>
            <w:vAlign w:val="bottom"/>
          </w:tcPr>
          <w:p w:rsidR="00A621E3" w:rsidRDefault="00A621E3">
            <w:pPr>
              <w:rPr>
                <w:sz w:val="15"/>
                <w:szCs w:val="15"/>
              </w:rPr>
            </w:pPr>
          </w:p>
        </w:tc>
        <w:tc>
          <w:tcPr>
            <w:tcW w:w="960" w:type="dxa"/>
            <w:vAlign w:val="bottom"/>
          </w:tcPr>
          <w:p w:rsidR="00A621E3" w:rsidRDefault="00EC630E">
            <w:pPr>
              <w:ind w:right="93"/>
              <w:jc w:val="right"/>
              <w:rPr>
                <w:sz w:val="20"/>
                <w:szCs w:val="20"/>
              </w:rPr>
            </w:pPr>
            <w:r>
              <w:rPr>
                <w:rFonts w:ascii="Arial" w:eastAsia="Arial" w:hAnsi="Arial" w:cs="Arial"/>
                <w:sz w:val="13"/>
                <w:szCs w:val="13"/>
              </w:rPr>
              <w:t>2/10/2022</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ind w:right="32"/>
              <w:jc w:val="right"/>
              <w:rPr>
                <w:sz w:val="20"/>
                <w:szCs w:val="20"/>
              </w:rPr>
            </w:pPr>
            <w:r>
              <w:rPr>
                <w:rFonts w:ascii="Arial" w:eastAsia="Arial" w:hAnsi="Arial" w:cs="Arial"/>
                <w:sz w:val="13"/>
                <w:szCs w:val="13"/>
              </w:rPr>
              <w:t>—</w:t>
            </w:r>
          </w:p>
        </w:tc>
        <w:tc>
          <w:tcPr>
            <w:tcW w:w="72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25,918</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1,300,047</w:t>
            </w:r>
          </w:p>
        </w:tc>
        <w:tc>
          <w:tcPr>
            <w:tcW w:w="0" w:type="dxa"/>
            <w:vAlign w:val="bottom"/>
          </w:tcPr>
          <w:p w:rsidR="00A621E3" w:rsidRDefault="00A621E3">
            <w:pPr>
              <w:rPr>
                <w:sz w:val="1"/>
                <w:szCs w:val="1"/>
              </w:rPr>
            </w:pPr>
          </w:p>
        </w:tc>
      </w:tr>
      <w:tr w:rsidR="00A621E3">
        <w:trPr>
          <w:trHeight w:val="189"/>
        </w:trPr>
        <w:tc>
          <w:tcPr>
            <w:tcW w:w="1540" w:type="dxa"/>
            <w:vAlign w:val="bottom"/>
          </w:tcPr>
          <w:p w:rsidR="00A621E3" w:rsidRDefault="00A621E3">
            <w:pPr>
              <w:rPr>
                <w:sz w:val="16"/>
                <w:szCs w:val="16"/>
              </w:rPr>
            </w:pPr>
          </w:p>
        </w:tc>
        <w:tc>
          <w:tcPr>
            <w:tcW w:w="960" w:type="dxa"/>
            <w:vAlign w:val="bottom"/>
          </w:tcPr>
          <w:p w:rsidR="00A621E3" w:rsidRDefault="00EC630E">
            <w:pPr>
              <w:spacing w:line="189" w:lineRule="exact"/>
              <w:jc w:val="right"/>
              <w:rPr>
                <w:sz w:val="20"/>
                <w:szCs w:val="20"/>
              </w:rPr>
            </w:pPr>
            <w:r>
              <w:rPr>
                <w:rFonts w:ascii="Arial" w:eastAsia="Arial" w:hAnsi="Arial" w:cs="Arial"/>
                <w:sz w:val="13"/>
                <w:szCs w:val="13"/>
              </w:rPr>
              <w:t>2/10/2022</w:t>
            </w:r>
            <w:r>
              <w:rPr>
                <w:rFonts w:ascii="Arial" w:eastAsia="Arial" w:hAnsi="Arial" w:cs="Arial"/>
                <w:sz w:val="20"/>
                <w:szCs w:val="20"/>
                <w:vertAlign w:val="superscript"/>
              </w:rPr>
              <w:t>(6)</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11,439</w:t>
            </w:r>
          </w:p>
        </w:tc>
        <w:tc>
          <w:tcPr>
            <w:tcW w:w="880" w:type="dxa"/>
            <w:vAlign w:val="bottom"/>
          </w:tcPr>
          <w:p w:rsidR="00A621E3" w:rsidRDefault="00EC630E">
            <w:pPr>
              <w:ind w:right="32"/>
              <w:jc w:val="right"/>
              <w:rPr>
                <w:sz w:val="20"/>
                <w:szCs w:val="20"/>
              </w:rPr>
            </w:pPr>
            <w:r>
              <w:rPr>
                <w:rFonts w:ascii="Arial" w:eastAsia="Arial" w:hAnsi="Arial" w:cs="Arial"/>
                <w:sz w:val="13"/>
                <w:szCs w:val="13"/>
              </w:rPr>
              <w:t>28,597</w:t>
            </w:r>
          </w:p>
        </w:tc>
        <w:tc>
          <w:tcPr>
            <w:tcW w:w="720" w:type="dxa"/>
            <w:vAlign w:val="bottom"/>
          </w:tcPr>
          <w:p w:rsidR="00A621E3" w:rsidRDefault="00EC630E">
            <w:pPr>
              <w:jc w:val="right"/>
              <w:rPr>
                <w:sz w:val="20"/>
                <w:szCs w:val="20"/>
              </w:rPr>
            </w:pPr>
            <w:r>
              <w:rPr>
                <w:rFonts w:ascii="Arial" w:eastAsia="Arial" w:hAnsi="Arial" w:cs="Arial"/>
                <w:sz w:val="13"/>
                <w:szCs w:val="13"/>
              </w:rPr>
              <w:t>57,194</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1,950,029</w:t>
            </w:r>
          </w:p>
        </w:tc>
        <w:tc>
          <w:tcPr>
            <w:tcW w:w="0" w:type="dxa"/>
            <w:vAlign w:val="bottom"/>
          </w:tcPr>
          <w:p w:rsidR="00A621E3" w:rsidRDefault="00A621E3">
            <w:pPr>
              <w:rPr>
                <w:sz w:val="1"/>
                <w:szCs w:val="1"/>
              </w:rPr>
            </w:pPr>
          </w:p>
        </w:tc>
      </w:tr>
      <w:tr w:rsidR="00A621E3">
        <w:trPr>
          <w:trHeight w:val="176"/>
        </w:trPr>
        <w:tc>
          <w:tcPr>
            <w:tcW w:w="1540" w:type="dxa"/>
            <w:vAlign w:val="bottom"/>
          </w:tcPr>
          <w:p w:rsidR="00A621E3" w:rsidRDefault="00A621E3">
            <w:pPr>
              <w:rPr>
                <w:sz w:val="15"/>
                <w:szCs w:val="15"/>
              </w:rPr>
            </w:pPr>
          </w:p>
        </w:tc>
        <w:tc>
          <w:tcPr>
            <w:tcW w:w="960" w:type="dxa"/>
            <w:vAlign w:val="bottom"/>
          </w:tcPr>
          <w:p w:rsidR="00A621E3" w:rsidRDefault="00EC630E">
            <w:pPr>
              <w:spacing w:line="176" w:lineRule="exact"/>
              <w:jc w:val="right"/>
              <w:rPr>
                <w:sz w:val="20"/>
                <w:szCs w:val="20"/>
              </w:rPr>
            </w:pPr>
            <w:r>
              <w:rPr>
                <w:rFonts w:ascii="Arial" w:eastAsia="Arial" w:hAnsi="Arial" w:cs="Arial"/>
                <w:sz w:val="13"/>
                <w:szCs w:val="13"/>
              </w:rPr>
              <w:t>2/10/2022</w:t>
            </w:r>
            <w:r>
              <w:rPr>
                <w:rFonts w:ascii="Arial" w:eastAsia="Arial" w:hAnsi="Arial" w:cs="Arial"/>
                <w:sz w:val="20"/>
                <w:szCs w:val="20"/>
                <w:vertAlign w:val="superscript"/>
              </w:rPr>
              <w:t>(7)</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250,000</w:t>
            </w:r>
          </w:p>
        </w:tc>
        <w:tc>
          <w:tcPr>
            <w:tcW w:w="880" w:type="dxa"/>
            <w:vAlign w:val="bottom"/>
          </w:tcPr>
          <w:p w:rsidR="00A621E3" w:rsidRDefault="00EC630E">
            <w:pPr>
              <w:ind w:right="32"/>
              <w:jc w:val="right"/>
              <w:rPr>
                <w:sz w:val="20"/>
                <w:szCs w:val="20"/>
              </w:rPr>
            </w:pPr>
            <w:r>
              <w:rPr>
                <w:rFonts w:ascii="Arial" w:eastAsia="Arial" w:hAnsi="Arial" w:cs="Arial"/>
                <w:sz w:val="13"/>
                <w:szCs w:val="13"/>
              </w:rPr>
              <w:t>1,000,000</w:t>
            </w:r>
          </w:p>
        </w:tc>
        <w:tc>
          <w:tcPr>
            <w:tcW w:w="720" w:type="dxa"/>
            <w:vAlign w:val="bottom"/>
          </w:tcPr>
          <w:p w:rsidR="00A621E3" w:rsidRDefault="00EC630E">
            <w:pPr>
              <w:jc w:val="right"/>
              <w:rPr>
                <w:sz w:val="20"/>
                <w:szCs w:val="20"/>
              </w:rPr>
            </w:pPr>
            <w:r>
              <w:rPr>
                <w:rFonts w:ascii="Arial" w:eastAsia="Arial" w:hAnsi="Arial" w:cs="Arial"/>
                <w:sz w:val="13"/>
                <w:szCs w:val="13"/>
              </w:rPr>
              <w:t>1,000,000</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49"/>
        </w:trPr>
        <w:tc>
          <w:tcPr>
            <w:tcW w:w="1540" w:type="dxa"/>
            <w:tcBorders>
              <w:bottom w:val="single" w:sz="8" w:space="0" w:color="CF0A2C"/>
            </w:tcBorders>
            <w:vAlign w:val="bottom"/>
          </w:tcPr>
          <w:p w:rsidR="00A621E3" w:rsidRDefault="00A621E3">
            <w:pPr>
              <w:rPr>
                <w:sz w:val="12"/>
                <w:szCs w:val="12"/>
              </w:rPr>
            </w:pPr>
          </w:p>
        </w:tc>
        <w:tc>
          <w:tcPr>
            <w:tcW w:w="960" w:type="dxa"/>
            <w:tcBorders>
              <w:bottom w:val="single" w:sz="8" w:space="0" w:color="CF0A2C"/>
            </w:tcBorders>
            <w:vAlign w:val="bottom"/>
          </w:tcPr>
          <w:p w:rsidR="00A621E3" w:rsidRDefault="00EC630E">
            <w:pPr>
              <w:spacing w:line="150" w:lineRule="exact"/>
              <w:jc w:val="right"/>
              <w:rPr>
                <w:sz w:val="20"/>
                <w:szCs w:val="20"/>
              </w:rPr>
            </w:pPr>
            <w:r>
              <w:rPr>
                <w:rFonts w:ascii="Arial" w:eastAsia="Arial" w:hAnsi="Arial" w:cs="Arial"/>
                <w:sz w:val="12"/>
                <w:szCs w:val="12"/>
              </w:rPr>
              <w:t>12/30/2022</w:t>
            </w:r>
            <w:r>
              <w:rPr>
                <w:rFonts w:ascii="Arial" w:eastAsia="Arial" w:hAnsi="Arial" w:cs="Arial"/>
                <w:sz w:val="17"/>
                <w:szCs w:val="17"/>
                <w:vertAlign w:val="superscript"/>
              </w:rPr>
              <w:t>(8)</w:t>
            </w:r>
          </w:p>
        </w:tc>
        <w:tc>
          <w:tcPr>
            <w:tcW w:w="88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w:t>
            </w:r>
          </w:p>
        </w:tc>
        <w:tc>
          <w:tcPr>
            <w:tcW w:w="74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980" w:type="dxa"/>
            <w:gridSpan w:val="2"/>
            <w:tcBorders>
              <w:bottom w:val="single" w:sz="8" w:space="0" w:color="CF0A2C"/>
            </w:tcBorders>
            <w:vAlign w:val="bottom"/>
          </w:tcPr>
          <w:p w:rsidR="00A621E3" w:rsidRDefault="00EC630E">
            <w:pPr>
              <w:ind w:right="240"/>
              <w:jc w:val="right"/>
              <w:rPr>
                <w:sz w:val="20"/>
                <w:szCs w:val="20"/>
              </w:rPr>
            </w:pPr>
            <w:r>
              <w:rPr>
                <w:rFonts w:ascii="Arial" w:eastAsia="Arial" w:hAnsi="Arial" w:cs="Arial"/>
                <w:sz w:val="13"/>
                <w:szCs w:val="13"/>
              </w:rPr>
              <w:t>—</w:t>
            </w:r>
          </w:p>
        </w:tc>
        <w:tc>
          <w:tcPr>
            <w:tcW w:w="7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50,961</w:t>
            </w:r>
          </w:p>
        </w:tc>
        <w:tc>
          <w:tcPr>
            <w:tcW w:w="72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90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2,785,040</w:t>
            </w:r>
          </w:p>
        </w:tc>
        <w:tc>
          <w:tcPr>
            <w:tcW w:w="0" w:type="dxa"/>
            <w:vAlign w:val="bottom"/>
          </w:tcPr>
          <w:p w:rsidR="00A621E3" w:rsidRDefault="00A621E3">
            <w:pPr>
              <w:rPr>
                <w:sz w:val="1"/>
                <w:szCs w:val="1"/>
              </w:rPr>
            </w:pPr>
          </w:p>
        </w:tc>
      </w:tr>
      <w:tr w:rsidR="00A621E3">
        <w:trPr>
          <w:trHeight w:val="184"/>
        </w:trPr>
        <w:tc>
          <w:tcPr>
            <w:tcW w:w="1540" w:type="dxa"/>
            <w:vAlign w:val="bottom"/>
          </w:tcPr>
          <w:p w:rsidR="00A621E3" w:rsidRDefault="00EC630E">
            <w:pPr>
              <w:rPr>
                <w:sz w:val="20"/>
                <w:szCs w:val="20"/>
              </w:rPr>
            </w:pPr>
            <w:r>
              <w:rPr>
                <w:rFonts w:ascii="Arial" w:eastAsia="Arial" w:hAnsi="Arial" w:cs="Arial"/>
                <w:b/>
                <w:bCs/>
                <w:color w:val="CF0A2C"/>
                <w:sz w:val="14"/>
                <w:szCs w:val="14"/>
              </w:rPr>
              <w:t>Mr. Yeung</w:t>
            </w:r>
          </w:p>
        </w:tc>
        <w:tc>
          <w:tcPr>
            <w:tcW w:w="960" w:type="dxa"/>
            <w:vAlign w:val="bottom"/>
          </w:tcPr>
          <w:p w:rsidR="00A621E3" w:rsidRDefault="00EC630E">
            <w:pPr>
              <w:ind w:right="93"/>
              <w:jc w:val="right"/>
              <w:rPr>
                <w:sz w:val="20"/>
                <w:szCs w:val="20"/>
              </w:rPr>
            </w:pPr>
            <w:r>
              <w:rPr>
                <w:rFonts w:ascii="Arial" w:eastAsia="Arial" w:hAnsi="Arial" w:cs="Arial"/>
                <w:sz w:val="13"/>
                <w:szCs w:val="13"/>
              </w:rPr>
              <w:t>—</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840,000</w:t>
            </w:r>
          </w:p>
        </w:tc>
        <w:tc>
          <w:tcPr>
            <w:tcW w:w="780" w:type="dxa"/>
            <w:vAlign w:val="bottom"/>
          </w:tcPr>
          <w:p w:rsidR="00A621E3" w:rsidRDefault="00EC630E">
            <w:pPr>
              <w:jc w:val="right"/>
              <w:rPr>
                <w:sz w:val="20"/>
                <w:szCs w:val="20"/>
              </w:rPr>
            </w:pPr>
            <w:r>
              <w:rPr>
                <w:rFonts w:ascii="Arial" w:eastAsia="Arial" w:hAnsi="Arial" w:cs="Arial"/>
                <w:sz w:val="13"/>
                <w:szCs w:val="13"/>
              </w:rPr>
              <w:t>2,520,000</w:t>
            </w:r>
          </w:p>
        </w:tc>
        <w:tc>
          <w:tcPr>
            <w:tcW w:w="200" w:type="dxa"/>
            <w:vAlign w:val="bottom"/>
          </w:tcPr>
          <w:p w:rsidR="00A621E3" w:rsidRDefault="00A621E3">
            <w:pPr>
              <w:rPr>
                <w:sz w:val="16"/>
                <w:szCs w:val="16"/>
              </w:rPr>
            </w:pPr>
          </w:p>
        </w:tc>
        <w:tc>
          <w:tcPr>
            <w:tcW w:w="7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ind w:right="32"/>
              <w:jc w:val="right"/>
              <w:rPr>
                <w:sz w:val="20"/>
                <w:szCs w:val="20"/>
              </w:rPr>
            </w:pPr>
            <w:r>
              <w:rPr>
                <w:rFonts w:ascii="Arial" w:eastAsia="Arial" w:hAnsi="Arial" w:cs="Arial"/>
                <w:sz w:val="13"/>
                <w:szCs w:val="13"/>
              </w:rPr>
              <w:t>—</w:t>
            </w:r>
          </w:p>
        </w:tc>
        <w:tc>
          <w:tcPr>
            <w:tcW w:w="72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4"/>
        </w:trPr>
        <w:tc>
          <w:tcPr>
            <w:tcW w:w="1540" w:type="dxa"/>
            <w:vAlign w:val="bottom"/>
          </w:tcPr>
          <w:p w:rsidR="00A621E3" w:rsidRDefault="00A621E3">
            <w:pPr>
              <w:rPr>
                <w:sz w:val="15"/>
                <w:szCs w:val="15"/>
              </w:rPr>
            </w:pPr>
          </w:p>
        </w:tc>
        <w:tc>
          <w:tcPr>
            <w:tcW w:w="960" w:type="dxa"/>
            <w:vAlign w:val="bottom"/>
          </w:tcPr>
          <w:p w:rsidR="00A621E3" w:rsidRDefault="00EC630E">
            <w:pPr>
              <w:ind w:right="93"/>
              <w:jc w:val="right"/>
              <w:rPr>
                <w:sz w:val="20"/>
                <w:szCs w:val="20"/>
              </w:rPr>
            </w:pPr>
            <w:r>
              <w:rPr>
                <w:rFonts w:ascii="Arial" w:eastAsia="Arial" w:hAnsi="Arial" w:cs="Arial"/>
                <w:sz w:val="13"/>
                <w:szCs w:val="13"/>
              </w:rPr>
              <w:t>2/10/2022</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ind w:right="32"/>
              <w:jc w:val="right"/>
              <w:rPr>
                <w:sz w:val="20"/>
                <w:szCs w:val="20"/>
              </w:rPr>
            </w:pPr>
            <w:r>
              <w:rPr>
                <w:rFonts w:ascii="Arial" w:eastAsia="Arial" w:hAnsi="Arial" w:cs="Arial"/>
                <w:sz w:val="13"/>
                <w:szCs w:val="13"/>
              </w:rPr>
              <w:t>—</w:t>
            </w:r>
          </w:p>
        </w:tc>
        <w:tc>
          <w:tcPr>
            <w:tcW w:w="72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50,796</w:t>
            </w:r>
          </w:p>
        </w:tc>
        <w:tc>
          <w:tcPr>
            <w:tcW w:w="880" w:type="dxa"/>
            <w:vAlign w:val="bottom"/>
          </w:tcPr>
          <w:p w:rsidR="00A621E3" w:rsidRDefault="00EC630E">
            <w:pPr>
              <w:jc w:val="right"/>
              <w:rPr>
                <w:sz w:val="20"/>
                <w:szCs w:val="20"/>
              </w:rPr>
            </w:pPr>
            <w:r>
              <w:rPr>
                <w:rFonts w:ascii="Arial" w:eastAsia="Arial" w:hAnsi="Arial" w:cs="Arial"/>
                <w:sz w:val="13"/>
                <w:szCs w:val="13"/>
              </w:rPr>
              <w:t>50.16</w:t>
            </w:r>
          </w:p>
        </w:tc>
        <w:tc>
          <w:tcPr>
            <w:tcW w:w="900" w:type="dxa"/>
            <w:vAlign w:val="bottom"/>
          </w:tcPr>
          <w:p w:rsidR="00A621E3" w:rsidRDefault="00EC630E">
            <w:pPr>
              <w:ind w:right="12"/>
              <w:jc w:val="right"/>
              <w:rPr>
                <w:sz w:val="20"/>
                <w:szCs w:val="20"/>
              </w:rPr>
            </w:pPr>
            <w:r>
              <w:rPr>
                <w:rFonts w:ascii="Arial" w:eastAsia="Arial" w:hAnsi="Arial" w:cs="Arial"/>
                <w:sz w:val="13"/>
                <w:szCs w:val="13"/>
              </w:rPr>
              <w:t>790,010</w:t>
            </w:r>
          </w:p>
        </w:tc>
        <w:tc>
          <w:tcPr>
            <w:tcW w:w="0" w:type="dxa"/>
            <w:vAlign w:val="bottom"/>
          </w:tcPr>
          <w:p w:rsidR="00A621E3" w:rsidRDefault="00A621E3">
            <w:pPr>
              <w:rPr>
                <w:sz w:val="1"/>
                <w:szCs w:val="1"/>
              </w:rPr>
            </w:pPr>
          </w:p>
        </w:tc>
      </w:tr>
      <w:tr w:rsidR="00A621E3">
        <w:trPr>
          <w:trHeight w:val="175"/>
        </w:trPr>
        <w:tc>
          <w:tcPr>
            <w:tcW w:w="1540" w:type="dxa"/>
            <w:vAlign w:val="bottom"/>
          </w:tcPr>
          <w:p w:rsidR="00A621E3" w:rsidRDefault="00A621E3">
            <w:pPr>
              <w:rPr>
                <w:sz w:val="15"/>
                <w:szCs w:val="15"/>
              </w:rPr>
            </w:pPr>
          </w:p>
        </w:tc>
        <w:tc>
          <w:tcPr>
            <w:tcW w:w="960" w:type="dxa"/>
            <w:vAlign w:val="bottom"/>
          </w:tcPr>
          <w:p w:rsidR="00A621E3" w:rsidRDefault="00EC630E">
            <w:pPr>
              <w:ind w:right="93"/>
              <w:jc w:val="right"/>
              <w:rPr>
                <w:sz w:val="20"/>
                <w:szCs w:val="20"/>
              </w:rPr>
            </w:pPr>
            <w:r>
              <w:rPr>
                <w:rFonts w:ascii="Arial" w:eastAsia="Arial" w:hAnsi="Arial" w:cs="Arial"/>
                <w:sz w:val="13"/>
                <w:szCs w:val="13"/>
              </w:rPr>
              <w:t>2/10/2022</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ind w:right="32"/>
              <w:jc w:val="right"/>
              <w:rPr>
                <w:sz w:val="20"/>
                <w:szCs w:val="20"/>
              </w:rPr>
            </w:pPr>
            <w:r>
              <w:rPr>
                <w:rFonts w:ascii="Arial" w:eastAsia="Arial" w:hAnsi="Arial" w:cs="Arial"/>
                <w:sz w:val="13"/>
                <w:szCs w:val="13"/>
              </w:rPr>
              <w:t>—</w:t>
            </w:r>
          </w:p>
        </w:tc>
        <w:tc>
          <w:tcPr>
            <w:tcW w:w="72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6,300</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316,008</w:t>
            </w:r>
          </w:p>
        </w:tc>
        <w:tc>
          <w:tcPr>
            <w:tcW w:w="0" w:type="dxa"/>
            <w:vAlign w:val="bottom"/>
          </w:tcPr>
          <w:p w:rsidR="00A621E3" w:rsidRDefault="00A621E3">
            <w:pPr>
              <w:rPr>
                <w:sz w:val="1"/>
                <w:szCs w:val="1"/>
              </w:rPr>
            </w:pPr>
          </w:p>
        </w:tc>
      </w:tr>
      <w:tr w:rsidR="00A621E3">
        <w:trPr>
          <w:trHeight w:val="189"/>
        </w:trPr>
        <w:tc>
          <w:tcPr>
            <w:tcW w:w="1540" w:type="dxa"/>
            <w:vAlign w:val="bottom"/>
          </w:tcPr>
          <w:p w:rsidR="00A621E3" w:rsidRDefault="00A621E3">
            <w:pPr>
              <w:rPr>
                <w:sz w:val="16"/>
                <w:szCs w:val="16"/>
              </w:rPr>
            </w:pPr>
          </w:p>
        </w:tc>
        <w:tc>
          <w:tcPr>
            <w:tcW w:w="960" w:type="dxa"/>
            <w:vAlign w:val="bottom"/>
          </w:tcPr>
          <w:p w:rsidR="00A621E3" w:rsidRDefault="00EC630E">
            <w:pPr>
              <w:spacing w:line="189" w:lineRule="exact"/>
              <w:jc w:val="right"/>
              <w:rPr>
                <w:sz w:val="20"/>
                <w:szCs w:val="20"/>
              </w:rPr>
            </w:pPr>
            <w:r>
              <w:rPr>
                <w:rFonts w:ascii="Arial" w:eastAsia="Arial" w:hAnsi="Arial" w:cs="Arial"/>
                <w:sz w:val="13"/>
                <w:szCs w:val="13"/>
              </w:rPr>
              <w:t>2/10/2022</w:t>
            </w:r>
            <w:r>
              <w:rPr>
                <w:rFonts w:ascii="Arial" w:eastAsia="Arial" w:hAnsi="Arial" w:cs="Arial"/>
                <w:sz w:val="20"/>
                <w:szCs w:val="20"/>
                <w:vertAlign w:val="superscript"/>
              </w:rPr>
              <w:t>(6)</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2,781</w:t>
            </w:r>
          </w:p>
        </w:tc>
        <w:tc>
          <w:tcPr>
            <w:tcW w:w="880" w:type="dxa"/>
            <w:vAlign w:val="bottom"/>
          </w:tcPr>
          <w:p w:rsidR="00A621E3" w:rsidRDefault="00EC630E">
            <w:pPr>
              <w:ind w:right="32"/>
              <w:jc w:val="right"/>
              <w:rPr>
                <w:sz w:val="20"/>
                <w:szCs w:val="20"/>
              </w:rPr>
            </w:pPr>
            <w:r>
              <w:rPr>
                <w:rFonts w:ascii="Arial" w:eastAsia="Arial" w:hAnsi="Arial" w:cs="Arial"/>
                <w:sz w:val="13"/>
                <w:szCs w:val="13"/>
              </w:rPr>
              <w:t>6,952</w:t>
            </w:r>
          </w:p>
        </w:tc>
        <w:tc>
          <w:tcPr>
            <w:tcW w:w="720" w:type="dxa"/>
            <w:vAlign w:val="bottom"/>
          </w:tcPr>
          <w:p w:rsidR="00A621E3" w:rsidRDefault="00EC630E">
            <w:pPr>
              <w:jc w:val="right"/>
              <w:rPr>
                <w:sz w:val="20"/>
                <w:szCs w:val="20"/>
              </w:rPr>
            </w:pPr>
            <w:r>
              <w:rPr>
                <w:rFonts w:ascii="Arial" w:eastAsia="Arial" w:hAnsi="Arial" w:cs="Arial"/>
                <w:sz w:val="13"/>
                <w:szCs w:val="13"/>
              </w:rPr>
              <w:t>13,904</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474,057</w:t>
            </w:r>
          </w:p>
        </w:tc>
        <w:tc>
          <w:tcPr>
            <w:tcW w:w="0" w:type="dxa"/>
            <w:vAlign w:val="bottom"/>
          </w:tcPr>
          <w:p w:rsidR="00A621E3" w:rsidRDefault="00A621E3">
            <w:pPr>
              <w:rPr>
                <w:sz w:val="1"/>
                <w:szCs w:val="1"/>
              </w:rPr>
            </w:pPr>
          </w:p>
        </w:tc>
      </w:tr>
      <w:tr w:rsidR="00A621E3">
        <w:trPr>
          <w:trHeight w:val="175"/>
        </w:trPr>
        <w:tc>
          <w:tcPr>
            <w:tcW w:w="1540" w:type="dxa"/>
            <w:vAlign w:val="bottom"/>
          </w:tcPr>
          <w:p w:rsidR="00A621E3" w:rsidRDefault="00A621E3">
            <w:pPr>
              <w:rPr>
                <w:sz w:val="15"/>
                <w:szCs w:val="15"/>
              </w:rPr>
            </w:pPr>
          </w:p>
        </w:tc>
        <w:tc>
          <w:tcPr>
            <w:tcW w:w="960" w:type="dxa"/>
            <w:vAlign w:val="bottom"/>
          </w:tcPr>
          <w:p w:rsidR="00A621E3" w:rsidRDefault="00EC630E">
            <w:pPr>
              <w:spacing w:line="176" w:lineRule="exact"/>
              <w:jc w:val="right"/>
              <w:rPr>
                <w:sz w:val="20"/>
                <w:szCs w:val="20"/>
              </w:rPr>
            </w:pPr>
            <w:r>
              <w:rPr>
                <w:rFonts w:ascii="Arial" w:eastAsia="Arial" w:hAnsi="Arial" w:cs="Arial"/>
                <w:sz w:val="13"/>
                <w:szCs w:val="13"/>
              </w:rPr>
              <w:t>2/10/2022</w:t>
            </w:r>
            <w:r>
              <w:rPr>
                <w:rFonts w:ascii="Arial" w:eastAsia="Arial" w:hAnsi="Arial" w:cs="Arial"/>
                <w:sz w:val="20"/>
                <w:szCs w:val="20"/>
                <w:vertAlign w:val="superscript"/>
              </w:rPr>
              <w:t>(7)</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50,000</w:t>
            </w:r>
          </w:p>
        </w:tc>
        <w:tc>
          <w:tcPr>
            <w:tcW w:w="880" w:type="dxa"/>
            <w:vAlign w:val="bottom"/>
          </w:tcPr>
          <w:p w:rsidR="00A621E3" w:rsidRDefault="00EC630E">
            <w:pPr>
              <w:ind w:right="32"/>
              <w:jc w:val="right"/>
              <w:rPr>
                <w:sz w:val="20"/>
                <w:szCs w:val="20"/>
              </w:rPr>
            </w:pPr>
            <w:r>
              <w:rPr>
                <w:rFonts w:ascii="Arial" w:eastAsia="Arial" w:hAnsi="Arial" w:cs="Arial"/>
                <w:sz w:val="13"/>
                <w:szCs w:val="13"/>
              </w:rPr>
              <w:t>200,000</w:t>
            </w:r>
          </w:p>
        </w:tc>
        <w:tc>
          <w:tcPr>
            <w:tcW w:w="720" w:type="dxa"/>
            <w:vAlign w:val="bottom"/>
          </w:tcPr>
          <w:p w:rsidR="00A621E3" w:rsidRDefault="00EC630E">
            <w:pPr>
              <w:jc w:val="right"/>
              <w:rPr>
                <w:sz w:val="20"/>
                <w:szCs w:val="20"/>
              </w:rPr>
            </w:pPr>
            <w:r>
              <w:rPr>
                <w:rFonts w:ascii="Arial" w:eastAsia="Arial" w:hAnsi="Arial" w:cs="Arial"/>
                <w:sz w:val="13"/>
                <w:szCs w:val="13"/>
              </w:rPr>
              <w:t>200,000</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49"/>
        </w:trPr>
        <w:tc>
          <w:tcPr>
            <w:tcW w:w="1540" w:type="dxa"/>
            <w:tcBorders>
              <w:bottom w:val="single" w:sz="8" w:space="0" w:color="CF0A2C"/>
            </w:tcBorders>
            <w:vAlign w:val="bottom"/>
          </w:tcPr>
          <w:p w:rsidR="00A621E3" w:rsidRDefault="00A621E3">
            <w:pPr>
              <w:rPr>
                <w:sz w:val="12"/>
                <w:szCs w:val="12"/>
              </w:rPr>
            </w:pPr>
          </w:p>
        </w:tc>
        <w:tc>
          <w:tcPr>
            <w:tcW w:w="960" w:type="dxa"/>
            <w:tcBorders>
              <w:bottom w:val="single" w:sz="8" w:space="0" w:color="CF0A2C"/>
            </w:tcBorders>
            <w:vAlign w:val="bottom"/>
          </w:tcPr>
          <w:p w:rsidR="00A621E3" w:rsidRDefault="00EC630E">
            <w:pPr>
              <w:spacing w:line="150" w:lineRule="exact"/>
              <w:jc w:val="right"/>
              <w:rPr>
                <w:sz w:val="20"/>
                <w:szCs w:val="20"/>
              </w:rPr>
            </w:pPr>
            <w:r>
              <w:rPr>
                <w:rFonts w:ascii="Arial" w:eastAsia="Arial" w:hAnsi="Arial" w:cs="Arial"/>
                <w:sz w:val="12"/>
                <w:szCs w:val="12"/>
              </w:rPr>
              <w:t>12/30/2022</w:t>
            </w:r>
            <w:r>
              <w:rPr>
                <w:rFonts w:ascii="Arial" w:eastAsia="Arial" w:hAnsi="Arial" w:cs="Arial"/>
                <w:sz w:val="17"/>
                <w:szCs w:val="17"/>
                <w:vertAlign w:val="superscript"/>
              </w:rPr>
              <w:t>(6)</w:t>
            </w:r>
          </w:p>
        </w:tc>
        <w:tc>
          <w:tcPr>
            <w:tcW w:w="88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w:t>
            </w:r>
          </w:p>
        </w:tc>
        <w:tc>
          <w:tcPr>
            <w:tcW w:w="74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980" w:type="dxa"/>
            <w:gridSpan w:val="2"/>
            <w:tcBorders>
              <w:bottom w:val="single" w:sz="8" w:space="0" w:color="CF0A2C"/>
            </w:tcBorders>
            <w:vAlign w:val="bottom"/>
          </w:tcPr>
          <w:p w:rsidR="00A621E3" w:rsidRDefault="00EC630E">
            <w:pPr>
              <w:ind w:right="240"/>
              <w:jc w:val="right"/>
              <w:rPr>
                <w:sz w:val="20"/>
                <w:szCs w:val="20"/>
              </w:rPr>
            </w:pPr>
            <w:r>
              <w:rPr>
                <w:rFonts w:ascii="Arial" w:eastAsia="Arial" w:hAnsi="Arial" w:cs="Arial"/>
                <w:sz w:val="13"/>
                <w:szCs w:val="13"/>
              </w:rPr>
              <w:t>—</w:t>
            </w:r>
          </w:p>
        </w:tc>
        <w:tc>
          <w:tcPr>
            <w:tcW w:w="7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12,231</w:t>
            </w:r>
          </w:p>
        </w:tc>
        <w:tc>
          <w:tcPr>
            <w:tcW w:w="72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90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668,425</w:t>
            </w:r>
          </w:p>
        </w:tc>
        <w:tc>
          <w:tcPr>
            <w:tcW w:w="0" w:type="dxa"/>
            <w:vAlign w:val="bottom"/>
          </w:tcPr>
          <w:p w:rsidR="00A621E3" w:rsidRDefault="00A621E3">
            <w:pPr>
              <w:rPr>
                <w:sz w:val="1"/>
                <w:szCs w:val="1"/>
              </w:rPr>
            </w:pPr>
          </w:p>
        </w:tc>
      </w:tr>
      <w:tr w:rsidR="00A621E3">
        <w:trPr>
          <w:trHeight w:val="184"/>
        </w:trPr>
        <w:tc>
          <w:tcPr>
            <w:tcW w:w="1540" w:type="dxa"/>
            <w:vAlign w:val="bottom"/>
          </w:tcPr>
          <w:p w:rsidR="00A621E3" w:rsidRDefault="00EC630E">
            <w:pPr>
              <w:rPr>
                <w:sz w:val="20"/>
                <w:szCs w:val="20"/>
              </w:rPr>
            </w:pPr>
            <w:r>
              <w:rPr>
                <w:rFonts w:ascii="Arial" w:eastAsia="Arial" w:hAnsi="Arial" w:cs="Arial"/>
                <w:b/>
                <w:bCs/>
                <w:color w:val="CF0A2C"/>
                <w:sz w:val="14"/>
                <w:szCs w:val="14"/>
              </w:rPr>
              <w:t>Mr. Chan</w:t>
            </w:r>
          </w:p>
        </w:tc>
        <w:tc>
          <w:tcPr>
            <w:tcW w:w="960" w:type="dxa"/>
            <w:vAlign w:val="bottom"/>
          </w:tcPr>
          <w:p w:rsidR="00A621E3" w:rsidRDefault="00EC630E">
            <w:pPr>
              <w:ind w:right="93"/>
              <w:jc w:val="right"/>
              <w:rPr>
                <w:sz w:val="20"/>
                <w:szCs w:val="20"/>
              </w:rPr>
            </w:pPr>
            <w:r>
              <w:rPr>
                <w:rFonts w:ascii="Arial" w:eastAsia="Arial" w:hAnsi="Arial" w:cs="Arial"/>
                <w:sz w:val="13"/>
                <w:szCs w:val="13"/>
              </w:rPr>
              <w:t>—</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504,000</w:t>
            </w:r>
          </w:p>
        </w:tc>
        <w:tc>
          <w:tcPr>
            <w:tcW w:w="780" w:type="dxa"/>
            <w:vAlign w:val="bottom"/>
          </w:tcPr>
          <w:p w:rsidR="00A621E3" w:rsidRDefault="00EC630E">
            <w:pPr>
              <w:jc w:val="right"/>
              <w:rPr>
                <w:sz w:val="20"/>
                <w:szCs w:val="20"/>
              </w:rPr>
            </w:pPr>
            <w:r>
              <w:rPr>
                <w:rFonts w:ascii="Arial" w:eastAsia="Arial" w:hAnsi="Arial" w:cs="Arial"/>
                <w:sz w:val="13"/>
                <w:szCs w:val="13"/>
              </w:rPr>
              <w:t>1,512,000</w:t>
            </w:r>
          </w:p>
        </w:tc>
        <w:tc>
          <w:tcPr>
            <w:tcW w:w="200" w:type="dxa"/>
            <w:vAlign w:val="bottom"/>
          </w:tcPr>
          <w:p w:rsidR="00A621E3" w:rsidRDefault="00A621E3">
            <w:pPr>
              <w:rPr>
                <w:sz w:val="16"/>
                <w:szCs w:val="16"/>
              </w:rPr>
            </w:pPr>
          </w:p>
        </w:tc>
        <w:tc>
          <w:tcPr>
            <w:tcW w:w="7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ind w:right="32"/>
              <w:jc w:val="right"/>
              <w:rPr>
                <w:sz w:val="20"/>
                <w:szCs w:val="20"/>
              </w:rPr>
            </w:pPr>
            <w:r>
              <w:rPr>
                <w:rFonts w:ascii="Arial" w:eastAsia="Arial" w:hAnsi="Arial" w:cs="Arial"/>
                <w:sz w:val="13"/>
                <w:szCs w:val="13"/>
              </w:rPr>
              <w:t>—</w:t>
            </w:r>
          </w:p>
        </w:tc>
        <w:tc>
          <w:tcPr>
            <w:tcW w:w="72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3"/>
        </w:trPr>
        <w:tc>
          <w:tcPr>
            <w:tcW w:w="1540" w:type="dxa"/>
            <w:vAlign w:val="bottom"/>
          </w:tcPr>
          <w:p w:rsidR="00A621E3" w:rsidRDefault="00A621E3">
            <w:pPr>
              <w:rPr>
                <w:sz w:val="15"/>
                <w:szCs w:val="15"/>
              </w:rPr>
            </w:pPr>
          </w:p>
        </w:tc>
        <w:tc>
          <w:tcPr>
            <w:tcW w:w="960" w:type="dxa"/>
            <w:vAlign w:val="bottom"/>
          </w:tcPr>
          <w:p w:rsidR="00A621E3" w:rsidRDefault="00EC630E">
            <w:pPr>
              <w:ind w:right="93"/>
              <w:jc w:val="right"/>
              <w:rPr>
                <w:sz w:val="20"/>
                <w:szCs w:val="20"/>
              </w:rPr>
            </w:pPr>
            <w:r>
              <w:rPr>
                <w:rFonts w:ascii="Arial" w:eastAsia="Arial" w:hAnsi="Arial" w:cs="Arial"/>
                <w:sz w:val="13"/>
                <w:szCs w:val="13"/>
              </w:rPr>
              <w:t>2/10/2022</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ind w:right="32"/>
              <w:jc w:val="right"/>
              <w:rPr>
                <w:sz w:val="20"/>
                <w:szCs w:val="20"/>
              </w:rPr>
            </w:pPr>
            <w:r>
              <w:rPr>
                <w:rFonts w:ascii="Arial" w:eastAsia="Arial" w:hAnsi="Arial" w:cs="Arial"/>
                <w:sz w:val="13"/>
                <w:szCs w:val="13"/>
              </w:rPr>
              <w:t>—</w:t>
            </w:r>
          </w:p>
        </w:tc>
        <w:tc>
          <w:tcPr>
            <w:tcW w:w="72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38,579</w:t>
            </w:r>
          </w:p>
        </w:tc>
        <w:tc>
          <w:tcPr>
            <w:tcW w:w="880" w:type="dxa"/>
            <w:vAlign w:val="bottom"/>
          </w:tcPr>
          <w:p w:rsidR="00A621E3" w:rsidRDefault="00EC630E">
            <w:pPr>
              <w:jc w:val="right"/>
              <w:rPr>
                <w:sz w:val="20"/>
                <w:szCs w:val="20"/>
              </w:rPr>
            </w:pPr>
            <w:r>
              <w:rPr>
                <w:rFonts w:ascii="Arial" w:eastAsia="Arial" w:hAnsi="Arial" w:cs="Arial"/>
                <w:sz w:val="13"/>
                <w:szCs w:val="13"/>
              </w:rPr>
              <w:t>50.16</w:t>
            </w:r>
          </w:p>
        </w:tc>
        <w:tc>
          <w:tcPr>
            <w:tcW w:w="900" w:type="dxa"/>
            <w:vAlign w:val="bottom"/>
          </w:tcPr>
          <w:p w:rsidR="00A621E3" w:rsidRDefault="00EC630E">
            <w:pPr>
              <w:ind w:right="12"/>
              <w:jc w:val="right"/>
              <w:rPr>
                <w:sz w:val="20"/>
                <w:szCs w:val="20"/>
              </w:rPr>
            </w:pPr>
            <w:r>
              <w:rPr>
                <w:rFonts w:ascii="Arial" w:eastAsia="Arial" w:hAnsi="Arial" w:cs="Arial"/>
                <w:sz w:val="13"/>
                <w:szCs w:val="13"/>
              </w:rPr>
              <w:t>600,004</w:t>
            </w:r>
          </w:p>
        </w:tc>
        <w:tc>
          <w:tcPr>
            <w:tcW w:w="0" w:type="dxa"/>
            <w:vAlign w:val="bottom"/>
          </w:tcPr>
          <w:p w:rsidR="00A621E3" w:rsidRDefault="00A621E3">
            <w:pPr>
              <w:rPr>
                <w:sz w:val="1"/>
                <w:szCs w:val="1"/>
              </w:rPr>
            </w:pPr>
          </w:p>
        </w:tc>
      </w:tr>
      <w:tr w:rsidR="00A621E3">
        <w:trPr>
          <w:trHeight w:val="175"/>
        </w:trPr>
        <w:tc>
          <w:tcPr>
            <w:tcW w:w="1540" w:type="dxa"/>
            <w:vAlign w:val="bottom"/>
          </w:tcPr>
          <w:p w:rsidR="00A621E3" w:rsidRDefault="00A621E3">
            <w:pPr>
              <w:rPr>
                <w:sz w:val="15"/>
                <w:szCs w:val="15"/>
              </w:rPr>
            </w:pPr>
          </w:p>
        </w:tc>
        <w:tc>
          <w:tcPr>
            <w:tcW w:w="960" w:type="dxa"/>
            <w:vAlign w:val="bottom"/>
          </w:tcPr>
          <w:p w:rsidR="00A621E3" w:rsidRDefault="00EC630E">
            <w:pPr>
              <w:ind w:right="93"/>
              <w:jc w:val="right"/>
              <w:rPr>
                <w:sz w:val="20"/>
                <w:szCs w:val="20"/>
              </w:rPr>
            </w:pPr>
            <w:r>
              <w:rPr>
                <w:rFonts w:ascii="Arial" w:eastAsia="Arial" w:hAnsi="Arial" w:cs="Arial"/>
                <w:sz w:val="13"/>
                <w:szCs w:val="13"/>
              </w:rPr>
              <w:t>2/10/2022</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ind w:right="32"/>
              <w:jc w:val="right"/>
              <w:rPr>
                <w:sz w:val="20"/>
                <w:szCs w:val="20"/>
              </w:rPr>
            </w:pPr>
            <w:r>
              <w:rPr>
                <w:rFonts w:ascii="Arial" w:eastAsia="Arial" w:hAnsi="Arial" w:cs="Arial"/>
                <w:sz w:val="13"/>
                <w:szCs w:val="13"/>
              </w:rPr>
              <w:t>—</w:t>
            </w:r>
          </w:p>
        </w:tc>
        <w:tc>
          <w:tcPr>
            <w:tcW w:w="72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4,785</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240,016</w:t>
            </w:r>
          </w:p>
        </w:tc>
        <w:tc>
          <w:tcPr>
            <w:tcW w:w="0" w:type="dxa"/>
            <w:vAlign w:val="bottom"/>
          </w:tcPr>
          <w:p w:rsidR="00A621E3" w:rsidRDefault="00A621E3">
            <w:pPr>
              <w:rPr>
                <w:sz w:val="1"/>
                <w:szCs w:val="1"/>
              </w:rPr>
            </w:pPr>
          </w:p>
        </w:tc>
      </w:tr>
      <w:tr w:rsidR="00A621E3">
        <w:trPr>
          <w:trHeight w:val="189"/>
        </w:trPr>
        <w:tc>
          <w:tcPr>
            <w:tcW w:w="1540" w:type="dxa"/>
            <w:vAlign w:val="bottom"/>
          </w:tcPr>
          <w:p w:rsidR="00A621E3" w:rsidRDefault="00A621E3">
            <w:pPr>
              <w:rPr>
                <w:sz w:val="16"/>
                <w:szCs w:val="16"/>
              </w:rPr>
            </w:pPr>
          </w:p>
        </w:tc>
        <w:tc>
          <w:tcPr>
            <w:tcW w:w="960" w:type="dxa"/>
            <w:vAlign w:val="bottom"/>
          </w:tcPr>
          <w:p w:rsidR="00A621E3" w:rsidRDefault="00EC630E">
            <w:pPr>
              <w:spacing w:line="189" w:lineRule="exact"/>
              <w:jc w:val="right"/>
              <w:rPr>
                <w:sz w:val="20"/>
                <w:szCs w:val="20"/>
              </w:rPr>
            </w:pPr>
            <w:r>
              <w:rPr>
                <w:rFonts w:ascii="Arial" w:eastAsia="Arial" w:hAnsi="Arial" w:cs="Arial"/>
                <w:sz w:val="13"/>
                <w:szCs w:val="13"/>
              </w:rPr>
              <w:t>2/10/2022</w:t>
            </w:r>
            <w:r>
              <w:rPr>
                <w:rFonts w:ascii="Arial" w:eastAsia="Arial" w:hAnsi="Arial" w:cs="Arial"/>
                <w:sz w:val="20"/>
                <w:szCs w:val="20"/>
                <w:vertAlign w:val="superscript"/>
              </w:rPr>
              <w:t>(6)</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2,112</w:t>
            </w:r>
          </w:p>
        </w:tc>
        <w:tc>
          <w:tcPr>
            <w:tcW w:w="880" w:type="dxa"/>
            <w:vAlign w:val="bottom"/>
          </w:tcPr>
          <w:p w:rsidR="00A621E3" w:rsidRDefault="00EC630E">
            <w:pPr>
              <w:ind w:right="32"/>
              <w:jc w:val="right"/>
              <w:rPr>
                <w:sz w:val="20"/>
                <w:szCs w:val="20"/>
              </w:rPr>
            </w:pPr>
            <w:r>
              <w:rPr>
                <w:rFonts w:ascii="Arial" w:eastAsia="Arial" w:hAnsi="Arial" w:cs="Arial"/>
                <w:sz w:val="13"/>
                <w:szCs w:val="13"/>
              </w:rPr>
              <w:t>5,280</w:t>
            </w:r>
          </w:p>
        </w:tc>
        <w:tc>
          <w:tcPr>
            <w:tcW w:w="720" w:type="dxa"/>
            <w:vAlign w:val="bottom"/>
          </w:tcPr>
          <w:p w:rsidR="00A621E3" w:rsidRDefault="00EC630E">
            <w:pPr>
              <w:jc w:val="right"/>
              <w:rPr>
                <w:sz w:val="20"/>
                <w:szCs w:val="20"/>
              </w:rPr>
            </w:pPr>
            <w:r>
              <w:rPr>
                <w:rFonts w:ascii="Arial" w:eastAsia="Arial" w:hAnsi="Arial" w:cs="Arial"/>
                <w:sz w:val="13"/>
                <w:szCs w:val="13"/>
              </w:rPr>
              <w:t>10,560</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360,043</w:t>
            </w:r>
          </w:p>
        </w:tc>
        <w:tc>
          <w:tcPr>
            <w:tcW w:w="0" w:type="dxa"/>
            <w:vAlign w:val="bottom"/>
          </w:tcPr>
          <w:p w:rsidR="00A621E3" w:rsidRDefault="00A621E3">
            <w:pPr>
              <w:rPr>
                <w:sz w:val="1"/>
                <w:szCs w:val="1"/>
              </w:rPr>
            </w:pPr>
          </w:p>
        </w:tc>
      </w:tr>
      <w:tr w:rsidR="00A621E3">
        <w:trPr>
          <w:trHeight w:val="175"/>
        </w:trPr>
        <w:tc>
          <w:tcPr>
            <w:tcW w:w="1540" w:type="dxa"/>
            <w:vAlign w:val="bottom"/>
          </w:tcPr>
          <w:p w:rsidR="00A621E3" w:rsidRDefault="00A621E3">
            <w:pPr>
              <w:rPr>
                <w:sz w:val="15"/>
                <w:szCs w:val="15"/>
              </w:rPr>
            </w:pPr>
          </w:p>
        </w:tc>
        <w:tc>
          <w:tcPr>
            <w:tcW w:w="960" w:type="dxa"/>
            <w:vAlign w:val="bottom"/>
          </w:tcPr>
          <w:p w:rsidR="00A621E3" w:rsidRDefault="00EC630E">
            <w:pPr>
              <w:spacing w:line="176" w:lineRule="exact"/>
              <w:jc w:val="right"/>
              <w:rPr>
                <w:sz w:val="20"/>
                <w:szCs w:val="20"/>
              </w:rPr>
            </w:pPr>
            <w:r>
              <w:rPr>
                <w:rFonts w:ascii="Arial" w:eastAsia="Arial" w:hAnsi="Arial" w:cs="Arial"/>
                <w:sz w:val="13"/>
                <w:szCs w:val="13"/>
              </w:rPr>
              <w:t>2/10/2022</w:t>
            </w:r>
            <w:r>
              <w:rPr>
                <w:rFonts w:ascii="Arial" w:eastAsia="Arial" w:hAnsi="Arial" w:cs="Arial"/>
                <w:sz w:val="20"/>
                <w:szCs w:val="20"/>
                <w:vertAlign w:val="superscript"/>
              </w:rPr>
              <w:t>(7)</w:t>
            </w:r>
          </w:p>
        </w:tc>
        <w:tc>
          <w:tcPr>
            <w:tcW w:w="880" w:type="dxa"/>
            <w:vAlign w:val="bottom"/>
          </w:tcPr>
          <w:p w:rsidR="00A621E3" w:rsidRDefault="00A621E3">
            <w:pPr>
              <w:rPr>
                <w:sz w:val="15"/>
                <w:szCs w:val="15"/>
              </w:rPr>
            </w:pP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50,000</w:t>
            </w:r>
          </w:p>
        </w:tc>
        <w:tc>
          <w:tcPr>
            <w:tcW w:w="880" w:type="dxa"/>
            <w:vAlign w:val="bottom"/>
          </w:tcPr>
          <w:p w:rsidR="00A621E3" w:rsidRDefault="00EC630E">
            <w:pPr>
              <w:ind w:right="32"/>
              <w:jc w:val="right"/>
              <w:rPr>
                <w:sz w:val="20"/>
                <w:szCs w:val="20"/>
              </w:rPr>
            </w:pPr>
            <w:r>
              <w:rPr>
                <w:rFonts w:ascii="Arial" w:eastAsia="Arial" w:hAnsi="Arial" w:cs="Arial"/>
                <w:sz w:val="13"/>
                <w:szCs w:val="13"/>
              </w:rPr>
              <w:t>200,000</w:t>
            </w:r>
          </w:p>
        </w:tc>
        <w:tc>
          <w:tcPr>
            <w:tcW w:w="720" w:type="dxa"/>
            <w:vAlign w:val="bottom"/>
          </w:tcPr>
          <w:p w:rsidR="00A621E3" w:rsidRDefault="00EC630E">
            <w:pPr>
              <w:jc w:val="right"/>
              <w:rPr>
                <w:sz w:val="20"/>
                <w:szCs w:val="20"/>
              </w:rPr>
            </w:pPr>
            <w:r>
              <w:rPr>
                <w:rFonts w:ascii="Arial" w:eastAsia="Arial" w:hAnsi="Arial" w:cs="Arial"/>
                <w:sz w:val="13"/>
                <w:szCs w:val="13"/>
              </w:rPr>
              <w:t>200,000</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49"/>
        </w:trPr>
        <w:tc>
          <w:tcPr>
            <w:tcW w:w="1540" w:type="dxa"/>
            <w:tcBorders>
              <w:bottom w:val="single" w:sz="8" w:space="0" w:color="CF0A2C"/>
            </w:tcBorders>
            <w:vAlign w:val="bottom"/>
          </w:tcPr>
          <w:p w:rsidR="00A621E3" w:rsidRDefault="00A621E3">
            <w:pPr>
              <w:rPr>
                <w:sz w:val="12"/>
                <w:szCs w:val="12"/>
              </w:rPr>
            </w:pPr>
          </w:p>
        </w:tc>
        <w:tc>
          <w:tcPr>
            <w:tcW w:w="960" w:type="dxa"/>
            <w:tcBorders>
              <w:bottom w:val="single" w:sz="8" w:space="0" w:color="CF0A2C"/>
            </w:tcBorders>
            <w:vAlign w:val="bottom"/>
          </w:tcPr>
          <w:p w:rsidR="00A621E3" w:rsidRDefault="00EC630E">
            <w:pPr>
              <w:spacing w:line="150" w:lineRule="exact"/>
              <w:jc w:val="right"/>
              <w:rPr>
                <w:sz w:val="20"/>
                <w:szCs w:val="20"/>
              </w:rPr>
            </w:pPr>
            <w:r>
              <w:rPr>
                <w:rFonts w:ascii="Arial" w:eastAsia="Arial" w:hAnsi="Arial" w:cs="Arial"/>
                <w:sz w:val="12"/>
                <w:szCs w:val="12"/>
              </w:rPr>
              <w:t>12/30/2022</w:t>
            </w:r>
            <w:r>
              <w:rPr>
                <w:rFonts w:ascii="Arial" w:eastAsia="Arial" w:hAnsi="Arial" w:cs="Arial"/>
                <w:sz w:val="17"/>
                <w:szCs w:val="17"/>
                <w:vertAlign w:val="superscript"/>
              </w:rPr>
              <w:t>(8)</w:t>
            </w:r>
          </w:p>
        </w:tc>
        <w:tc>
          <w:tcPr>
            <w:tcW w:w="880" w:type="dxa"/>
            <w:tcBorders>
              <w:bottom w:val="single" w:sz="8" w:space="0" w:color="CF0A2C"/>
            </w:tcBorders>
            <w:vAlign w:val="bottom"/>
          </w:tcPr>
          <w:p w:rsidR="00A621E3" w:rsidRDefault="00A621E3">
            <w:pPr>
              <w:rPr>
                <w:sz w:val="12"/>
                <w:szCs w:val="12"/>
              </w:rPr>
            </w:pPr>
          </w:p>
        </w:tc>
        <w:tc>
          <w:tcPr>
            <w:tcW w:w="74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980" w:type="dxa"/>
            <w:gridSpan w:val="2"/>
            <w:tcBorders>
              <w:bottom w:val="single" w:sz="8" w:space="0" w:color="CF0A2C"/>
            </w:tcBorders>
            <w:vAlign w:val="bottom"/>
          </w:tcPr>
          <w:p w:rsidR="00A621E3" w:rsidRDefault="00EC630E">
            <w:pPr>
              <w:ind w:right="240"/>
              <w:jc w:val="right"/>
              <w:rPr>
                <w:sz w:val="20"/>
                <w:szCs w:val="20"/>
              </w:rPr>
            </w:pPr>
            <w:r>
              <w:rPr>
                <w:rFonts w:ascii="Arial" w:eastAsia="Arial" w:hAnsi="Arial" w:cs="Arial"/>
                <w:sz w:val="13"/>
                <w:szCs w:val="13"/>
              </w:rPr>
              <w:t>—</w:t>
            </w:r>
          </w:p>
        </w:tc>
        <w:tc>
          <w:tcPr>
            <w:tcW w:w="7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8,155</w:t>
            </w:r>
          </w:p>
        </w:tc>
        <w:tc>
          <w:tcPr>
            <w:tcW w:w="72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90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445,649</w:t>
            </w:r>
          </w:p>
        </w:tc>
        <w:tc>
          <w:tcPr>
            <w:tcW w:w="0" w:type="dxa"/>
            <w:vAlign w:val="bottom"/>
          </w:tcPr>
          <w:p w:rsidR="00A621E3" w:rsidRDefault="00A621E3">
            <w:pPr>
              <w:rPr>
                <w:sz w:val="1"/>
                <w:szCs w:val="1"/>
              </w:rPr>
            </w:pPr>
          </w:p>
        </w:tc>
      </w:tr>
      <w:tr w:rsidR="00A621E3">
        <w:trPr>
          <w:trHeight w:val="184"/>
        </w:trPr>
        <w:tc>
          <w:tcPr>
            <w:tcW w:w="1540" w:type="dxa"/>
            <w:vAlign w:val="bottom"/>
          </w:tcPr>
          <w:p w:rsidR="00A621E3" w:rsidRDefault="00EC630E">
            <w:pPr>
              <w:rPr>
                <w:sz w:val="20"/>
                <w:szCs w:val="20"/>
              </w:rPr>
            </w:pPr>
            <w:r>
              <w:rPr>
                <w:rFonts w:ascii="Arial" w:eastAsia="Arial" w:hAnsi="Arial" w:cs="Arial"/>
                <w:b/>
                <w:bCs/>
                <w:color w:val="CF0A2C"/>
                <w:sz w:val="14"/>
                <w:szCs w:val="14"/>
              </w:rPr>
              <w:t>Mr. Huang</w:t>
            </w:r>
          </w:p>
        </w:tc>
        <w:tc>
          <w:tcPr>
            <w:tcW w:w="960" w:type="dxa"/>
            <w:vAlign w:val="bottom"/>
          </w:tcPr>
          <w:p w:rsidR="00A621E3" w:rsidRDefault="00EC630E">
            <w:pPr>
              <w:ind w:right="93"/>
              <w:jc w:val="right"/>
              <w:rPr>
                <w:sz w:val="20"/>
                <w:szCs w:val="20"/>
              </w:rPr>
            </w:pPr>
            <w:r>
              <w:rPr>
                <w:rFonts w:ascii="Arial" w:eastAsia="Arial" w:hAnsi="Arial" w:cs="Arial"/>
                <w:sz w:val="13"/>
                <w:szCs w:val="13"/>
              </w:rPr>
              <w:t>—</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762,200</w:t>
            </w:r>
          </w:p>
        </w:tc>
        <w:tc>
          <w:tcPr>
            <w:tcW w:w="780" w:type="dxa"/>
            <w:vAlign w:val="bottom"/>
          </w:tcPr>
          <w:p w:rsidR="00A621E3" w:rsidRDefault="00EC630E">
            <w:pPr>
              <w:jc w:val="right"/>
              <w:rPr>
                <w:sz w:val="20"/>
                <w:szCs w:val="20"/>
              </w:rPr>
            </w:pPr>
            <w:r>
              <w:rPr>
                <w:rFonts w:ascii="Arial" w:eastAsia="Arial" w:hAnsi="Arial" w:cs="Arial"/>
                <w:sz w:val="13"/>
                <w:szCs w:val="13"/>
              </w:rPr>
              <w:t>2,286,600</w:t>
            </w:r>
          </w:p>
        </w:tc>
        <w:tc>
          <w:tcPr>
            <w:tcW w:w="200" w:type="dxa"/>
            <w:vAlign w:val="bottom"/>
          </w:tcPr>
          <w:p w:rsidR="00A621E3" w:rsidRDefault="00A621E3">
            <w:pPr>
              <w:rPr>
                <w:sz w:val="16"/>
                <w:szCs w:val="16"/>
              </w:rPr>
            </w:pPr>
          </w:p>
        </w:tc>
        <w:tc>
          <w:tcPr>
            <w:tcW w:w="7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ind w:right="32"/>
              <w:jc w:val="right"/>
              <w:rPr>
                <w:sz w:val="20"/>
                <w:szCs w:val="20"/>
              </w:rPr>
            </w:pPr>
            <w:r>
              <w:rPr>
                <w:rFonts w:ascii="Arial" w:eastAsia="Arial" w:hAnsi="Arial" w:cs="Arial"/>
                <w:sz w:val="13"/>
                <w:szCs w:val="13"/>
              </w:rPr>
              <w:t>—</w:t>
            </w:r>
          </w:p>
        </w:tc>
        <w:tc>
          <w:tcPr>
            <w:tcW w:w="72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3"/>
        </w:trPr>
        <w:tc>
          <w:tcPr>
            <w:tcW w:w="1540" w:type="dxa"/>
            <w:vAlign w:val="bottom"/>
          </w:tcPr>
          <w:p w:rsidR="00A621E3" w:rsidRDefault="00A621E3">
            <w:pPr>
              <w:rPr>
                <w:sz w:val="15"/>
                <w:szCs w:val="15"/>
              </w:rPr>
            </w:pPr>
          </w:p>
        </w:tc>
        <w:tc>
          <w:tcPr>
            <w:tcW w:w="960" w:type="dxa"/>
            <w:vAlign w:val="bottom"/>
          </w:tcPr>
          <w:p w:rsidR="00A621E3" w:rsidRDefault="00EC630E">
            <w:pPr>
              <w:ind w:right="93"/>
              <w:jc w:val="right"/>
              <w:rPr>
                <w:sz w:val="20"/>
                <w:szCs w:val="20"/>
              </w:rPr>
            </w:pPr>
            <w:r>
              <w:rPr>
                <w:rFonts w:ascii="Arial" w:eastAsia="Arial" w:hAnsi="Arial" w:cs="Arial"/>
                <w:sz w:val="13"/>
                <w:szCs w:val="13"/>
              </w:rPr>
              <w:t>2/10/202</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ind w:right="32"/>
              <w:jc w:val="right"/>
              <w:rPr>
                <w:sz w:val="20"/>
                <w:szCs w:val="20"/>
              </w:rPr>
            </w:pPr>
            <w:r>
              <w:rPr>
                <w:rFonts w:ascii="Arial" w:eastAsia="Arial" w:hAnsi="Arial" w:cs="Arial"/>
                <w:sz w:val="13"/>
                <w:szCs w:val="13"/>
              </w:rPr>
              <w:t>—</w:t>
            </w:r>
          </w:p>
        </w:tc>
        <w:tc>
          <w:tcPr>
            <w:tcW w:w="72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42,759</w:t>
            </w:r>
          </w:p>
        </w:tc>
        <w:tc>
          <w:tcPr>
            <w:tcW w:w="880" w:type="dxa"/>
            <w:vAlign w:val="bottom"/>
          </w:tcPr>
          <w:p w:rsidR="00A621E3" w:rsidRDefault="00EC630E">
            <w:pPr>
              <w:jc w:val="right"/>
              <w:rPr>
                <w:sz w:val="20"/>
                <w:szCs w:val="20"/>
              </w:rPr>
            </w:pPr>
            <w:r>
              <w:rPr>
                <w:rFonts w:ascii="Arial" w:eastAsia="Arial" w:hAnsi="Arial" w:cs="Arial"/>
                <w:sz w:val="13"/>
                <w:szCs w:val="13"/>
              </w:rPr>
              <w:t>50.16</w:t>
            </w:r>
          </w:p>
        </w:tc>
        <w:tc>
          <w:tcPr>
            <w:tcW w:w="900" w:type="dxa"/>
            <w:vAlign w:val="bottom"/>
          </w:tcPr>
          <w:p w:rsidR="00A621E3" w:rsidRDefault="00EC630E">
            <w:pPr>
              <w:ind w:right="12"/>
              <w:jc w:val="right"/>
              <w:rPr>
                <w:sz w:val="20"/>
                <w:szCs w:val="20"/>
              </w:rPr>
            </w:pPr>
            <w:r>
              <w:rPr>
                <w:rFonts w:ascii="Arial" w:eastAsia="Arial" w:hAnsi="Arial" w:cs="Arial"/>
                <w:sz w:val="13"/>
                <w:szCs w:val="13"/>
              </w:rPr>
              <w:t>665,014</w:t>
            </w:r>
          </w:p>
        </w:tc>
        <w:tc>
          <w:tcPr>
            <w:tcW w:w="0" w:type="dxa"/>
            <w:vAlign w:val="bottom"/>
          </w:tcPr>
          <w:p w:rsidR="00A621E3" w:rsidRDefault="00A621E3">
            <w:pPr>
              <w:rPr>
                <w:sz w:val="1"/>
                <w:szCs w:val="1"/>
              </w:rPr>
            </w:pPr>
          </w:p>
        </w:tc>
      </w:tr>
      <w:tr w:rsidR="00A621E3">
        <w:trPr>
          <w:trHeight w:val="176"/>
        </w:trPr>
        <w:tc>
          <w:tcPr>
            <w:tcW w:w="1540" w:type="dxa"/>
            <w:vAlign w:val="bottom"/>
          </w:tcPr>
          <w:p w:rsidR="00A621E3" w:rsidRDefault="00A621E3">
            <w:pPr>
              <w:rPr>
                <w:sz w:val="15"/>
                <w:szCs w:val="15"/>
              </w:rPr>
            </w:pPr>
          </w:p>
        </w:tc>
        <w:tc>
          <w:tcPr>
            <w:tcW w:w="960" w:type="dxa"/>
            <w:vAlign w:val="bottom"/>
          </w:tcPr>
          <w:p w:rsidR="00A621E3" w:rsidRDefault="00EC630E">
            <w:pPr>
              <w:ind w:right="93"/>
              <w:jc w:val="right"/>
              <w:rPr>
                <w:sz w:val="20"/>
                <w:szCs w:val="20"/>
              </w:rPr>
            </w:pPr>
            <w:r>
              <w:rPr>
                <w:rFonts w:ascii="Arial" w:eastAsia="Arial" w:hAnsi="Arial" w:cs="Arial"/>
                <w:sz w:val="13"/>
                <w:szCs w:val="13"/>
              </w:rPr>
              <w:t>2/10/2022</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ind w:right="32"/>
              <w:jc w:val="right"/>
              <w:rPr>
                <w:sz w:val="20"/>
                <w:szCs w:val="20"/>
              </w:rPr>
            </w:pPr>
            <w:r>
              <w:rPr>
                <w:rFonts w:ascii="Arial" w:eastAsia="Arial" w:hAnsi="Arial" w:cs="Arial"/>
                <w:sz w:val="13"/>
                <w:szCs w:val="13"/>
              </w:rPr>
              <w:t>—</w:t>
            </w:r>
          </w:p>
        </w:tc>
        <w:tc>
          <w:tcPr>
            <w:tcW w:w="72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5,304</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266,049</w:t>
            </w:r>
          </w:p>
        </w:tc>
        <w:tc>
          <w:tcPr>
            <w:tcW w:w="0" w:type="dxa"/>
            <w:vAlign w:val="bottom"/>
          </w:tcPr>
          <w:p w:rsidR="00A621E3" w:rsidRDefault="00A621E3">
            <w:pPr>
              <w:rPr>
                <w:sz w:val="1"/>
                <w:szCs w:val="1"/>
              </w:rPr>
            </w:pPr>
          </w:p>
        </w:tc>
      </w:tr>
      <w:tr w:rsidR="00A621E3">
        <w:trPr>
          <w:trHeight w:val="189"/>
        </w:trPr>
        <w:tc>
          <w:tcPr>
            <w:tcW w:w="1540" w:type="dxa"/>
            <w:vAlign w:val="bottom"/>
          </w:tcPr>
          <w:p w:rsidR="00A621E3" w:rsidRDefault="00A621E3">
            <w:pPr>
              <w:rPr>
                <w:sz w:val="16"/>
                <w:szCs w:val="16"/>
              </w:rPr>
            </w:pPr>
          </w:p>
        </w:tc>
        <w:tc>
          <w:tcPr>
            <w:tcW w:w="960" w:type="dxa"/>
            <w:vAlign w:val="bottom"/>
          </w:tcPr>
          <w:p w:rsidR="00A621E3" w:rsidRDefault="00EC630E">
            <w:pPr>
              <w:spacing w:line="189" w:lineRule="exact"/>
              <w:jc w:val="right"/>
              <w:rPr>
                <w:sz w:val="20"/>
                <w:szCs w:val="20"/>
              </w:rPr>
            </w:pPr>
            <w:r>
              <w:rPr>
                <w:rFonts w:ascii="Arial" w:eastAsia="Arial" w:hAnsi="Arial" w:cs="Arial"/>
                <w:sz w:val="13"/>
                <w:szCs w:val="13"/>
              </w:rPr>
              <w:t>2/10/2022</w:t>
            </w:r>
            <w:r>
              <w:rPr>
                <w:rFonts w:ascii="Arial" w:eastAsia="Arial" w:hAnsi="Arial" w:cs="Arial"/>
                <w:sz w:val="20"/>
                <w:szCs w:val="20"/>
                <w:vertAlign w:val="superscript"/>
              </w:rPr>
              <w:t>(6)</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2,341</w:t>
            </w:r>
          </w:p>
        </w:tc>
        <w:tc>
          <w:tcPr>
            <w:tcW w:w="880" w:type="dxa"/>
            <w:vAlign w:val="bottom"/>
          </w:tcPr>
          <w:p w:rsidR="00A621E3" w:rsidRDefault="00EC630E">
            <w:pPr>
              <w:ind w:right="32"/>
              <w:jc w:val="right"/>
              <w:rPr>
                <w:sz w:val="20"/>
                <w:szCs w:val="20"/>
              </w:rPr>
            </w:pPr>
            <w:r>
              <w:rPr>
                <w:rFonts w:ascii="Arial" w:eastAsia="Arial" w:hAnsi="Arial" w:cs="Arial"/>
                <w:sz w:val="13"/>
                <w:szCs w:val="13"/>
              </w:rPr>
              <w:t>5,852</w:t>
            </w:r>
          </w:p>
        </w:tc>
        <w:tc>
          <w:tcPr>
            <w:tcW w:w="720" w:type="dxa"/>
            <w:vAlign w:val="bottom"/>
          </w:tcPr>
          <w:p w:rsidR="00A621E3" w:rsidRDefault="00EC630E">
            <w:pPr>
              <w:jc w:val="right"/>
              <w:rPr>
                <w:sz w:val="20"/>
                <w:szCs w:val="20"/>
              </w:rPr>
            </w:pPr>
            <w:r>
              <w:rPr>
                <w:rFonts w:ascii="Arial" w:eastAsia="Arial" w:hAnsi="Arial" w:cs="Arial"/>
                <w:sz w:val="13"/>
                <w:szCs w:val="13"/>
              </w:rPr>
              <w:t>11,704</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399,048</w:t>
            </w:r>
          </w:p>
        </w:tc>
        <w:tc>
          <w:tcPr>
            <w:tcW w:w="0" w:type="dxa"/>
            <w:vAlign w:val="bottom"/>
          </w:tcPr>
          <w:p w:rsidR="00A621E3" w:rsidRDefault="00A621E3">
            <w:pPr>
              <w:rPr>
                <w:sz w:val="1"/>
                <w:szCs w:val="1"/>
              </w:rPr>
            </w:pPr>
          </w:p>
        </w:tc>
      </w:tr>
      <w:tr w:rsidR="00A621E3">
        <w:trPr>
          <w:trHeight w:val="176"/>
        </w:trPr>
        <w:tc>
          <w:tcPr>
            <w:tcW w:w="1540" w:type="dxa"/>
            <w:vAlign w:val="bottom"/>
          </w:tcPr>
          <w:p w:rsidR="00A621E3" w:rsidRDefault="00A621E3">
            <w:pPr>
              <w:rPr>
                <w:sz w:val="15"/>
                <w:szCs w:val="15"/>
              </w:rPr>
            </w:pPr>
          </w:p>
        </w:tc>
        <w:tc>
          <w:tcPr>
            <w:tcW w:w="960" w:type="dxa"/>
            <w:vAlign w:val="bottom"/>
          </w:tcPr>
          <w:p w:rsidR="00A621E3" w:rsidRDefault="00EC630E">
            <w:pPr>
              <w:spacing w:line="176" w:lineRule="exact"/>
              <w:jc w:val="right"/>
              <w:rPr>
                <w:sz w:val="20"/>
                <w:szCs w:val="20"/>
              </w:rPr>
            </w:pPr>
            <w:r>
              <w:rPr>
                <w:rFonts w:ascii="Arial" w:eastAsia="Arial" w:hAnsi="Arial" w:cs="Arial"/>
                <w:sz w:val="13"/>
                <w:szCs w:val="13"/>
              </w:rPr>
              <w:t>2/10/2022</w:t>
            </w:r>
            <w:r>
              <w:rPr>
                <w:rFonts w:ascii="Arial" w:eastAsia="Arial" w:hAnsi="Arial" w:cs="Arial"/>
                <w:sz w:val="20"/>
                <w:szCs w:val="20"/>
                <w:vertAlign w:val="superscript"/>
              </w:rPr>
              <w:t>(7)</w:t>
            </w:r>
          </w:p>
        </w:tc>
        <w:tc>
          <w:tcPr>
            <w:tcW w:w="880" w:type="dxa"/>
            <w:vAlign w:val="bottom"/>
          </w:tcPr>
          <w:p w:rsidR="00A621E3" w:rsidRDefault="00A621E3">
            <w:pPr>
              <w:rPr>
                <w:sz w:val="15"/>
                <w:szCs w:val="15"/>
              </w:rPr>
            </w:pP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50,000</w:t>
            </w:r>
          </w:p>
        </w:tc>
        <w:tc>
          <w:tcPr>
            <w:tcW w:w="880" w:type="dxa"/>
            <w:vAlign w:val="bottom"/>
          </w:tcPr>
          <w:p w:rsidR="00A621E3" w:rsidRDefault="00EC630E">
            <w:pPr>
              <w:ind w:right="32"/>
              <w:jc w:val="right"/>
              <w:rPr>
                <w:sz w:val="20"/>
                <w:szCs w:val="20"/>
              </w:rPr>
            </w:pPr>
            <w:r>
              <w:rPr>
                <w:rFonts w:ascii="Arial" w:eastAsia="Arial" w:hAnsi="Arial" w:cs="Arial"/>
                <w:sz w:val="13"/>
                <w:szCs w:val="13"/>
              </w:rPr>
              <w:t>200,000</w:t>
            </w:r>
          </w:p>
        </w:tc>
        <w:tc>
          <w:tcPr>
            <w:tcW w:w="720" w:type="dxa"/>
            <w:vAlign w:val="bottom"/>
          </w:tcPr>
          <w:p w:rsidR="00A621E3" w:rsidRDefault="00EC630E">
            <w:pPr>
              <w:jc w:val="right"/>
              <w:rPr>
                <w:sz w:val="20"/>
                <w:szCs w:val="20"/>
              </w:rPr>
            </w:pPr>
            <w:r>
              <w:rPr>
                <w:rFonts w:ascii="Arial" w:eastAsia="Arial" w:hAnsi="Arial" w:cs="Arial"/>
                <w:sz w:val="13"/>
                <w:szCs w:val="13"/>
              </w:rPr>
              <w:t>200,000</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49"/>
        </w:trPr>
        <w:tc>
          <w:tcPr>
            <w:tcW w:w="1540" w:type="dxa"/>
            <w:tcBorders>
              <w:bottom w:val="single" w:sz="8" w:space="0" w:color="CF0A2C"/>
            </w:tcBorders>
            <w:vAlign w:val="bottom"/>
          </w:tcPr>
          <w:p w:rsidR="00A621E3" w:rsidRDefault="00A621E3">
            <w:pPr>
              <w:rPr>
                <w:sz w:val="12"/>
                <w:szCs w:val="12"/>
              </w:rPr>
            </w:pPr>
          </w:p>
        </w:tc>
        <w:tc>
          <w:tcPr>
            <w:tcW w:w="960" w:type="dxa"/>
            <w:tcBorders>
              <w:bottom w:val="single" w:sz="8" w:space="0" w:color="CF0A2C"/>
            </w:tcBorders>
            <w:vAlign w:val="bottom"/>
          </w:tcPr>
          <w:p w:rsidR="00A621E3" w:rsidRDefault="00EC630E">
            <w:pPr>
              <w:spacing w:line="150" w:lineRule="exact"/>
              <w:jc w:val="right"/>
              <w:rPr>
                <w:sz w:val="20"/>
                <w:szCs w:val="20"/>
              </w:rPr>
            </w:pPr>
            <w:r>
              <w:rPr>
                <w:rFonts w:ascii="Arial" w:eastAsia="Arial" w:hAnsi="Arial" w:cs="Arial"/>
                <w:sz w:val="12"/>
                <w:szCs w:val="12"/>
              </w:rPr>
              <w:t>12/30/2022</w:t>
            </w:r>
            <w:r>
              <w:rPr>
                <w:rFonts w:ascii="Arial" w:eastAsia="Arial" w:hAnsi="Arial" w:cs="Arial"/>
                <w:sz w:val="17"/>
                <w:szCs w:val="17"/>
                <w:vertAlign w:val="superscript"/>
              </w:rPr>
              <w:t>(8)</w:t>
            </w:r>
          </w:p>
        </w:tc>
        <w:tc>
          <w:tcPr>
            <w:tcW w:w="880" w:type="dxa"/>
            <w:tcBorders>
              <w:bottom w:val="single" w:sz="8" w:space="0" w:color="CF0A2C"/>
            </w:tcBorders>
            <w:vAlign w:val="bottom"/>
          </w:tcPr>
          <w:p w:rsidR="00A621E3" w:rsidRDefault="00A621E3">
            <w:pPr>
              <w:rPr>
                <w:sz w:val="12"/>
                <w:szCs w:val="12"/>
              </w:rPr>
            </w:pPr>
          </w:p>
        </w:tc>
        <w:tc>
          <w:tcPr>
            <w:tcW w:w="74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980" w:type="dxa"/>
            <w:gridSpan w:val="2"/>
            <w:tcBorders>
              <w:bottom w:val="single" w:sz="8" w:space="0" w:color="CF0A2C"/>
            </w:tcBorders>
            <w:vAlign w:val="bottom"/>
          </w:tcPr>
          <w:p w:rsidR="00A621E3" w:rsidRDefault="00EC630E">
            <w:pPr>
              <w:ind w:right="240"/>
              <w:jc w:val="right"/>
              <w:rPr>
                <w:sz w:val="20"/>
                <w:szCs w:val="20"/>
              </w:rPr>
            </w:pPr>
            <w:r>
              <w:rPr>
                <w:rFonts w:ascii="Arial" w:eastAsia="Arial" w:hAnsi="Arial" w:cs="Arial"/>
                <w:sz w:val="13"/>
                <w:szCs w:val="13"/>
              </w:rPr>
              <w:t>—</w:t>
            </w:r>
          </w:p>
        </w:tc>
        <w:tc>
          <w:tcPr>
            <w:tcW w:w="7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12,231</w:t>
            </w:r>
          </w:p>
        </w:tc>
        <w:tc>
          <w:tcPr>
            <w:tcW w:w="72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90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668,425</w:t>
            </w:r>
          </w:p>
        </w:tc>
        <w:tc>
          <w:tcPr>
            <w:tcW w:w="0" w:type="dxa"/>
            <w:vAlign w:val="bottom"/>
          </w:tcPr>
          <w:p w:rsidR="00A621E3" w:rsidRDefault="00A621E3">
            <w:pPr>
              <w:rPr>
                <w:sz w:val="1"/>
                <w:szCs w:val="1"/>
              </w:rPr>
            </w:pPr>
          </w:p>
        </w:tc>
      </w:tr>
      <w:tr w:rsidR="00A621E3">
        <w:trPr>
          <w:trHeight w:val="184"/>
        </w:trPr>
        <w:tc>
          <w:tcPr>
            <w:tcW w:w="1540" w:type="dxa"/>
            <w:vAlign w:val="bottom"/>
          </w:tcPr>
          <w:p w:rsidR="00A621E3" w:rsidRDefault="00EC630E">
            <w:pPr>
              <w:rPr>
                <w:sz w:val="20"/>
                <w:szCs w:val="20"/>
              </w:rPr>
            </w:pPr>
            <w:r>
              <w:rPr>
                <w:rFonts w:ascii="Arial" w:eastAsia="Arial" w:hAnsi="Arial" w:cs="Arial"/>
                <w:b/>
                <w:bCs/>
                <w:color w:val="CF0A2C"/>
                <w:sz w:val="14"/>
                <w:szCs w:val="14"/>
              </w:rPr>
              <w:t>Mr. Yuen</w:t>
            </w:r>
          </w:p>
        </w:tc>
        <w:tc>
          <w:tcPr>
            <w:tcW w:w="960" w:type="dxa"/>
            <w:vAlign w:val="bottom"/>
          </w:tcPr>
          <w:p w:rsidR="00A621E3" w:rsidRDefault="00EC630E">
            <w:pPr>
              <w:ind w:right="93"/>
              <w:jc w:val="right"/>
              <w:rPr>
                <w:sz w:val="20"/>
                <w:szCs w:val="20"/>
              </w:rPr>
            </w:pPr>
            <w:r>
              <w:rPr>
                <w:rFonts w:ascii="Arial" w:eastAsia="Arial" w:hAnsi="Arial" w:cs="Arial"/>
                <w:sz w:val="13"/>
                <w:szCs w:val="13"/>
              </w:rPr>
              <w:t>—</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441,000</w:t>
            </w:r>
          </w:p>
        </w:tc>
        <w:tc>
          <w:tcPr>
            <w:tcW w:w="780" w:type="dxa"/>
            <w:vAlign w:val="bottom"/>
          </w:tcPr>
          <w:p w:rsidR="00A621E3" w:rsidRDefault="00EC630E">
            <w:pPr>
              <w:jc w:val="right"/>
              <w:rPr>
                <w:sz w:val="20"/>
                <w:szCs w:val="20"/>
              </w:rPr>
            </w:pPr>
            <w:r>
              <w:rPr>
                <w:rFonts w:ascii="Arial" w:eastAsia="Arial" w:hAnsi="Arial" w:cs="Arial"/>
                <w:sz w:val="13"/>
                <w:szCs w:val="13"/>
              </w:rPr>
              <w:t>1,323,000</w:t>
            </w:r>
          </w:p>
        </w:tc>
        <w:tc>
          <w:tcPr>
            <w:tcW w:w="200" w:type="dxa"/>
            <w:vAlign w:val="bottom"/>
          </w:tcPr>
          <w:p w:rsidR="00A621E3" w:rsidRDefault="00A621E3">
            <w:pPr>
              <w:rPr>
                <w:sz w:val="16"/>
                <w:szCs w:val="16"/>
              </w:rPr>
            </w:pPr>
          </w:p>
        </w:tc>
        <w:tc>
          <w:tcPr>
            <w:tcW w:w="7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ind w:right="32"/>
              <w:jc w:val="right"/>
              <w:rPr>
                <w:sz w:val="20"/>
                <w:szCs w:val="20"/>
              </w:rPr>
            </w:pPr>
            <w:r>
              <w:rPr>
                <w:rFonts w:ascii="Arial" w:eastAsia="Arial" w:hAnsi="Arial" w:cs="Arial"/>
                <w:sz w:val="13"/>
                <w:szCs w:val="13"/>
              </w:rPr>
              <w:t>—</w:t>
            </w:r>
          </w:p>
        </w:tc>
        <w:tc>
          <w:tcPr>
            <w:tcW w:w="72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3"/>
        </w:trPr>
        <w:tc>
          <w:tcPr>
            <w:tcW w:w="1540" w:type="dxa"/>
            <w:vAlign w:val="bottom"/>
          </w:tcPr>
          <w:p w:rsidR="00A621E3" w:rsidRDefault="00A621E3">
            <w:pPr>
              <w:rPr>
                <w:sz w:val="15"/>
                <w:szCs w:val="15"/>
              </w:rPr>
            </w:pPr>
          </w:p>
        </w:tc>
        <w:tc>
          <w:tcPr>
            <w:tcW w:w="960" w:type="dxa"/>
            <w:vAlign w:val="bottom"/>
          </w:tcPr>
          <w:p w:rsidR="00A621E3" w:rsidRDefault="00EC630E">
            <w:pPr>
              <w:ind w:right="93"/>
              <w:jc w:val="right"/>
              <w:rPr>
                <w:sz w:val="20"/>
                <w:szCs w:val="20"/>
              </w:rPr>
            </w:pPr>
            <w:r>
              <w:rPr>
                <w:rFonts w:ascii="Arial" w:eastAsia="Arial" w:hAnsi="Arial" w:cs="Arial"/>
                <w:sz w:val="13"/>
                <w:szCs w:val="13"/>
              </w:rPr>
              <w:t>2/10/2022</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ind w:right="32"/>
              <w:jc w:val="right"/>
              <w:rPr>
                <w:sz w:val="20"/>
                <w:szCs w:val="20"/>
              </w:rPr>
            </w:pPr>
            <w:r>
              <w:rPr>
                <w:rFonts w:ascii="Arial" w:eastAsia="Arial" w:hAnsi="Arial" w:cs="Arial"/>
                <w:sz w:val="13"/>
                <w:szCs w:val="13"/>
              </w:rPr>
              <w:t>—</w:t>
            </w:r>
          </w:p>
        </w:tc>
        <w:tc>
          <w:tcPr>
            <w:tcW w:w="72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24,112</w:t>
            </w:r>
          </w:p>
        </w:tc>
        <w:tc>
          <w:tcPr>
            <w:tcW w:w="880" w:type="dxa"/>
            <w:vAlign w:val="bottom"/>
          </w:tcPr>
          <w:p w:rsidR="00A621E3" w:rsidRDefault="00EC630E">
            <w:pPr>
              <w:jc w:val="right"/>
              <w:rPr>
                <w:sz w:val="20"/>
                <w:szCs w:val="20"/>
              </w:rPr>
            </w:pPr>
            <w:r>
              <w:rPr>
                <w:rFonts w:ascii="Arial" w:eastAsia="Arial" w:hAnsi="Arial" w:cs="Arial"/>
                <w:sz w:val="13"/>
                <w:szCs w:val="13"/>
              </w:rPr>
              <w:t>50.16</w:t>
            </w:r>
          </w:p>
        </w:tc>
        <w:tc>
          <w:tcPr>
            <w:tcW w:w="900" w:type="dxa"/>
            <w:vAlign w:val="bottom"/>
          </w:tcPr>
          <w:p w:rsidR="00A621E3" w:rsidRDefault="00EC630E">
            <w:pPr>
              <w:ind w:right="12"/>
              <w:jc w:val="right"/>
              <w:rPr>
                <w:sz w:val="20"/>
                <w:szCs w:val="20"/>
              </w:rPr>
            </w:pPr>
            <w:r>
              <w:rPr>
                <w:rFonts w:ascii="Arial" w:eastAsia="Arial" w:hAnsi="Arial" w:cs="Arial"/>
                <w:sz w:val="13"/>
                <w:szCs w:val="13"/>
              </w:rPr>
              <w:t>375,004</w:t>
            </w:r>
          </w:p>
        </w:tc>
        <w:tc>
          <w:tcPr>
            <w:tcW w:w="0" w:type="dxa"/>
            <w:vAlign w:val="bottom"/>
          </w:tcPr>
          <w:p w:rsidR="00A621E3" w:rsidRDefault="00A621E3">
            <w:pPr>
              <w:rPr>
                <w:sz w:val="1"/>
                <w:szCs w:val="1"/>
              </w:rPr>
            </w:pPr>
          </w:p>
        </w:tc>
      </w:tr>
      <w:tr w:rsidR="00A621E3">
        <w:trPr>
          <w:trHeight w:val="175"/>
        </w:trPr>
        <w:tc>
          <w:tcPr>
            <w:tcW w:w="1540" w:type="dxa"/>
            <w:vAlign w:val="bottom"/>
          </w:tcPr>
          <w:p w:rsidR="00A621E3" w:rsidRDefault="00A621E3">
            <w:pPr>
              <w:rPr>
                <w:sz w:val="15"/>
                <w:szCs w:val="15"/>
              </w:rPr>
            </w:pPr>
          </w:p>
        </w:tc>
        <w:tc>
          <w:tcPr>
            <w:tcW w:w="960" w:type="dxa"/>
            <w:vAlign w:val="bottom"/>
          </w:tcPr>
          <w:p w:rsidR="00A621E3" w:rsidRDefault="00EC630E">
            <w:pPr>
              <w:ind w:right="93"/>
              <w:jc w:val="right"/>
              <w:rPr>
                <w:sz w:val="20"/>
                <w:szCs w:val="20"/>
              </w:rPr>
            </w:pPr>
            <w:r>
              <w:rPr>
                <w:rFonts w:ascii="Arial" w:eastAsia="Arial" w:hAnsi="Arial" w:cs="Arial"/>
                <w:sz w:val="13"/>
                <w:szCs w:val="13"/>
              </w:rPr>
              <w:t>2/10/202</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ind w:right="32"/>
              <w:jc w:val="right"/>
              <w:rPr>
                <w:sz w:val="20"/>
                <w:szCs w:val="20"/>
              </w:rPr>
            </w:pPr>
            <w:r>
              <w:rPr>
                <w:rFonts w:ascii="Arial" w:eastAsia="Arial" w:hAnsi="Arial" w:cs="Arial"/>
                <w:sz w:val="13"/>
                <w:szCs w:val="13"/>
              </w:rPr>
              <w:t>—</w:t>
            </w:r>
          </w:p>
        </w:tc>
        <w:tc>
          <w:tcPr>
            <w:tcW w:w="72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2,991</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150,029</w:t>
            </w:r>
          </w:p>
        </w:tc>
        <w:tc>
          <w:tcPr>
            <w:tcW w:w="0" w:type="dxa"/>
            <w:vAlign w:val="bottom"/>
          </w:tcPr>
          <w:p w:rsidR="00A621E3" w:rsidRDefault="00A621E3">
            <w:pPr>
              <w:rPr>
                <w:sz w:val="1"/>
                <w:szCs w:val="1"/>
              </w:rPr>
            </w:pPr>
          </w:p>
        </w:tc>
      </w:tr>
      <w:tr w:rsidR="00A621E3">
        <w:trPr>
          <w:trHeight w:val="189"/>
        </w:trPr>
        <w:tc>
          <w:tcPr>
            <w:tcW w:w="1540" w:type="dxa"/>
            <w:vAlign w:val="bottom"/>
          </w:tcPr>
          <w:p w:rsidR="00A621E3" w:rsidRDefault="00A621E3">
            <w:pPr>
              <w:rPr>
                <w:sz w:val="16"/>
                <w:szCs w:val="16"/>
              </w:rPr>
            </w:pPr>
          </w:p>
        </w:tc>
        <w:tc>
          <w:tcPr>
            <w:tcW w:w="960" w:type="dxa"/>
            <w:vAlign w:val="bottom"/>
          </w:tcPr>
          <w:p w:rsidR="00A621E3" w:rsidRDefault="00EC630E">
            <w:pPr>
              <w:spacing w:line="189" w:lineRule="exact"/>
              <w:jc w:val="right"/>
              <w:rPr>
                <w:sz w:val="20"/>
                <w:szCs w:val="20"/>
              </w:rPr>
            </w:pPr>
            <w:r>
              <w:rPr>
                <w:rFonts w:ascii="Arial" w:eastAsia="Arial" w:hAnsi="Arial" w:cs="Arial"/>
                <w:sz w:val="13"/>
                <w:szCs w:val="13"/>
              </w:rPr>
              <w:t>2/10/2022</w:t>
            </w:r>
            <w:r>
              <w:rPr>
                <w:rFonts w:ascii="Arial" w:eastAsia="Arial" w:hAnsi="Arial" w:cs="Arial"/>
                <w:sz w:val="20"/>
                <w:szCs w:val="20"/>
                <w:vertAlign w:val="superscript"/>
              </w:rPr>
              <w:t>(6)</w:t>
            </w:r>
          </w:p>
        </w:tc>
        <w:tc>
          <w:tcPr>
            <w:tcW w:w="880" w:type="dxa"/>
            <w:vAlign w:val="bottom"/>
          </w:tcPr>
          <w:p w:rsidR="00A621E3" w:rsidRDefault="00EC630E">
            <w:pPr>
              <w:ind w:right="12"/>
              <w:jc w:val="right"/>
              <w:rPr>
                <w:sz w:val="20"/>
                <w:szCs w:val="20"/>
              </w:rPr>
            </w:pPr>
            <w:r>
              <w:rPr>
                <w:rFonts w:ascii="Arial" w:eastAsia="Arial" w:hAnsi="Arial" w:cs="Arial"/>
                <w:sz w:val="13"/>
                <w:szCs w:val="13"/>
              </w:rPr>
              <w:t>—</w:t>
            </w: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1,320</w:t>
            </w:r>
          </w:p>
        </w:tc>
        <w:tc>
          <w:tcPr>
            <w:tcW w:w="880" w:type="dxa"/>
            <w:vAlign w:val="bottom"/>
          </w:tcPr>
          <w:p w:rsidR="00A621E3" w:rsidRDefault="00EC630E">
            <w:pPr>
              <w:ind w:right="32"/>
              <w:jc w:val="right"/>
              <w:rPr>
                <w:sz w:val="20"/>
                <w:szCs w:val="20"/>
              </w:rPr>
            </w:pPr>
            <w:r>
              <w:rPr>
                <w:rFonts w:ascii="Arial" w:eastAsia="Arial" w:hAnsi="Arial" w:cs="Arial"/>
                <w:sz w:val="13"/>
                <w:szCs w:val="13"/>
              </w:rPr>
              <w:t>3,300</w:t>
            </w:r>
          </w:p>
        </w:tc>
        <w:tc>
          <w:tcPr>
            <w:tcW w:w="720" w:type="dxa"/>
            <w:vAlign w:val="bottom"/>
          </w:tcPr>
          <w:p w:rsidR="00A621E3" w:rsidRDefault="00EC630E">
            <w:pPr>
              <w:jc w:val="right"/>
              <w:rPr>
                <w:sz w:val="20"/>
                <w:szCs w:val="20"/>
              </w:rPr>
            </w:pPr>
            <w:r>
              <w:rPr>
                <w:rFonts w:ascii="Arial" w:eastAsia="Arial" w:hAnsi="Arial" w:cs="Arial"/>
                <w:sz w:val="13"/>
                <w:szCs w:val="13"/>
              </w:rPr>
              <w:t>6,600</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225,027</w:t>
            </w:r>
          </w:p>
        </w:tc>
        <w:tc>
          <w:tcPr>
            <w:tcW w:w="0" w:type="dxa"/>
            <w:vAlign w:val="bottom"/>
          </w:tcPr>
          <w:p w:rsidR="00A621E3" w:rsidRDefault="00A621E3">
            <w:pPr>
              <w:rPr>
                <w:sz w:val="1"/>
                <w:szCs w:val="1"/>
              </w:rPr>
            </w:pPr>
          </w:p>
        </w:tc>
      </w:tr>
      <w:tr w:rsidR="00A621E3">
        <w:trPr>
          <w:trHeight w:val="175"/>
        </w:trPr>
        <w:tc>
          <w:tcPr>
            <w:tcW w:w="1540" w:type="dxa"/>
            <w:vAlign w:val="bottom"/>
          </w:tcPr>
          <w:p w:rsidR="00A621E3" w:rsidRDefault="00A621E3">
            <w:pPr>
              <w:rPr>
                <w:sz w:val="15"/>
                <w:szCs w:val="15"/>
              </w:rPr>
            </w:pPr>
          </w:p>
        </w:tc>
        <w:tc>
          <w:tcPr>
            <w:tcW w:w="960" w:type="dxa"/>
            <w:vAlign w:val="bottom"/>
          </w:tcPr>
          <w:p w:rsidR="00A621E3" w:rsidRDefault="00EC630E">
            <w:pPr>
              <w:spacing w:line="176" w:lineRule="exact"/>
              <w:jc w:val="right"/>
              <w:rPr>
                <w:sz w:val="20"/>
                <w:szCs w:val="20"/>
              </w:rPr>
            </w:pPr>
            <w:r>
              <w:rPr>
                <w:rFonts w:ascii="Arial" w:eastAsia="Arial" w:hAnsi="Arial" w:cs="Arial"/>
                <w:sz w:val="13"/>
                <w:szCs w:val="13"/>
              </w:rPr>
              <w:t>2/10/2022</w:t>
            </w:r>
            <w:r>
              <w:rPr>
                <w:rFonts w:ascii="Arial" w:eastAsia="Arial" w:hAnsi="Arial" w:cs="Arial"/>
                <w:sz w:val="20"/>
                <w:szCs w:val="20"/>
                <w:vertAlign w:val="superscript"/>
              </w:rPr>
              <w:t>(7)</w:t>
            </w:r>
          </w:p>
        </w:tc>
        <w:tc>
          <w:tcPr>
            <w:tcW w:w="880" w:type="dxa"/>
            <w:vAlign w:val="bottom"/>
          </w:tcPr>
          <w:p w:rsidR="00A621E3" w:rsidRDefault="00A621E3">
            <w:pPr>
              <w:rPr>
                <w:sz w:val="15"/>
                <w:szCs w:val="15"/>
              </w:rPr>
            </w:pPr>
          </w:p>
        </w:tc>
        <w:tc>
          <w:tcPr>
            <w:tcW w:w="740" w:type="dxa"/>
            <w:vAlign w:val="bottom"/>
          </w:tcPr>
          <w:p w:rsidR="00A621E3" w:rsidRDefault="00EC630E">
            <w:pPr>
              <w:jc w:val="right"/>
              <w:rPr>
                <w:sz w:val="20"/>
                <w:szCs w:val="20"/>
              </w:rPr>
            </w:pPr>
            <w:r>
              <w:rPr>
                <w:rFonts w:ascii="Arial" w:eastAsia="Arial" w:hAnsi="Arial" w:cs="Arial"/>
                <w:sz w:val="13"/>
                <w:szCs w:val="13"/>
              </w:rPr>
              <w:t>—</w:t>
            </w:r>
          </w:p>
        </w:tc>
        <w:tc>
          <w:tcPr>
            <w:tcW w:w="980" w:type="dxa"/>
            <w:gridSpan w:val="2"/>
            <w:vAlign w:val="bottom"/>
          </w:tcPr>
          <w:p w:rsidR="00A621E3" w:rsidRDefault="00EC630E">
            <w:pPr>
              <w:ind w:right="240"/>
              <w:jc w:val="right"/>
              <w:rPr>
                <w:sz w:val="20"/>
                <w:szCs w:val="20"/>
              </w:rPr>
            </w:pPr>
            <w:r>
              <w:rPr>
                <w:rFonts w:ascii="Arial" w:eastAsia="Arial" w:hAnsi="Arial" w:cs="Arial"/>
                <w:sz w:val="13"/>
                <w:szCs w:val="13"/>
              </w:rPr>
              <w:t>—</w:t>
            </w:r>
          </w:p>
        </w:tc>
        <w:tc>
          <w:tcPr>
            <w:tcW w:w="780" w:type="dxa"/>
            <w:vAlign w:val="bottom"/>
          </w:tcPr>
          <w:p w:rsidR="00A621E3" w:rsidRDefault="00EC630E">
            <w:pPr>
              <w:jc w:val="right"/>
              <w:rPr>
                <w:sz w:val="20"/>
                <w:szCs w:val="20"/>
              </w:rPr>
            </w:pPr>
            <w:r>
              <w:rPr>
                <w:rFonts w:ascii="Arial" w:eastAsia="Arial" w:hAnsi="Arial" w:cs="Arial"/>
                <w:sz w:val="13"/>
                <w:szCs w:val="13"/>
              </w:rPr>
              <w:t>50,000</w:t>
            </w:r>
          </w:p>
        </w:tc>
        <w:tc>
          <w:tcPr>
            <w:tcW w:w="880" w:type="dxa"/>
            <w:vAlign w:val="bottom"/>
          </w:tcPr>
          <w:p w:rsidR="00A621E3" w:rsidRDefault="00EC630E">
            <w:pPr>
              <w:ind w:right="32"/>
              <w:jc w:val="right"/>
              <w:rPr>
                <w:sz w:val="20"/>
                <w:szCs w:val="20"/>
              </w:rPr>
            </w:pPr>
            <w:r>
              <w:rPr>
                <w:rFonts w:ascii="Arial" w:eastAsia="Arial" w:hAnsi="Arial" w:cs="Arial"/>
                <w:sz w:val="13"/>
                <w:szCs w:val="13"/>
              </w:rPr>
              <w:t>200,000</w:t>
            </w:r>
          </w:p>
        </w:tc>
        <w:tc>
          <w:tcPr>
            <w:tcW w:w="720" w:type="dxa"/>
            <w:vAlign w:val="bottom"/>
          </w:tcPr>
          <w:p w:rsidR="00A621E3" w:rsidRDefault="00EC630E">
            <w:pPr>
              <w:jc w:val="right"/>
              <w:rPr>
                <w:sz w:val="20"/>
                <w:szCs w:val="20"/>
              </w:rPr>
            </w:pPr>
            <w:r>
              <w:rPr>
                <w:rFonts w:ascii="Arial" w:eastAsia="Arial" w:hAnsi="Arial" w:cs="Arial"/>
                <w:sz w:val="13"/>
                <w:szCs w:val="13"/>
              </w:rPr>
              <w:t>200,000</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880" w:type="dxa"/>
            <w:vAlign w:val="bottom"/>
          </w:tcPr>
          <w:p w:rsidR="00A621E3" w:rsidRDefault="00EC630E">
            <w:pPr>
              <w:jc w:val="right"/>
              <w:rPr>
                <w:sz w:val="20"/>
                <w:szCs w:val="20"/>
              </w:rPr>
            </w:pPr>
            <w:r>
              <w:rPr>
                <w:rFonts w:ascii="Arial" w:eastAsia="Arial" w:hAnsi="Arial" w:cs="Arial"/>
                <w:sz w:val="13"/>
                <w:szCs w:val="13"/>
              </w:rPr>
              <w:t>—</w:t>
            </w:r>
          </w:p>
        </w:tc>
        <w:tc>
          <w:tcPr>
            <w:tcW w:w="90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49"/>
        </w:trPr>
        <w:tc>
          <w:tcPr>
            <w:tcW w:w="1540" w:type="dxa"/>
            <w:tcBorders>
              <w:bottom w:val="single" w:sz="8" w:space="0" w:color="CF0A2C"/>
            </w:tcBorders>
            <w:vAlign w:val="bottom"/>
          </w:tcPr>
          <w:p w:rsidR="00A621E3" w:rsidRDefault="00A621E3">
            <w:pPr>
              <w:rPr>
                <w:sz w:val="12"/>
                <w:szCs w:val="12"/>
              </w:rPr>
            </w:pPr>
          </w:p>
        </w:tc>
        <w:tc>
          <w:tcPr>
            <w:tcW w:w="960" w:type="dxa"/>
            <w:tcBorders>
              <w:bottom w:val="single" w:sz="8" w:space="0" w:color="CF0A2C"/>
            </w:tcBorders>
            <w:vAlign w:val="bottom"/>
          </w:tcPr>
          <w:p w:rsidR="00A621E3" w:rsidRDefault="00EC630E">
            <w:pPr>
              <w:spacing w:line="150" w:lineRule="exact"/>
              <w:jc w:val="right"/>
              <w:rPr>
                <w:sz w:val="20"/>
                <w:szCs w:val="20"/>
              </w:rPr>
            </w:pPr>
            <w:r>
              <w:rPr>
                <w:rFonts w:ascii="Arial" w:eastAsia="Arial" w:hAnsi="Arial" w:cs="Arial"/>
                <w:sz w:val="12"/>
                <w:szCs w:val="12"/>
              </w:rPr>
              <w:t>12/30/2022</w:t>
            </w:r>
            <w:r>
              <w:rPr>
                <w:rFonts w:ascii="Arial" w:eastAsia="Arial" w:hAnsi="Arial" w:cs="Arial"/>
                <w:sz w:val="17"/>
                <w:szCs w:val="17"/>
                <w:vertAlign w:val="superscript"/>
              </w:rPr>
              <w:t>(8)</w:t>
            </w:r>
          </w:p>
        </w:tc>
        <w:tc>
          <w:tcPr>
            <w:tcW w:w="880" w:type="dxa"/>
            <w:tcBorders>
              <w:bottom w:val="single" w:sz="8" w:space="0" w:color="CF0A2C"/>
            </w:tcBorders>
            <w:vAlign w:val="bottom"/>
          </w:tcPr>
          <w:p w:rsidR="00A621E3" w:rsidRDefault="00A621E3">
            <w:pPr>
              <w:rPr>
                <w:sz w:val="12"/>
                <w:szCs w:val="12"/>
              </w:rPr>
            </w:pPr>
          </w:p>
        </w:tc>
        <w:tc>
          <w:tcPr>
            <w:tcW w:w="74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980" w:type="dxa"/>
            <w:gridSpan w:val="2"/>
            <w:tcBorders>
              <w:bottom w:val="single" w:sz="8" w:space="0" w:color="CF0A2C"/>
            </w:tcBorders>
            <w:vAlign w:val="bottom"/>
          </w:tcPr>
          <w:p w:rsidR="00A621E3" w:rsidRDefault="00EC630E">
            <w:pPr>
              <w:ind w:right="240"/>
              <w:jc w:val="right"/>
              <w:rPr>
                <w:sz w:val="20"/>
                <w:szCs w:val="20"/>
              </w:rPr>
            </w:pPr>
            <w:r>
              <w:rPr>
                <w:rFonts w:ascii="Arial" w:eastAsia="Arial" w:hAnsi="Arial" w:cs="Arial"/>
                <w:sz w:val="13"/>
                <w:szCs w:val="13"/>
              </w:rPr>
              <w:t>—</w:t>
            </w:r>
          </w:p>
        </w:tc>
        <w:tc>
          <w:tcPr>
            <w:tcW w:w="7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6,626</w:t>
            </w:r>
          </w:p>
        </w:tc>
        <w:tc>
          <w:tcPr>
            <w:tcW w:w="72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w:t>
            </w:r>
          </w:p>
        </w:tc>
        <w:tc>
          <w:tcPr>
            <w:tcW w:w="90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362,095</w:t>
            </w:r>
          </w:p>
        </w:tc>
        <w:tc>
          <w:tcPr>
            <w:tcW w:w="0" w:type="dxa"/>
            <w:vAlign w:val="bottom"/>
          </w:tcPr>
          <w:p w:rsidR="00A621E3" w:rsidRDefault="00A621E3">
            <w:pPr>
              <w:rPr>
                <w:sz w:val="1"/>
                <w:szCs w:val="1"/>
              </w:rPr>
            </w:pPr>
          </w:p>
        </w:tc>
      </w:tr>
    </w:tbl>
    <w:p w:rsidR="00A621E3" w:rsidRDefault="00A621E3">
      <w:pPr>
        <w:spacing w:line="280" w:lineRule="exact"/>
        <w:rPr>
          <w:sz w:val="20"/>
          <w:szCs w:val="20"/>
        </w:rPr>
      </w:pPr>
    </w:p>
    <w:p w:rsidR="00A621E3" w:rsidRDefault="00EC630E">
      <w:pPr>
        <w:numPr>
          <w:ilvl w:val="0"/>
          <w:numId w:val="104"/>
        </w:numPr>
        <w:tabs>
          <w:tab w:val="left" w:pos="760"/>
        </w:tabs>
        <w:spacing w:line="260" w:lineRule="auto"/>
        <w:ind w:left="760" w:hanging="644"/>
        <w:jc w:val="both"/>
        <w:rPr>
          <w:rFonts w:ascii="Arial" w:eastAsia="Arial" w:hAnsi="Arial" w:cs="Arial"/>
          <w:color w:val="CF0A2C"/>
          <w:sz w:val="19"/>
          <w:szCs w:val="19"/>
        </w:rPr>
      </w:pPr>
      <w:r>
        <w:rPr>
          <w:rFonts w:ascii="Arial" w:eastAsia="Arial" w:hAnsi="Arial" w:cs="Arial"/>
          <w:sz w:val="19"/>
          <w:szCs w:val="19"/>
        </w:rPr>
        <w:t xml:space="preserve">Amounts in </w:t>
      </w:r>
      <w:r>
        <w:rPr>
          <w:rFonts w:ascii="Arial" w:eastAsia="Arial" w:hAnsi="Arial" w:cs="Arial"/>
          <w:sz w:val="19"/>
          <w:szCs w:val="19"/>
        </w:rPr>
        <w:t>columns (c), (d) and (e) provide the minimum, target and maximum amounts payable as annual incentive compensation to each NEO based on team and individual performance during 2022. The actual amounts of annual incentive compensation awards paid for 2022 per</w:t>
      </w:r>
      <w:r>
        <w:rPr>
          <w:rFonts w:ascii="Arial" w:eastAsia="Arial" w:hAnsi="Arial" w:cs="Arial"/>
          <w:sz w:val="19"/>
          <w:szCs w:val="19"/>
        </w:rPr>
        <w:t xml:space="preserve">formance are shown in the “Non-Equity Incentive Plan Compensation” column of the 2022 Summary Compensation Table. The performance measurements, performance targets and target bonus percentages are described in the CD&amp;A, beginning under the heading “Annual </w:t>
      </w:r>
      <w:r>
        <w:rPr>
          <w:rFonts w:ascii="Arial" w:eastAsia="Arial" w:hAnsi="Arial" w:cs="Arial"/>
          <w:sz w:val="19"/>
          <w:szCs w:val="19"/>
        </w:rPr>
        <w:t>Performance-Based Cash Bonuses.”</w:t>
      </w:r>
    </w:p>
    <w:p w:rsidR="00A621E3" w:rsidRDefault="00A621E3">
      <w:pPr>
        <w:spacing w:line="116"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77</w:t>
      </w:r>
    </w:p>
    <w:p w:rsidR="00A621E3" w:rsidRDefault="00EC630E">
      <w:pPr>
        <w:spacing w:line="20" w:lineRule="exact"/>
        <w:rPr>
          <w:sz w:val="20"/>
          <w:szCs w:val="20"/>
        </w:rPr>
      </w:pPr>
      <w:r>
        <w:rPr>
          <w:noProof/>
          <w:sz w:val="20"/>
          <w:szCs w:val="20"/>
        </w:rPr>
        <w:drawing>
          <wp:anchor distT="0" distB="0" distL="114300" distR="114300" simplePos="0" relativeHeight="251983872"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83" w:name="page83"/>
      <w:bookmarkEnd w:id="83"/>
      <w:r>
        <w:rPr>
          <w:rFonts w:ascii="Arial" w:eastAsia="Arial" w:hAnsi="Arial" w:cs="Arial"/>
          <w:b/>
          <w:bCs/>
          <w:noProof/>
          <w:color w:val="0000EE"/>
          <w:sz w:val="18"/>
          <w:szCs w:val="18"/>
          <w:u w:val="single"/>
        </w:rPr>
        <w:drawing>
          <wp:anchor distT="0" distB="0" distL="114300" distR="114300" simplePos="0" relativeHeight="25198489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85920"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209" w:lineRule="exact"/>
        <w:rPr>
          <w:sz w:val="20"/>
          <w:szCs w:val="20"/>
        </w:rPr>
      </w:pPr>
    </w:p>
    <w:p w:rsidR="00A621E3" w:rsidRDefault="00EC630E">
      <w:pPr>
        <w:numPr>
          <w:ilvl w:val="0"/>
          <w:numId w:val="105"/>
        </w:numPr>
        <w:tabs>
          <w:tab w:val="left" w:pos="760"/>
        </w:tabs>
        <w:spacing w:line="263" w:lineRule="auto"/>
        <w:ind w:left="760" w:hanging="644"/>
        <w:jc w:val="both"/>
        <w:rPr>
          <w:rFonts w:ascii="Arial" w:eastAsia="Arial" w:hAnsi="Arial" w:cs="Arial"/>
          <w:color w:val="CF0A2C"/>
          <w:sz w:val="19"/>
          <w:szCs w:val="19"/>
        </w:rPr>
      </w:pPr>
      <w:r>
        <w:rPr>
          <w:rFonts w:ascii="Arial" w:eastAsia="Arial" w:hAnsi="Arial" w:cs="Arial"/>
          <w:sz w:val="19"/>
          <w:szCs w:val="19"/>
        </w:rPr>
        <w:t xml:space="preserve">Amounts in column (i) represent the number of RSUs awarded to each NEO. RSUs vest in equal installments on the first, </w:t>
      </w:r>
      <w:r>
        <w:rPr>
          <w:rFonts w:ascii="Arial" w:eastAsia="Arial" w:hAnsi="Arial" w:cs="Arial"/>
          <w:sz w:val="19"/>
          <w:szCs w:val="19"/>
        </w:rPr>
        <w:t>second, third and fourth anniversaries of the grant date, subject to the recipient’s continued employment through the applicable vesting date. During the vesting period, the RSUs will be adjusted to reflect the accrual of dividend equivalents, which will b</w:t>
      </w:r>
      <w:r>
        <w:rPr>
          <w:rFonts w:ascii="Arial" w:eastAsia="Arial" w:hAnsi="Arial" w:cs="Arial"/>
          <w:sz w:val="19"/>
          <w:szCs w:val="19"/>
        </w:rPr>
        <w:t>e distributed as additional Company shares at the same time and to the extent the underlying shares vest.</w:t>
      </w:r>
    </w:p>
    <w:p w:rsidR="00A621E3" w:rsidRDefault="00A621E3">
      <w:pPr>
        <w:spacing w:line="257" w:lineRule="exact"/>
        <w:rPr>
          <w:rFonts w:ascii="Arial" w:eastAsia="Arial" w:hAnsi="Arial" w:cs="Arial"/>
          <w:color w:val="CF0A2C"/>
          <w:sz w:val="19"/>
          <w:szCs w:val="19"/>
        </w:rPr>
      </w:pPr>
    </w:p>
    <w:p w:rsidR="00A621E3" w:rsidRDefault="00EC630E">
      <w:pPr>
        <w:numPr>
          <w:ilvl w:val="0"/>
          <w:numId w:val="105"/>
        </w:numPr>
        <w:tabs>
          <w:tab w:val="left" w:pos="760"/>
        </w:tabs>
        <w:spacing w:line="246" w:lineRule="auto"/>
        <w:ind w:left="760" w:right="20" w:hanging="644"/>
        <w:jc w:val="both"/>
        <w:rPr>
          <w:rFonts w:ascii="Arial" w:eastAsia="Arial" w:hAnsi="Arial" w:cs="Arial"/>
          <w:color w:val="CF0A2C"/>
          <w:sz w:val="20"/>
          <w:szCs w:val="20"/>
        </w:rPr>
      </w:pPr>
      <w:r>
        <w:rPr>
          <w:rFonts w:ascii="Arial" w:eastAsia="Arial" w:hAnsi="Arial" w:cs="Arial"/>
          <w:sz w:val="20"/>
          <w:szCs w:val="20"/>
        </w:rPr>
        <w:t>SARs allow the grantee to receive the number of shares of the underlying common stock that is equal in value to the appreciation in the underlying co</w:t>
      </w:r>
      <w:r>
        <w:rPr>
          <w:rFonts w:ascii="Arial" w:eastAsia="Arial" w:hAnsi="Arial" w:cs="Arial"/>
          <w:sz w:val="20"/>
          <w:szCs w:val="20"/>
        </w:rPr>
        <w:t>mmon stock with respect to the number of SARs granted from the date of grant to the date of exercise. SARs become exercisable in equal installments on the first, second, third and fourth anniversaries of the grant date, subject to the recipient’s continued</w:t>
      </w:r>
      <w:r>
        <w:rPr>
          <w:rFonts w:ascii="Arial" w:eastAsia="Arial" w:hAnsi="Arial" w:cs="Arial"/>
          <w:sz w:val="20"/>
          <w:szCs w:val="20"/>
        </w:rPr>
        <w:t xml:space="preserve"> employment through the applicable vesting date.</w:t>
      </w:r>
    </w:p>
    <w:p w:rsidR="00A621E3" w:rsidRDefault="00A621E3">
      <w:pPr>
        <w:spacing w:line="272" w:lineRule="exact"/>
        <w:rPr>
          <w:rFonts w:ascii="Arial" w:eastAsia="Arial" w:hAnsi="Arial" w:cs="Arial"/>
          <w:color w:val="CF0A2C"/>
          <w:sz w:val="20"/>
          <w:szCs w:val="20"/>
        </w:rPr>
      </w:pPr>
    </w:p>
    <w:p w:rsidR="00A621E3" w:rsidRDefault="00EC630E">
      <w:pPr>
        <w:numPr>
          <w:ilvl w:val="0"/>
          <w:numId w:val="105"/>
        </w:numPr>
        <w:tabs>
          <w:tab w:val="left" w:pos="760"/>
        </w:tabs>
        <w:ind w:left="760" w:hanging="644"/>
        <w:rPr>
          <w:rFonts w:ascii="Arial" w:eastAsia="Arial" w:hAnsi="Arial" w:cs="Arial"/>
          <w:color w:val="CF0A2C"/>
          <w:sz w:val="18"/>
          <w:szCs w:val="18"/>
        </w:rPr>
      </w:pPr>
      <w:r>
        <w:rPr>
          <w:rFonts w:ascii="Arial" w:eastAsia="Arial" w:hAnsi="Arial" w:cs="Arial"/>
          <w:sz w:val="18"/>
          <w:szCs w:val="18"/>
        </w:rPr>
        <w:t>The exercise price of the SARs equals the closing price of the underlying common stock on the grant date under the 2016 LTIP.</w:t>
      </w:r>
    </w:p>
    <w:p w:rsidR="00A621E3" w:rsidRDefault="00A621E3">
      <w:pPr>
        <w:spacing w:line="319" w:lineRule="exact"/>
        <w:rPr>
          <w:rFonts w:ascii="Arial" w:eastAsia="Arial" w:hAnsi="Arial" w:cs="Arial"/>
          <w:color w:val="CF0A2C"/>
          <w:sz w:val="18"/>
          <w:szCs w:val="18"/>
        </w:rPr>
      </w:pPr>
    </w:p>
    <w:p w:rsidR="00A621E3" w:rsidRDefault="00EC630E">
      <w:pPr>
        <w:numPr>
          <w:ilvl w:val="0"/>
          <w:numId w:val="105"/>
        </w:numPr>
        <w:tabs>
          <w:tab w:val="left" w:pos="760"/>
        </w:tabs>
        <w:spacing w:line="270" w:lineRule="auto"/>
        <w:ind w:left="760" w:hanging="644"/>
        <w:jc w:val="both"/>
        <w:rPr>
          <w:rFonts w:ascii="Arial" w:eastAsia="Arial" w:hAnsi="Arial" w:cs="Arial"/>
          <w:color w:val="CF0A2C"/>
          <w:sz w:val="18"/>
          <w:szCs w:val="18"/>
        </w:rPr>
      </w:pPr>
      <w:r>
        <w:rPr>
          <w:rFonts w:ascii="Arial" w:eastAsia="Arial" w:hAnsi="Arial" w:cs="Arial"/>
          <w:sz w:val="18"/>
          <w:szCs w:val="18"/>
        </w:rPr>
        <w:t xml:space="preserve">The amounts reported in this column for 2022 represent the grant date fair </w:t>
      </w:r>
      <w:r>
        <w:rPr>
          <w:rFonts w:ascii="Arial" w:eastAsia="Arial" w:hAnsi="Arial" w:cs="Arial"/>
          <w:sz w:val="18"/>
          <w:szCs w:val="18"/>
        </w:rPr>
        <w:t>value of the SAR awards, the 2022 Annual PSU Awards, and RSU awards granted to each of the NEOs, calculated in accordance with ASC 718. The grant date fair value of the 2022 Annual PSU Awards with market-based conditions has been determined based on the ou</w:t>
      </w:r>
      <w:r>
        <w:rPr>
          <w:rFonts w:ascii="Arial" w:eastAsia="Arial" w:hAnsi="Arial" w:cs="Arial"/>
          <w:sz w:val="18"/>
          <w:szCs w:val="18"/>
        </w:rPr>
        <w:t>tcome of a Monte-Carlo simulation model. The grant date fair value of the RSU awards was determined based on the closing price of Company common stock on the date of grant. In addition, the amounts reported in this column include the incremental fair value</w:t>
      </w:r>
      <w:r>
        <w:rPr>
          <w:rFonts w:ascii="Arial" w:eastAsia="Arial" w:hAnsi="Arial" w:cs="Arial"/>
          <w:sz w:val="18"/>
          <w:szCs w:val="18"/>
        </w:rPr>
        <w:t xml:space="preserve"> associated with the modification of the 2020 Annual PSUs. As of the grant date, the achievement of the performance-based vesting conditions and the occurrence of a liquidity event with respect to the 2022 Lavazza ESOP Grants were not considered probable, </w:t>
      </w:r>
      <w:r>
        <w:rPr>
          <w:rFonts w:ascii="Arial" w:eastAsia="Arial" w:hAnsi="Arial" w:cs="Arial"/>
          <w:sz w:val="18"/>
          <w:szCs w:val="18"/>
        </w:rPr>
        <w:t>and therefore no associated expenses was recognized for accounting purposes that can be included for the 2022 Lavazza ESOP Grants in this column. Assuming the liquidity event and the performance conditions for the 2022 Lavazza ESOP Grants were achieved, th</w:t>
      </w:r>
      <w:r>
        <w:rPr>
          <w:rFonts w:ascii="Arial" w:eastAsia="Arial" w:hAnsi="Arial" w:cs="Arial"/>
          <w:sz w:val="18"/>
          <w:szCs w:val="18"/>
        </w:rPr>
        <w:t>e grant date fair value for the awards would be as follows: Ms. Wat, $1,000,000; Mr. Yeung, $200,000; Mr. Chan, $200,000; Mr. Huang, $200,000; and Mr. Yuen, $200,000. See Note 15 to the Company’s Audited Financial Statements for further discussion of the r</w:t>
      </w:r>
      <w:r>
        <w:rPr>
          <w:rFonts w:ascii="Arial" w:eastAsia="Arial" w:hAnsi="Arial" w:cs="Arial"/>
          <w:sz w:val="18"/>
          <w:szCs w:val="18"/>
        </w:rPr>
        <w:t>elevant assumptions used in calculating the grant date fair value for the SAR, RSU and PSU awards.</w:t>
      </w:r>
    </w:p>
    <w:p w:rsidR="00A621E3" w:rsidRDefault="00A621E3">
      <w:pPr>
        <w:spacing w:line="256" w:lineRule="exact"/>
        <w:rPr>
          <w:rFonts w:ascii="Arial" w:eastAsia="Arial" w:hAnsi="Arial" w:cs="Arial"/>
          <w:color w:val="CF0A2C"/>
          <w:sz w:val="18"/>
          <w:szCs w:val="18"/>
        </w:rPr>
      </w:pPr>
    </w:p>
    <w:p w:rsidR="00A621E3" w:rsidRDefault="00EC630E">
      <w:pPr>
        <w:numPr>
          <w:ilvl w:val="0"/>
          <w:numId w:val="105"/>
        </w:numPr>
        <w:tabs>
          <w:tab w:val="left" w:pos="760"/>
        </w:tabs>
        <w:spacing w:line="257" w:lineRule="auto"/>
        <w:ind w:left="760" w:hanging="644"/>
        <w:jc w:val="both"/>
        <w:rPr>
          <w:rFonts w:ascii="Arial" w:eastAsia="Arial" w:hAnsi="Arial" w:cs="Arial"/>
          <w:color w:val="CF0A2C"/>
          <w:sz w:val="19"/>
          <w:szCs w:val="19"/>
        </w:rPr>
      </w:pPr>
      <w:r>
        <w:rPr>
          <w:rFonts w:ascii="Arial" w:eastAsia="Arial" w:hAnsi="Arial" w:cs="Arial"/>
          <w:sz w:val="19"/>
          <w:szCs w:val="19"/>
        </w:rPr>
        <w:t>Amounts reported in this row and associated with columns (f), (g) and (h) provide the threshold, target and maximum numbers of shares of common stock that m</w:t>
      </w:r>
      <w:r>
        <w:rPr>
          <w:rFonts w:ascii="Arial" w:eastAsia="Arial" w:hAnsi="Arial" w:cs="Arial"/>
          <w:sz w:val="19"/>
          <w:szCs w:val="19"/>
        </w:rPr>
        <w:t>ay be received by the grantee upon vesting of the 2022 Annual PSU Awards. The 2022 Annual PSU Awards granted to each of the NEOs on February 10, 2022 will be settled in shares of common stock, subject to the achievement of performance goals relating to rTS</w:t>
      </w:r>
      <w:r>
        <w:rPr>
          <w:rFonts w:ascii="Arial" w:eastAsia="Arial" w:hAnsi="Arial" w:cs="Arial"/>
          <w:sz w:val="19"/>
          <w:szCs w:val="19"/>
        </w:rPr>
        <w:t>R during the performance period beginning on January 1, 2022 and ending on December 31, 2024, and the NEO’s continued employment through the last day of the performance period. Amounts reported in the “Threshold” column represent payout of 40% of target PS</w:t>
      </w:r>
      <w:r>
        <w:rPr>
          <w:rFonts w:ascii="Arial" w:eastAsia="Arial" w:hAnsi="Arial" w:cs="Arial"/>
          <w:sz w:val="19"/>
          <w:szCs w:val="19"/>
        </w:rPr>
        <w:t>Us awarded, and amounts reported in the “Maximum” column represent payout of 200% of the target PSUs awarded.</w:t>
      </w:r>
    </w:p>
    <w:p w:rsidR="00A621E3" w:rsidRDefault="00A621E3">
      <w:pPr>
        <w:spacing w:line="265" w:lineRule="exact"/>
        <w:rPr>
          <w:rFonts w:ascii="Arial" w:eastAsia="Arial" w:hAnsi="Arial" w:cs="Arial"/>
          <w:color w:val="CF0A2C"/>
          <w:sz w:val="19"/>
          <w:szCs w:val="19"/>
        </w:rPr>
      </w:pPr>
    </w:p>
    <w:p w:rsidR="00A621E3" w:rsidRDefault="00EC630E">
      <w:pPr>
        <w:numPr>
          <w:ilvl w:val="0"/>
          <w:numId w:val="105"/>
        </w:numPr>
        <w:tabs>
          <w:tab w:val="left" w:pos="760"/>
        </w:tabs>
        <w:spacing w:line="244" w:lineRule="auto"/>
        <w:ind w:left="760" w:right="20" w:hanging="644"/>
        <w:jc w:val="both"/>
        <w:rPr>
          <w:rFonts w:ascii="Arial" w:eastAsia="Arial" w:hAnsi="Arial" w:cs="Arial"/>
          <w:color w:val="CF0A2C"/>
          <w:sz w:val="20"/>
          <w:szCs w:val="20"/>
        </w:rPr>
      </w:pPr>
      <w:r>
        <w:rPr>
          <w:rFonts w:ascii="Arial" w:eastAsia="Arial" w:hAnsi="Arial" w:cs="Arial"/>
          <w:sz w:val="20"/>
          <w:szCs w:val="20"/>
        </w:rPr>
        <w:t>Amounts reported in this row and associated with columns (f), (g) and (h) provide the number of ordinary shares of Lavazza Joint Venture that may</w:t>
      </w:r>
      <w:r>
        <w:rPr>
          <w:rFonts w:ascii="Arial" w:eastAsia="Arial" w:hAnsi="Arial" w:cs="Arial"/>
          <w:sz w:val="20"/>
          <w:szCs w:val="20"/>
        </w:rPr>
        <w:t xml:space="preserve"> be received upon vesting of the 2022 Lavazza ESOP Grants granted to each of the NEOs on February 10, 2022. The 2022 Lavazza ESOP Grants granted to the NEOs are subject to both performance-based vesting conditions and the occurrence of a liquidity event, i</w:t>
      </w:r>
      <w:r>
        <w:rPr>
          <w:rFonts w:ascii="Arial" w:eastAsia="Arial" w:hAnsi="Arial" w:cs="Arial"/>
          <w:sz w:val="20"/>
          <w:szCs w:val="20"/>
        </w:rPr>
        <w:t>ncluding an initial public offering of the Lavazza Joint Venture, which must occur within seven years of the grant date.</w:t>
      </w:r>
    </w:p>
    <w:p w:rsidR="00A621E3" w:rsidRDefault="00A621E3">
      <w:pPr>
        <w:spacing w:line="275" w:lineRule="exact"/>
        <w:rPr>
          <w:rFonts w:ascii="Arial" w:eastAsia="Arial" w:hAnsi="Arial" w:cs="Arial"/>
          <w:color w:val="CF0A2C"/>
          <w:sz w:val="20"/>
          <w:szCs w:val="20"/>
        </w:rPr>
      </w:pPr>
    </w:p>
    <w:p w:rsidR="00A621E3" w:rsidRDefault="00EC630E">
      <w:pPr>
        <w:numPr>
          <w:ilvl w:val="0"/>
          <w:numId w:val="105"/>
        </w:numPr>
        <w:tabs>
          <w:tab w:val="left" w:pos="760"/>
        </w:tabs>
        <w:spacing w:line="291" w:lineRule="auto"/>
        <w:ind w:left="760" w:right="20" w:hanging="644"/>
        <w:jc w:val="both"/>
        <w:rPr>
          <w:rFonts w:ascii="Arial" w:eastAsia="Arial" w:hAnsi="Arial" w:cs="Arial"/>
          <w:color w:val="CF0A2C"/>
          <w:sz w:val="18"/>
          <w:szCs w:val="18"/>
        </w:rPr>
      </w:pPr>
      <w:r>
        <w:rPr>
          <w:rFonts w:ascii="Arial" w:eastAsia="Arial" w:hAnsi="Arial" w:cs="Arial"/>
          <w:sz w:val="18"/>
          <w:szCs w:val="18"/>
        </w:rPr>
        <w:t>Amounts reported in this row and associated with column (g) represent the number of shares subject to the 2020 Annual PSUs that were i</w:t>
      </w:r>
      <w:r>
        <w:rPr>
          <w:rFonts w:ascii="Arial" w:eastAsia="Arial" w:hAnsi="Arial" w:cs="Arial"/>
          <w:sz w:val="18"/>
          <w:szCs w:val="18"/>
        </w:rPr>
        <w:t>mpacted by the modification to the underlying performance measures and the associated incremental fair value related to the modification of the 2020 Annual PSUs, computed in accordance with ASC 718, and does not reflect a new equity grant.</w:t>
      </w:r>
    </w:p>
    <w:p w:rsidR="00A621E3" w:rsidRDefault="00A621E3">
      <w:pPr>
        <w:spacing w:line="92" w:lineRule="exact"/>
        <w:rPr>
          <w:sz w:val="20"/>
          <w:szCs w:val="20"/>
        </w:rPr>
      </w:pPr>
    </w:p>
    <w:p w:rsidR="00A621E3" w:rsidRDefault="00EC630E">
      <w:pPr>
        <w:numPr>
          <w:ilvl w:val="0"/>
          <w:numId w:val="106"/>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w:t>
      </w:r>
      <w:r>
        <w:rPr>
          <w:rFonts w:ascii="Arial" w:eastAsia="Arial" w:hAnsi="Arial" w:cs="Arial"/>
          <w:i/>
          <w:iCs/>
          <w:color w:val="4C4C4C"/>
          <w:sz w:val="14"/>
          <w:szCs w:val="14"/>
        </w:rPr>
        <w:t>3 Proxy Statement</w:t>
      </w:r>
    </w:p>
    <w:p w:rsidR="00A621E3" w:rsidRDefault="00EC630E">
      <w:pPr>
        <w:spacing w:line="20" w:lineRule="exact"/>
        <w:rPr>
          <w:sz w:val="20"/>
          <w:szCs w:val="20"/>
        </w:rPr>
      </w:pPr>
      <w:r>
        <w:rPr>
          <w:noProof/>
          <w:sz w:val="20"/>
          <w:szCs w:val="20"/>
        </w:rPr>
        <w:drawing>
          <wp:anchor distT="0" distB="0" distL="114300" distR="114300" simplePos="0" relativeHeight="25198694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84" w:name="page84"/>
      <w:bookmarkEnd w:id="84"/>
      <w:r>
        <w:rPr>
          <w:rFonts w:ascii="Arial" w:eastAsia="Arial" w:hAnsi="Arial" w:cs="Arial"/>
          <w:b/>
          <w:bCs/>
          <w:noProof/>
          <w:color w:val="0000EE"/>
          <w:sz w:val="18"/>
          <w:szCs w:val="18"/>
          <w:u w:val="single"/>
        </w:rPr>
        <w:drawing>
          <wp:anchor distT="0" distB="0" distL="114300" distR="114300" simplePos="0" relativeHeight="251987968"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88992"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680"/>
        <w:rPr>
          <w:sz w:val="20"/>
          <w:szCs w:val="20"/>
        </w:rPr>
      </w:pPr>
      <w:r>
        <w:rPr>
          <w:rFonts w:ascii="Arial" w:eastAsia="Arial" w:hAnsi="Arial" w:cs="Arial"/>
          <w:b/>
          <w:bCs/>
          <w:color w:val="FFFFFF"/>
          <w:sz w:val="16"/>
          <w:szCs w:val="16"/>
        </w:rPr>
        <w:t>EXECUTIVE COMPENSATION</w:t>
      </w:r>
    </w:p>
    <w:p w:rsidR="00A621E3" w:rsidRDefault="00A621E3">
      <w:pPr>
        <w:spacing w:line="189" w:lineRule="exact"/>
        <w:rPr>
          <w:sz w:val="20"/>
          <w:szCs w:val="20"/>
        </w:rPr>
      </w:pPr>
    </w:p>
    <w:p w:rsidR="00A621E3" w:rsidRDefault="00EC630E">
      <w:pPr>
        <w:ind w:left="120"/>
        <w:rPr>
          <w:sz w:val="20"/>
          <w:szCs w:val="20"/>
        </w:rPr>
      </w:pPr>
      <w:r>
        <w:rPr>
          <w:rFonts w:ascii="Arial" w:eastAsia="Arial" w:hAnsi="Arial" w:cs="Arial"/>
          <w:b/>
          <w:bCs/>
          <w:color w:val="CF0A2C"/>
          <w:sz w:val="32"/>
          <w:szCs w:val="32"/>
        </w:rPr>
        <w:t>OUTSTANDING EQUITY AWARDS AT 2022 YEAR-END</w:t>
      </w:r>
    </w:p>
    <w:p w:rsidR="00A621E3" w:rsidRDefault="00EC630E">
      <w:pPr>
        <w:spacing w:line="20" w:lineRule="exact"/>
        <w:rPr>
          <w:sz w:val="20"/>
          <w:szCs w:val="20"/>
        </w:rPr>
      </w:pPr>
      <w:r>
        <w:rPr>
          <w:noProof/>
          <w:sz w:val="20"/>
          <w:szCs w:val="20"/>
        </w:rPr>
        <w:drawing>
          <wp:anchor distT="0" distB="0" distL="114300" distR="114300" simplePos="0" relativeHeight="251990016"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36" w:lineRule="exact"/>
        <w:rPr>
          <w:sz w:val="20"/>
          <w:szCs w:val="20"/>
        </w:rPr>
      </w:pPr>
    </w:p>
    <w:p w:rsidR="00A621E3" w:rsidRDefault="00EC630E">
      <w:pPr>
        <w:spacing w:line="246" w:lineRule="auto"/>
        <w:ind w:left="120" w:right="20"/>
        <w:jc w:val="both"/>
        <w:rPr>
          <w:sz w:val="20"/>
          <w:szCs w:val="20"/>
        </w:rPr>
      </w:pPr>
      <w:r>
        <w:rPr>
          <w:rFonts w:ascii="Arial" w:eastAsia="Arial" w:hAnsi="Arial" w:cs="Arial"/>
          <w:sz w:val="20"/>
          <w:szCs w:val="20"/>
        </w:rPr>
        <w:t xml:space="preserve">The following table shows the number of Company shares covered by exercisable and unexercisable SARs, unvested RSUs and </w:t>
      </w:r>
      <w:r>
        <w:rPr>
          <w:rFonts w:ascii="Arial" w:eastAsia="Arial" w:hAnsi="Arial" w:cs="Arial"/>
          <w:sz w:val="20"/>
          <w:szCs w:val="20"/>
        </w:rPr>
        <w:t>unvested PSUs held by the Company’s NEOs on December 31, 2022. This table excludes any YUM shares received by the NEOs upon conversion of their outstanding YUM equity awards in connection with the spin-off. The 2022 Lavazza ESOP Grants are separately repor</w:t>
      </w:r>
      <w:r>
        <w:rPr>
          <w:rFonts w:ascii="Arial" w:eastAsia="Arial" w:hAnsi="Arial" w:cs="Arial"/>
          <w:sz w:val="20"/>
          <w:szCs w:val="20"/>
        </w:rPr>
        <w:t>ted in Outstanding 2022 Lavazza ESOP Grants at 2022 Year-End table below.</w:t>
      </w:r>
    </w:p>
    <w:p w:rsidR="00A621E3" w:rsidRDefault="00A621E3">
      <w:pPr>
        <w:spacing w:line="215"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500"/>
        <w:gridCol w:w="880"/>
        <w:gridCol w:w="1080"/>
        <w:gridCol w:w="1420"/>
        <w:gridCol w:w="760"/>
        <w:gridCol w:w="840"/>
        <w:gridCol w:w="260"/>
        <w:gridCol w:w="1080"/>
        <w:gridCol w:w="920"/>
        <w:gridCol w:w="1200"/>
        <w:gridCol w:w="640"/>
        <w:gridCol w:w="20"/>
        <w:gridCol w:w="160"/>
        <w:gridCol w:w="260"/>
        <w:gridCol w:w="20"/>
      </w:tblGrid>
      <w:tr w:rsidR="00A621E3">
        <w:trPr>
          <w:trHeight w:val="176"/>
        </w:trPr>
        <w:tc>
          <w:tcPr>
            <w:tcW w:w="1500" w:type="dxa"/>
            <w:tcBorders>
              <w:top w:val="single" w:sz="8" w:space="0" w:color="CF0A2C"/>
              <w:bottom w:val="single" w:sz="8" w:space="0" w:color="FAE6E9"/>
            </w:tcBorders>
            <w:shd w:val="clear" w:color="auto" w:fill="FAE6E9"/>
            <w:vAlign w:val="bottom"/>
          </w:tcPr>
          <w:p w:rsidR="00A621E3" w:rsidRDefault="00A621E3">
            <w:pPr>
              <w:rPr>
                <w:sz w:val="15"/>
                <w:szCs w:val="15"/>
              </w:rPr>
            </w:pPr>
          </w:p>
        </w:tc>
        <w:tc>
          <w:tcPr>
            <w:tcW w:w="880" w:type="dxa"/>
            <w:tcBorders>
              <w:top w:val="single" w:sz="8" w:space="0" w:color="CF0A2C"/>
              <w:bottom w:val="single" w:sz="8" w:space="0" w:color="FAE6E9"/>
            </w:tcBorders>
            <w:shd w:val="clear" w:color="auto" w:fill="FAE6E9"/>
            <w:vAlign w:val="bottom"/>
          </w:tcPr>
          <w:p w:rsidR="00A621E3" w:rsidRDefault="00A621E3">
            <w:pPr>
              <w:rPr>
                <w:sz w:val="15"/>
                <w:szCs w:val="15"/>
              </w:rPr>
            </w:pPr>
          </w:p>
        </w:tc>
        <w:tc>
          <w:tcPr>
            <w:tcW w:w="1080" w:type="dxa"/>
            <w:tcBorders>
              <w:top w:val="single" w:sz="8" w:space="0" w:color="CF0A2C"/>
              <w:bottom w:val="single" w:sz="8" w:space="0" w:color="CF0A2C"/>
            </w:tcBorders>
            <w:shd w:val="clear" w:color="auto" w:fill="FAE6E9"/>
            <w:vAlign w:val="bottom"/>
          </w:tcPr>
          <w:p w:rsidR="00A621E3" w:rsidRDefault="00A621E3">
            <w:pPr>
              <w:rPr>
                <w:sz w:val="15"/>
                <w:szCs w:val="15"/>
              </w:rPr>
            </w:pPr>
          </w:p>
        </w:tc>
        <w:tc>
          <w:tcPr>
            <w:tcW w:w="2180" w:type="dxa"/>
            <w:gridSpan w:val="2"/>
            <w:tcBorders>
              <w:top w:val="single" w:sz="8" w:space="0" w:color="CF0A2C"/>
              <w:bottom w:val="single" w:sz="8" w:space="0" w:color="CF0A2C"/>
            </w:tcBorders>
            <w:shd w:val="clear" w:color="auto" w:fill="FAE6E9"/>
            <w:vAlign w:val="bottom"/>
          </w:tcPr>
          <w:p w:rsidR="00A621E3" w:rsidRDefault="00EC630E">
            <w:pPr>
              <w:ind w:right="412"/>
              <w:jc w:val="right"/>
              <w:rPr>
                <w:sz w:val="20"/>
                <w:szCs w:val="20"/>
              </w:rPr>
            </w:pPr>
            <w:r>
              <w:rPr>
                <w:rFonts w:ascii="Arial" w:eastAsia="Arial" w:hAnsi="Arial" w:cs="Arial"/>
                <w:b/>
                <w:bCs/>
                <w:color w:val="CF0A2C"/>
                <w:sz w:val="14"/>
                <w:szCs w:val="14"/>
              </w:rPr>
              <w:t>Option/SAR Awards</w:t>
            </w:r>
          </w:p>
        </w:tc>
        <w:tc>
          <w:tcPr>
            <w:tcW w:w="840" w:type="dxa"/>
            <w:tcBorders>
              <w:top w:val="single" w:sz="8" w:space="0" w:color="CF0A2C"/>
              <w:bottom w:val="single" w:sz="8" w:space="0" w:color="CF0A2C"/>
            </w:tcBorders>
            <w:shd w:val="clear" w:color="auto" w:fill="FAE6E9"/>
            <w:vAlign w:val="bottom"/>
          </w:tcPr>
          <w:p w:rsidR="00A621E3" w:rsidRDefault="00A621E3">
            <w:pPr>
              <w:rPr>
                <w:sz w:val="15"/>
                <w:szCs w:val="15"/>
              </w:rPr>
            </w:pPr>
          </w:p>
        </w:tc>
        <w:tc>
          <w:tcPr>
            <w:tcW w:w="260" w:type="dxa"/>
            <w:tcBorders>
              <w:top w:val="single" w:sz="8" w:space="0" w:color="CF0A2C"/>
              <w:bottom w:val="single" w:sz="8" w:space="0" w:color="FAE6E9"/>
            </w:tcBorders>
            <w:shd w:val="clear" w:color="auto" w:fill="FAE6E9"/>
            <w:vAlign w:val="bottom"/>
          </w:tcPr>
          <w:p w:rsidR="00A621E3" w:rsidRDefault="00A621E3">
            <w:pPr>
              <w:rPr>
                <w:sz w:val="15"/>
                <w:szCs w:val="15"/>
              </w:rPr>
            </w:pPr>
          </w:p>
        </w:tc>
        <w:tc>
          <w:tcPr>
            <w:tcW w:w="1080" w:type="dxa"/>
            <w:tcBorders>
              <w:top w:val="single" w:sz="8" w:space="0" w:color="CF0A2C"/>
              <w:bottom w:val="single" w:sz="8" w:space="0" w:color="CF0A2C"/>
            </w:tcBorders>
            <w:shd w:val="clear" w:color="auto" w:fill="FAE6E9"/>
            <w:vAlign w:val="bottom"/>
          </w:tcPr>
          <w:p w:rsidR="00A621E3" w:rsidRDefault="00A621E3">
            <w:pPr>
              <w:rPr>
                <w:sz w:val="15"/>
                <w:szCs w:val="15"/>
              </w:rPr>
            </w:pPr>
          </w:p>
        </w:tc>
        <w:tc>
          <w:tcPr>
            <w:tcW w:w="2120" w:type="dxa"/>
            <w:gridSpan w:val="2"/>
            <w:tcBorders>
              <w:top w:val="single" w:sz="8" w:space="0" w:color="CF0A2C"/>
              <w:bottom w:val="single" w:sz="8" w:space="0" w:color="CF0A2C"/>
            </w:tcBorders>
            <w:shd w:val="clear" w:color="auto" w:fill="FAE6E9"/>
            <w:vAlign w:val="bottom"/>
          </w:tcPr>
          <w:p w:rsidR="00A621E3" w:rsidRDefault="00EC630E">
            <w:pPr>
              <w:ind w:right="512"/>
              <w:jc w:val="right"/>
              <w:rPr>
                <w:sz w:val="20"/>
                <w:szCs w:val="20"/>
              </w:rPr>
            </w:pPr>
            <w:r>
              <w:rPr>
                <w:rFonts w:ascii="Arial" w:eastAsia="Arial" w:hAnsi="Arial" w:cs="Arial"/>
                <w:b/>
                <w:bCs/>
                <w:color w:val="CF0A2C"/>
                <w:sz w:val="14"/>
                <w:szCs w:val="14"/>
              </w:rPr>
              <w:t>Stock Awards</w:t>
            </w:r>
          </w:p>
        </w:tc>
        <w:tc>
          <w:tcPr>
            <w:tcW w:w="640" w:type="dxa"/>
            <w:tcBorders>
              <w:top w:val="single" w:sz="8" w:space="0" w:color="CF0A2C"/>
              <w:bottom w:val="single" w:sz="8" w:space="0" w:color="CF0A2C"/>
            </w:tcBorders>
            <w:shd w:val="clear" w:color="auto" w:fill="FAE6E9"/>
            <w:vAlign w:val="bottom"/>
          </w:tcPr>
          <w:p w:rsidR="00A621E3" w:rsidRDefault="00A621E3">
            <w:pPr>
              <w:rPr>
                <w:sz w:val="15"/>
                <w:szCs w:val="15"/>
              </w:rPr>
            </w:pPr>
          </w:p>
        </w:tc>
        <w:tc>
          <w:tcPr>
            <w:tcW w:w="20" w:type="dxa"/>
            <w:tcBorders>
              <w:top w:val="single" w:sz="8" w:space="0" w:color="CF0A2C"/>
              <w:bottom w:val="single" w:sz="8" w:space="0" w:color="CF0A2C"/>
            </w:tcBorders>
            <w:shd w:val="clear" w:color="auto" w:fill="FAE6E9"/>
            <w:vAlign w:val="bottom"/>
          </w:tcPr>
          <w:p w:rsidR="00A621E3" w:rsidRDefault="00A621E3">
            <w:pPr>
              <w:rPr>
                <w:sz w:val="15"/>
                <w:szCs w:val="15"/>
              </w:rPr>
            </w:pPr>
          </w:p>
        </w:tc>
        <w:tc>
          <w:tcPr>
            <w:tcW w:w="160" w:type="dxa"/>
            <w:tcBorders>
              <w:top w:val="single" w:sz="8" w:space="0" w:color="CF0A2C"/>
              <w:bottom w:val="single" w:sz="8" w:space="0" w:color="CF0A2C"/>
            </w:tcBorders>
            <w:shd w:val="clear" w:color="auto" w:fill="FAE6E9"/>
            <w:vAlign w:val="bottom"/>
          </w:tcPr>
          <w:p w:rsidR="00A621E3" w:rsidRDefault="00A621E3">
            <w:pPr>
              <w:rPr>
                <w:sz w:val="15"/>
                <w:szCs w:val="15"/>
              </w:rPr>
            </w:pPr>
          </w:p>
        </w:tc>
        <w:tc>
          <w:tcPr>
            <w:tcW w:w="260" w:type="dxa"/>
            <w:tcBorders>
              <w:top w:val="single" w:sz="8" w:space="0" w:color="CF0A2C"/>
              <w:bottom w:val="single" w:sz="8" w:space="0" w:color="CF0A2C"/>
            </w:tcBorders>
            <w:shd w:val="clear" w:color="auto" w:fill="FAE6E9"/>
            <w:vAlign w:val="bottom"/>
          </w:tcPr>
          <w:p w:rsidR="00A621E3" w:rsidRDefault="00A621E3">
            <w:pPr>
              <w:rPr>
                <w:sz w:val="15"/>
                <w:szCs w:val="15"/>
              </w:rPr>
            </w:pPr>
          </w:p>
        </w:tc>
        <w:tc>
          <w:tcPr>
            <w:tcW w:w="0" w:type="dxa"/>
            <w:vAlign w:val="bottom"/>
          </w:tcPr>
          <w:p w:rsidR="00A621E3" w:rsidRDefault="00A621E3">
            <w:pPr>
              <w:rPr>
                <w:sz w:val="1"/>
                <w:szCs w:val="1"/>
              </w:rPr>
            </w:pPr>
          </w:p>
        </w:tc>
      </w:tr>
      <w:tr w:rsidR="00A621E3">
        <w:trPr>
          <w:trHeight w:val="142"/>
        </w:trPr>
        <w:tc>
          <w:tcPr>
            <w:tcW w:w="1500" w:type="dxa"/>
            <w:shd w:val="clear" w:color="auto" w:fill="FAE6E9"/>
            <w:vAlign w:val="bottom"/>
          </w:tcPr>
          <w:p w:rsidR="00A621E3" w:rsidRDefault="00A621E3">
            <w:pPr>
              <w:rPr>
                <w:sz w:val="12"/>
                <w:szCs w:val="12"/>
              </w:rPr>
            </w:pPr>
          </w:p>
        </w:tc>
        <w:tc>
          <w:tcPr>
            <w:tcW w:w="880" w:type="dxa"/>
            <w:shd w:val="clear" w:color="auto" w:fill="FAE6E9"/>
            <w:vAlign w:val="bottom"/>
          </w:tcPr>
          <w:p w:rsidR="00A621E3" w:rsidRDefault="00A621E3">
            <w:pPr>
              <w:rPr>
                <w:sz w:val="12"/>
                <w:szCs w:val="12"/>
              </w:rPr>
            </w:pPr>
          </w:p>
        </w:tc>
        <w:tc>
          <w:tcPr>
            <w:tcW w:w="1080" w:type="dxa"/>
            <w:shd w:val="clear" w:color="auto" w:fill="FAE6E9"/>
            <w:vAlign w:val="bottom"/>
          </w:tcPr>
          <w:p w:rsidR="00A621E3" w:rsidRDefault="00A621E3">
            <w:pPr>
              <w:rPr>
                <w:sz w:val="12"/>
                <w:szCs w:val="12"/>
              </w:rPr>
            </w:pPr>
          </w:p>
        </w:tc>
        <w:tc>
          <w:tcPr>
            <w:tcW w:w="1420" w:type="dxa"/>
            <w:shd w:val="clear" w:color="auto" w:fill="FAE6E9"/>
            <w:vAlign w:val="bottom"/>
          </w:tcPr>
          <w:p w:rsidR="00A621E3" w:rsidRDefault="00A621E3">
            <w:pPr>
              <w:rPr>
                <w:sz w:val="12"/>
                <w:szCs w:val="12"/>
              </w:rPr>
            </w:pPr>
          </w:p>
        </w:tc>
        <w:tc>
          <w:tcPr>
            <w:tcW w:w="760" w:type="dxa"/>
            <w:shd w:val="clear" w:color="auto" w:fill="FAE6E9"/>
            <w:vAlign w:val="bottom"/>
          </w:tcPr>
          <w:p w:rsidR="00A621E3" w:rsidRDefault="00A621E3">
            <w:pPr>
              <w:rPr>
                <w:sz w:val="12"/>
                <w:szCs w:val="12"/>
              </w:rPr>
            </w:pPr>
          </w:p>
        </w:tc>
        <w:tc>
          <w:tcPr>
            <w:tcW w:w="840" w:type="dxa"/>
            <w:shd w:val="clear" w:color="auto" w:fill="FAE6E9"/>
            <w:vAlign w:val="bottom"/>
          </w:tcPr>
          <w:p w:rsidR="00A621E3" w:rsidRDefault="00A621E3">
            <w:pPr>
              <w:rPr>
                <w:sz w:val="12"/>
                <w:szCs w:val="12"/>
              </w:rPr>
            </w:pPr>
          </w:p>
        </w:tc>
        <w:tc>
          <w:tcPr>
            <w:tcW w:w="260" w:type="dxa"/>
            <w:shd w:val="clear" w:color="auto" w:fill="FAE6E9"/>
            <w:vAlign w:val="bottom"/>
          </w:tcPr>
          <w:p w:rsidR="00A621E3" w:rsidRDefault="00A621E3">
            <w:pPr>
              <w:rPr>
                <w:sz w:val="12"/>
                <w:szCs w:val="12"/>
              </w:rPr>
            </w:pPr>
          </w:p>
        </w:tc>
        <w:tc>
          <w:tcPr>
            <w:tcW w:w="1080" w:type="dxa"/>
            <w:shd w:val="clear" w:color="auto" w:fill="FAE6E9"/>
            <w:vAlign w:val="bottom"/>
          </w:tcPr>
          <w:p w:rsidR="00A621E3" w:rsidRDefault="00A621E3">
            <w:pPr>
              <w:rPr>
                <w:sz w:val="12"/>
                <w:szCs w:val="12"/>
              </w:rPr>
            </w:pPr>
          </w:p>
        </w:tc>
        <w:tc>
          <w:tcPr>
            <w:tcW w:w="920" w:type="dxa"/>
            <w:shd w:val="clear" w:color="auto" w:fill="FAE6E9"/>
            <w:vAlign w:val="bottom"/>
          </w:tcPr>
          <w:p w:rsidR="00A621E3" w:rsidRDefault="00A621E3">
            <w:pPr>
              <w:rPr>
                <w:sz w:val="12"/>
                <w:szCs w:val="12"/>
              </w:rPr>
            </w:pPr>
          </w:p>
        </w:tc>
        <w:tc>
          <w:tcPr>
            <w:tcW w:w="1200" w:type="dxa"/>
            <w:shd w:val="clear" w:color="auto" w:fill="FAE6E9"/>
            <w:vAlign w:val="bottom"/>
          </w:tcPr>
          <w:p w:rsidR="00A621E3" w:rsidRDefault="00A621E3">
            <w:pPr>
              <w:rPr>
                <w:sz w:val="12"/>
                <w:szCs w:val="12"/>
              </w:rPr>
            </w:pPr>
          </w:p>
        </w:tc>
        <w:tc>
          <w:tcPr>
            <w:tcW w:w="820" w:type="dxa"/>
            <w:gridSpan w:val="3"/>
            <w:shd w:val="clear" w:color="auto" w:fill="FAE6E9"/>
            <w:vAlign w:val="bottom"/>
          </w:tcPr>
          <w:p w:rsidR="00A621E3" w:rsidRDefault="00EC630E">
            <w:pPr>
              <w:spacing w:line="143" w:lineRule="exact"/>
              <w:ind w:left="151"/>
              <w:jc w:val="center"/>
              <w:rPr>
                <w:sz w:val="20"/>
                <w:szCs w:val="20"/>
              </w:rPr>
            </w:pPr>
            <w:r>
              <w:rPr>
                <w:rFonts w:ascii="Arial" w:eastAsia="Arial" w:hAnsi="Arial" w:cs="Arial"/>
                <w:b/>
                <w:bCs/>
                <w:color w:val="CF0A2C"/>
                <w:sz w:val="14"/>
                <w:szCs w:val="14"/>
              </w:rPr>
              <w:t>Equity</w:t>
            </w:r>
          </w:p>
        </w:tc>
        <w:tc>
          <w:tcPr>
            <w:tcW w:w="260" w:type="dxa"/>
            <w:shd w:val="clear" w:color="auto" w:fill="FAE6E9"/>
            <w:vAlign w:val="bottom"/>
          </w:tcPr>
          <w:p w:rsidR="00A621E3" w:rsidRDefault="00A621E3">
            <w:pPr>
              <w:rPr>
                <w:sz w:val="12"/>
                <w:szCs w:val="12"/>
              </w:rPr>
            </w:pPr>
          </w:p>
        </w:tc>
        <w:tc>
          <w:tcPr>
            <w:tcW w:w="0" w:type="dxa"/>
            <w:vAlign w:val="bottom"/>
          </w:tcPr>
          <w:p w:rsidR="00A621E3" w:rsidRDefault="00A621E3">
            <w:pPr>
              <w:rPr>
                <w:sz w:val="1"/>
                <w:szCs w:val="1"/>
              </w:rPr>
            </w:pPr>
          </w:p>
        </w:tc>
      </w:tr>
      <w:tr w:rsidR="00A621E3">
        <w:trPr>
          <w:trHeight w:val="162"/>
        </w:trPr>
        <w:tc>
          <w:tcPr>
            <w:tcW w:w="1500" w:type="dxa"/>
            <w:shd w:val="clear" w:color="auto" w:fill="FAE6E9"/>
            <w:vAlign w:val="bottom"/>
          </w:tcPr>
          <w:p w:rsidR="00A621E3" w:rsidRDefault="00A621E3">
            <w:pPr>
              <w:rPr>
                <w:sz w:val="14"/>
                <w:szCs w:val="14"/>
              </w:rPr>
            </w:pPr>
          </w:p>
        </w:tc>
        <w:tc>
          <w:tcPr>
            <w:tcW w:w="88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A621E3">
            <w:pPr>
              <w:rPr>
                <w:sz w:val="14"/>
                <w:szCs w:val="14"/>
              </w:rPr>
            </w:pPr>
          </w:p>
        </w:tc>
        <w:tc>
          <w:tcPr>
            <w:tcW w:w="1420" w:type="dxa"/>
            <w:shd w:val="clear" w:color="auto" w:fill="FAE6E9"/>
            <w:vAlign w:val="bottom"/>
          </w:tcPr>
          <w:p w:rsidR="00A621E3" w:rsidRDefault="00A621E3">
            <w:pPr>
              <w:rPr>
                <w:sz w:val="14"/>
                <w:szCs w:val="14"/>
              </w:rPr>
            </w:pPr>
          </w:p>
        </w:tc>
        <w:tc>
          <w:tcPr>
            <w:tcW w:w="76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26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A621E3">
            <w:pPr>
              <w:rPr>
                <w:sz w:val="14"/>
                <w:szCs w:val="14"/>
              </w:rPr>
            </w:pPr>
          </w:p>
        </w:tc>
        <w:tc>
          <w:tcPr>
            <w:tcW w:w="920" w:type="dxa"/>
            <w:shd w:val="clear" w:color="auto" w:fill="FAE6E9"/>
            <w:vAlign w:val="bottom"/>
          </w:tcPr>
          <w:p w:rsidR="00A621E3" w:rsidRDefault="00A621E3">
            <w:pPr>
              <w:rPr>
                <w:sz w:val="14"/>
                <w:szCs w:val="14"/>
              </w:rPr>
            </w:pPr>
          </w:p>
        </w:tc>
        <w:tc>
          <w:tcPr>
            <w:tcW w:w="1200" w:type="dxa"/>
            <w:shd w:val="clear" w:color="auto" w:fill="FAE6E9"/>
            <w:vAlign w:val="bottom"/>
          </w:tcPr>
          <w:p w:rsidR="00A621E3" w:rsidRDefault="00EC630E">
            <w:pPr>
              <w:ind w:right="52"/>
              <w:jc w:val="center"/>
              <w:rPr>
                <w:sz w:val="20"/>
                <w:szCs w:val="20"/>
              </w:rPr>
            </w:pPr>
            <w:r>
              <w:rPr>
                <w:rFonts w:ascii="Arial" w:eastAsia="Arial" w:hAnsi="Arial" w:cs="Arial"/>
                <w:b/>
                <w:bCs/>
                <w:color w:val="CF0A2C"/>
                <w:sz w:val="14"/>
                <w:szCs w:val="14"/>
              </w:rPr>
              <w:t>Equity</w:t>
            </w:r>
          </w:p>
        </w:tc>
        <w:tc>
          <w:tcPr>
            <w:tcW w:w="1080" w:type="dxa"/>
            <w:gridSpan w:val="4"/>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Incentive</w:t>
            </w:r>
          </w:p>
        </w:tc>
        <w:tc>
          <w:tcPr>
            <w:tcW w:w="0" w:type="dxa"/>
            <w:vAlign w:val="bottom"/>
          </w:tcPr>
          <w:p w:rsidR="00A621E3" w:rsidRDefault="00A621E3">
            <w:pPr>
              <w:rPr>
                <w:sz w:val="1"/>
                <w:szCs w:val="1"/>
              </w:rPr>
            </w:pPr>
          </w:p>
        </w:tc>
      </w:tr>
      <w:tr w:rsidR="00A621E3">
        <w:trPr>
          <w:trHeight w:val="162"/>
        </w:trPr>
        <w:tc>
          <w:tcPr>
            <w:tcW w:w="1500" w:type="dxa"/>
            <w:shd w:val="clear" w:color="auto" w:fill="FAE6E9"/>
            <w:vAlign w:val="bottom"/>
          </w:tcPr>
          <w:p w:rsidR="00A621E3" w:rsidRDefault="00A621E3">
            <w:pPr>
              <w:rPr>
                <w:sz w:val="14"/>
                <w:szCs w:val="14"/>
              </w:rPr>
            </w:pPr>
          </w:p>
        </w:tc>
        <w:tc>
          <w:tcPr>
            <w:tcW w:w="88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A621E3">
            <w:pPr>
              <w:rPr>
                <w:sz w:val="14"/>
                <w:szCs w:val="14"/>
              </w:rPr>
            </w:pPr>
          </w:p>
        </w:tc>
        <w:tc>
          <w:tcPr>
            <w:tcW w:w="1420" w:type="dxa"/>
            <w:shd w:val="clear" w:color="auto" w:fill="FAE6E9"/>
            <w:vAlign w:val="bottom"/>
          </w:tcPr>
          <w:p w:rsidR="00A621E3" w:rsidRDefault="00A621E3">
            <w:pPr>
              <w:rPr>
                <w:sz w:val="14"/>
                <w:szCs w:val="14"/>
              </w:rPr>
            </w:pPr>
          </w:p>
        </w:tc>
        <w:tc>
          <w:tcPr>
            <w:tcW w:w="76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26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A621E3">
            <w:pPr>
              <w:rPr>
                <w:sz w:val="14"/>
                <w:szCs w:val="14"/>
              </w:rPr>
            </w:pPr>
          </w:p>
        </w:tc>
        <w:tc>
          <w:tcPr>
            <w:tcW w:w="920" w:type="dxa"/>
            <w:shd w:val="clear" w:color="auto" w:fill="FAE6E9"/>
            <w:vAlign w:val="bottom"/>
          </w:tcPr>
          <w:p w:rsidR="00A621E3" w:rsidRDefault="00A621E3">
            <w:pPr>
              <w:rPr>
                <w:sz w:val="14"/>
                <w:szCs w:val="14"/>
              </w:rPr>
            </w:pPr>
          </w:p>
        </w:tc>
        <w:tc>
          <w:tcPr>
            <w:tcW w:w="1200" w:type="dxa"/>
            <w:shd w:val="clear" w:color="auto" w:fill="FAE6E9"/>
            <w:vAlign w:val="bottom"/>
          </w:tcPr>
          <w:p w:rsidR="00A621E3" w:rsidRDefault="00EC630E">
            <w:pPr>
              <w:ind w:right="72"/>
              <w:jc w:val="center"/>
              <w:rPr>
                <w:sz w:val="20"/>
                <w:szCs w:val="20"/>
              </w:rPr>
            </w:pPr>
            <w:r>
              <w:rPr>
                <w:rFonts w:ascii="Arial" w:eastAsia="Arial" w:hAnsi="Arial" w:cs="Arial"/>
                <w:b/>
                <w:bCs/>
                <w:color w:val="CF0A2C"/>
                <w:sz w:val="14"/>
                <w:szCs w:val="14"/>
              </w:rPr>
              <w:t>Incentive</w:t>
            </w:r>
          </w:p>
        </w:tc>
        <w:tc>
          <w:tcPr>
            <w:tcW w:w="1080" w:type="dxa"/>
            <w:gridSpan w:val="4"/>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Plan Awards:</w:t>
            </w:r>
          </w:p>
        </w:tc>
        <w:tc>
          <w:tcPr>
            <w:tcW w:w="0" w:type="dxa"/>
            <w:vAlign w:val="bottom"/>
          </w:tcPr>
          <w:p w:rsidR="00A621E3" w:rsidRDefault="00A621E3">
            <w:pPr>
              <w:rPr>
                <w:sz w:val="1"/>
                <w:szCs w:val="1"/>
              </w:rPr>
            </w:pPr>
          </w:p>
        </w:tc>
      </w:tr>
      <w:tr w:rsidR="00A621E3">
        <w:trPr>
          <w:trHeight w:val="162"/>
        </w:trPr>
        <w:tc>
          <w:tcPr>
            <w:tcW w:w="1500" w:type="dxa"/>
            <w:shd w:val="clear" w:color="auto" w:fill="FAE6E9"/>
            <w:vAlign w:val="bottom"/>
          </w:tcPr>
          <w:p w:rsidR="00A621E3" w:rsidRDefault="00A621E3">
            <w:pPr>
              <w:rPr>
                <w:sz w:val="14"/>
                <w:szCs w:val="14"/>
              </w:rPr>
            </w:pPr>
          </w:p>
        </w:tc>
        <w:tc>
          <w:tcPr>
            <w:tcW w:w="88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A621E3">
            <w:pPr>
              <w:rPr>
                <w:sz w:val="14"/>
                <w:szCs w:val="14"/>
              </w:rPr>
            </w:pPr>
          </w:p>
        </w:tc>
        <w:tc>
          <w:tcPr>
            <w:tcW w:w="1420" w:type="dxa"/>
            <w:shd w:val="clear" w:color="auto" w:fill="FAE6E9"/>
            <w:vAlign w:val="bottom"/>
          </w:tcPr>
          <w:p w:rsidR="00A621E3" w:rsidRDefault="00A621E3">
            <w:pPr>
              <w:rPr>
                <w:sz w:val="14"/>
                <w:szCs w:val="14"/>
              </w:rPr>
            </w:pPr>
          </w:p>
        </w:tc>
        <w:tc>
          <w:tcPr>
            <w:tcW w:w="76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26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A621E3">
            <w:pPr>
              <w:rPr>
                <w:sz w:val="14"/>
                <w:szCs w:val="14"/>
              </w:rPr>
            </w:pPr>
          </w:p>
        </w:tc>
        <w:tc>
          <w:tcPr>
            <w:tcW w:w="920" w:type="dxa"/>
            <w:shd w:val="clear" w:color="auto" w:fill="FAE6E9"/>
            <w:vAlign w:val="bottom"/>
          </w:tcPr>
          <w:p w:rsidR="00A621E3" w:rsidRDefault="00A621E3">
            <w:pPr>
              <w:rPr>
                <w:sz w:val="14"/>
                <w:szCs w:val="14"/>
              </w:rPr>
            </w:pPr>
          </w:p>
        </w:tc>
        <w:tc>
          <w:tcPr>
            <w:tcW w:w="1200" w:type="dxa"/>
            <w:shd w:val="clear" w:color="auto" w:fill="FAE6E9"/>
            <w:vAlign w:val="bottom"/>
          </w:tcPr>
          <w:p w:rsidR="00A621E3" w:rsidRDefault="00EC630E">
            <w:pPr>
              <w:ind w:right="72"/>
              <w:jc w:val="center"/>
              <w:rPr>
                <w:sz w:val="20"/>
                <w:szCs w:val="20"/>
              </w:rPr>
            </w:pPr>
            <w:r>
              <w:rPr>
                <w:rFonts w:ascii="Arial" w:eastAsia="Arial" w:hAnsi="Arial" w:cs="Arial"/>
                <w:b/>
                <w:bCs/>
                <w:color w:val="CF0A2C"/>
                <w:sz w:val="14"/>
                <w:szCs w:val="14"/>
              </w:rPr>
              <w:t>Plan Awards:</w:t>
            </w:r>
          </w:p>
        </w:tc>
        <w:tc>
          <w:tcPr>
            <w:tcW w:w="1080" w:type="dxa"/>
            <w:gridSpan w:val="4"/>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Market or</w:t>
            </w:r>
          </w:p>
        </w:tc>
        <w:tc>
          <w:tcPr>
            <w:tcW w:w="0" w:type="dxa"/>
            <w:vAlign w:val="bottom"/>
          </w:tcPr>
          <w:p w:rsidR="00A621E3" w:rsidRDefault="00A621E3">
            <w:pPr>
              <w:rPr>
                <w:sz w:val="1"/>
                <w:szCs w:val="1"/>
              </w:rPr>
            </w:pPr>
          </w:p>
        </w:tc>
      </w:tr>
      <w:tr w:rsidR="00A621E3">
        <w:trPr>
          <w:trHeight w:val="162"/>
        </w:trPr>
        <w:tc>
          <w:tcPr>
            <w:tcW w:w="1500" w:type="dxa"/>
            <w:shd w:val="clear" w:color="auto" w:fill="FAE6E9"/>
            <w:vAlign w:val="bottom"/>
          </w:tcPr>
          <w:p w:rsidR="00A621E3" w:rsidRDefault="00A621E3">
            <w:pPr>
              <w:rPr>
                <w:sz w:val="14"/>
                <w:szCs w:val="14"/>
              </w:rPr>
            </w:pPr>
          </w:p>
        </w:tc>
        <w:tc>
          <w:tcPr>
            <w:tcW w:w="88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Number of</w:t>
            </w:r>
          </w:p>
        </w:tc>
        <w:tc>
          <w:tcPr>
            <w:tcW w:w="1420" w:type="dxa"/>
            <w:shd w:val="clear" w:color="auto" w:fill="FAE6E9"/>
            <w:vAlign w:val="bottom"/>
          </w:tcPr>
          <w:p w:rsidR="00A621E3" w:rsidRDefault="00A621E3">
            <w:pPr>
              <w:rPr>
                <w:sz w:val="14"/>
                <w:szCs w:val="14"/>
              </w:rPr>
            </w:pPr>
          </w:p>
        </w:tc>
        <w:tc>
          <w:tcPr>
            <w:tcW w:w="76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26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A621E3">
            <w:pPr>
              <w:rPr>
                <w:sz w:val="14"/>
                <w:szCs w:val="14"/>
              </w:rPr>
            </w:pPr>
          </w:p>
        </w:tc>
        <w:tc>
          <w:tcPr>
            <w:tcW w:w="92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Market</w:t>
            </w:r>
          </w:p>
        </w:tc>
        <w:tc>
          <w:tcPr>
            <w:tcW w:w="1200" w:type="dxa"/>
            <w:shd w:val="clear" w:color="auto" w:fill="FAE6E9"/>
            <w:vAlign w:val="bottom"/>
          </w:tcPr>
          <w:p w:rsidR="00A621E3" w:rsidRDefault="00EC630E">
            <w:pPr>
              <w:ind w:right="52"/>
              <w:jc w:val="center"/>
              <w:rPr>
                <w:sz w:val="20"/>
                <w:szCs w:val="20"/>
              </w:rPr>
            </w:pPr>
            <w:r>
              <w:rPr>
                <w:rFonts w:ascii="Arial" w:eastAsia="Arial" w:hAnsi="Arial" w:cs="Arial"/>
                <w:b/>
                <w:bCs/>
                <w:color w:val="CF0A2C"/>
                <w:sz w:val="14"/>
                <w:szCs w:val="14"/>
              </w:rPr>
              <w:t>Number of</w:t>
            </w:r>
          </w:p>
        </w:tc>
        <w:tc>
          <w:tcPr>
            <w:tcW w:w="1080" w:type="dxa"/>
            <w:gridSpan w:val="4"/>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Payout Value</w:t>
            </w:r>
          </w:p>
        </w:tc>
        <w:tc>
          <w:tcPr>
            <w:tcW w:w="0" w:type="dxa"/>
            <w:vAlign w:val="bottom"/>
          </w:tcPr>
          <w:p w:rsidR="00A621E3" w:rsidRDefault="00A621E3">
            <w:pPr>
              <w:rPr>
                <w:sz w:val="1"/>
                <w:szCs w:val="1"/>
              </w:rPr>
            </w:pPr>
          </w:p>
        </w:tc>
      </w:tr>
      <w:tr w:rsidR="00A621E3">
        <w:trPr>
          <w:trHeight w:val="162"/>
        </w:trPr>
        <w:tc>
          <w:tcPr>
            <w:tcW w:w="1500" w:type="dxa"/>
            <w:shd w:val="clear" w:color="auto" w:fill="FAE6E9"/>
            <w:vAlign w:val="bottom"/>
          </w:tcPr>
          <w:p w:rsidR="00A621E3" w:rsidRDefault="00A621E3">
            <w:pPr>
              <w:rPr>
                <w:sz w:val="14"/>
                <w:szCs w:val="14"/>
              </w:rPr>
            </w:pPr>
          </w:p>
        </w:tc>
        <w:tc>
          <w:tcPr>
            <w:tcW w:w="88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Securities</w:t>
            </w:r>
          </w:p>
        </w:tc>
        <w:tc>
          <w:tcPr>
            <w:tcW w:w="1420" w:type="dxa"/>
            <w:shd w:val="clear" w:color="auto" w:fill="FAE6E9"/>
            <w:vAlign w:val="bottom"/>
          </w:tcPr>
          <w:p w:rsidR="00A621E3" w:rsidRDefault="00EC630E">
            <w:pPr>
              <w:ind w:right="72"/>
              <w:jc w:val="center"/>
              <w:rPr>
                <w:sz w:val="20"/>
                <w:szCs w:val="20"/>
              </w:rPr>
            </w:pPr>
            <w:r>
              <w:rPr>
                <w:rFonts w:ascii="Arial" w:eastAsia="Arial" w:hAnsi="Arial" w:cs="Arial"/>
                <w:b/>
                <w:bCs/>
                <w:color w:val="CF0A2C"/>
                <w:sz w:val="14"/>
                <w:szCs w:val="14"/>
              </w:rPr>
              <w:t>Number of</w:t>
            </w:r>
          </w:p>
        </w:tc>
        <w:tc>
          <w:tcPr>
            <w:tcW w:w="76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26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ind w:right="32"/>
              <w:jc w:val="center"/>
              <w:rPr>
                <w:sz w:val="20"/>
                <w:szCs w:val="20"/>
              </w:rPr>
            </w:pPr>
            <w:r>
              <w:rPr>
                <w:rFonts w:ascii="Arial" w:eastAsia="Arial" w:hAnsi="Arial" w:cs="Arial"/>
                <w:b/>
                <w:bCs/>
                <w:color w:val="CF0A2C"/>
                <w:sz w:val="14"/>
                <w:szCs w:val="14"/>
              </w:rPr>
              <w:t>Number</w:t>
            </w:r>
          </w:p>
        </w:tc>
        <w:tc>
          <w:tcPr>
            <w:tcW w:w="92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Value</w:t>
            </w:r>
          </w:p>
        </w:tc>
        <w:tc>
          <w:tcPr>
            <w:tcW w:w="1200" w:type="dxa"/>
            <w:shd w:val="clear" w:color="auto" w:fill="FAE6E9"/>
            <w:vAlign w:val="bottom"/>
          </w:tcPr>
          <w:p w:rsidR="00A621E3" w:rsidRDefault="00EC630E">
            <w:pPr>
              <w:ind w:right="72"/>
              <w:jc w:val="center"/>
              <w:rPr>
                <w:sz w:val="20"/>
                <w:szCs w:val="20"/>
              </w:rPr>
            </w:pPr>
            <w:r>
              <w:rPr>
                <w:rFonts w:ascii="Arial" w:eastAsia="Arial" w:hAnsi="Arial" w:cs="Arial"/>
                <w:b/>
                <w:bCs/>
                <w:color w:val="CF0A2C"/>
                <w:sz w:val="14"/>
                <w:szCs w:val="14"/>
              </w:rPr>
              <w:t>Unearned</w:t>
            </w:r>
          </w:p>
        </w:tc>
        <w:tc>
          <w:tcPr>
            <w:tcW w:w="1080" w:type="dxa"/>
            <w:gridSpan w:val="4"/>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of Unearned</w:t>
            </w:r>
          </w:p>
        </w:tc>
        <w:tc>
          <w:tcPr>
            <w:tcW w:w="0" w:type="dxa"/>
            <w:vAlign w:val="bottom"/>
          </w:tcPr>
          <w:p w:rsidR="00A621E3" w:rsidRDefault="00A621E3">
            <w:pPr>
              <w:rPr>
                <w:sz w:val="1"/>
                <w:szCs w:val="1"/>
              </w:rPr>
            </w:pPr>
          </w:p>
        </w:tc>
      </w:tr>
      <w:tr w:rsidR="00A621E3">
        <w:trPr>
          <w:trHeight w:val="162"/>
        </w:trPr>
        <w:tc>
          <w:tcPr>
            <w:tcW w:w="1500" w:type="dxa"/>
            <w:shd w:val="clear" w:color="auto" w:fill="FAE6E9"/>
            <w:vAlign w:val="bottom"/>
          </w:tcPr>
          <w:p w:rsidR="00A621E3" w:rsidRDefault="00A621E3">
            <w:pPr>
              <w:rPr>
                <w:sz w:val="14"/>
                <w:szCs w:val="14"/>
              </w:rPr>
            </w:pPr>
          </w:p>
        </w:tc>
        <w:tc>
          <w:tcPr>
            <w:tcW w:w="88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Underlying</w:t>
            </w:r>
          </w:p>
        </w:tc>
        <w:tc>
          <w:tcPr>
            <w:tcW w:w="1420" w:type="dxa"/>
            <w:shd w:val="clear" w:color="auto" w:fill="FAE6E9"/>
            <w:vAlign w:val="bottom"/>
          </w:tcPr>
          <w:p w:rsidR="00A621E3" w:rsidRDefault="00EC630E">
            <w:pPr>
              <w:ind w:right="92"/>
              <w:jc w:val="center"/>
              <w:rPr>
                <w:sz w:val="20"/>
                <w:szCs w:val="20"/>
              </w:rPr>
            </w:pPr>
            <w:r>
              <w:rPr>
                <w:rFonts w:ascii="Arial" w:eastAsia="Arial" w:hAnsi="Arial" w:cs="Arial"/>
                <w:b/>
                <w:bCs/>
                <w:color w:val="CF0A2C"/>
                <w:sz w:val="14"/>
                <w:szCs w:val="14"/>
              </w:rPr>
              <w:t>Securities</w:t>
            </w:r>
          </w:p>
        </w:tc>
        <w:tc>
          <w:tcPr>
            <w:tcW w:w="76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26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ind w:right="32"/>
              <w:jc w:val="center"/>
              <w:rPr>
                <w:sz w:val="20"/>
                <w:szCs w:val="20"/>
              </w:rPr>
            </w:pPr>
            <w:r>
              <w:rPr>
                <w:rFonts w:ascii="Arial" w:eastAsia="Arial" w:hAnsi="Arial" w:cs="Arial"/>
                <w:b/>
                <w:bCs/>
                <w:color w:val="CF0A2C"/>
                <w:sz w:val="14"/>
                <w:szCs w:val="14"/>
              </w:rPr>
              <w:t>of Shares</w:t>
            </w:r>
          </w:p>
        </w:tc>
        <w:tc>
          <w:tcPr>
            <w:tcW w:w="92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of Shares</w:t>
            </w:r>
          </w:p>
        </w:tc>
        <w:tc>
          <w:tcPr>
            <w:tcW w:w="1200" w:type="dxa"/>
            <w:shd w:val="clear" w:color="auto" w:fill="FAE6E9"/>
            <w:vAlign w:val="bottom"/>
          </w:tcPr>
          <w:p w:rsidR="00A621E3" w:rsidRDefault="00EC630E">
            <w:pPr>
              <w:ind w:right="132"/>
              <w:jc w:val="right"/>
              <w:rPr>
                <w:sz w:val="20"/>
                <w:szCs w:val="20"/>
              </w:rPr>
            </w:pPr>
            <w:r>
              <w:rPr>
                <w:rFonts w:ascii="Arial" w:eastAsia="Arial" w:hAnsi="Arial" w:cs="Arial"/>
                <w:b/>
                <w:bCs/>
                <w:color w:val="CF0A2C"/>
                <w:sz w:val="14"/>
                <w:szCs w:val="14"/>
              </w:rPr>
              <w:t>Shares, Units</w:t>
            </w:r>
          </w:p>
        </w:tc>
        <w:tc>
          <w:tcPr>
            <w:tcW w:w="1080" w:type="dxa"/>
            <w:gridSpan w:val="4"/>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Shares, Units</w:t>
            </w:r>
          </w:p>
        </w:tc>
        <w:tc>
          <w:tcPr>
            <w:tcW w:w="0" w:type="dxa"/>
            <w:vAlign w:val="bottom"/>
          </w:tcPr>
          <w:p w:rsidR="00A621E3" w:rsidRDefault="00A621E3">
            <w:pPr>
              <w:rPr>
                <w:sz w:val="1"/>
                <w:szCs w:val="1"/>
              </w:rPr>
            </w:pPr>
          </w:p>
        </w:tc>
      </w:tr>
      <w:tr w:rsidR="00A621E3">
        <w:trPr>
          <w:trHeight w:val="162"/>
        </w:trPr>
        <w:tc>
          <w:tcPr>
            <w:tcW w:w="1500" w:type="dxa"/>
            <w:shd w:val="clear" w:color="auto" w:fill="FAE6E9"/>
            <w:vAlign w:val="bottom"/>
          </w:tcPr>
          <w:p w:rsidR="00A621E3" w:rsidRDefault="00A621E3">
            <w:pPr>
              <w:rPr>
                <w:sz w:val="14"/>
                <w:szCs w:val="14"/>
              </w:rPr>
            </w:pPr>
          </w:p>
        </w:tc>
        <w:tc>
          <w:tcPr>
            <w:tcW w:w="88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Unexercised</w:t>
            </w:r>
          </w:p>
        </w:tc>
        <w:tc>
          <w:tcPr>
            <w:tcW w:w="1420" w:type="dxa"/>
            <w:shd w:val="clear" w:color="auto" w:fill="FAE6E9"/>
            <w:vAlign w:val="bottom"/>
          </w:tcPr>
          <w:p w:rsidR="00A621E3" w:rsidRDefault="00EC630E">
            <w:pPr>
              <w:ind w:right="92"/>
              <w:jc w:val="center"/>
              <w:rPr>
                <w:sz w:val="20"/>
                <w:szCs w:val="20"/>
              </w:rPr>
            </w:pPr>
            <w:r>
              <w:rPr>
                <w:rFonts w:ascii="Arial" w:eastAsia="Arial" w:hAnsi="Arial" w:cs="Arial"/>
                <w:b/>
                <w:bCs/>
                <w:color w:val="CF0A2C"/>
                <w:sz w:val="14"/>
                <w:szCs w:val="14"/>
              </w:rPr>
              <w:t>Underlying</w:t>
            </w:r>
          </w:p>
        </w:tc>
        <w:tc>
          <w:tcPr>
            <w:tcW w:w="76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Option/</w:t>
            </w:r>
          </w:p>
        </w:tc>
        <w:tc>
          <w:tcPr>
            <w:tcW w:w="840" w:type="dxa"/>
            <w:shd w:val="clear" w:color="auto" w:fill="FAE6E9"/>
            <w:vAlign w:val="bottom"/>
          </w:tcPr>
          <w:p w:rsidR="00A621E3" w:rsidRDefault="00A621E3">
            <w:pPr>
              <w:rPr>
                <w:sz w:val="14"/>
                <w:szCs w:val="14"/>
              </w:rPr>
            </w:pPr>
          </w:p>
        </w:tc>
        <w:tc>
          <w:tcPr>
            <w:tcW w:w="26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ind w:right="12"/>
              <w:jc w:val="center"/>
              <w:rPr>
                <w:sz w:val="20"/>
                <w:szCs w:val="20"/>
              </w:rPr>
            </w:pPr>
            <w:r>
              <w:rPr>
                <w:rFonts w:ascii="Arial" w:eastAsia="Arial" w:hAnsi="Arial" w:cs="Arial"/>
                <w:b/>
                <w:bCs/>
                <w:color w:val="CF0A2C"/>
                <w:sz w:val="14"/>
                <w:szCs w:val="14"/>
              </w:rPr>
              <w:t>or Units of</w:t>
            </w:r>
          </w:p>
        </w:tc>
        <w:tc>
          <w:tcPr>
            <w:tcW w:w="92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or Units of</w:t>
            </w:r>
          </w:p>
        </w:tc>
        <w:tc>
          <w:tcPr>
            <w:tcW w:w="1200" w:type="dxa"/>
            <w:shd w:val="clear" w:color="auto" w:fill="FAE6E9"/>
            <w:vAlign w:val="bottom"/>
          </w:tcPr>
          <w:p w:rsidR="00A621E3" w:rsidRDefault="00EC630E">
            <w:pPr>
              <w:ind w:right="52"/>
              <w:jc w:val="center"/>
              <w:rPr>
                <w:sz w:val="20"/>
                <w:szCs w:val="20"/>
              </w:rPr>
            </w:pPr>
            <w:r>
              <w:rPr>
                <w:rFonts w:ascii="Arial" w:eastAsia="Arial" w:hAnsi="Arial" w:cs="Arial"/>
                <w:b/>
                <w:bCs/>
                <w:color w:val="CF0A2C"/>
                <w:sz w:val="14"/>
                <w:szCs w:val="14"/>
              </w:rPr>
              <w:t>or Other</w:t>
            </w:r>
          </w:p>
        </w:tc>
        <w:tc>
          <w:tcPr>
            <w:tcW w:w="820" w:type="dxa"/>
            <w:gridSpan w:val="3"/>
            <w:shd w:val="clear" w:color="auto" w:fill="FAE6E9"/>
            <w:vAlign w:val="bottom"/>
          </w:tcPr>
          <w:p w:rsidR="00A621E3" w:rsidRDefault="00EC630E">
            <w:pPr>
              <w:ind w:left="151"/>
              <w:jc w:val="center"/>
              <w:rPr>
                <w:sz w:val="20"/>
                <w:szCs w:val="20"/>
              </w:rPr>
            </w:pPr>
            <w:r>
              <w:rPr>
                <w:rFonts w:ascii="Arial" w:eastAsia="Arial" w:hAnsi="Arial" w:cs="Arial"/>
                <w:b/>
                <w:bCs/>
                <w:color w:val="CF0A2C"/>
                <w:sz w:val="14"/>
                <w:szCs w:val="14"/>
              </w:rPr>
              <w:t>or Other</w:t>
            </w:r>
          </w:p>
        </w:tc>
        <w:tc>
          <w:tcPr>
            <w:tcW w:w="260" w:type="dxa"/>
            <w:shd w:val="clear" w:color="auto" w:fill="FAE6E9"/>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1500" w:type="dxa"/>
            <w:shd w:val="clear" w:color="auto" w:fill="FAE6E9"/>
            <w:vAlign w:val="bottom"/>
          </w:tcPr>
          <w:p w:rsidR="00A621E3" w:rsidRDefault="00A621E3">
            <w:pPr>
              <w:rPr>
                <w:sz w:val="14"/>
                <w:szCs w:val="14"/>
              </w:rPr>
            </w:pPr>
          </w:p>
        </w:tc>
        <w:tc>
          <w:tcPr>
            <w:tcW w:w="88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Options/</w:t>
            </w:r>
          </w:p>
        </w:tc>
        <w:tc>
          <w:tcPr>
            <w:tcW w:w="1420" w:type="dxa"/>
            <w:shd w:val="clear" w:color="auto" w:fill="FAE6E9"/>
            <w:vAlign w:val="bottom"/>
          </w:tcPr>
          <w:p w:rsidR="00A621E3" w:rsidRDefault="00EC630E">
            <w:pPr>
              <w:ind w:right="92"/>
              <w:jc w:val="center"/>
              <w:rPr>
                <w:sz w:val="20"/>
                <w:szCs w:val="20"/>
              </w:rPr>
            </w:pPr>
            <w:r>
              <w:rPr>
                <w:rFonts w:ascii="Arial" w:eastAsia="Arial" w:hAnsi="Arial" w:cs="Arial"/>
                <w:b/>
                <w:bCs/>
                <w:color w:val="CF0A2C"/>
                <w:sz w:val="14"/>
                <w:szCs w:val="14"/>
              </w:rPr>
              <w:t>Unexercised</w:t>
            </w:r>
          </w:p>
        </w:tc>
        <w:tc>
          <w:tcPr>
            <w:tcW w:w="76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SAR</w:t>
            </w:r>
          </w:p>
        </w:tc>
        <w:tc>
          <w:tcPr>
            <w:tcW w:w="1100" w:type="dxa"/>
            <w:gridSpan w:val="2"/>
            <w:shd w:val="clear" w:color="auto" w:fill="FAE6E9"/>
            <w:vAlign w:val="bottom"/>
          </w:tcPr>
          <w:p w:rsidR="00A621E3" w:rsidRDefault="00EC630E">
            <w:pPr>
              <w:ind w:right="200"/>
              <w:jc w:val="center"/>
              <w:rPr>
                <w:sz w:val="20"/>
                <w:szCs w:val="20"/>
              </w:rPr>
            </w:pPr>
            <w:r>
              <w:rPr>
                <w:rFonts w:ascii="Arial" w:eastAsia="Arial" w:hAnsi="Arial" w:cs="Arial"/>
                <w:b/>
                <w:bCs/>
                <w:color w:val="CF0A2C"/>
                <w:sz w:val="14"/>
                <w:szCs w:val="14"/>
              </w:rPr>
              <w:t>Option/</w:t>
            </w:r>
          </w:p>
        </w:tc>
        <w:tc>
          <w:tcPr>
            <w:tcW w:w="1080" w:type="dxa"/>
            <w:shd w:val="clear" w:color="auto" w:fill="FAE6E9"/>
            <w:vAlign w:val="bottom"/>
          </w:tcPr>
          <w:p w:rsidR="00A621E3" w:rsidRDefault="00EC630E">
            <w:pPr>
              <w:ind w:right="32"/>
              <w:jc w:val="center"/>
              <w:rPr>
                <w:sz w:val="20"/>
                <w:szCs w:val="20"/>
              </w:rPr>
            </w:pPr>
            <w:r>
              <w:rPr>
                <w:rFonts w:ascii="Arial" w:eastAsia="Arial" w:hAnsi="Arial" w:cs="Arial"/>
                <w:b/>
                <w:bCs/>
                <w:color w:val="CF0A2C"/>
                <w:w w:val="99"/>
                <w:sz w:val="14"/>
                <w:szCs w:val="14"/>
              </w:rPr>
              <w:t>Stock</w:t>
            </w:r>
          </w:p>
        </w:tc>
        <w:tc>
          <w:tcPr>
            <w:tcW w:w="92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Stock That</w:t>
            </w:r>
          </w:p>
        </w:tc>
        <w:tc>
          <w:tcPr>
            <w:tcW w:w="1200" w:type="dxa"/>
            <w:shd w:val="clear" w:color="auto" w:fill="FAE6E9"/>
            <w:vAlign w:val="bottom"/>
          </w:tcPr>
          <w:p w:rsidR="00A621E3" w:rsidRDefault="00EC630E">
            <w:pPr>
              <w:ind w:right="52"/>
              <w:jc w:val="center"/>
              <w:rPr>
                <w:sz w:val="20"/>
                <w:szCs w:val="20"/>
              </w:rPr>
            </w:pPr>
            <w:r>
              <w:rPr>
                <w:rFonts w:ascii="Arial" w:eastAsia="Arial" w:hAnsi="Arial" w:cs="Arial"/>
                <w:b/>
                <w:bCs/>
                <w:color w:val="CF0A2C"/>
                <w:sz w:val="14"/>
                <w:szCs w:val="14"/>
              </w:rPr>
              <w:t>Rights</w:t>
            </w:r>
          </w:p>
        </w:tc>
        <w:tc>
          <w:tcPr>
            <w:tcW w:w="820" w:type="dxa"/>
            <w:gridSpan w:val="3"/>
            <w:shd w:val="clear" w:color="auto" w:fill="FAE6E9"/>
            <w:vAlign w:val="bottom"/>
          </w:tcPr>
          <w:p w:rsidR="00A621E3" w:rsidRDefault="00EC630E">
            <w:pPr>
              <w:ind w:left="151"/>
              <w:jc w:val="center"/>
              <w:rPr>
                <w:sz w:val="20"/>
                <w:szCs w:val="20"/>
              </w:rPr>
            </w:pPr>
            <w:r>
              <w:rPr>
                <w:rFonts w:ascii="Arial" w:eastAsia="Arial" w:hAnsi="Arial" w:cs="Arial"/>
                <w:b/>
                <w:bCs/>
                <w:color w:val="CF0A2C"/>
                <w:sz w:val="14"/>
                <w:szCs w:val="14"/>
              </w:rPr>
              <w:t>Rights</w:t>
            </w:r>
          </w:p>
        </w:tc>
        <w:tc>
          <w:tcPr>
            <w:tcW w:w="260" w:type="dxa"/>
            <w:shd w:val="clear" w:color="auto" w:fill="FAE6E9"/>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1500" w:type="dxa"/>
            <w:shd w:val="clear" w:color="auto" w:fill="FAE6E9"/>
            <w:vAlign w:val="bottom"/>
          </w:tcPr>
          <w:p w:rsidR="00A621E3" w:rsidRDefault="00A621E3">
            <w:pPr>
              <w:rPr>
                <w:sz w:val="14"/>
                <w:szCs w:val="14"/>
              </w:rPr>
            </w:pPr>
          </w:p>
        </w:tc>
        <w:tc>
          <w:tcPr>
            <w:tcW w:w="88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SARs</w:t>
            </w:r>
          </w:p>
        </w:tc>
        <w:tc>
          <w:tcPr>
            <w:tcW w:w="1420" w:type="dxa"/>
            <w:shd w:val="clear" w:color="auto" w:fill="FAE6E9"/>
            <w:vAlign w:val="bottom"/>
          </w:tcPr>
          <w:p w:rsidR="00A621E3" w:rsidRDefault="00EC630E">
            <w:pPr>
              <w:ind w:right="92"/>
              <w:jc w:val="center"/>
              <w:rPr>
                <w:sz w:val="20"/>
                <w:szCs w:val="20"/>
              </w:rPr>
            </w:pPr>
            <w:r>
              <w:rPr>
                <w:rFonts w:ascii="Arial" w:eastAsia="Arial" w:hAnsi="Arial" w:cs="Arial"/>
                <w:b/>
                <w:bCs/>
                <w:color w:val="CF0A2C"/>
                <w:sz w:val="14"/>
                <w:szCs w:val="14"/>
              </w:rPr>
              <w:t>Options/ SARs</w:t>
            </w:r>
          </w:p>
        </w:tc>
        <w:tc>
          <w:tcPr>
            <w:tcW w:w="76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Exercise</w:t>
            </w:r>
          </w:p>
        </w:tc>
        <w:tc>
          <w:tcPr>
            <w:tcW w:w="1100" w:type="dxa"/>
            <w:gridSpan w:val="2"/>
            <w:shd w:val="clear" w:color="auto" w:fill="FAE6E9"/>
            <w:vAlign w:val="bottom"/>
          </w:tcPr>
          <w:p w:rsidR="00A621E3" w:rsidRDefault="00EC630E">
            <w:pPr>
              <w:ind w:right="200"/>
              <w:jc w:val="center"/>
              <w:rPr>
                <w:sz w:val="20"/>
                <w:szCs w:val="20"/>
              </w:rPr>
            </w:pPr>
            <w:r>
              <w:rPr>
                <w:rFonts w:ascii="Arial" w:eastAsia="Arial" w:hAnsi="Arial" w:cs="Arial"/>
                <w:b/>
                <w:bCs/>
                <w:color w:val="CF0A2C"/>
                <w:sz w:val="14"/>
                <w:szCs w:val="14"/>
              </w:rPr>
              <w:t>SAR</w:t>
            </w:r>
          </w:p>
        </w:tc>
        <w:tc>
          <w:tcPr>
            <w:tcW w:w="1080" w:type="dxa"/>
            <w:shd w:val="clear" w:color="auto" w:fill="FAE6E9"/>
            <w:vAlign w:val="bottom"/>
          </w:tcPr>
          <w:p w:rsidR="00A621E3" w:rsidRDefault="00EC630E">
            <w:pPr>
              <w:ind w:right="32"/>
              <w:jc w:val="center"/>
              <w:rPr>
                <w:sz w:val="20"/>
                <w:szCs w:val="20"/>
              </w:rPr>
            </w:pPr>
            <w:r>
              <w:rPr>
                <w:rFonts w:ascii="Arial" w:eastAsia="Arial" w:hAnsi="Arial" w:cs="Arial"/>
                <w:b/>
                <w:bCs/>
                <w:color w:val="CF0A2C"/>
                <w:sz w:val="14"/>
                <w:szCs w:val="14"/>
              </w:rPr>
              <w:t>That Have</w:t>
            </w:r>
          </w:p>
        </w:tc>
        <w:tc>
          <w:tcPr>
            <w:tcW w:w="92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Have</w:t>
            </w:r>
          </w:p>
        </w:tc>
        <w:tc>
          <w:tcPr>
            <w:tcW w:w="1200" w:type="dxa"/>
            <w:shd w:val="clear" w:color="auto" w:fill="FAE6E9"/>
            <w:vAlign w:val="bottom"/>
          </w:tcPr>
          <w:p w:rsidR="00A621E3" w:rsidRDefault="00EC630E">
            <w:pPr>
              <w:ind w:right="52"/>
              <w:jc w:val="center"/>
              <w:rPr>
                <w:sz w:val="20"/>
                <w:szCs w:val="20"/>
              </w:rPr>
            </w:pPr>
            <w:r>
              <w:rPr>
                <w:rFonts w:ascii="Arial" w:eastAsia="Arial" w:hAnsi="Arial" w:cs="Arial"/>
                <w:b/>
                <w:bCs/>
                <w:color w:val="CF0A2C"/>
                <w:sz w:val="14"/>
                <w:szCs w:val="14"/>
              </w:rPr>
              <w:t>That Have</w:t>
            </w:r>
          </w:p>
        </w:tc>
        <w:tc>
          <w:tcPr>
            <w:tcW w:w="1080" w:type="dxa"/>
            <w:gridSpan w:val="4"/>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That Have</w:t>
            </w:r>
          </w:p>
        </w:tc>
        <w:tc>
          <w:tcPr>
            <w:tcW w:w="0" w:type="dxa"/>
            <w:vAlign w:val="bottom"/>
          </w:tcPr>
          <w:p w:rsidR="00A621E3" w:rsidRDefault="00A621E3">
            <w:pPr>
              <w:rPr>
                <w:sz w:val="1"/>
                <w:szCs w:val="1"/>
              </w:rPr>
            </w:pPr>
          </w:p>
        </w:tc>
      </w:tr>
      <w:tr w:rsidR="00A621E3">
        <w:trPr>
          <w:trHeight w:val="162"/>
        </w:trPr>
        <w:tc>
          <w:tcPr>
            <w:tcW w:w="1500" w:type="dxa"/>
            <w:shd w:val="clear" w:color="auto" w:fill="FAE6E9"/>
            <w:vAlign w:val="bottom"/>
          </w:tcPr>
          <w:p w:rsidR="00A621E3" w:rsidRDefault="00A621E3">
            <w:pPr>
              <w:rPr>
                <w:sz w:val="14"/>
                <w:szCs w:val="14"/>
              </w:rPr>
            </w:pPr>
          </w:p>
        </w:tc>
        <w:tc>
          <w:tcPr>
            <w:tcW w:w="880" w:type="dxa"/>
            <w:shd w:val="clear" w:color="auto" w:fill="FAE6E9"/>
            <w:vAlign w:val="bottom"/>
          </w:tcPr>
          <w:p w:rsidR="00A621E3" w:rsidRDefault="00EC630E">
            <w:pPr>
              <w:ind w:left="12"/>
              <w:jc w:val="center"/>
              <w:rPr>
                <w:sz w:val="20"/>
                <w:szCs w:val="20"/>
              </w:rPr>
            </w:pPr>
            <w:r>
              <w:rPr>
                <w:rFonts w:ascii="Arial" w:eastAsia="Arial" w:hAnsi="Arial" w:cs="Arial"/>
                <w:b/>
                <w:bCs/>
                <w:color w:val="CF0A2C"/>
                <w:sz w:val="14"/>
                <w:szCs w:val="14"/>
              </w:rPr>
              <w:t>Grant</w:t>
            </w: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w w:val="93"/>
                <w:sz w:val="14"/>
                <w:szCs w:val="14"/>
              </w:rPr>
              <w:t>(#)</w:t>
            </w:r>
          </w:p>
        </w:tc>
        <w:tc>
          <w:tcPr>
            <w:tcW w:w="1420" w:type="dxa"/>
            <w:shd w:val="clear" w:color="auto" w:fill="FAE6E9"/>
            <w:vAlign w:val="bottom"/>
          </w:tcPr>
          <w:p w:rsidR="00A621E3" w:rsidRDefault="00EC630E">
            <w:pPr>
              <w:ind w:right="92"/>
              <w:jc w:val="center"/>
              <w:rPr>
                <w:sz w:val="20"/>
                <w:szCs w:val="20"/>
              </w:rPr>
            </w:pPr>
            <w:r>
              <w:rPr>
                <w:rFonts w:ascii="Arial" w:eastAsia="Arial" w:hAnsi="Arial" w:cs="Arial"/>
                <w:b/>
                <w:bCs/>
                <w:color w:val="CF0A2C"/>
                <w:sz w:val="14"/>
                <w:szCs w:val="14"/>
              </w:rPr>
              <w:t>(#)</w:t>
            </w:r>
          </w:p>
        </w:tc>
        <w:tc>
          <w:tcPr>
            <w:tcW w:w="76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Price</w:t>
            </w:r>
          </w:p>
        </w:tc>
        <w:tc>
          <w:tcPr>
            <w:tcW w:w="1100" w:type="dxa"/>
            <w:gridSpan w:val="2"/>
            <w:shd w:val="clear" w:color="auto" w:fill="FAE6E9"/>
            <w:vAlign w:val="bottom"/>
          </w:tcPr>
          <w:p w:rsidR="00A621E3" w:rsidRDefault="00EC630E">
            <w:pPr>
              <w:ind w:right="200"/>
              <w:jc w:val="center"/>
              <w:rPr>
                <w:sz w:val="20"/>
                <w:szCs w:val="20"/>
              </w:rPr>
            </w:pPr>
            <w:r>
              <w:rPr>
                <w:rFonts w:ascii="Arial" w:eastAsia="Arial" w:hAnsi="Arial" w:cs="Arial"/>
                <w:b/>
                <w:bCs/>
                <w:color w:val="CF0A2C"/>
                <w:sz w:val="14"/>
                <w:szCs w:val="14"/>
              </w:rPr>
              <w:t>Expiration</w:t>
            </w:r>
          </w:p>
        </w:tc>
        <w:tc>
          <w:tcPr>
            <w:tcW w:w="1080" w:type="dxa"/>
            <w:shd w:val="clear" w:color="auto" w:fill="FAE6E9"/>
            <w:vAlign w:val="bottom"/>
          </w:tcPr>
          <w:p w:rsidR="00A621E3" w:rsidRDefault="00EC630E">
            <w:pPr>
              <w:ind w:right="152"/>
              <w:jc w:val="right"/>
              <w:rPr>
                <w:sz w:val="20"/>
                <w:szCs w:val="20"/>
              </w:rPr>
            </w:pPr>
            <w:r>
              <w:rPr>
                <w:rFonts w:ascii="Arial" w:eastAsia="Arial" w:hAnsi="Arial" w:cs="Arial"/>
                <w:b/>
                <w:bCs/>
                <w:color w:val="CF0A2C"/>
                <w:sz w:val="14"/>
                <w:szCs w:val="14"/>
              </w:rPr>
              <w:t>Not Vested</w:t>
            </w:r>
          </w:p>
        </w:tc>
        <w:tc>
          <w:tcPr>
            <w:tcW w:w="92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Not Vested</w:t>
            </w:r>
          </w:p>
        </w:tc>
        <w:tc>
          <w:tcPr>
            <w:tcW w:w="1200" w:type="dxa"/>
            <w:shd w:val="clear" w:color="auto" w:fill="FAE6E9"/>
            <w:vAlign w:val="bottom"/>
          </w:tcPr>
          <w:p w:rsidR="00A621E3" w:rsidRDefault="00EC630E">
            <w:pPr>
              <w:ind w:right="72"/>
              <w:jc w:val="center"/>
              <w:rPr>
                <w:sz w:val="20"/>
                <w:szCs w:val="20"/>
              </w:rPr>
            </w:pPr>
            <w:r>
              <w:rPr>
                <w:rFonts w:ascii="Arial" w:eastAsia="Arial" w:hAnsi="Arial" w:cs="Arial"/>
                <w:b/>
                <w:bCs/>
                <w:color w:val="CF0A2C"/>
                <w:sz w:val="14"/>
                <w:szCs w:val="14"/>
              </w:rPr>
              <w:t>Not Vested</w:t>
            </w:r>
          </w:p>
        </w:tc>
        <w:tc>
          <w:tcPr>
            <w:tcW w:w="1080" w:type="dxa"/>
            <w:gridSpan w:val="4"/>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Not Vested</w:t>
            </w:r>
          </w:p>
        </w:tc>
        <w:tc>
          <w:tcPr>
            <w:tcW w:w="0" w:type="dxa"/>
            <w:vAlign w:val="bottom"/>
          </w:tcPr>
          <w:p w:rsidR="00A621E3" w:rsidRDefault="00A621E3">
            <w:pPr>
              <w:rPr>
                <w:sz w:val="1"/>
                <w:szCs w:val="1"/>
              </w:rPr>
            </w:pPr>
          </w:p>
        </w:tc>
      </w:tr>
      <w:tr w:rsidR="00A621E3">
        <w:trPr>
          <w:trHeight w:val="189"/>
        </w:trPr>
        <w:tc>
          <w:tcPr>
            <w:tcW w:w="1500" w:type="dxa"/>
            <w:tcBorders>
              <w:bottom w:val="single" w:sz="8" w:space="0" w:color="CF0A2C"/>
            </w:tcBorders>
            <w:shd w:val="clear" w:color="auto" w:fill="FAE6E9"/>
            <w:vAlign w:val="bottom"/>
          </w:tcPr>
          <w:p w:rsidR="00A621E3" w:rsidRDefault="00EC630E">
            <w:pPr>
              <w:rPr>
                <w:sz w:val="20"/>
                <w:szCs w:val="20"/>
              </w:rPr>
            </w:pPr>
            <w:r>
              <w:rPr>
                <w:rFonts w:ascii="Arial" w:eastAsia="Arial" w:hAnsi="Arial" w:cs="Arial"/>
                <w:b/>
                <w:bCs/>
                <w:color w:val="CF0A2C"/>
                <w:sz w:val="14"/>
                <w:szCs w:val="14"/>
              </w:rPr>
              <w:t>Name</w:t>
            </w:r>
          </w:p>
        </w:tc>
        <w:tc>
          <w:tcPr>
            <w:tcW w:w="880" w:type="dxa"/>
            <w:tcBorders>
              <w:bottom w:val="single" w:sz="8" w:space="0" w:color="CF0A2C"/>
            </w:tcBorders>
            <w:shd w:val="clear" w:color="auto" w:fill="FAE6E9"/>
            <w:vAlign w:val="bottom"/>
          </w:tcPr>
          <w:p w:rsidR="00A621E3" w:rsidRDefault="00EC630E">
            <w:pPr>
              <w:ind w:left="12"/>
              <w:jc w:val="center"/>
              <w:rPr>
                <w:sz w:val="20"/>
                <w:szCs w:val="20"/>
              </w:rPr>
            </w:pPr>
            <w:r>
              <w:rPr>
                <w:rFonts w:ascii="Arial" w:eastAsia="Arial" w:hAnsi="Arial" w:cs="Arial"/>
                <w:b/>
                <w:bCs/>
                <w:color w:val="CF0A2C"/>
                <w:sz w:val="14"/>
                <w:szCs w:val="14"/>
              </w:rPr>
              <w:t>Date</w:t>
            </w:r>
          </w:p>
        </w:tc>
        <w:tc>
          <w:tcPr>
            <w:tcW w:w="1080" w:type="dxa"/>
            <w:tcBorders>
              <w:bottom w:val="single" w:sz="8" w:space="0" w:color="CF0A2C"/>
            </w:tcBorders>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Exercisable</w:t>
            </w:r>
          </w:p>
        </w:tc>
        <w:tc>
          <w:tcPr>
            <w:tcW w:w="1420" w:type="dxa"/>
            <w:tcBorders>
              <w:bottom w:val="single" w:sz="8" w:space="0" w:color="CF0A2C"/>
            </w:tcBorders>
            <w:shd w:val="clear" w:color="auto" w:fill="FAE6E9"/>
            <w:vAlign w:val="bottom"/>
          </w:tcPr>
          <w:p w:rsidR="00A621E3" w:rsidRDefault="00EC630E">
            <w:pPr>
              <w:spacing w:line="189" w:lineRule="exact"/>
              <w:ind w:right="172"/>
              <w:jc w:val="right"/>
              <w:rPr>
                <w:sz w:val="20"/>
                <w:szCs w:val="20"/>
              </w:rPr>
            </w:pPr>
            <w:r>
              <w:rPr>
                <w:rFonts w:ascii="Arial" w:eastAsia="Arial" w:hAnsi="Arial" w:cs="Arial"/>
                <w:b/>
                <w:bCs/>
                <w:color w:val="CF0A2C"/>
                <w:sz w:val="14"/>
                <w:szCs w:val="14"/>
              </w:rPr>
              <w:t>Unexercisable</w:t>
            </w:r>
            <w:r>
              <w:rPr>
                <w:rFonts w:ascii="Arial" w:eastAsia="Arial" w:hAnsi="Arial" w:cs="Arial"/>
                <w:b/>
                <w:bCs/>
                <w:color w:val="CF0A2C"/>
                <w:sz w:val="21"/>
                <w:szCs w:val="21"/>
                <w:vertAlign w:val="superscript"/>
              </w:rPr>
              <w:t>(1)</w:t>
            </w:r>
          </w:p>
        </w:tc>
        <w:tc>
          <w:tcPr>
            <w:tcW w:w="760" w:type="dxa"/>
            <w:tcBorders>
              <w:bottom w:val="single" w:sz="8" w:space="0" w:color="CF0A2C"/>
            </w:tcBorders>
            <w:shd w:val="clear" w:color="auto" w:fill="FAE6E9"/>
            <w:vAlign w:val="bottom"/>
          </w:tcPr>
          <w:p w:rsidR="00A621E3" w:rsidRDefault="00EC630E">
            <w:pPr>
              <w:jc w:val="center"/>
              <w:rPr>
                <w:sz w:val="20"/>
                <w:szCs w:val="20"/>
              </w:rPr>
            </w:pPr>
            <w:r>
              <w:rPr>
                <w:rFonts w:ascii="Arial" w:eastAsia="Arial" w:hAnsi="Arial" w:cs="Arial"/>
                <w:b/>
                <w:bCs/>
                <w:color w:val="CF0A2C"/>
                <w:w w:val="93"/>
                <w:sz w:val="14"/>
                <w:szCs w:val="14"/>
              </w:rPr>
              <w:t>($)</w:t>
            </w:r>
          </w:p>
        </w:tc>
        <w:tc>
          <w:tcPr>
            <w:tcW w:w="1100" w:type="dxa"/>
            <w:gridSpan w:val="2"/>
            <w:tcBorders>
              <w:bottom w:val="single" w:sz="8" w:space="0" w:color="CF0A2C"/>
            </w:tcBorders>
            <w:shd w:val="clear" w:color="auto" w:fill="FAE6E9"/>
            <w:vAlign w:val="bottom"/>
          </w:tcPr>
          <w:p w:rsidR="00A621E3" w:rsidRDefault="00EC630E">
            <w:pPr>
              <w:ind w:right="220"/>
              <w:jc w:val="center"/>
              <w:rPr>
                <w:sz w:val="20"/>
                <w:szCs w:val="20"/>
              </w:rPr>
            </w:pPr>
            <w:r>
              <w:rPr>
                <w:rFonts w:ascii="Arial" w:eastAsia="Arial" w:hAnsi="Arial" w:cs="Arial"/>
                <w:b/>
                <w:bCs/>
                <w:color w:val="CF0A2C"/>
                <w:sz w:val="14"/>
                <w:szCs w:val="14"/>
              </w:rPr>
              <w:t>Date</w:t>
            </w:r>
          </w:p>
        </w:tc>
        <w:tc>
          <w:tcPr>
            <w:tcW w:w="1080" w:type="dxa"/>
            <w:tcBorders>
              <w:bottom w:val="single" w:sz="8" w:space="0" w:color="CF0A2C"/>
            </w:tcBorders>
            <w:shd w:val="clear" w:color="auto" w:fill="FAE6E9"/>
            <w:vAlign w:val="bottom"/>
          </w:tcPr>
          <w:p w:rsidR="00A621E3" w:rsidRDefault="00EC630E">
            <w:pPr>
              <w:spacing w:line="189" w:lineRule="exact"/>
              <w:ind w:right="32"/>
              <w:jc w:val="center"/>
              <w:rPr>
                <w:sz w:val="20"/>
                <w:szCs w:val="20"/>
              </w:rPr>
            </w:pPr>
            <w:r>
              <w:rPr>
                <w:rFonts w:ascii="Arial" w:eastAsia="Arial" w:hAnsi="Arial" w:cs="Arial"/>
                <w:b/>
                <w:bCs/>
                <w:color w:val="CF0A2C"/>
                <w:w w:val="87"/>
                <w:sz w:val="14"/>
                <w:szCs w:val="14"/>
              </w:rPr>
              <w:t>(#)</w:t>
            </w:r>
            <w:r>
              <w:rPr>
                <w:rFonts w:ascii="Arial" w:eastAsia="Arial" w:hAnsi="Arial" w:cs="Arial"/>
                <w:b/>
                <w:bCs/>
                <w:color w:val="CF0A2C"/>
                <w:w w:val="87"/>
                <w:sz w:val="21"/>
                <w:szCs w:val="21"/>
                <w:vertAlign w:val="superscript"/>
              </w:rPr>
              <w:t>(2)</w:t>
            </w:r>
          </w:p>
        </w:tc>
        <w:tc>
          <w:tcPr>
            <w:tcW w:w="920" w:type="dxa"/>
            <w:tcBorders>
              <w:bottom w:val="single" w:sz="8" w:space="0" w:color="CF0A2C"/>
            </w:tcBorders>
            <w:shd w:val="clear" w:color="auto" w:fill="FAE6E9"/>
            <w:vAlign w:val="bottom"/>
          </w:tcPr>
          <w:p w:rsidR="00A621E3" w:rsidRDefault="00EC630E">
            <w:pPr>
              <w:spacing w:line="189" w:lineRule="exact"/>
              <w:jc w:val="center"/>
              <w:rPr>
                <w:sz w:val="20"/>
                <w:szCs w:val="20"/>
              </w:rPr>
            </w:pPr>
            <w:r>
              <w:rPr>
                <w:rFonts w:ascii="Arial" w:eastAsia="Arial" w:hAnsi="Arial" w:cs="Arial"/>
                <w:b/>
                <w:bCs/>
                <w:color w:val="CF0A2C"/>
                <w:sz w:val="21"/>
                <w:szCs w:val="21"/>
                <w:vertAlign w:val="subscript"/>
              </w:rPr>
              <w:t>($)</w:t>
            </w:r>
            <w:r>
              <w:rPr>
                <w:rFonts w:ascii="Arial" w:eastAsia="Arial" w:hAnsi="Arial" w:cs="Arial"/>
                <w:b/>
                <w:bCs/>
                <w:color w:val="CF0A2C"/>
                <w:sz w:val="9"/>
                <w:szCs w:val="9"/>
              </w:rPr>
              <w:t>(3)</w:t>
            </w:r>
          </w:p>
        </w:tc>
        <w:tc>
          <w:tcPr>
            <w:tcW w:w="1200" w:type="dxa"/>
            <w:tcBorders>
              <w:bottom w:val="single" w:sz="8" w:space="0" w:color="CF0A2C"/>
            </w:tcBorders>
            <w:shd w:val="clear" w:color="auto" w:fill="FAE6E9"/>
            <w:vAlign w:val="bottom"/>
          </w:tcPr>
          <w:p w:rsidR="00A621E3" w:rsidRDefault="00EC630E">
            <w:pPr>
              <w:spacing w:line="189" w:lineRule="exact"/>
              <w:ind w:right="52"/>
              <w:jc w:val="center"/>
              <w:rPr>
                <w:sz w:val="20"/>
                <w:szCs w:val="20"/>
              </w:rPr>
            </w:pPr>
            <w:r>
              <w:rPr>
                <w:rFonts w:ascii="Arial" w:eastAsia="Arial" w:hAnsi="Arial" w:cs="Arial"/>
                <w:b/>
                <w:bCs/>
                <w:color w:val="CF0A2C"/>
                <w:w w:val="93"/>
                <w:sz w:val="14"/>
                <w:szCs w:val="14"/>
              </w:rPr>
              <w:t>(#)</w:t>
            </w:r>
            <w:r>
              <w:rPr>
                <w:rFonts w:ascii="Arial" w:eastAsia="Arial" w:hAnsi="Arial" w:cs="Arial"/>
                <w:b/>
                <w:bCs/>
                <w:color w:val="CF0A2C"/>
                <w:w w:val="93"/>
                <w:sz w:val="21"/>
                <w:szCs w:val="21"/>
                <w:vertAlign w:val="superscript"/>
              </w:rPr>
              <w:t>(4)</w:t>
            </w:r>
          </w:p>
        </w:tc>
        <w:tc>
          <w:tcPr>
            <w:tcW w:w="820" w:type="dxa"/>
            <w:gridSpan w:val="3"/>
            <w:tcBorders>
              <w:bottom w:val="single" w:sz="8" w:space="0" w:color="CF0A2C"/>
            </w:tcBorders>
            <w:shd w:val="clear" w:color="auto" w:fill="FAE6E9"/>
            <w:vAlign w:val="bottom"/>
          </w:tcPr>
          <w:p w:rsidR="00A621E3" w:rsidRDefault="00EC630E">
            <w:pPr>
              <w:spacing w:line="189" w:lineRule="exact"/>
              <w:ind w:left="171"/>
              <w:jc w:val="center"/>
              <w:rPr>
                <w:sz w:val="20"/>
                <w:szCs w:val="20"/>
              </w:rPr>
            </w:pPr>
            <w:r>
              <w:rPr>
                <w:rFonts w:ascii="Arial" w:eastAsia="Arial" w:hAnsi="Arial" w:cs="Arial"/>
                <w:b/>
                <w:bCs/>
                <w:color w:val="CF0A2C"/>
                <w:w w:val="87"/>
                <w:sz w:val="14"/>
                <w:szCs w:val="14"/>
              </w:rPr>
              <w:t>($)</w:t>
            </w:r>
            <w:r>
              <w:rPr>
                <w:rFonts w:ascii="Arial" w:eastAsia="Arial" w:hAnsi="Arial" w:cs="Arial"/>
                <w:b/>
                <w:bCs/>
                <w:color w:val="CF0A2C"/>
                <w:w w:val="87"/>
                <w:sz w:val="21"/>
                <w:szCs w:val="21"/>
                <w:vertAlign w:val="superscript"/>
              </w:rPr>
              <w:t>(3)</w:t>
            </w:r>
          </w:p>
        </w:tc>
        <w:tc>
          <w:tcPr>
            <w:tcW w:w="260" w:type="dxa"/>
            <w:tcBorders>
              <w:bottom w:val="single" w:sz="8" w:space="0" w:color="CF0A2C"/>
            </w:tcBorders>
            <w:shd w:val="clear" w:color="auto" w:fill="FAE6E9"/>
            <w:vAlign w:val="bottom"/>
          </w:tcPr>
          <w:p w:rsidR="00A621E3" w:rsidRDefault="00A621E3">
            <w:pPr>
              <w:rPr>
                <w:sz w:val="16"/>
                <w:szCs w:val="16"/>
              </w:rPr>
            </w:pPr>
          </w:p>
        </w:tc>
        <w:tc>
          <w:tcPr>
            <w:tcW w:w="0" w:type="dxa"/>
            <w:vAlign w:val="bottom"/>
          </w:tcPr>
          <w:p w:rsidR="00A621E3" w:rsidRDefault="00A621E3">
            <w:pPr>
              <w:rPr>
                <w:sz w:val="1"/>
                <w:szCs w:val="1"/>
              </w:rPr>
            </w:pPr>
          </w:p>
        </w:tc>
      </w:tr>
      <w:tr w:rsidR="00A621E3">
        <w:trPr>
          <w:trHeight w:val="139"/>
        </w:trPr>
        <w:tc>
          <w:tcPr>
            <w:tcW w:w="1500" w:type="dxa"/>
            <w:vAlign w:val="bottom"/>
          </w:tcPr>
          <w:p w:rsidR="00A621E3" w:rsidRDefault="00EC630E">
            <w:pPr>
              <w:spacing w:line="139" w:lineRule="exact"/>
              <w:ind w:left="80"/>
              <w:rPr>
                <w:sz w:val="20"/>
                <w:szCs w:val="20"/>
              </w:rPr>
            </w:pPr>
            <w:r>
              <w:rPr>
                <w:rFonts w:ascii="Arial" w:eastAsia="Arial" w:hAnsi="Arial" w:cs="Arial"/>
                <w:b/>
                <w:bCs/>
                <w:color w:val="CF0A2C"/>
                <w:sz w:val="14"/>
                <w:szCs w:val="14"/>
              </w:rPr>
              <w:t>(a)</w:t>
            </w:r>
          </w:p>
        </w:tc>
        <w:tc>
          <w:tcPr>
            <w:tcW w:w="880" w:type="dxa"/>
            <w:vAlign w:val="bottom"/>
          </w:tcPr>
          <w:p w:rsidR="00A621E3" w:rsidRDefault="00EC630E">
            <w:pPr>
              <w:spacing w:line="139" w:lineRule="exact"/>
              <w:ind w:left="12"/>
              <w:jc w:val="center"/>
              <w:rPr>
                <w:sz w:val="20"/>
                <w:szCs w:val="20"/>
              </w:rPr>
            </w:pPr>
            <w:r>
              <w:rPr>
                <w:rFonts w:ascii="Arial" w:eastAsia="Arial" w:hAnsi="Arial" w:cs="Arial"/>
                <w:b/>
                <w:bCs/>
                <w:color w:val="CF0A2C"/>
                <w:sz w:val="14"/>
                <w:szCs w:val="14"/>
              </w:rPr>
              <w:t>(b)</w:t>
            </w:r>
          </w:p>
        </w:tc>
        <w:tc>
          <w:tcPr>
            <w:tcW w:w="1080" w:type="dxa"/>
            <w:vAlign w:val="bottom"/>
          </w:tcPr>
          <w:p w:rsidR="00A621E3" w:rsidRDefault="00EC630E">
            <w:pPr>
              <w:spacing w:line="139" w:lineRule="exact"/>
              <w:jc w:val="center"/>
              <w:rPr>
                <w:sz w:val="20"/>
                <w:szCs w:val="20"/>
              </w:rPr>
            </w:pPr>
            <w:r>
              <w:rPr>
                <w:rFonts w:ascii="Arial" w:eastAsia="Arial" w:hAnsi="Arial" w:cs="Arial"/>
                <w:b/>
                <w:bCs/>
                <w:color w:val="CF0A2C"/>
                <w:w w:val="93"/>
                <w:sz w:val="14"/>
                <w:szCs w:val="14"/>
              </w:rPr>
              <w:t>(c)</w:t>
            </w:r>
          </w:p>
        </w:tc>
        <w:tc>
          <w:tcPr>
            <w:tcW w:w="1420" w:type="dxa"/>
            <w:vAlign w:val="bottom"/>
          </w:tcPr>
          <w:p w:rsidR="00A621E3" w:rsidRDefault="00EC630E">
            <w:pPr>
              <w:spacing w:line="139" w:lineRule="exact"/>
              <w:ind w:right="92"/>
              <w:jc w:val="center"/>
              <w:rPr>
                <w:sz w:val="20"/>
                <w:szCs w:val="20"/>
              </w:rPr>
            </w:pPr>
            <w:r>
              <w:rPr>
                <w:rFonts w:ascii="Arial" w:eastAsia="Arial" w:hAnsi="Arial" w:cs="Arial"/>
                <w:b/>
                <w:bCs/>
                <w:color w:val="CF0A2C"/>
                <w:sz w:val="14"/>
                <w:szCs w:val="14"/>
              </w:rPr>
              <w:t>(d)</w:t>
            </w:r>
          </w:p>
        </w:tc>
        <w:tc>
          <w:tcPr>
            <w:tcW w:w="760" w:type="dxa"/>
            <w:vAlign w:val="bottom"/>
          </w:tcPr>
          <w:p w:rsidR="00A621E3" w:rsidRDefault="00EC630E">
            <w:pPr>
              <w:spacing w:line="139" w:lineRule="exact"/>
              <w:jc w:val="center"/>
              <w:rPr>
                <w:sz w:val="20"/>
                <w:szCs w:val="20"/>
              </w:rPr>
            </w:pPr>
            <w:r>
              <w:rPr>
                <w:rFonts w:ascii="Arial" w:eastAsia="Arial" w:hAnsi="Arial" w:cs="Arial"/>
                <w:b/>
                <w:bCs/>
                <w:color w:val="CF0A2C"/>
                <w:w w:val="93"/>
                <w:sz w:val="14"/>
                <w:szCs w:val="14"/>
              </w:rPr>
              <w:t>(e)</w:t>
            </w:r>
          </w:p>
        </w:tc>
        <w:tc>
          <w:tcPr>
            <w:tcW w:w="1100" w:type="dxa"/>
            <w:gridSpan w:val="2"/>
            <w:vAlign w:val="bottom"/>
          </w:tcPr>
          <w:p w:rsidR="00A621E3" w:rsidRDefault="00EC630E">
            <w:pPr>
              <w:spacing w:line="139" w:lineRule="exact"/>
              <w:ind w:right="200"/>
              <w:jc w:val="center"/>
              <w:rPr>
                <w:sz w:val="20"/>
                <w:szCs w:val="20"/>
              </w:rPr>
            </w:pPr>
            <w:r>
              <w:rPr>
                <w:rFonts w:ascii="Arial" w:eastAsia="Arial" w:hAnsi="Arial" w:cs="Arial"/>
                <w:b/>
                <w:bCs/>
                <w:color w:val="CF0A2C"/>
                <w:w w:val="99"/>
                <w:sz w:val="14"/>
                <w:szCs w:val="14"/>
              </w:rPr>
              <w:t>(f)</w:t>
            </w:r>
          </w:p>
        </w:tc>
        <w:tc>
          <w:tcPr>
            <w:tcW w:w="1080" w:type="dxa"/>
            <w:vAlign w:val="bottom"/>
          </w:tcPr>
          <w:p w:rsidR="00A621E3" w:rsidRDefault="00EC630E">
            <w:pPr>
              <w:spacing w:line="139" w:lineRule="exact"/>
              <w:ind w:right="32"/>
              <w:jc w:val="center"/>
              <w:rPr>
                <w:sz w:val="20"/>
                <w:szCs w:val="20"/>
              </w:rPr>
            </w:pPr>
            <w:r>
              <w:rPr>
                <w:rFonts w:ascii="Arial" w:eastAsia="Arial" w:hAnsi="Arial" w:cs="Arial"/>
                <w:b/>
                <w:bCs/>
                <w:color w:val="CF0A2C"/>
                <w:sz w:val="14"/>
                <w:szCs w:val="14"/>
              </w:rPr>
              <w:t>(g)</w:t>
            </w:r>
          </w:p>
        </w:tc>
        <w:tc>
          <w:tcPr>
            <w:tcW w:w="920" w:type="dxa"/>
            <w:vAlign w:val="bottom"/>
          </w:tcPr>
          <w:p w:rsidR="00A621E3" w:rsidRDefault="00EC630E">
            <w:pPr>
              <w:spacing w:line="139" w:lineRule="exact"/>
              <w:jc w:val="center"/>
              <w:rPr>
                <w:sz w:val="20"/>
                <w:szCs w:val="20"/>
              </w:rPr>
            </w:pPr>
            <w:r>
              <w:rPr>
                <w:rFonts w:ascii="Arial" w:eastAsia="Arial" w:hAnsi="Arial" w:cs="Arial"/>
                <w:b/>
                <w:bCs/>
                <w:color w:val="CF0A2C"/>
                <w:sz w:val="14"/>
                <w:szCs w:val="14"/>
              </w:rPr>
              <w:t>(h)</w:t>
            </w:r>
          </w:p>
        </w:tc>
        <w:tc>
          <w:tcPr>
            <w:tcW w:w="1200" w:type="dxa"/>
            <w:vAlign w:val="bottom"/>
          </w:tcPr>
          <w:p w:rsidR="00A621E3" w:rsidRDefault="00EC630E">
            <w:pPr>
              <w:spacing w:line="139" w:lineRule="exact"/>
              <w:ind w:right="72"/>
              <w:jc w:val="center"/>
              <w:rPr>
                <w:sz w:val="20"/>
                <w:szCs w:val="20"/>
              </w:rPr>
            </w:pPr>
            <w:r>
              <w:rPr>
                <w:rFonts w:ascii="Arial" w:eastAsia="Arial" w:hAnsi="Arial" w:cs="Arial"/>
                <w:b/>
                <w:bCs/>
                <w:color w:val="CF0A2C"/>
                <w:sz w:val="14"/>
                <w:szCs w:val="14"/>
              </w:rPr>
              <w:t>(i)</w:t>
            </w:r>
          </w:p>
        </w:tc>
        <w:tc>
          <w:tcPr>
            <w:tcW w:w="820" w:type="dxa"/>
            <w:gridSpan w:val="3"/>
            <w:vAlign w:val="bottom"/>
          </w:tcPr>
          <w:p w:rsidR="00A621E3" w:rsidRDefault="00EC630E">
            <w:pPr>
              <w:spacing w:line="139" w:lineRule="exact"/>
              <w:ind w:left="171"/>
              <w:jc w:val="center"/>
              <w:rPr>
                <w:sz w:val="20"/>
                <w:szCs w:val="20"/>
              </w:rPr>
            </w:pPr>
            <w:r>
              <w:rPr>
                <w:rFonts w:ascii="Arial" w:eastAsia="Arial" w:hAnsi="Arial" w:cs="Arial"/>
                <w:b/>
                <w:bCs/>
                <w:color w:val="CF0A2C"/>
                <w:sz w:val="14"/>
                <w:szCs w:val="14"/>
              </w:rPr>
              <w:t>(j)</w:t>
            </w:r>
          </w:p>
        </w:tc>
        <w:tc>
          <w:tcPr>
            <w:tcW w:w="260" w:type="dxa"/>
            <w:vAlign w:val="bottom"/>
          </w:tcPr>
          <w:p w:rsidR="00A621E3" w:rsidRDefault="00A621E3">
            <w:pPr>
              <w:rPr>
                <w:sz w:val="12"/>
                <w:szCs w:val="12"/>
              </w:rPr>
            </w:pPr>
          </w:p>
        </w:tc>
        <w:tc>
          <w:tcPr>
            <w:tcW w:w="0" w:type="dxa"/>
            <w:vAlign w:val="bottom"/>
          </w:tcPr>
          <w:p w:rsidR="00A621E3" w:rsidRDefault="00A621E3">
            <w:pPr>
              <w:rPr>
                <w:sz w:val="1"/>
                <w:szCs w:val="1"/>
              </w:rPr>
            </w:pPr>
          </w:p>
        </w:tc>
      </w:tr>
      <w:tr w:rsidR="00A621E3">
        <w:trPr>
          <w:trHeight w:val="178"/>
        </w:trPr>
        <w:tc>
          <w:tcPr>
            <w:tcW w:w="1500" w:type="dxa"/>
            <w:vAlign w:val="bottom"/>
          </w:tcPr>
          <w:p w:rsidR="00A621E3" w:rsidRDefault="00EC630E">
            <w:pPr>
              <w:rPr>
                <w:sz w:val="20"/>
                <w:szCs w:val="20"/>
              </w:rPr>
            </w:pPr>
            <w:r>
              <w:rPr>
                <w:rFonts w:ascii="Arial" w:eastAsia="Arial" w:hAnsi="Arial" w:cs="Arial"/>
                <w:b/>
                <w:bCs/>
                <w:color w:val="CF0A2C"/>
                <w:sz w:val="13"/>
                <w:szCs w:val="13"/>
              </w:rPr>
              <w:t>Ms. Wat</w:t>
            </w:r>
          </w:p>
        </w:tc>
        <w:tc>
          <w:tcPr>
            <w:tcW w:w="880" w:type="dxa"/>
            <w:vAlign w:val="bottom"/>
          </w:tcPr>
          <w:p w:rsidR="00A621E3" w:rsidRDefault="00EC630E">
            <w:pPr>
              <w:jc w:val="right"/>
              <w:rPr>
                <w:sz w:val="20"/>
                <w:szCs w:val="20"/>
              </w:rPr>
            </w:pPr>
            <w:r>
              <w:rPr>
                <w:rFonts w:ascii="Arial" w:eastAsia="Arial" w:hAnsi="Arial" w:cs="Arial"/>
                <w:sz w:val="13"/>
                <w:szCs w:val="13"/>
              </w:rPr>
              <w:t>2/6/2015</w:t>
            </w:r>
          </w:p>
        </w:tc>
        <w:tc>
          <w:tcPr>
            <w:tcW w:w="1080" w:type="dxa"/>
            <w:vAlign w:val="bottom"/>
          </w:tcPr>
          <w:p w:rsidR="00A621E3" w:rsidRDefault="00EC630E">
            <w:pPr>
              <w:ind w:right="11"/>
              <w:jc w:val="right"/>
              <w:rPr>
                <w:sz w:val="20"/>
                <w:szCs w:val="20"/>
              </w:rPr>
            </w:pPr>
            <w:r>
              <w:rPr>
                <w:rFonts w:ascii="Arial" w:eastAsia="Arial" w:hAnsi="Arial" w:cs="Arial"/>
                <w:sz w:val="13"/>
                <w:szCs w:val="13"/>
              </w:rPr>
              <w:t>27,063</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22.32</w:t>
            </w:r>
          </w:p>
        </w:tc>
        <w:tc>
          <w:tcPr>
            <w:tcW w:w="840" w:type="dxa"/>
            <w:vAlign w:val="bottom"/>
          </w:tcPr>
          <w:p w:rsidR="00A621E3" w:rsidRDefault="00EC630E">
            <w:pPr>
              <w:jc w:val="right"/>
              <w:rPr>
                <w:sz w:val="20"/>
                <w:szCs w:val="20"/>
              </w:rPr>
            </w:pPr>
            <w:r>
              <w:rPr>
                <w:rFonts w:ascii="Arial" w:eastAsia="Arial" w:hAnsi="Arial" w:cs="Arial"/>
                <w:sz w:val="13"/>
                <w:szCs w:val="13"/>
              </w:rPr>
              <w:t>2/6/2025</w:t>
            </w:r>
          </w:p>
        </w:tc>
        <w:tc>
          <w:tcPr>
            <w:tcW w:w="260" w:type="dxa"/>
            <w:vAlign w:val="bottom"/>
          </w:tcPr>
          <w:p w:rsidR="00A621E3" w:rsidRDefault="00A621E3">
            <w:pPr>
              <w:rPr>
                <w:sz w:val="15"/>
                <w:szCs w:val="15"/>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ind w:right="132"/>
              <w:jc w:val="right"/>
              <w:rPr>
                <w:sz w:val="20"/>
                <w:szCs w:val="20"/>
              </w:rPr>
            </w:pPr>
            <w:r>
              <w:rPr>
                <w:rFonts w:ascii="Arial" w:eastAsia="Arial" w:hAnsi="Arial" w:cs="Arial"/>
                <w:sz w:val="13"/>
                <w:szCs w:val="13"/>
              </w:rPr>
              <w:t>—</w:t>
            </w:r>
          </w:p>
        </w:tc>
        <w:tc>
          <w:tcPr>
            <w:tcW w:w="640" w:type="dxa"/>
            <w:vAlign w:val="bottom"/>
          </w:tcPr>
          <w:p w:rsidR="00A621E3" w:rsidRDefault="00A621E3">
            <w:pPr>
              <w:rPr>
                <w:sz w:val="15"/>
                <w:szCs w:val="15"/>
              </w:rPr>
            </w:pPr>
          </w:p>
        </w:tc>
        <w:tc>
          <w:tcPr>
            <w:tcW w:w="20" w:type="dxa"/>
            <w:vAlign w:val="bottom"/>
          </w:tcPr>
          <w:p w:rsidR="00A621E3" w:rsidRDefault="00A621E3">
            <w:pPr>
              <w:rPr>
                <w:sz w:val="15"/>
                <w:szCs w:val="15"/>
              </w:rPr>
            </w:pPr>
          </w:p>
        </w:tc>
        <w:tc>
          <w:tcPr>
            <w:tcW w:w="160" w:type="dxa"/>
            <w:vAlign w:val="bottom"/>
          </w:tcPr>
          <w:p w:rsidR="00A621E3" w:rsidRDefault="00A621E3">
            <w:pPr>
              <w:rPr>
                <w:sz w:val="15"/>
                <w:szCs w:val="15"/>
              </w:rPr>
            </w:pPr>
          </w:p>
        </w:tc>
        <w:tc>
          <w:tcPr>
            <w:tcW w:w="26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5"/>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3/25/2015</w:t>
            </w:r>
          </w:p>
        </w:tc>
        <w:tc>
          <w:tcPr>
            <w:tcW w:w="1080" w:type="dxa"/>
            <w:vAlign w:val="bottom"/>
          </w:tcPr>
          <w:p w:rsidR="00A621E3" w:rsidRDefault="00EC630E">
            <w:pPr>
              <w:ind w:right="11"/>
              <w:jc w:val="right"/>
              <w:rPr>
                <w:sz w:val="20"/>
                <w:szCs w:val="20"/>
              </w:rPr>
            </w:pPr>
            <w:r>
              <w:rPr>
                <w:rFonts w:ascii="Arial" w:eastAsia="Arial" w:hAnsi="Arial" w:cs="Arial"/>
                <w:sz w:val="13"/>
                <w:szCs w:val="13"/>
              </w:rPr>
              <w:t>32,309</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23.90</w:t>
            </w:r>
          </w:p>
        </w:tc>
        <w:tc>
          <w:tcPr>
            <w:tcW w:w="840" w:type="dxa"/>
            <w:vAlign w:val="bottom"/>
          </w:tcPr>
          <w:p w:rsidR="00A621E3" w:rsidRDefault="00EC630E">
            <w:pPr>
              <w:jc w:val="right"/>
              <w:rPr>
                <w:sz w:val="20"/>
                <w:szCs w:val="20"/>
              </w:rPr>
            </w:pPr>
            <w:r>
              <w:rPr>
                <w:rFonts w:ascii="Arial" w:eastAsia="Arial" w:hAnsi="Arial" w:cs="Arial"/>
                <w:sz w:val="13"/>
                <w:szCs w:val="13"/>
              </w:rPr>
              <w:t>3/25/2025</w:t>
            </w:r>
          </w:p>
        </w:tc>
        <w:tc>
          <w:tcPr>
            <w:tcW w:w="260" w:type="dxa"/>
            <w:vAlign w:val="bottom"/>
          </w:tcPr>
          <w:p w:rsidR="00A621E3" w:rsidRDefault="00A621E3">
            <w:pPr>
              <w:rPr>
                <w:sz w:val="15"/>
                <w:szCs w:val="15"/>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ind w:right="132"/>
              <w:jc w:val="right"/>
              <w:rPr>
                <w:sz w:val="20"/>
                <w:szCs w:val="20"/>
              </w:rPr>
            </w:pPr>
            <w:r>
              <w:rPr>
                <w:rFonts w:ascii="Arial" w:eastAsia="Arial" w:hAnsi="Arial" w:cs="Arial"/>
                <w:sz w:val="13"/>
                <w:szCs w:val="13"/>
              </w:rPr>
              <w:t>—</w:t>
            </w:r>
          </w:p>
        </w:tc>
        <w:tc>
          <w:tcPr>
            <w:tcW w:w="640" w:type="dxa"/>
            <w:vAlign w:val="bottom"/>
          </w:tcPr>
          <w:p w:rsidR="00A621E3" w:rsidRDefault="00A621E3">
            <w:pPr>
              <w:rPr>
                <w:sz w:val="15"/>
                <w:szCs w:val="15"/>
              </w:rPr>
            </w:pPr>
          </w:p>
        </w:tc>
        <w:tc>
          <w:tcPr>
            <w:tcW w:w="20" w:type="dxa"/>
            <w:vAlign w:val="bottom"/>
          </w:tcPr>
          <w:p w:rsidR="00A621E3" w:rsidRDefault="00A621E3">
            <w:pPr>
              <w:rPr>
                <w:sz w:val="15"/>
                <w:szCs w:val="15"/>
              </w:rPr>
            </w:pPr>
          </w:p>
        </w:tc>
        <w:tc>
          <w:tcPr>
            <w:tcW w:w="160" w:type="dxa"/>
            <w:vAlign w:val="bottom"/>
          </w:tcPr>
          <w:p w:rsidR="00A621E3" w:rsidRDefault="00A621E3">
            <w:pPr>
              <w:rPr>
                <w:sz w:val="15"/>
                <w:szCs w:val="15"/>
              </w:rPr>
            </w:pPr>
          </w:p>
        </w:tc>
        <w:tc>
          <w:tcPr>
            <w:tcW w:w="26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6"/>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2/5/2016</w:t>
            </w:r>
          </w:p>
        </w:tc>
        <w:tc>
          <w:tcPr>
            <w:tcW w:w="1080" w:type="dxa"/>
            <w:vAlign w:val="bottom"/>
          </w:tcPr>
          <w:p w:rsidR="00A621E3" w:rsidRDefault="00EC630E">
            <w:pPr>
              <w:ind w:right="11"/>
              <w:jc w:val="right"/>
              <w:rPr>
                <w:sz w:val="20"/>
                <w:szCs w:val="20"/>
              </w:rPr>
            </w:pPr>
            <w:r>
              <w:rPr>
                <w:rFonts w:ascii="Arial" w:eastAsia="Arial" w:hAnsi="Arial" w:cs="Arial"/>
                <w:sz w:val="13"/>
                <w:szCs w:val="13"/>
              </w:rPr>
              <w:t>41,316</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21.06</w:t>
            </w:r>
          </w:p>
        </w:tc>
        <w:tc>
          <w:tcPr>
            <w:tcW w:w="840" w:type="dxa"/>
            <w:vAlign w:val="bottom"/>
          </w:tcPr>
          <w:p w:rsidR="00A621E3" w:rsidRDefault="00EC630E">
            <w:pPr>
              <w:jc w:val="right"/>
              <w:rPr>
                <w:sz w:val="20"/>
                <w:szCs w:val="20"/>
              </w:rPr>
            </w:pPr>
            <w:r>
              <w:rPr>
                <w:rFonts w:ascii="Arial" w:eastAsia="Arial" w:hAnsi="Arial" w:cs="Arial"/>
                <w:sz w:val="13"/>
                <w:szCs w:val="13"/>
              </w:rPr>
              <w:t>2/5/2026</w:t>
            </w:r>
          </w:p>
        </w:tc>
        <w:tc>
          <w:tcPr>
            <w:tcW w:w="260" w:type="dxa"/>
            <w:vAlign w:val="bottom"/>
          </w:tcPr>
          <w:p w:rsidR="00A621E3" w:rsidRDefault="00A621E3">
            <w:pPr>
              <w:rPr>
                <w:sz w:val="15"/>
                <w:szCs w:val="15"/>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ind w:right="132"/>
              <w:jc w:val="right"/>
              <w:rPr>
                <w:sz w:val="20"/>
                <w:szCs w:val="20"/>
              </w:rPr>
            </w:pPr>
            <w:r>
              <w:rPr>
                <w:rFonts w:ascii="Arial" w:eastAsia="Arial" w:hAnsi="Arial" w:cs="Arial"/>
                <w:sz w:val="13"/>
                <w:szCs w:val="13"/>
              </w:rPr>
              <w:t>—</w:t>
            </w:r>
          </w:p>
        </w:tc>
        <w:tc>
          <w:tcPr>
            <w:tcW w:w="640" w:type="dxa"/>
            <w:vAlign w:val="bottom"/>
          </w:tcPr>
          <w:p w:rsidR="00A621E3" w:rsidRDefault="00A621E3">
            <w:pPr>
              <w:rPr>
                <w:sz w:val="15"/>
                <w:szCs w:val="15"/>
              </w:rPr>
            </w:pPr>
          </w:p>
        </w:tc>
        <w:tc>
          <w:tcPr>
            <w:tcW w:w="20" w:type="dxa"/>
            <w:vAlign w:val="bottom"/>
          </w:tcPr>
          <w:p w:rsidR="00A621E3" w:rsidRDefault="00A621E3">
            <w:pPr>
              <w:rPr>
                <w:sz w:val="15"/>
                <w:szCs w:val="15"/>
              </w:rPr>
            </w:pPr>
          </w:p>
        </w:tc>
        <w:tc>
          <w:tcPr>
            <w:tcW w:w="160" w:type="dxa"/>
            <w:vAlign w:val="bottom"/>
          </w:tcPr>
          <w:p w:rsidR="00A621E3" w:rsidRDefault="00A621E3">
            <w:pPr>
              <w:rPr>
                <w:sz w:val="15"/>
                <w:szCs w:val="15"/>
              </w:rPr>
            </w:pPr>
          </w:p>
        </w:tc>
        <w:tc>
          <w:tcPr>
            <w:tcW w:w="26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6"/>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11/11/2016</w:t>
            </w:r>
          </w:p>
        </w:tc>
        <w:tc>
          <w:tcPr>
            <w:tcW w:w="1080" w:type="dxa"/>
            <w:vAlign w:val="bottom"/>
          </w:tcPr>
          <w:p w:rsidR="00A621E3" w:rsidRDefault="00EC630E">
            <w:pPr>
              <w:ind w:right="11"/>
              <w:jc w:val="right"/>
              <w:rPr>
                <w:sz w:val="20"/>
                <w:szCs w:val="20"/>
              </w:rPr>
            </w:pPr>
            <w:r>
              <w:rPr>
                <w:rFonts w:ascii="Arial" w:eastAsia="Arial" w:hAnsi="Arial" w:cs="Arial"/>
                <w:sz w:val="13"/>
                <w:szCs w:val="13"/>
              </w:rPr>
              <w:t>48,846</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26.98</w:t>
            </w:r>
          </w:p>
        </w:tc>
        <w:tc>
          <w:tcPr>
            <w:tcW w:w="840" w:type="dxa"/>
            <w:vAlign w:val="bottom"/>
          </w:tcPr>
          <w:p w:rsidR="00A621E3" w:rsidRDefault="00EC630E">
            <w:pPr>
              <w:jc w:val="right"/>
              <w:rPr>
                <w:sz w:val="20"/>
                <w:szCs w:val="20"/>
              </w:rPr>
            </w:pPr>
            <w:r>
              <w:rPr>
                <w:rFonts w:ascii="Arial" w:eastAsia="Arial" w:hAnsi="Arial" w:cs="Arial"/>
                <w:sz w:val="13"/>
                <w:szCs w:val="13"/>
              </w:rPr>
              <w:t>11/11/2026</w:t>
            </w:r>
          </w:p>
        </w:tc>
        <w:tc>
          <w:tcPr>
            <w:tcW w:w="260" w:type="dxa"/>
            <w:vAlign w:val="bottom"/>
          </w:tcPr>
          <w:p w:rsidR="00A621E3" w:rsidRDefault="00A621E3">
            <w:pPr>
              <w:rPr>
                <w:sz w:val="15"/>
                <w:szCs w:val="15"/>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ind w:right="132"/>
              <w:jc w:val="right"/>
              <w:rPr>
                <w:sz w:val="20"/>
                <w:szCs w:val="20"/>
              </w:rPr>
            </w:pPr>
            <w:r>
              <w:rPr>
                <w:rFonts w:ascii="Arial" w:eastAsia="Arial" w:hAnsi="Arial" w:cs="Arial"/>
                <w:sz w:val="13"/>
                <w:szCs w:val="13"/>
              </w:rPr>
              <w:t>—</w:t>
            </w:r>
          </w:p>
        </w:tc>
        <w:tc>
          <w:tcPr>
            <w:tcW w:w="640" w:type="dxa"/>
            <w:vAlign w:val="bottom"/>
          </w:tcPr>
          <w:p w:rsidR="00A621E3" w:rsidRDefault="00A621E3">
            <w:pPr>
              <w:rPr>
                <w:sz w:val="15"/>
                <w:szCs w:val="15"/>
              </w:rPr>
            </w:pPr>
          </w:p>
        </w:tc>
        <w:tc>
          <w:tcPr>
            <w:tcW w:w="20" w:type="dxa"/>
            <w:vAlign w:val="bottom"/>
          </w:tcPr>
          <w:p w:rsidR="00A621E3" w:rsidRDefault="00A621E3">
            <w:pPr>
              <w:rPr>
                <w:sz w:val="15"/>
                <w:szCs w:val="15"/>
              </w:rPr>
            </w:pPr>
          </w:p>
        </w:tc>
        <w:tc>
          <w:tcPr>
            <w:tcW w:w="160" w:type="dxa"/>
            <w:vAlign w:val="bottom"/>
          </w:tcPr>
          <w:p w:rsidR="00A621E3" w:rsidRDefault="00A621E3">
            <w:pPr>
              <w:rPr>
                <w:sz w:val="15"/>
                <w:szCs w:val="15"/>
              </w:rPr>
            </w:pPr>
          </w:p>
        </w:tc>
        <w:tc>
          <w:tcPr>
            <w:tcW w:w="26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5"/>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2/10/2017</w:t>
            </w:r>
          </w:p>
        </w:tc>
        <w:tc>
          <w:tcPr>
            <w:tcW w:w="1080" w:type="dxa"/>
            <w:vAlign w:val="bottom"/>
          </w:tcPr>
          <w:p w:rsidR="00A621E3" w:rsidRDefault="00EC630E">
            <w:pPr>
              <w:ind w:right="11"/>
              <w:jc w:val="right"/>
              <w:rPr>
                <w:sz w:val="20"/>
                <w:szCs w:val="20"/>
              </w:rPr>
            </w:pPr>
            <w:r>
              <w:rPr>
                <w:rFonts w:ascii="Arial" w:eastAsia="Arial" w:hAnsi="Arial" w:cs="Arial"/>
                <w:sz w:val="13"/>
                <w:szCs w:val="13"/>
              </w:rPr>
              <w:t>111,774</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26.56</w:t>
            </w:r>
          </w:p>
        </w:tc>
        <w:tc>
          <w:tcPr>
            <w:tcW w:w="840" w:type="dxa"/>
            <w:vAlign w:val="bottom"/>
          </w:tcPr>
          <w:p w:rsidR="00A621E3" w:rsidRDefault="00EC630E">
            <w:pPr>
              <w:jc w:val="right"/>
              <w:rPr>
                <w:sz w:val="20"/>
                <w:szCs w:val="20"/>
              </w:rPr>
            </w:pPr>
            <w:r>
              <w:rPr>
                <w:rFonts w:ascii="Arial" w:eastAsia="Arial" w:hAnsi="Arial" w:cs="Arial"/>
                <w:sz w:val="13"/>
                <w:szCs w:val="13"/>
              </w:rPr>
              <w:t>2/10/2027</w:t>
            </w:r>
          </w:p>
        </w:tc>
        <w:tc>
          <w:tcPr>
            <w:tcW w:w="260" w:type="dxa"/>
            <w:vAlign w:val="bottom"/>
          </w:tcPr>
          <w:p w:rsidR="00A621E3" w:rsidRDefault="00A621E3">
            <w:pPr>
              <w:rPr>
                <w:sz w:val="15"/>
                <w:szCs w:val="15"/>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ind w:right="132"/>
              <w:jc w:val="right"/>
              <w:rPr>
                <w:sz w:val="20"/>
                <w:szCs w:val="20"/>
              </w:rPr>
            </w:pPr>
            <w:r>
              <w:rPr>
                <w:rFonts w:ascii="Arial" w:eastAsia="Arial" w:hAnsi="Arial" w:cs="Arial"/>
                <w:sz w:val="13"/>
                <w:szCs w:val="13"/>
              </w:rPr>
              <w:t>—</w:t>
            </w:r>
          </w:p>
        </w:tc>
        <w:tc>
          <w:tcPr>
            <w:tcW w:w="640" w:type="dxa"/>
            <w:vAlign w:val="bottom"/>
          </w:tcPr>
          <w:p w:rsidR="00A621E3" w:rsidRDefault="00A621E3">
            <w:pPr>
              <w:rPr>
                <w:sz w:val="15"/>
                <w:szCs w:val="15"/>
              </w:rPr>
            </w:pPr>
          </w:p>
        </w:tc>
        <w:tc>
          <w:tcPr>
            <w:tcW w:w="20" w:type="dxa"/>
            <w:vAlign w:val="bottom"/>
          </w:tcPr>
          <w:p w:rsidR="00A621E3" w:rsidRDefault="00A621E3">
            <w:pPr>
              <w:rPr>
                <w:sz w:val="15"/>
                <w:szCs w:val="15"/>
              </w:rPr>
            </w:pPr>
          </w:p>
        </w:tc>
        <w:tc>
          <w:tcPr>
            <w:tcW w:w="160" w:type="dxa"/>
            <w:vAlign w:val="bottom"/>
          </w:tcPr>
          <w:p w:rsidR="00A621E3" w:rsidRDefault="00A621E3">
            <w:pPr>
              <w:rPr>
                <w:sz w:val="15"/>
                <w:szCs w:val="15"/>
              </w:rPr>
            </w:pPr>
          </w:p>
        </w:tc>
        <w:tc>
          <w:tcPr>
            <w:tcW w:w="26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6"/>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2/9/2018</w:t>
            </w:r>
          </w:p>
        </w:tc>
        <w:tc>
          <w:tcPr>
            <w:tcW w:w="1080" w:type="dxa"/>
            <w:vAlign w:val="bottom"/>
          </w:tcPr>
          <w:p w:rsidR="00A621E3" w:rsidRDefault="00EC630E">
            <w:pPr>
              <w:ind w:right="11"/>
              <w:jc w:val="right"/>
              <w:rPr>
                <w:sz w:val="20"/>
                <w:szCs w:val="20"/>
              </w:rPr>
            </w:pPr>
            <w:r>
              <w:rPr>
                <w:rFonts w:ascii="Arial" w:eastAsia="Arial" w:hAnsi="Arial" w:cs="Arial"/>
                <w:sz w:val="13"/>
                <w:szCs w:val="13"/>
              </w:rPr>
              <w:t>186,151</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40.29</w:t>
            </w:r>
          </w:p>
        </w:tc>
        <w:tc>
          <w:tcPr>
            <w:tcW w:w="840" w:type="dxa"/>
            <w:vAlign w:val="bottom"/>
          </w:tcPr>
          <w:p w:rsidR="00A621E3" w:rsidRDefault="00EC630E">
            <w:pPr>
              <w:jc w:val="right"/>
              <w:rPr>
                <w:sz w:val="20"/>
                <w:szCs w:val="20"/>
              </w:rPr>
            </w:pPr>
            <w:r>
              <w:rPr>
                <w:rFonts w:ascii="Arial" w:eastAsia="Arial" w:hAnsi="Arial" w:cs="Arial"/>
                <w:sz w:val="13"/>
                <w:szCs w:val="13"/>
              </w:rPr>
              <w:t>2/9/2028</w:t>
            </w:r>
          </w:p>
        </w:tc>
        <w:tc>
          <w:tcPr>
            <w:tcW w:w="260" w:type="dxa"/>
            <w:vAlign w:val="bottom"/>
          </w:tcPr>
          <w:p w:rsidR="00A621E3" w:rsidRDefault="00A621E3">
            <w:pPr>
              <w:rPr>
                <w:sz w:val="15"/>
                <w:szCs w:val="15"/>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ind w:right="132"/>
              <w:jc w:val="right"/>
              <w:rPr>
                <w:sz w:val="20"/>
                <w:szCs w:val="20"/>
              </w:rPr>
            </w:pPr>
            <w:r>
              <w:rPr>
                <w:rFonts w:ascii="Arial" w:eastAsia="Arial" w:hAnsi="Arial" w:cs="Arial"/>
                <w:sz w:val="13"/>
                <w:szCs w:val="13"/>
              </w:rPr>
              <w:t>—</w:t>
            </w:r>
          </w:p>
        </w:tc>
        <w:tc>
          <w:tcPr>
            <w:tcW w:w="640" w:type="dxa"/>
            <w:vAlign w:val="bottom"/>
          </w:tcPr>
          <w:p w:rsidR="00A621E3" w:rsidRDefault="00A621E3">
            <w:pPr>
              <w:rPr>
                <w:sz w:val="15"/>
                <w:szCs w:val="15"/>
              </w:rPr>
            </w:pPr>
          </w:p>
        </w:tc>
        <w:tc>
          <w:tcPr>
            <w:tcW w:w="20" w:type="dxa"/>
            <w:vAlign w:val="bottom"/>
          </w:tcPr>
          <w:p w:rsidR="00A621E3" w:rsidRDefault="00A621E3">
            <w:pPr>
              <w:rPr>
                <w:sz w:val="15"/>
                <w:szCs w:val="15"/>
              </w:rPr>
            </w:pPr>
          </w:p>
        </w:tc>
        <w:tc>
          <w:tcPr>
            <w:tcW w:w="160" w:type="dxa"/>
            <w:vAlign w:val="bottom"/>
          </w:tcPr>
          <w:p w:rsidR="00A621E3" w:rsidRDefault="00A621E3">
            <w:pPr>
              <w:rPr>
                <w:sz w:val="15"/>
                <w:szCs w:val="15"/>
              </w:rPr>
            </w:pPr>
          </w:p>
        </w:tc>
        <w:tc>
          <w:tcPr>
            <w:tcW w:w="26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89"/>
        </w:trPr>
        <w:tc>
          <w:tcPr>
            <w:tcW w:w="1500" w:type="dxa"/>
            <w:vAlign w:val="bottom"/>
          </w:tcPr>
          <w:p w:rsidR="00A621E3" w:rsidRDefault="00A621E3">
            <w:pPr>
              <w:rPr>
                <w:sz w:val="16"/>
                <w:szCs w:val="16"/>
              </w:rPr>
            </w:pPr>
          </w:p>
        </w:tc>
        <w:tc>
          <w:tcPr>
            <w:tcW w:w="880" w:type="dxa"/>
            <w:vAlign w:val="bottom"/>
          </w:tcPr>
          <w:p w:rsidR="00A621E3" w:rsidRDefault="00EC630E">
            <w:pPr>
              <w:jc w:val="right"/>
              <w:rPr>
                <w:sz w:val="20"/>
                <w:szCs w:val="20"/>
              </w:rPr>
            </w:pPr>
            <w:r>
              <w:rPr>
                <w:rFonts w:ascii="Arial" w:eastAsia="Arial" w:hAnsi="Arial" w:cs="Arial"/>
                <w:sz w:val="13"/>
                <w:szCs w:val="13"/>
              </w:rPr>
              <w:t>2/7/2019</w:t>
            </w:r>
          </w:p>
        </w:tc>
        <w:tc>
          <w:tcPr>
            <w:tcW w:w="1080" w:type="dxa"/>
            <w:vAlign w:val="bottom"/>
          </w:tcPr>
          <w:p w:rsidR="00A621E3" w:rsidRDefault="00EC630E">
            <w:pPr>
              <w:ind w:right="11"/>
              <w:jc w:val="right"/>
              <w:rPr>
                <w:sz w:val="20"/>
                <w:szCs w:val="20"/>
              </w:rPr>
            </w:pPr>
            <w:r>
              <w:rPr>
                <w:rFonts w:ascii="Arial" w:eastAsia="Arial" w:hAnsi="Arial" w:cs="Arial"/>
                <w:sz w:val="13"/>
                <w:szCs w:val="13"/>
              </w:rPr>
              <w:t>139,575</w:t>
            </w:r>
          </w:p>
        </w:tc>
        <w:tc>
          <w:tcPr>
            <w:tcW w:w="1420" w:type="dxa"/>
            <w:vAlign w:val="bottom"/>
          </w:tcPr>
          <w:p w:rsidR="00A621E3" w:rsidRDefault="00EC630E">
            <w:pPr>
              <w:spacing w:line="189" w:lineRule="exact"/>
              <w:ind w:left="780"/>
              <w:rPr>
                <w:sz w:val="20"/>
                <w:szCs w:val="20"/>
              </w:rPr>
            </w:pPr>
            <w:r>
              <w:rPr>
                <w:rFonts w:ascii="Arial" w:eastAsia="Arial" w:hAnsi="Arial" w:cs="Arial"/>
                <w:sz w:val="13"/>
                <w:szCs w:val="13"/>
              </w:rPr>
              <w:t>46,525</w:t>
            </w:r>
            <w:r>
              <w:rPr>
                <w:rFonts w:ascii="Arial" w:eastAsia="Arial" w:hAnsi="Arial" w:cs="Arial"/>
                <w:sz w:val="20"/>
                <w:szCs w:val="20"/>
                <w:vertAlign w:val="superscript"/>
              </w:rPr>
              <w:t>(i)</w:t>
            </w:r>
          </w:p>
        </w:tc>
        <w:tc>
          <w:tcPr>
            <w:tcW w:w="760" w:type="dxa"/>
            <w:vAlign w:val="bottom"/>
          </w:tcPr>
          <w:p w:rsidR="00A621E3" w:rsidRDefault="00EC630E">
            <w:pPr>
              <w:ind w:right="12"/>
              <w:jc w:val="right"/>
              <w:rPr>
                <w:sz w:val="20"/>
                <w:szCs w:val="20"/>
              </w:rPr>
            </w:pPr>
            <w:r>
              <w:rPr>
                <w:rFonts w:ascii="Arial" w:eastAsia="Arial" w:hAnsi="Arial" w:cs="Arial"/>
                <w:sz w:val="13"/>
                <w:szCs w:val="13"/>
              </w:rPr>
              <w:t>41.66</w:t>
            </w:r>
          </w:p>
        </w:tc>
        <w:tc>
          <w:tcPr>
            <w:tcW w:w="840" w:type="dxa"/>
            <w:vAlign w:val="bottom"/>
          </w:tcPr>
          <w:p w:rsidR="00A621E3" w:rsidRDefault="00EC630E">
            <w:pPr>
              <w:jc w:val="right"/>
              <w:rPr>
                <w:sz w:val="20"/>
                <w:szCs w:val="20"/>
              </w:rPr>
            </w:pPr>
            <w:r>
              <w:rPr>
                <w:rFonts w:ascii="Arial" w:eastAsia="Arial" w:hAnsi="Arial" w:cs="Arial"/>
                <w:sz w:val="13"/>
                <w:szCs w:val="13"/>
              </w:rPr>
              <w:t>2/7/2029</w:t>
            </w:r>
          </w:p>
        </w:tc>
        <w:tc>
          <w:tcPr>
            <w:tcW w:w="260" w:type="dxa"/>
            <w:vAlign w:val="bottom"/>
          </w:tcPr>
          <w:p w:rsidR="00A621E3" w:rsidRDefault="00A621E3">
            <w:pPr>
              <w:rPr>
                <w:sz w:val="16"/>
                <w:szCs w:val="16"/>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ind w:right="132"/>
              <w:jc w:val="right"/>
              <w:rPr>
                <w:sz w:val="20"/>
                <w:szCs w:val="20"/>
              </w:rPr>
            </w:pPr>
            <w:r>
              <w:rPr>
                <w:rFonts w:ascii="Arial" w:eastAsia="Arial" w:hAnsi="Arial" w:cs="Arial"/>
                <w:sz w:val="13"/>
                <w:szCs w:val="13"/>
              </w:rPr>
              <w:t>—</w:t>
            </w:r>
          </w:p>
        </w:tc>
        <w:tc>
          <w:tcPr>
            <w:tcW w:w="640" w:type="dxa"/>
            <w:vAlign w:val="bottom"/>
          </w:tcPr>
          <w:p w:rsidR="00A621E3" w:rsidRDefault="00A621E3">
            <w:pPr>
              <w:rPr>
                <w:sz w:val="16"/>
                <w:szCs w:val="16"/>
              </w:rPr>
            </w:pPr>
          </w:p>
        </w:tc>
        <w:tc>
          <w:tcPr>
            <w:tcW w:w="20" w:type="dxa"/>
            <w:vAlign w:val="bottom"/>
          </w:tcPr>
          <w:p w:rsidR="00A621E3" w:rsidRDefault="00A621E3">
            <w:pPr>
              <w:rPr>
                <w:sz w:val="16"/>
                <w:szCs w:val="16"/>
              </w:rPr>
            </w:pPr>
          </w:p>
        </w:tc>
        <w:tc>
          <w:tcPr>
            <w:tcW w:w="160" w:type="dxa"/>
            <w:vAlign w:val="bottom"/>
          </w:tcPr>
          <w:p w:rsidR="00A621E3" w:rsidRDefault="00A621E3">
            <w:pPr>
              <w:rPr>
                <w:sz w:val="16"/>
                <w:szCs w:val="16"/>
              </w:rPr>
            </w:pPr>
          </w:p>
        </w:tc>
        <w:tc>
          <w:tcPr>
            <w:tcW w:w="26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6"/>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2/7/2020</w:t>
            </w:r>
          </w:p>
        </w:tc>
        <w:tc>
          <w:tcPr>
            <w:tcW w:w="1080" w:type="dxa"/>
            <w:vAlign w:val="bottom"/>
          </w:tcPr>
          <w:p w:rsidR="00A621E3" w:rsidRDefault="00EC630E">
            <w:pPr>
              <w:ind w:right="11"/>
              <w:jc w:val="right"/>
              <w:rPr>
                <w:sz w:val="20"/>
                <w:szCs w:val="20"/>
              </w:rPr>
            </w:pPr>
            <w:r>
              <w:rPr>
                <w:rFonts w:ascii="Arial" w:eastAsia="Arial" w:hAnsi="Arial" w:cs="Arial"/>
                <w:sz w:val="13"/>
                <w:szCs w:val="13"/>
              </w:rPr>
              <w:t>93,531</w:t>
            </w:r>
          </w:p>
        </w:tc>
        <w:tc>
          <w:tcPr>
            <w:tcW w:w="1420" w:type="dxa"/>
            <w:vAlign w:val="bottom"/>
          </w:tcPr>
          <w:p w:rsidR="00A621E3" w:rsidRDefault="00EC630E">
            <w:pPr>
              <w:spacing w:line="176" w:lineRule="exact"/>
              <w:ind w:left="780"/>
              <w:rPr>
                <w:sz w:val="20"/>
                <w:szCs w:val="20"/>
              </w:rPr>
            </w:pPr>
            <w:r>
              <w:rPr>
                <w:rFonts w:ascii="Arial" w:eastAsia="Arial" w:hAnsi="Arial" w:cs="Arial"/>
                <w:sz w:val="13"/>
                <w:szCs w:val="13"/>
              </w:rPr>
              <w:t>93,532</w:t>
            </w:r>
            <w:r>
              <w:rPr>
                <w:rFonts w:ascii="Arial" w:eastAsia="Arial" w:hAnsi="Arial" w:cs="Arial"/>
                <w:sz w:val="20"/>
                <w:szCs w:val="20"/>
                <w:vertAlign w:val="superscript"/>
              </w:rPr>
              <w:t>(ii)</w:t>
            </w:r>
          </w:p>
        </w:tc>
        <w:tc>
          <w:tcPr>
            <w:tcW w:w="760" w:type="dxa"/>
            <w:vAlign w:val="bottom"/>
          </w:tcPr>
          <w:p w:rsidR="00A621E3" w:rsidRDefault="00EC630E">
            <w:pPr>
              <w:ind w:right="12"/>
              <w:jc w:val="right"/>
              <w:rPr>
                <w:sz w:val="20"/>
                <w:szCs w:val="20"/>
              </w:rPr>
            </w:pPr>
            <w:r>
              <w:rPr>
                <w:rFonts w:ascii="Arial" w:eastAsia="Arial" w:hAnsi="Arial" w:cs="Arial"/>
                <w:sz w:val="13"/>
                <w:szCs w:val="13"/>
              </w:rPr>
              <w:t>42.71</w:t>
            </w:r>
          </w:p>
        </w:tc>
        <w:tc>
          <w:tcPr>
            <w:tcW w:w="840" w:type="dxa"/>
            <w:vAlign w:val="bottom"/>
          </w:tcPr>
          <w:p w:rsidR="00A621E3" w:rsidRDefault="00EC630E">
            <w:pPr>
              <w:jc w:val="right"/>
              <w:rPr>
                <w:sz w:val="20"/>
                <w:szCs w:val="20"/>
              </w:rPr>
            </w:pPr>
            <w:r>
              <w:rPr>
                <w:rFonts w:ascii="Arial" w:eastAsia="Arial" w:hAnsi="Arial" w:cs="Arial"/>
                <w:sz w:val="13"/>
                <w:szCs w:val="13"/>
              </w:rPr>
              <w:t>2/7/2030</w:t>
            </w:r>
          </w:p>
        </w:tc>
        <w:tc>
          <w:tcPr>
            <w:tcW w:w="260" w:type="dxa"/>
            <w:vAlign w:val="bottom"/>
          </w:tcPr>
          <w:p w:rsidR="00A621E3" w:rsidRDefault="00A621E3">
            <w:pPr>
              <w:rPr>
                <w:sz w:val="15"/>
                <w:szCs w:val="15"/>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spacing w:line="176" w:lineRule="exact"/>
              <w:ind w:right="32"/>
              <w:jc w:val="right"/>
              <w:rPr>
                <w:sz w:val="20"/>
                <w:szCs w:val="20"/>
              </w:rPr>
            </w:pPr>
            <w:r>
              <w:rPr>
                <w:rFonts w:ascii="Arial" w:eastAsia="Arial" w:hAnsi="Arial" w:cs="Arial"/>
                <w:sz w:val="13"/>
                <w:szCs w:val="13"/>
              </w:rPr>
              <w:t>156,333</w:t>
            </w:r>
            <w:r>
              <w:rPr>
                <w:rFonts w:ascii="Arial" w:eastAsia="Arial" w:hAnsi="Arial" w:cs="Arial"/>
                <w:sz w:val="20"/>
                <w:szCs w:val="20"/>
                <w:vertAlign w:val="superscript"/>
              </w:rPr>
              <w:t>(i)</w:t>
            </w:r>
          </w:p>
        </w:tc>
        <w:tc>
          <w:tcPr>
            <w:tcW w:w="1080" w:type="dxa"/>
            <w:gridSpan w:val="4"/>
            <w:vAlign w:val="bottom"/>
          </w:tcPr>
          <w:p w:rsidR="00A621E3" w:rsidRDefault="00EC630E">
            <w:pPr>
              <w:ind w:right="12"/>
              <w:jc w:val="right"/>
              <w:rPr>
                <w:sz w:val="20"/>
                <w:szCs w:val="20"/>
              </w:rPr>
            </w:pPr>
            <w:r>
              <w:rPr>
                <w:rFonts w:ascii="Arial" w:eastAsia="Arial" w:hAnsi="Arial" w:cs="Arial"/>
                <w:sz w:val="13"/>
                <w:szCs w:val="13"/>
              </w:rPr>
              <w:t>8,543,599</w:t>
            </w:r>
          </w:p>
        </w:tc>
        <w:tc>
          <w:tcPr>
            <w:tcW w:w="0" w:type="dxa"/>
            <w:vAlign w:val="bottom"/>
          </w:tcPr>
          <w:p w:rsidR="00A621E3" w:rsidRDefault="00A621E3">
            <w:pPr>
              <w:rPr>
                <w:sz w:val="1"/>
                <w:szCs w:val="1"/>
              </w:rPr>
            </w:pPr>
          </w:p>
        </w:tc>
      </w:tr>
      <w:tr w:rsidR="00A621E3">
        <w:trPr>
          <w:trHeight w:val="175"/>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2/5/2021</w:t>
            </w:r>
          </w:p>
        </w:tc>
        <w:tc>
          <w:tcPr>
            <w:tcW w:w="1080" w:type="dxa"/>
            <w:vAlign w:val="bottom"/>
          </w:tcPr>
          <w:p w:rsidR="00A621E3" w:rsidRDefault="00EC630E">
            <w:pPr>
              <w:ind w:right="11"/>
              <w:jc w:val="right"/>
              <w:rPr>
                <w:sz w:val="20"/>
                <w:szCs w:val="20"/>
              </w:rPr>
            </w:pPr>
            <w:r>
              <w:rPr>
                <w:rFonts w:ascii="Arial" w:eastAsia="Arial" w:hAnsi="Arial" w:cs="Arial"/>
                <w:sz w:val="13"/>
                <w:szCs w:val="13"/>
              </w:rPr>
              <w:t>42,997</w:t>
            </w:r>
          </w:p>
        </w:tc>
        <w:tc>
          <w:tcPr>
            <w:tcW w:w="1420" w:type="dxa"/>
            <w:vAlign w:val="bottom"/>
          </w:tcPr>
          <w:p w:rsidR="00A621E3" w:rsidRDefault="00EC630E">
            <w:pPr>
              <w:spacing w:line="176" w:lineRule="exact"/>
              <w:ind w:right="32"/>
              <w:jc w:val="right"/>
              <w:rPr>
                <w:sz w:val="20"/>
                <w:szCs w:val="20"/>
              </w:rPr>
            </w:pPr>
            <w:r>
              <w:rPr>
                <w:rFonts w:ascii="Arial" w:eastAsia="Arial" w:hAnsi="Arial" w:cs="Arial"/>
                <w:sz w:val="13"/>
                <w:szCs w:val="13"/>
              </w:rPr>
              <w:t>128,992</w:t>
            </w:r>
            <w:r>
              <w:rPr>
                <w:rFonts w:ascii="Arial" w:eastAsia="Arial" w:hAnsi="Arial" w:cs="Arial"/>
                <w:sz w:val="20"/>
                <w:szCs w:val="20"/>
                <w:vertAlign w:val="superscript"/>
              </w:rPr>
              <w:t>(iii)</w:t>
            </w:r>
          </w:p>
        </w:tc>
        <w:tc>
          <w:tcPr>
            <w:tcW w:w="760" w:type="dxa"/>
            <w:vAlign w:val="bottom"/>
          </w:tcPr>
          <w:p w:rsidR="00A621E3" w:rsidRDefault="00EC630E">
            <w:pPr>
              <w:ind w:right="12"/>
              <w:jc w:val="right"/>
              <w:rPr>
                <w:sz w:val="20"/>
                <w:szCs w:val="20"/>
              </w:rPr>
            </w:pPr>
            <w:r>
              <w:rPr>
                <w:rFonts w:ascii="Arial" w:eastAsia="Arial" w:hAnsi="Arial" w:cs="Arial"/>
                <w:sz w:val="13"/>
                <w:szCs w:val="13"/>
              </w:rPr>
              <w:t>57.39</w:t>
            </w:r>
          </w:p>
        </w:tc>
        <w:tc>
          <w:tcPr>
            <w:tcW w:w="840" w:type="dxa"/>
            <w:vAlign w:val="bottom"/>
          </w:tcPr>
          <w:p w:rsidR="00A621E3" w:rsidRDefault="00EC630E">
            <w:pPr>
              <w:jc w:val="right"/>
              <w:rPr>
                <w:sz w:val="20"/>
                <w:szCs w:val="20"/>
              </w:rPr>
            </w:pPr>
            <w:r>
              <w:rPr>
                <w:rFonts w:ascii="Arial" w:eastAsia="Arial" w:hAnsi="Arial" w:cs="Arial"/>
                <w:sz w:val="13"/>
                <w:szCs w:val="13"/>
              </w:rPr>
              <w:t>2/5/2031</w:t>
            </w:r>
          </w:p>
        </w:tc>
        <w:tc>
          <w:tcPr>
            <w:tcW w:w="260" w:type="dxa"/>
            <w:vAlign w:val="bottom"/>
          </w:tcPr>
          <w:p w:rsidR="00A621E3" w:rsidRDefault="00A621E3">
            <w:pPr>
              <w:rPr>
                <w:sz w:val="15"/>
                <w:szCs w:val="15"/>
              </w:rPr>
            </w:pPr>
          </w:p>
        </w:tc>
        <w:tc>
          <w:tcPr>
            <w:tcW w:w="1080" w:type="dxa"/>
            <w:vAlign w:val="bottom"/>
          </w:tcPr>
          <w:p w:rsidR="00A621E3" w:rsidRDefault="00EC630E">
            <w:pPr>
              <w:spacing w:line="176" w:lineRule="exact"/>
              <w:ind w:left="460"/>
              <w:rPr>
                <w:sz w:val="20"/>
                <w:szCs w:val="20"/>
              </w:rPr>
            </w:pPr>
            <w:r>
              <w:rPr>
                <w:rFonts w:ascii="Arial" w:eastAsia="Arial" w:hAnsi="Arial" w:cs="Arial"/>
                <w:sz w:val="13"/>
                <w:szCs w:val="13"/>
              </w:rPr>
              <w:t>44,380</w:t>
            </w:r>
            <w:r>
              <w:rPr>
                <w:rFonts w:ascii="Arial" w:eastAsia="Arial" w:hAnsi="Arial" w:cs="Arial"/>
                <w:sz w:val="20"/>
                <w:szCs w:val="20"/>
                <w:vertAlign w:val="superscript"/>
              </w:rPr>
              <w:t>(i)</w:t>
            </w:r>
          </w:p>
        </w:tc>
        <w:tc>
          <w:tcPr>
            <w:tcW w:w="920" w:type="dxa"/>
            <w:vAlign w:val="bottom"/>
          </w:tcPr>
          <w:p w:rsidR="00A621E3" w:rsidRDefault="00EC630E">
            <w:pPr>
              <w:ind w:right="32"/>
              <w:jc w:val="right"/>
              <w:rPr>
                <w:sz w:val="20"/>
                <w:szCs w:val="20"/>
              </w:rPr>
            </w:pPr>
            <w:r>
              <w:rPr>
                <w:rFonts w:ascii="Arial" w:eastAsia="Arial" w:hAnsi="Arial" w:cs="Arial"/>
                <w:sz w:val="13"/>
                <w:szCs w:val="13"/>
              </w:rPr>
              <w:t>2,425,373</w:t>
            </w:r>
          </w:p>
        </w:tc>
        <w:tc>
          <w:tcPr>
            <w:tcW w:w="1200" w:type="dxa"/>
            <w:vAlign w:val="bottom"/>
          </w:tcPr>
          <w:p w:rsidR="00A621E3" w:rsidRDefault="00EC630E">
            <w:pPr>
              <w:spacing w:line="176" w:lineRule="exact"/>
              <w:ind w:left="600"/>
              <w:rPr>
                <w:sz w:val="20"/>
                <w:szCs w:val="20"/>
              </w:rPr>
            </w:pPr>
            <w:r>
              <w:rPr>
                <w:rFonts w:ascii="Arial" w:eastAsia="Arial" w:hAnsi="Arial" w:cs="Arial"/>
                <w:sz w:val="13"/>
                <w:szCs w:val="13"/>
              </w:rPr>
              <w:t>10,262</w:t>
            </w:r>
            <w:r>
              <w:rPr>
                <w:rFonts w:ascii="Arial" w:eastAsia="Arial" w:hAnsi="Arial" w:cs="Arial"/>
                <w:sz w:val="20"/>
                <w:szCs w:val="20"/>
                <w:vertAlign w:val="superscript"/>
              </w:rPr>
              <w:t>(ii)</w:t>
            </w:r>
          </w:p>
        </w:tc>
        <w:tc>
          <w:tcPr>
            <w:tcW w:w="1080" w:type="dxa"/>
            <w:gridSpan w:val="4"/>
            <w:vAlign w:val="bottom"/>
          </w:tcPr>
          <w:p w:rsidR="00A621E3" w:rsidRDefault="00EC630E">
            <w:pPr>
              <w:ind w:right="12"/>
              <w:jc w:val="right"/>
              <w:rPr>
                <w:sz w:val="20"/>
                <w:szCs w:val="20"/>
              </w:rPr>
            </w:pPr>
            <w:r>
              <w:rPr>
                <w:rFonts w:ascii="Arial" w:eastAsia="Arial" w:hAnsi="Arial" w:cs="Arial"/>
                <w:sz w:val="13"/>
                <w:szCs w:val="13"/>
              </w:rPr>
              <w:t>560,791</w:t>
            </w:r>
          </w:p>
        </w:tc>
        <w:tc>
          <w:tcPr>
            <w:tcW w:w="0" w:type="dxa"/>
            <w:vAlign w:val="bottom"/>
          </w:tcPr>
          <w:p w:rsidR="00A621E3" w:rsidRDefault="00A621E3">
            <w:pPr>
              <w:rPr>
                <w:sz w:val="1"/>
                <w:szCs w:val="1"/>
              </w:rPr>
            </w:pPr>
          </w:p>
        </w:tc>
      </w:tr>
      <w:tr w:rsidR="00A621E3">
        <w:trPr>
          <w:trHeight w:val="175"/>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5/25/2021</w:t>
            </w:r>
          </w:p>
        </w:tc>
        <w:tc>
          <w:tcPr>
            <w:tcW w:w="1080" w:type="dxa"/>
            <w:vAlign w:val="bottom"/>
          </w:tcPr>
          <w:p w:rsidR="00A621E3" w:rsidRDefault="00EC630E">
            <w:pPr>
              <w:ind w:right="11"/>
              <w:jc w:val="right"/>
              <w:rPr>
                <w:sz w:val="20"/>
                <w:szCs w:val="20"/>
              </w:rPr>
            </w:pPr>
            <w:r>
              <w:rPr>
                <w:rFonts w:ascii="Arial" w:eastAsia="Arial" w:hAnsi="Arial" w:cs="Arial"/>
                <w:sz w:val="13"/>
                <w:szCs w:val="13"/>
              </w:rPr>
              <w:t>—</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w:t>
            </w:r>
          </w:p>
        </w:tc>
        <w:tc>
          <w:tcPr>
            <w:tcW w:w="1100" w:type="dxa"/>
            <w:gridSpan w:val="2"/>
            <w:vAlign w:val="bottom"/>
          </w:tcPr>
          <w:p w:rsidR="00A621E3" w:rsidRDefault="00EC630E">
            <w:pPr>
              <w:ind w:right="300"/>
              <w:jc w:val="right"/>
              <w:rPr>
                <w:sz w:val="20"/>
                <w:szCs w:val="20"/>
              </w:rPr>
            </w:pPr>
            <w:r>
              <w:rPr>
                <w:rFonts w:ascii="Arial" w:eastAsia="Arial" w:hAnsi="Arial" w:cs="Arial"/>
                <w:sz w:val="13"/>
                <w:szCs w:val="13"/>
              </w:rPr>
              <w:t>—</w:t>
            </w: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spacing w:line="176" w:lineRule="exact"/>
              <w:ind w:left="600"/>
              <w:rPr>
                <w:sz w:val="20"/>
                <w:szCs w:val="20"/>
              </w:rPr>
            </w:pPr>
            <w:r>
              <w:rPr>
                <w:rFonts w:ascii="Arial" w:eastAsia="Arial" w:hAnsi="Arial" w:cs="Arial"/>
                <w:sz w:val="13"/>
                <w:szCs w:val="13"/>
              </w:rPr>
              <w:t>13,069</w:t>
            </w:r>
            <w:r>
              <w:rPr>
                <w:rFonts w:ascii="Arial" w:eastAsia="Arial" w:hAnsi="Arial" w:cs="Arial"/>
                <w:sz w:val="20"/>
                <w:szCs w:val="20"/>
                <w:vertAlign w:val="superscript"/>
              </w:rPr>
              <w:t>(ii)</w:t>
            </w:r>
          </w:p>
        </w:tc>
        <w:tc>
          <w:tcPr>
            <w:tcW w:w="1080" w:type="dxa"/>
            <w:gridSpan w:val="4"/>
            <w:vAlign w:val="bottom"/>
          </w:tcPr>
          <w:p w:rsidR="00A621E3" w:rsidRDefault="00EC630E">
            <w:pPr>
              <w:ind w:right="12"/>
              <w:jc w:val="right"/>
              <w:rPr>
                <w:sz w:val="20"/>
                <w:szCs w:val="20"/>
              </w:rPr>
            </w:pPr>
            <w:r>
              <w:rPr>
                <w:rFonts w:ascii="Arial" w:eastAsia="Arial" w:hAnsi="Arial" w:cs="Arial"/>
                <w:sz w:val="13"/>
                <w:szCs w:val="13"/>
              </w:rPr>
              <w:t>714,194</w:t>
            </w:r>
          </w:p>
        </w:tc>
        <w:tc>
          <w:tcPr>
            <w:tcW w:w="0" w:type="dxa"/>
            <w:vAlign w:val="bottom"/>
          </w:tcPr>
          <w:p w:rsidR="00A621E3" w:rsidRDefault="00A621E3">
            <w:pPr>
              <w:rPr>
                <w:sz w:val="1"/>
                <w:szCs w:val="1"/>
              </w:rPr>
            </w:pPr>
          </w:p>
        </w:tc>
      </w:tr>
      <w:tr w:rsidR="00A621E3">
        <w:trPr>
          <w:trHeight w:val="149"/>
        </w:trPr>
        <w:tc>
          <w:tcPr>
            <w:tcW w:w="1500" w:type="dxa"/>
            <w:tcBorders>
              <w:bottom w:val="single" w:sz="8" w:space="0" w:color="CF0A2C"/>
            </w:tcBorders>
            <w:vAlign w:val="bottom"/>
          </w:tcPr>
          <w:p w:rsidR="00A621E3" w:rsidRDefault="00A621E3">
            <w:pPr>
              <w:rPr>
                <w:sz w:val="12"/>
                <w:szCs w:val="12"/>
              </w:rPr>
            </w:pP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2/10/2022</w:t>
            </w:r>
          </w:p>
        </w:tc>
        <w:tc>
          <w:tcPr>
            <w:tcW w:w="1080" w:type="dxa"/>
            <w:tcBorders>
              <w:bottom w:val="single" w:sz="8" w:space="0" w:color="CF0A2C"/>
            </w:tcBorders>
            <w:vAlign w:val="bottom"/>
          </w:tcPr>
          <w:p w:rsidR="00A621E3" w:rsidRDefault="00EC630E">
            <w:pPr>
              <w:ind w:right="11"/>
              <w:jc w:val="right"/>
              <w:rPr>
                <w:sz w:val="20"/>
                <w:szCs w:val="20"/>
              </w:rPr>
            </w:pPr>
            <w:r>
              <w:rPr>
                <w:rFonts w:ascii="Arial" w:eastAsia="Arial" w:hAnsi="Arial" w:cs="Arial"/>
                <w:sz w:val="13"/>
                <w:szCs w:val="13"/>
              </w:rPr>
              <w:t>—</w:t>
            </w:r>
          </w:p>
        </w:tc>
        <w:tc>
          <w:tcPr>
            <w:tcW w:w="1420" w:type="dxa"/>
            <w:tcBorders>
              <w:bottom w:val="single" w:sz="8" w:space="0" w:color="CF0A2C"/>
            </w:tcBorders>
            <w:vAlign w:val="bottom"/>
          </w:tcPr>
          <w:p w:rsidR="00A621E3" w:rsidRDefault="00EC630E">
            <w:pPr>
              <w:spacing w:line="150" w:lineRule="exact"/>
              <w:ind w:right="12"/>
              <w:jc w:val="right"/>
              <w:rPr>
                <w:sz w:val="20"/>
                <w:szCs w:val="20"/>
              </w:rPr>
            </w:pPr>
            <w:r>
              <w:rPr>
                <w:rFonts w:ascii="Arial" w:eastAsia="Arial" w:hAnsi="Arial" w:cs="Arial"/>
                <w:sz w:val="12"/>
                <w:szCs w:val="12"/>
              </w:rPr>
              <w:t>208,969</w:t>
            </w:r>
            <w:r>
              <w:rPr>
                <w:rFonts w:ascii="Arial" w:eastAsia="Arial" w:hAnsi="Arial" w:cs="Arial"/>
                <w:sz w:val="17"/>
                <w:szCs w:val="17"/>
                <w:vertAlign w:val="superscript"/>
              </w:rPr>
              <w:t>(iv)</w:t>
            </w:r>
          </w:p>
        </w:tc>
        <w:tc>
          <w:tcPr>
            <w:tcW w:w="76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50.16</w:t>
            </w:r>
          </w:p>
        </w:tc>
        <w:tc>
          <w:tcPr>
            <w:tcW w:w="84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2/10/2032</w:t>
            </w:r>
          </w:p>
        </w:tc>
        <w:tc>
          <w:tcPr>
            <w:tcW w:w="260" w:type="dxa"/>
            <w:tcBorders>
              <w:bottom w:val="single" w:sz="8" w:space="0" w:color="CF0A2C"/>
            </w:tcBorders>
            <w:vAlign w:val="bottom"/>
          </w:tcPr>
          <w:p w:rsidR="00A621E3" w:rsidRDefault="00A621E3">
            <w:pPr>
              <w:rPr>
                <w:sz w:val="12"/>
                <w:szCs w:val="12"/>
              </w:rPr>
            </w:pPr>
          </w:p>
        </w:tc>
        <w:tc>
          <w:tcPr>
            <w:tcW w:w="1080" w:type="dxa"/>
            <w:tcBorders>
              <w:bottom w:val="single" w:sz="8" w:space="0" w:color="CF0A2C"/>
            </w:tcBorders>
            <w:vAlign w:val="bottom"/>
          </w:tcPr>
          <w:p w:rsidR="00A621E3" w:rsidRDefault="00EC630E">
            <w:pPr>
              <w:spacing w:line="150" w:lineRule="exact"/>
              <w:ind w:left="460"/>
              <w:rPr>
                <w:sz w:val="20"/>
                <w:szCs w:val="20"/>
              </w:rPr>
            </w:pPr>
            <w:r>
              <w:rPr>
                <w:rFonts w:ascii="Arial" w:eastAsia="Arial" w:hAnsi="Arial" w:cs="Arial"/>
                <w:sz w:val="12"/>
                <w:szCs w:val="12"/>
              </w:rPr>
              <w:t>26,183</w:t>
            </w:r>
            <w:r>
              <w:rPr>
                <w:rFonts w:ascii="Arial" w:eastAsia="Arial" w:hAnsi="Arial" w:cs="Arial"/>
                <w:sz w:val="17"/>
                <w:szCs w:val="17"/>
                <w:vertAlign w:val="superscript"/>
              </w:rPr>
              <w:t>(ii)</w:t>
            </w:r>
          </w:p>
        </w:tc>
        <w:tc>
          <w:tcPr>
            <w:tcW w:w="92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1,430,889</w:t>
            </w:r>
          </w:p>
        </w:tc>
        <w:tc>
          <w:tcPr>
            <w:tcW w:w="1200" w:type="dxa"/>
            <w:tcBorders>
              <w:bottom w:val="single" w:sz="8" w:space="0" w:color="CF0A2C"/>
            </w:tcBorders>
            <w:vAlign w:val="bottom"/>
          </w:tcPr>
          <w:p w:rsidR="00A621E3" w:rsidRDefault="00EC630E">
            <w:pPr>
              <w:spacing w:line="150" w:lineRule="exact"/>
              <w:ind w:left="600"/>
              <w:rPr>
                <w:sz w:val="20"/>
                <w:szCs w:val="20"/>
              </w:rPr>
            </w:pPr>
            <w:r>
              <w:rPr>
                <w:rFonts w:ascii="Arial" w:eastAsia="Arial" w:hAnsi="Arial" w:cs="Arial"/>
                <w:sz w:val="12"/>
                <w:szCs w:val="12"/>
              </w:rPr>
              <w:t>57,194</w:t>
            </w:r>
            <w:r>
              <w:rPr>
                <w:rFonts w:ascii="Arial" w:eastAsia="Arial" w:hAnsi="Arial" w:cs="Arial"/>
                <w:sz w:val="17"/>
                <w:szCs w:val="17"/>
                <w:vertAlign w:val="superscript"/>
              </w:rPr>
              <w:t>(iii)</w:t>
            </w:r>
          </w:p>
        </w:tc>
        <w:tc>
          <w:tcPr>
            <w:tcW w:w="1080" w:type="dxa"/>
            <w:gridSpan w:val="4"/>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3,125,652</w:t>
            </w:r>
          </w:p>
        </w:tc>
        <w:tc>
          <w:tcPr>
            <w:tcW w:w="0" w:type="dxa"/>
            <w:vAlign w:val="bottom"/>
          </w:tcPr>
          <w:p w:rsidR="00A621E3" w:rsidRDefault="00A621E3">
            <w:pPr>
              <w:rPr>
                <w:sz w:val="1"/>
                <w:szCs w:val="1"/>
              </w:rPr>
            </w:pPr>
          </w:p>
        </w:tc>
      </w:tr>
      <w:tr w:rsidR="00A621E3">
        <w:trPr>
          <w:trHeight w:val="182"/>
        </w:trPr>
        <w:tc>
          <w:tcPr>
            <w:tcW w:w="1500" w:type="dxa"/>
            <w:vAlign w:val="bottom"/>
          </w:tcPr>
          <w:p w:rsidR="00A621E3" w:rsidRDefault="00EC630E">
            <w:pPr>
              <w:rPr>
                <w:sz w:val="20"/>
                <w:szCs w:val="20"/>
              </w:rPr>
            </w:pPr>
            <w:r>
              <w:rPr>
                <w:rFonts w:ascii="Arial" w:eastAsia="Arial" w:hAnsi="Arial" w:cs="Arial"/>
                <w:b/>
                <w:bCs/>
                <w:color w:val="CF0A2C"/>
                <w:sz w:val="13"/>
                <w:szCs w:val="13"/>
              </w:rPr>
              <w:t>Mr. Yeung</w:t>
            </w:r>
          </w:p>
        </w:tc>
        <w:tc>
          <w:tcPr>
            <w:tcW w:w="880" w:type="dxa"/>
            <w:vAlign w:val="bottom"/>
          </w:tcPr>
          <w:p w:rsidR="00A621E3" w:rsidRDefault="00EC630E">
            <w:pPr>
              <w:jc w:val="right"/>
              <w:rPr>
                <w:sz w:val="20"/>
                <w:szCs w:val="20"/>
              </w:rPr>
            </w:pPr>
            <w:r>
              <w:rPr>
                <w:rFonts w:ascii="Arial" w:eastAsia="Arial" w:hAnsi="Arial" w:cs="Arial"/>
                <w:sz w:val="13"/>
                <w:szCs w:val="13"/>
              </w:rPr>
              <w:t>2/7/2020</w:t>
            </w:r>
          </w:p>
        </w:tc>
        <w:tc>
          <w:tcPr>
            <w:tcW w:w="1080" w:type="dxa"/>
            <w:vAlign w:val="bottom"/>
          </w:tcPr>
          <w:p w:rsidR="00A621E3" w:rsidRDefault="00EC630E">
            <w:pPr>
              <w:ind w:right="11"/>
              <w:jc w:val="right"/>
              <w:rPr>
                <w:sz w:val="20"/>
                <w:szCs w:val="20"/>
              </w:rPr>
            </w:pPr>
            <w:r>
              <w:rPr>
                <w:rFonts w:ascii="Arial" w:eastAsia="Arial" w:hAnsi="Arial" w:cs="Arial"/>
                <w:sz w:val="13"/>
                <w:szCs w:val="13"/>
              </w:rPr>
              <w:t>22,448</w:t>
            </w:r>
          </w:p>
        </w:tc>
        <w:tc>
          <w:tcPr>
            <w:tcW w:w="1420" w:type="dxa"/>
            <w:vAlign w:val="bottom"/>
          </w:tcPr>
          <w:p w:rsidR="00A621E3" w:rsidRDefault="00EC630E">
            <w:pPr>
              <w:spacing w:line="182" w:lineRule="exact"/>
              <w:ind w:left="780"/>
              <w:rPr>
                <w:sz w:val="20"/>
                <w:szCs w:val="20"/>
              </w:rPr>
            </w:pPr>
            <w:r>
              <w:rPr>
                <w:rFonts w:ascii="Arial" w:eastAsia="Arial" w:hAnsi="Arial" w:cs="Arial"/>
                <w:sz w:val="13"/>
                <w:szCs w:val="13"/>
              </w:rPr>
              <w:t>22,448</w:t>
            </w:r>
            <w:r>
              <w:rPr>
                <w:rFonts w:ascii="Arial" w:eastAsia="Arial" w:hAnsi="Arial" w:cs="Arial"/>
                <w:sz w:val="20"/>
                <w:szCs w:val="20"/>
                <w:vertAlign w:val="superscript"/>
              </w:rPr>
              <w:t>(ii)</w:t>
            </w:r>
          </w:p>
        </w:tc>
        <w:tc>
          <w:tcPr>
            <w:tcW w:w="760" w:type="dxa"/>
            <w:vAlign w:val="bottom"/>
          </w:tcPr>
          <w:p w:rsidR="00A621E3" w:rsidRDefault="00EC630E">
            <w:pPr>
              <w:ind w:right="12"/>
              <w:jc w:val="right"/>
              <w:rPr>
                <w:sz w:val="20"/>
                <w:szCs w:val="20"/>
              </w:rPr>
            </w:pPr>
            <w:r>
              <w:rPr>
                <w:rFonts w:ascii="Arial" w:eastAsia="Arial" w:hAnsi="Arial" w:cs="Arial"/>
                <w:sz w:val="13"/>
                <w:szCs w:val="13"/>
              </w:rPr>
              <w:t>42.71</w:t>
            </w:r>
          </w:p>
        </w:tc>
        <w:tc>
          <w:tcPr>
            <w:tcW w:w="840" w:type="dxa"/>
            <w:vAlign w:val="bottom"/>
          </w:tcPr>
          <w:p w:rsidR="00A621E3" w:rsidRDefault="00EC630E">
            <w:pPr>
              <w:jc w:val="right"/>
              <w:rPr>
                <w:sz w:val="20"/>
                <w:szCs w:val="20"/>
              </w:rPr>
            </w:pPr>
            <w:r>
              <w:rPr>
                <w:rFonts w:ascii="Arial" w:eastAsia="Arial" w:hAnsi="Arial" w:cs="Arial"/>
                <w:sz w:val="13"/>
                <w:szCs w:val="13"/>
              </w:rPr>
              <w:t>2/7/2030</w:t>
            </w:r>
          </w:p>
        </w:tc>
        <w:tc>
          <w:tcPr>
            <w:tcW w:w="260" w:type="dxa"/>
            <w:vAlign w:val="bottom"/>
          </w:tcPr>
          <w:p w:rsidR="00A621E3" w:rsidRDefault="00A621E3">
            <w:pPr>
              <w:rPr>
                <w:sz w:val="15"/>
                <w:szCs w:val="15"/>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spacing w:line="182" w:lineRule="exact"/>
              <w:ind w:left="600"/>
              <w:rPr>
                <w:sz w:val="20"/>
                <w:szCs w:val="20"/>
              </w:rPr>
            </w:pPr>
            <w:r>
              <w:rPr>
                <w:rFonts w:ascii="Arial" w:eastAsia="Arial" w:hAnsi="Arial" w:cs="Arial"/>
                <w:sz w:val="13"/>
                <w:szCs w:val="13"/>
              </w:rPr>
              <w:t>26,056</w:t>
            </w:r>
            <w:r>
              <w:rPr>
                <w:rFonts w:ascii="Arial" w:eastAsia="Arial" w:hAnsi="Arial" w:cs="Arial"/>
                <w:sz w:val="20"/>
                <w:szCs w:val="20"/>
                <w:vertAlign w:val="superscript"/>
              </w:rPr>
              <w:t>(i)</w:t>
            </w:r>
          </w:p>
        </w:tc>
        <w:tc>
          <w:tcPr>
            <w:tcW w:w="1080" w:type="dxa"/>
            <w:gridSpan w:val="4"/>
            <w:vAlign w:val="bottom"/>
          </w:tcPr>
          <w:p w:rsidR="00A621E3" w:rsidRDefault="00EC630E">
            <w:pPr>
              <w:ind w:right="12"/>
              <w:jc w:val="right"/>
              <w:rPr>
                <w:sz w:val="20"/>
                <w:szCs w:val="20"/>
              </w:rPr>
            </w:pPr>
            <w:r>
              <w:rPr>
                <w:rFonts w:ascii="Arial" w:eastAsia="Arial" w:hAnsi="Arial" w:cs="Arial"/>
                <w:sz w:val="13"/>
                <w:szCs w:val="13"/>
              </w:rPr>
              <w:t>1,423,960</w:t>
            </w:r>
          </w:p>
        </w:tc>
        <w:tc>
          <w:tcPr>
            <w:tcW w:w="0" w:type="dxa"/>
            <w:vAlign w:val="bottom"/>
          </w:tcPr>
          <w:p w:rsidR="00A621E3" w:rsidRDefault="00A621E3">
            <w:pPr>
              <w:rPr>
                <w:sz w:val="1"/>
                <w:szCs w:val="1"/>
              </w:rPr>
            </w:pPr>
          </w:p>
        </w:tc>
      </w:tr>
      <w:tr w:rsidR="00A621E3">
        <w:trPr>
          <w:trHeight w:val="175"/>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2/5/2021</w:t>
            </w:r>
          </w:p>
        </w:tc>
        <w:tc>
          <w:tcPr>
            <w:tcW w:w="1080" w:type="dxa"/>
            <w:vAlign w:val="bottom"/>
          </w:tcPr>
          <w:p w:rsidR="00A621E3" w:rsidRDefault="00EC630E">
            <w:pPr>
              <w:ind w:right="11"/>
              <w:jc w:val="right"/>
              <w:rPr>
                <w:sz w:val="20"/>
                <w:szCs w:val="20"/>
              </w:rPr>
            </w:pPr>
            <w:r>
              <w:rPr>
                <w:rFonts w:ascii="Arial" w:eastAsia="Arial" w:hAnsi="Arial" w:cs="Arial"/>
                <w:sz w:val="13"/>
                <w:szCs w:val="13"/>
              </w:rPr>
              <w:t>10,749</w:t>
            </w:r>
          </w:p>
        </w:tc>
        <w:tc>
          <w:tcPr>
            <w:tcW w:w="1420" w:type="dxa"/>
            <w:vAlign w:val="bottom"/>
          </w:tcPr>
          <w:p w:rsidR="00A621E3" w:rsidRDefault="00EC630E">
            <w:pPr>
              <w:spacing w:line="176" w:lineRule="exact"/>
              <w:ind w:left="780"/>
              <w:rPr>
                <w:sz w:val="20"/>
                <w:szCs w:val="20"/>
              </w:rPr>
            </w:pPr>
            <w:r>
              <w:rPr>
                <w:rFonts w:ascii="Arial" w:eastAsia="Arial" w:hAnsi="Arial" w:cs="Arial"/>
                <w:sz w:val="13"/>
                <w:szCs w:val="13"/>
              </w:rPr>
              <w:t>32,249</w:t>
            </w:r>
            <w:r>
              <w:rPr>
                <w:rFonts w:ascii="Arial" w:eastAsia="Arial" w:hAnsi="Arial" w:cs="Arial"/>
                <w:sz w:val="20"/>
                <w:szCs w:val="20"/>
                <w:vertAlign w:val="superscript"/>
              </w:rPr>
              <w:t>(iii)</w:t>
            </w:r>
          </w:p>
        </w:tc>
        <w:tc>
          <w:tcPr>
            <w:tcW w:w="760" w:type="dxa"/>
            <w:vAlign w:val="bottom"/>
          </w:tcPr>
          <w:p w:rsidR="00A621E3" w:rsidRDefault="00EC630E">
            <w:pPr>
              <w:ind w:right="12"/>
              <w:jc w:val="right"/>
              <w:rPr>
                <w:sz w:val="20"/>
                <w:szCs w:val="20"/>
              </w:rPr>
            </w:pPr>
            <w:r>
              <w:rPr>
                <w:rFonts w:ascii="Arial" w:eastAsia="Arial" w:hAnsi="Arial" w:cs="Arial"/>
                <w:sz w:val="13"/>
                <w:szCs w:val="13"/>
              </w:rPr>
              <w:t>57.39</w:t>
            </w:r>
          </w:p>
        </w:tc>
        <w:tc>
          <w:tcPr>
            <w:tcW w:w="840" w:type="dxa"/>
            <w:vAlign w:val="bottom"/>
          </w:tcPr>
          <w:p w:rsidR="00A621E3" w:rsidRDefault="00EC630E">
            <w:pPr>
              <w:jc w:val="right"/>
              <w:rPr>
                <w:sz w:val="20"/>
                <w:szCs w:val="20"/>
              </w:rPr>
            </w:pPr>
            <w:r>
              <w:rPr>
                <w:rFonts w:ascii="Arial" w:eastAsia="Arial" w:hAnsi="Arial" w:cs="Arial"/>
                <w:sz w:val="13"/>
                <w:szCs w:val="13"/>
              </w:rPr>
              <w:t>2/5/2031</w:t>
            </w:r>
          </w:p>
        </w:tc>
        <w:tc>
          <w:tcPr>
            <w:tcW w:w="260" w:type="dxa"/>
            <w:vAlign w:val="bottom"/>
          </w:tcPr>
          <w:p w:rsidR="00A621E3" w:rsidRDefault="00A621E3">
            <w:pPr>
              <w:rPr>
                <w:sz w:val="15"/>
                <w:szCs w:val="15"/>
              </w:rPr>
            </w:pPr>
          </w:p>
        </w:tc>
        <w:tc>
          <w:tcPr>
            <w:tcW w:w="1080" w:type="dxa"/>
            <w:vAlign w:val="bottom"/>
          </w:tcPr>
          <w:p w:rsidR="00A621E3" w:rsidRDefault="00EC630E">
            <w:pPr>
              <w:spacing w:line="176" w:lineRule="exact"/>
              <w:ind w:left="460"/>
              <w:rPr>
                <w:sz w:val="20"/>
                <w:szCs w:val="20"/>
              </w:rPr>
            </w:pPr>
            <w:r>
              <w:rPr>
                <w:rFonts w:ascii="Arial" w:eastAsia="Arial" w:hAnsi="Arial" w:cs="Arial"/>
                <w:sz w:val="13"/>
                <w:szCs w:val="13"/>
              </w:rPr>
              <w:t>28,404</w:t>
            </w:r>
            <w:r>
              <w:rPr>
                <w:rFonts w:ascii="Arial" w:eastAsia="Arial" w:hAnsi="Arial" w:cs="Arial"/>
                <w:sz w:val="20"/>
                <w:szCs w:val="20"/>
                <w:vertAlign w:val="superscript"/>
              </w:rPr>
              <w:t>(i)</w:t>
            </w:r>
          </w:p>
        </w:tc>
        <w:tc>
          <w:tcPr>
            <w:tcW w:w="920" w:type="dxa"/>
            <w:vAlign w:val="bottom"/>
          </w:tcPr>
          <w:p w:rsidR="00A621E3" w:rsidRDefault="00EC630E">
            <w:pPr>
              <w:ind w:right="32"/>
              <w:jc w:val="right"/>
              <w:rPr>
                <w:sz w:val="20"/>
                <w:szCs w:val="20"/>
              </w:rPr>
            </w:pPr>
            <w:r>
              <w:rPr>
                <w:rFonts w:ascii="Arial" w:eastAsia="Arial" w:hAnsi="Arial" w:cs="Arial"/>
                <w:sz w:val="13"/>
                <w:szCs w:val="13"/>
              </w:rPr>
              <w:t>1,552,257</w:t>
            </w:r>
          </w:p>
        </w:tc>
        <w:tc>
          <w:tcPr>
            <w:tcW w:w="1200" w:type="dxa"/>
            <w:vAlign w:val="bottom"/>
          </w:tcPr>
          <w:p w:rsidR="00A621E3" w:rsidRDefault="00EC630E">
            <w:pPr>
              <w:spacing w:line="176" w:lineRule="exact"/>
              <w:ind w:right="12"/>
              <w:jc w:val="right"/>
              <w:rPr>
                <w:sz w:val="20"/>
                <w:szCs w:val="20"/>
              </w:rPr>
            </w:pPr>
            <w:r>
              <w:rPr>
                <w:rFonts w:ascii="Arial" w:eastAsia="Arial" w:hAnsi="Arial" w:cs="Arial"/>
                <w:sz w:val="13"/>
                <w:szCs w:val="13"/>
              </w:rPr>
              <w:t>2,566</w:t>
            </w:r>
            <w:r>
              <w:rPr>
                <w:rFonts w:ascii="Arial" w:eastAsia="Arial" w:hAnsi="Arial" w:cs="Arial"/>
                <w:sz w:val="20"/>
                <w:szCs w:val="20"/>
                <w:vertAlign w:val="superscript"/>
              </w:rPr>
              <w:t>(ii)</w:t>
            </w:r>
          </w:p>
        </w:tc>
        <w:tc>
          <w:tcPr>
            <w:tcW w:w="1080" w:type="dxa"/>
            <w:gridSpan w:val="4"/>
            <w:vAlign w:val="bottom"/>
          </w:tcPr>
          <w:p w:rsidR="00A621E3" w:rsidRDefault="00EC630E">
            <w:pPr>
              <w:ind w:right="12"/>
              <w:jc w:val="right"/>
              <w:rPr>
                <w:sz w:val="20"/>
                <w:szCs w:val="20"/>
              </w:rPr>
            </w:pPr>
            <w:r>
              <w:rPr>
                <w:rFonts w:ascii="Arial" w:eastAsia="Arial" w:hAnsi="Arial" w:cs="Arial"/>
                <w:sz w:val="13"/>
                <w:szCs w:val="13"/>
              </w:rPr>
              <w:t>140,205</w:t>
            </w:r>
          </w:p>
        </w:tc>
        <w:tc>
          <w:tcPr>
            <w:tcW w:w="0" w:type="dxa"/>
            <w:vAlign w:val="bottom"/>
          </w:tcPr>
          <w:p w:rsidR="00A621E3" w:rsidRDefault="00A621E3">
            <w:pPr>
              <w:rPr>
                <w:sz w:val="1"/>
                <w:szCs w:val="1"/>
              </w:rPr>
            </w:pPr>
          </w:p>
        </w:tc>
      </w:tr>
      <w:tr w:rsidR="00A621E3">
        <w:trPr>
          <w:trHeight w:val="176"/>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5/25/2021</w:t>
            </w:r>
          </w:p>
        </w:tc>
        <w:tc>
          <w:tcPr>
            <w:tcW w:w="1080" w:type="dxa"/>
            <w:vAlign w:val="bottom"/>
          </w:tcPr>
          <w:p w:rsidR="00A621E3" w:rsidRDefault="00EC630E">
            <w:pPr>
              <w:ind w:right="11"/>
              <w:jc w:val="right"/>
              <w:rPr>
                <w:sz w:val="20"/>
                <w:szCs w:val="20"/>
              </w:rPr>
            </w:pPr>
            <w:r>
              <w:rPr>
                <w:rFonts w:ascii="Arial" w:eastAsia="Arial" w:hAnsi="Arial" w:cs="Arial"/>
                <w:sz w:val="13"/>
                <w:szCs w:val="13"/>
              </w:rPr>
              <w:t>—</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w:t>
            </w:r>
          </w:p>
        </w:tc>
        <w:tc>
          <w:tcPr>
            <w:tcW w:w="1100" w:type="dxa"/>
            <w:gridSpan w:val="2"/>
            <w:vAlign w:val="bottom"/>
          </w:tcPr>
          <w:p w:rsidR="00A621E3" w:rsidRDefault="00EC630E">
            <w:pPr>
              <w:ind w:right="300"/>
              <w:jc w:val="right"/>
              <w:rPr>
                <w:sz w:val="20"/>
                <w:szCs w:val="20"/>
              </w:rPr>
            </w:pPr>
            <w:r>
              <w:rPr>
                <w:rFonts w:ascii="Arial" w:eastAsia="Arial" w:hAnsi="Arial" w:cs="Arial"/>
                <w:sz w:val="13"/>
                <w:szCs w:val="13"/>
              </w:rPr>
              <w:t>—</w:t>
            </w: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spacing w:line="176" w:lineRule="exact"/>
              <w:ind w:right="12"/>
              <w:jc w:val="right"/>
              <w:rPr>
                <w:sz w:val="20"/>
                <w:szCs w:val="20"/>
              </w:rPr>
            </w:pPr>
            <w:r>
              <w:rPr>
                <w:rFonts w:ascii="Arial" w:eastAsia="Arial" w:hAnsi="Arial" w:cs="Arial"/>
                <w:sz w:val="13"/>
                <w:szCs w:val="13"/>
              </w:rPr>
              <w:t>3,268</w:t>
            </w:r>
            <w:r>
              <w:rPr>
                <w:rFonts w:ascii="Arial" w:eastAsia="Arial" w:hAnsi="Arial" w:cs="Arial"/>
                <w:sz w:val="20"/>
                <w:szCs w:val="20"/>
                <w:vertAlign w:val="superscript"/>
              </w:rPr>
              <w:t>(ii)</w:t>
            </w:r>
          </w:p>
        </w:tc>
        <w:tc>
          <w:tcPr>
            <w:tcW w:w="1080" w:type="dxa"/>
            <w:gridSpan w:val="4"/>
            <w:vAlign w:val="bottom"/>
          </w:tcPr>
          <w:p w:rsidR="00A621E3" w:rsidRDefault="00EC630E">
            <w:pPr>
              <w:ind w:right="12"/>
              <w:jc w:val="right"/>
              <w:rPr>
                <w:sz w:val="20"/>
                <w:szCs w:val="20"/>
              </w:rPr>
            </w:pPr>
            <w:r>
              <w:rPr>
                <w:rFonts w:ascii="Arial" w:eastAsia="Arial" w:hAnsi="Arial" w:cs="Arial"/>
                <w:sz w:val="13"/>
                <w:szCs w:val="13"/>
              </w:rPr>
              <w:t>178,569</w:t>
            </w:r>
          </w:p>
        </w:tc>
        <w:tc>
          <w:tcPr>
            <w:tcW w:w="0" w:type="dxa"/>
            <w:vAlign w:val="bottom"/>
          </w:tcPr>
          <w:p w:rsidR="00A621E3" w:rsidRDefault="00A621E3">
            <w:pPr>
              <w:rPr>
                <w:sz w:val="1"/>
                <w:szCs w:val="1"/>
              </w:rPr>
            </w:pPr>
          </w:p>
        </w:tc>
      </w:tr>
      <w:tr w:rsidR="00A621E3">
        <w:trPr>
          <w:trHeight w:val="149"/>
        </w:trPr>
        <w:tc>
          <w:tcPr>
            <w:tcW w:w="1500" w:type="dxa"/>
            <w:tcBorders>
              <w:bottom w:val="single" w:sz="8" w:space="0" w:color="CF0A2C"/>
            </w:tcBorders>
            <w:vAlign w:val="bottom"/>
          </w:tcPr>
          <w:p w:rsidR="00A621E3" w:rsidRDefault="00A621E3">
            <w:pPr>
              <w:rPr>
                <w:sz w:val="12"/>
                <w:szCs w:val="12"/>
              </w:rPr>
            </w:pP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2/10/2022</w:t>
            </w:r>
          </w:p>
        </w:tc>
        <w:tc>
          <w:tcPr>
            <w:tcW w:w="1080" w:type="dxa"/>
            <w:tcBorders>
              <w:bottom w:val="single" w:sz="8" w:space="0" w:color="CF0A2C"/>
            </w:tcBorders>
            <w:vAlign w:val="bottom"/>
          </w:tcPr>
          <w:p w:rsidR="00A621E3" w:rsidRDefault="00EC630E">
            <w:pPr>
              <w:ind w:right="11"/>
              <w:jc w:val="right"/>
              <w:rPr>
                <w:sz w:val="20"/>
                <w:szCs w:val="20"/>
              </w:rPr>
            </w:pPr>
            <w:r>
              <w:rPr>
                <w:rFonts w:ascii="Arial" w:eastAsia="Arial" w:hAnsi="Arial" w:cs="Arial"/>
                <w:sz w:val="13"/>
                <w:szCs w:val="13"/>
              </w:rPr>
              <w:t>—</w:t>
            </w:r>
          </w:p>
        </w:tc>
        <w:tc>
          <w:tcPr>
            <w:tcW w:w="1420" w:type="dxa"/>
            <w:tcBorders>
              <w:bottom w:val="single" w:sz="8" w:space="0" w:color="CF0A2C"/>
            </w:tcBorders>
            <w:vAlign w:val="bottom"/>
          </w:tcPr>
          <w:p w:rsidR="00A621E3" w:rsidRDefault="00EC630E">
            <w:pPr>
              <w:spacing w:line="150" w:lineRule="exact"/>
              <w:ind w:left="780"/>
              <w:rPr>
                <w:sz w:val="20"/>
                <w:szCs w:val="20"/>
              </w:rPr>
            </w:pPr>
            <w:r>
              <w:rPr>
                <w:rFonts w:ascii="Arial" w:eastAsia="Arial" w:hAnsi="Arial" w:cs="Arial"/>
                <w:sz w:val="12"/>
                <w:szCs w:val="12"/>
              </w:rPr>
              <w:t>50,796</w:t>
            </w:r>
            <w:r>
              <w:rPr>
                <w:rFonts w:ascii="Arial" w:eastAsia="Arial" w:hAnsi="Arial" w:cs="Arial"/>
                <w:sz w:val="17"/>
                <w:szCs w:val="17"/>
                <w:vertAlign w:val="superscript"/>
              </w:rPr>
              <w:t>(iv)</w:t>
            </w:r>
          </w:p>
        </w:tc>
        <w:tc>
          <w:tcPr>
            <w:tcW w:w="76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50.16</w:t>
            </w:r>
          </w:p>
        </w:tc>
        <w:tc>
          <w:tcPr>
            <w:tcW w:w="84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2/10/2032</w:t>
            </w:r>
          </w:p>
        </w:tc>
        <w:tc>
          <w:tcPr>
            <w:tcW w:w="260" w:type="dxa"/>
            <w:tcBorders>
              <w:bottom w:val="single" w:sz="8" w:space="0" w:color="CF0A2C"/>
            </w:tcBorders>
            <w:vAlign w:val="bottom"/>
          </w:tcPr>
          <w:p w:rsidR="00A621E3" w:rsidRDefault="00A621E3">
            <w:pPr>
              <w:rPr>
                <w:sz w:val="12"/>
                <w:szCs w:val="12"/>
              </w:rPr>
            </w:pPr>
          </w:p>
        </w:tc>
        <w:tc>
          <w:tcPr>
            <w:tcW w:w="1080" w:type="dxa"/>
            <w:tcBorders>
              <w:bottom w:val="single" w:sz="8" w:space="0" w:color="CF0A2C"/>
            </w:tcBorders>
            <w:vAlign w:val="bottom"/>
          </w:tcPr>
          <w:p w:rsidR="00A621E3" w:rsidRDefault="00EC630E">
            <w:pPr>
              <w:spacing w:line="150" w:lineRule="exact"/>
              <w:ind w:right="32"/>
              <w:jc w:val="right"/>
              <w:rPr>
                <w:sz w:val="20"/>
                <w:szCs w:val="20"/>
              </w:rPr>
            </w:pPr>
            <w:r>
              <w:rPr>
                <w:rFonts w:ascii="Arial" w:eastAsia="Arial" w:hAnsi="Arial" w:cs="Arial"/>
                <w:sz w:val="12"/>
                <w:szCs w:val="12"/>
              </w:rPr>
              <w:t>6,364</w:t>
            </w:r>
            <w:r>
              <w:rPr>
                <w:rFonts w:ascii="Arial" w:eastAsia="Arial" w:hAnsi="Arial" w:cs="Arial"/>
                <w:sz w:val="17"/>
                <w:szCs w:val="17"/>
                <w:vertAlign w:val="superscript"/>
              </w:rPr>
              <w:t>(ii)</w:t>
            </w:r>
          </w:p>
        </w:tc>
        <w:tc>
          <w:tcPr>
            <w:tcW w:w="92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347,812</w:t>
            </w:r>
          </w:p>
        </w:tc>
        <w:tc>
          <w:tcPr>
            <w:tcW w:w="1200" w:type="dxa"/>
            <w:tcBorders>
              <w:bottom w:val="single" w:sz="8" w:space="0" w:color="CF0A2C"/>
            </w:tcBorders>
            <w:vAlign w:val="bottom"/>
          </w:tcPr>
          <w:p w:rsidR="00A621E3" w:rsidRDefault="00EC630E">
            <w:pPr>
              <w:spacing w:line="150" w:lineRule="exact"/>
              <w:ind w:left="600"/>
              <w:rPr>
                <w:sz w:val="20"/>
                <w:szCs w:val="20"/>
              </w:rPr>
            </w:pPr>
            <w:r>
              <w:rPr>
                <w:rFonts w:ascii="Arial" w:eastAsia="Arial" w:hAnsi="Arial" w:cs="Arial"/>
                <w:sz w:val="12"/>
                <w:szCs w:val="12"/>
              </w:rPr>
              <w:t>13,904</w:t>
            </w:r>
            <w:r>
              <w:rPr>
                <w:rFonts w:ascii="Arial" w:eastAsia="Arial" w:hAnsi="Arial" w:cs="Arial"/>
                <w:sz w:val="17"/>
                <w:szCs w:val="17"/>
                <w:vertAlign w:val="superscript"/>
              </w:rPr>
              <w:t>(iii)</w:t>
            </w:r>
          </w:p>
        </w:tc>
        <w:tc>
          <w:tcPr>
            <w:tcW w:w="1080" w:type="dxa"/>
            <w:gridSpan w:val="4"/>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759,854</w:t>
            </w:r>
          </w:p>
        </w:tc>
        <w:tc>
          <w:tcPr>
            <w:tcW w:w="0" w:type="dxa"/>
            <w:vAlign w:val="bottom"/>
          </w:tcPr>
          <w:p w:rsidR="00A621E3" w:rsidRDefault="00A621E3">
            <w:pPr>
              <w:rPr>
                <w:sz w:val="1"/>
                <w:szCs w:val="1"/>
              </w:rPr>
            </w:pPr>
          </w:p>
        </w:tc>
      </w:tr>
      <w:tr w:rsidR="00A621E3">
        <w:trPr>
          <w:trHeight w:val="182"/>
        </w:trPr>
        <w:tc>
          <w:tcPr>
            <w:tcW w:w="1500" w:type="dxa"/>
            <w:vAlign w:val="bottom"/>
          </w:tcPr>
          <w:p w:rsidR="00A621E3" w:rsidRDefault="00EC630E">
            <w:pPr>
              <w:rPr>
                <w:sz w:val="20"/>
                <w:szCs w:val="20"/>
              </w:rPr>
            </w:pPr>
            <w:r>
              <w:rPr>
                <w:rFonts w:ascii="Arial" w:eastAsia="Arial" w:hAnsi="Arial" w:cs="Arial"/>
                <w:b/>
                <w:bCs/>
                <w:color w:val="CF0A2C"/>
                <w:sz w:val="13"/>
                <w:szCs w:val="13"/>
              </w:rPr>
              <w:t>Mr. Chan</w:t>
            </w:r>
          </w:p>
        </w:tc>
        <w:tc>
          <w:tcPr>
            <w:tcW w:w="880" w:type="dxa"/>
            <w:vAlign w:val="bottom"/>
          </w:tcPr>
          <w:p w:rsidR="00A621E3" w:rsidRDefault="00EC630E">
            <w:pPr>
              <w:jc w:val="right"/>
              <w:rPr>
                <w:sz w:val="20"/>
                <w:szCs w:val="20"/>
              </w:rPr>
            </w:pPr>
            <w:r>
              <w:rPr>
                <w:rFonts w:ascii="Arial" w:eastAsia="Arial" w:hAnsi="Arial" w:cs="Arial"/>
                <w:sz w:val="13"/>
                <w:szCs w:val="13"/>
              </w:rPr>
              <w:t>2/7/2020</w:t>
            </w:r>
          </w:p>
        </w:tc>
        <w:tc>
          <w:tcPr>
            <w:tcW w:w="1080" w:type="dxa"/>
            <w:vAlign w:val="bottom"/>
          </w:tcPr>
          <w:p w:rsidR="00A621E3" w:rsidRDefault="00EC630E">
            <w:pPr>
              <w:ind w:right="11"/>
              <w:jc w:val="right"/>
              <w:rPr>
                <w:sz w:val="20"/>
                <w:szCs w:val="20"/>
              </w:rPr>
            </w:pPr>
            <w:r>
              <w:rPr>
                <w:rFonts w:ascii="Arial" w:eastAsia="Arial" w:hAnsi="Arial" w:cs="Arial"/>
                <w:sz w:val="13"/>
                <w:szCs w:val="13"/>
              </w:rPr>
              <w:t>14,965</w:t>
            </w:r>
          </w:p>
        </w:tc>
        <w:tc>
          <w:tcPr>
            <w:tcW w:w="1420" w:type="dxa"/>
            <w:vAlign w:val="bottom"/>
          </w:tcPr>
          <w:p w:rsidR="00A621E3" w:rsidRDefault="00EC630E">
            <w:pPr>
              <w:spacing w:line="182" w:lineRule="exact"/>
              <w:ind w:left="780"/>
              <w:rPr>
                <w:sz w:val="20"/>
                <w:szCs w:val="20"/>
              </w:rPr>
            </w:pPr>
            <w:r>
              <w:rPr>
                <w:rFonts w:ascii="Arial" w:eastAsia="Arial" w:hAnsi="Arial" w:cs="Arial"/>
                <w:sz w:val="13"/>
                <w:szCs w:val="13"/>
              </w:rPr>
              <w:t>14,966</w:t>
            </w:r>
            <w:r>
              <w:rPr>
                <w:rFonts w:ascii="Arial" w:eastAsia="Arial" w:hAnsi="Arial" w:cs="Arial"/>
                <w:sz w:val="20"/>
                <w:szCs w:val="20"/>
                <w:vertAlign w:val="superscript"/>
              </w:rPr>
              <w:t>(ii)</w:t>
            </w:r>
          </w:p>
        </w:tc>
        <w:tc>
          <w:tcPr>
            <w:tcW w:w="760" w:type="dxa"/>
            <w:vAlign w:val="bottom"/>
          </w:tcPr>
          <w:p w:rsidR="00A621E3" w:rsidRDefault="00EC630E">
            <w:pPr>
              <w:ind w:right="12"/>
              <w:jc w:val="right"/>
              <w:rPr>
                <w:sz w:val="20"/>
                <w:szCs w:val="20"/>
              </w:rPr>
            </w:pPr>
            <w:r>
              <w:rPr>
                <w:rFonts w:ascii="Arial" w:eastAsia="Arial" w:hAnsi="Arial" w:cs="Arial"/>
                <w:sz w:val="13"/>
                <w:szCs w:val="13"/>
              </w:rPr>
              <w:t>42.71</w:t>
            </w:r>
          </w:p>
        </w:tc>
        <w:tc>
          <w:tcPr>
            <w:tcW w:w="840" w:type="dxa"/>
            <w:vAlign w:val="bottom"/>
          </w:tcPr>
          <w:p w:rsidR="00A621E3" w:rsidRDefault="00EC630E">
            <w:pPr>
              <w:jc w:val="right"/>
              <w:rPr>
                <w:sz w:val="20"/>
                <w:szCs w:val="20"/>
              </w:rPr>
            </w:pPr>
            <w:r>
              <w:rPr>
                <w:rFonts w:ascii="Arial" w:eastAsia="Arial" w:hAnsi="Arial" w:cs="Arial"/>
                <w:sz w:val="13"/>
                <w:szCs w:val="13"/>
              </w:rPr>
              <w:t>2/7/2030</w:t>
            </w:r>
          </w:p>
        </w:tc>
        <w:tc>
          <w:tcPr>
            <w:tcW w:w="260" w:type="dxa"/>
            <w:vAlign w:val="bottom"/>
          </w:tcPr>
          <w:p w:rsidR="00A621E3" w:rsidRDefault="00A621E3">
            <w:pPr>
              <w:rPr>
                <w:sz w:val="15"/>
                <w:szCs w:val="15"/>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spacing w:line="182" w:lineRule="exact"/>
              <w:ind w:left="600"/>
              <w:rPr>
                <w:sz w:val="20"/>
                <w:szCs w:val="20"/>
              </w:rPr>
            </w:pPr>
            <w:r>
              <w:rPr>
                <w:rFonts w:ascii="Arial" w:eastAsia="Arial" w:hAnsi="Arial" w:cs="Arial"/>
                <w:sz w:val="13"/>
                <w:szCs w:val="13"/>
              </w:rPr>
              <w:t>19,542</w:t>
            </w:r>
            <w:r>
              <w:rPr>
                <w:rFonts w:ascii="Arial" w:eastAsia="Arial" w:hAnsi="Arial" w:cs="Arial"/>
                <w:sz w:val="20"/>
                <w:szCs w:val="20"/>
                <w:vertAlign w:val="superscript"/>
              </w:rPr>
              <w:t>(i)</w:t>
            </w:r>
          </w:p>
        </w:tc>
        <w:tc>
          <w:tcPr>
            <w:tcW w:w="1080" w:type="dxa"/>
            <w:gridSpan w:val="4"/>
            <w:vAlign w:val="bottom"/>
          </w:tcPr>
          <w:p w:rsidR="00A621E3" w:rsidRDefault="00EC630E">
            <w:pPr>
              <w:ind w:right="12"/>
              <w:jc w:val="right"/>
              <w:rPr>
                <w:sz w:val="20"/>
                <w:szCs w:val="20"/>
              </w:rPr>
            </w:pPr>
            <w:r>
              <w:rPr>
                <w:rFonts w:ascii="Arial" w:eastAsia="Arial" w:hAnsi="Arial" w:cs="Arial"/>
                <w:sz w:val="13"/>
                <w:szCs w:val="13"/>
              </w:rPr>
              <w:t>1,067,970</w:t>
            </w:r>
          </w:p>
        </w:tc>
        <w:tc>
          <w:tcPr>
            <w:tcW w:w="0" w:type="dxa"/>
            <w:vAlign w:val="bottom"/>
          </w:tcPr>
          <w:p w:rsidR="00A621E3" w:rsidRDefault="00A621E3">
            <w:pPr>
              <w:rPr>
                <w:sz w:val="1"/>
                <w:szCs w:val="1"/>
              </w:rPr>
            </w:pPr>
          </w:p>
        </w:tc>
      </w:tr>
      <w:tr w:rsidR="00A621E3">
        <w:trPr>
          <w:trHeight w:val="175"/>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2/5/2021</w:t>
            </w:r>
          </w:p>
        </w:tc>
        <w:tc>
          <w:tcPr>
            <w:tcW w:w="1080" w:type="dxa"/>
            <w:vAlign w:val="bottom"/>
          </w:tcPr>
          <w:p w:rsidR="00A621E3" w:rsidRDefault="00EC630E">
            <w:pPr>
              <w:ind w:right="11"/>
              <w:jc w:val="right"/>
              <w:rPr>
                <w:sz w:val="20"/>
                <w:szCs w:val="20"/>
              </w:rPr>
            </w:pPr>
            <w:r>
              <w:rPr>
                <w:rFonts w:ascii="Arial" w:eastAsia="Arial" w:hAnsi="Arial" w:cs="Arial"/>
                <w:sz w:val="13"/>
                <w:szCs w:val="13"/>
              </w:rPr>
              <w:t>8,062</w:t>
            </w:r>
          </w:p>
        </w:tc>
        <w:tc>
          <w:tcPr>
            <w:tcW w:w="1420" w:type="dxa"/>
            <w:vAlign w:val="bottom"/>
          </w:tcPr>
          <w:p w:rsidR="00A621E3" w:rsidRDefault="00EC630E">
            <w:pPr>
              <w:spacing w:line="176" w:lineRule="exact"/>
              <w:ind w:left="780"/>
              <w:rPr>
                <w:sz w:val="20"/>
                <w:szCs w:val="20"/>
              </w:rPr>
            </w:pPr>
            <w:r>
              <w:rPr>
                <w:rFonts w:ascii="Arial" w:eastAsia="Arial" w:hAnsi="Arial" w:cs="Arial"/>
                <w:sz w:val="13"/>
                <w:szCs w:val="13"/>
              </w:rPr>
              <w:t>24,186</w:t>
            </w:r>
            <w:r>
              <w:rPr>
                <w:rFonts w:ascii="Arial" w:eastAsia="Arial" w:hAnsi="Arial" w:cs="Arial"/>
                <w:sz w:val="20"/>
                <w:szCs w:val="20"/>
                <w:vertAlign w:val="superscript"/>
              </w:rPr>
              <w:t>(iii)</w:t>
            </w:r>
          </w:p>
        </w:tc>
        <w:tc>
          <w:tcPr>
            <w:tcW w:w="760" w:type="dxa"/>
            <w:vAlign w:val="bottom"/>
          </w:tcPr>
          <w:p w:rsidR="00A621E3" w:rsidRDefault="00EC630E">
            <w:pPr>
              <w:ind w:right="12"/>
              <w:jc w:val="right"/>
              <w:rPr>
                <w:sz w:val="20"/>
                <w:szCs w:val="20"/>
              </w:rPr>
            </w:pPr>
            <w:r>
              <w:rPr>
                <w:rFonts w:ascii="Arial" w:eastAsia="Arial" w:hAnsi="Arial" w:cs="Arial"/>
                <w:sz w:val="13"/>
                <w:szCs w:val="13"/>
              </w:rPr>
              <w:t>57.39</w:t>
            </w:r>
          </w:p>
        </w:tc>
        <w:tc>
          <w:tcPr>
            <w:tcW w:w="840" w:type="dxa"/>
            <w:vAlign w:val="bottom"/>
          </w:tcPr>
          <w:p w:rsidR="00A621E3" w:rsidRDefault="00EC630E">
            <w:pPr>
              <w:jc w:val="right"/>
              <w:rPr>
                <w:sz w:val="20"/>
                <w:szCs w:val="20"/>
              </w:rPr>
            </w:pPr>
            <w:r>
              <w:rPr>
                <w:rFonts w:ascii="Arial" w:eastAsia="Arial" w:hAnsi="Arial" w:cs="Arial"/>
                <w:sz w:val="13"/>
                <w:szCs w:val="13"/>
              </w:rPr>
              <w:t>2/5/2031</w:t>
            </w:r>
          </w:p>
        </w:tc>
        <w:tc>
          <w:tcPr>
            <w:tcW w:w="260" w:type="dxa"/>
            <w:vAlign w:val="bottom"/>
          </w:tcPr>
          <w:p w:rsidR="00A621E3" w:rsidRDefault="00A621E3">
            <w:pPr>
              <w:rPr>
                <w:sz w:val="15"/>
                <w:szCs w:val="15"/>
              </w:rPr>
            </w:pPr>
          </w:p>
        </w:tc>
        <w:tc>
          <w:tcPr>
            <w:tcW w:w="1080" w:type="dxa"/>
            <w:vAlign w:val="bottom"/>
          </w:tcPr>
          <w:p w:rsidR="00A621E3" w:rsidRDefault="00EC630E">
            <w:pPr>
              <w:spacing w:line="176" w:lineRule="exact"/>
              <w:ind w:left="460"/>
              <w:rPr>
                <w:sz w:val="20"/>
                <w:szCs w:val="20"/>
              </w:rPr>
            </w:pPr>
            <w:r>
              <w:rPr>
                <w:rFonts w:ascii="Arial" w:eastAsia="Arial" w:hAnsi="Arial" w:cs="Arial"/>
                <w:sz w:val="13"/>
                <w:szCs w:val="13"/>
              </w:rPr>
              <w:t>26,628</w:t>
            </w:r>
            <w:r>
              <w:rPr>
                <w:rFonts w:ascii="Arial" w:eastAsia="Arial" w:hAnsi="Arial" w:cs="Arial"/>
                <w:sz w:val="20"/>
                <w:szCs w:val="20"/>
                <w:vertAlign w:val="superscript"/>
              </w:rPr>
              <w:t>(i)</w:t>
            </w:r>
          </w:p>
        </w:tc>
        <w:tc>
          <w:tcPr>
            <w:tcW w:w="920" w:type="dxa"/>
            <w:vAlign w:val="bottom"/>
          </w:tcPr>
          <w:p w:rsidR="00A621E3" w:rsidRDefault="00EC630E">
            <w:pPr>
              <w:ind w:right="32"/>
              <w:jc w:val="right"/>
              <w:rPr>
                <w:sz w:val="20"/>
                <w:szCs w:val="20"/>
              </w:rPr>
            </w:pPr>
            <w:r>
              <w:rPr>
                <w:rFonts w:ascii="Arial" w:eastAsia="Arial" w:hAnsi="Arial" w:cs="Arial"/>
                <w:sz w:val="13"/>
                <w:szCs w:val="13"/>
              </w:rPr>
              <w:t>1,455,213</w:t>
            </w:r>
          </w:p>
        </w:tc>
        <w:tc>
          <w:tcPr>
            <w:tcW w:w="1200" w:type="dxa"/>
            <w:vAlign w:val="bottom"/>
          </w:tcPr>
          <w:p w:rsidR="00A621E3" w:rsidRDefault="00EC630E">
            <w:pPr>
              <w:spacing w:line="176" w:lineRule="exact"/>
              <w:ind w:right="12"/>
              <w:jc w:val="right"/>
              <w:rPr>
                <w:sz w:val="20"/>
                <w:szCs w:val="20"/>
              </w:rPr>
            </w:pPr>
            <w:r>
              <w:rPr>
                <w:rFonts w:ascii="Arial" w:eastAsia="Arial" w:hAnsi="Arial" w:cs="Arial"/>
                <w:sz w:val="13"/>
                <w:szCs w:val="13"/>
              </w:rPr>
              <w:t>1,924</w:t>
            </w:r>
            <w:r>
              <w:rPr>
                <w:rFonts w:ascii="Arial" w:eastAsia="Arial" w:hAnsi="Arial" w:cs="Arial"/>
                <w:sz w:val="20"/>
                <w:szCs w:val="20"/>
                <w:vertAlign w:val="superscript"/>
              </w:rPr>
              <w:t>(ii)</w:t>
            </w:r>
          </w:p>
        </w:tc>
        <w:tc>
          <w:tcPr>
            <w:tcW w:w="1080" w:type="dxa"/>
            <w:gridSpan w:val="4"/>
            <w:vAlign w:val="bottom"/>
          </w:tcPr>
          <w:p w:rsidR="00A621E3" w:rsidRDefault="00EC630E">
            <w:pPr>
              <w:ind w:right="12"/>
              <w:jc w:val="right"/>
              <w:rPr>
                <w:sz w:val="20"/>
                <w:szCs w:val="20"/>
              </w:rPr>
            </w:pPr>
            <w:r>
              <w:rPr>
                <w:rFonts w:ascii="Arial" w:eastAsia="Arial" w:hAnsi="Arial" w:cs="Arial"/>
                <w:sz w:val="13"/>
                <w:szCs w:val="13"/>
              </w:rPr>
              <w:t>105,147</w:t>
            </w:r>
          </w:p>
        </w:tc>
        <w:tc>
          <w:tcPr>
            <w:tcW w:w="0" w:type="dxa"/>
            <w:vAlign w:val="bottom"/>
          </w:tcPr>
          <w:p w:rsidR="00A621E3" w:rsidRDefault="00A621E3">
            <w:pPr>
              <w:rPr>
                <w:sz w:val="1"/>
                <w:szCs w:val="1"/>
              </w:rPr>
            </w:pPr>
          </w:p>
        </w:tc>
      </w:tr>
      <w:tr w:rsidR="00A621E3">
        <w:trPr>
          <w:trHeight w:val="175"/>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5/25/2021</w:t>
            </w:r>
          </w:p>
        </w:tc>
        <w:tc>
          <w:tcPr>
            <w:tcW w:w="1080" w:type="dxa"/>
            <w:vAlign w:val="bottom"/>
          </w:tcPr>
          <w:p w:rsidR="00A621E3" w:rsidRDefault="00EC630E">
            <w:pPr>
              <w:ind w:right="11"/>
              <w:jc w:val="right"/>
              <w:rPr>
                <w:sz w:val="20"/>
                <w:szCs w:val="20"/>
              </w:rPr>
            </w:pPr>
            <w:r>
              <w:rPr>
                <w:rFonts w:ascii="Arial" w:eastAsia="Arial" w:hAnsi="Arial" w:cs="Arial"/>
                <w:sz w:val="13"/>
                <w:szCs w:val="13"/>
              </w:rPr>
              <w:t>—</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w:t>
            </w:r>
          </w:p>
        </w:tc>
        <w:tc>
          <w:tcPr>
            <w:tcW w:w="1100" w:type="dxa"/>
            <w:gridSpan w:val="2"/>
            <w:vAlign w:val="bottom"/>
          </w:tcPr>
          <w:p w:rsidR="00A621E3" w:rsidRDefault="00EC630E">
            <w:pPr>
              <w:ind w:right="300"/>
              <w:jc w:val="right"/>
              <w:rPr>
                <w:sz w:val="20"/>
                <w:szCs w:val="20"/>
              </w:rPr>
            </w:pPr>
            <w:r>
              <w:rPr>
                <w:rFonts w:ascii="Arial" w:eastAsia="Arial" w:hAnsi="Arial" w:cs="Arial"/>
                <w:sz w:val="13"/>
                <w:szCs w:val="13"/>
              </w:rPr>
              <w:t>—</w:t>
            </w: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spacing w:line="176" w:lineRule="exact"/>
              <w:ind w:right="12"/>
              <w:jc w:val="right"/>
              <w:rPr>
                <w:sz w:val="20"/>
                <w:szCs w:val="20"/>
              </w:rPr>
            </w:pPr>
            <w:r>
              <w:rPr>
                <w:rFonts w:ascii="Arial" w:eastAsia="Arial" w:hAnsi="Arial" w:cs="Arial"/>
                <w:sz w:val="13"/>
                <w:szCs w:val="13"/>
              </w:rPr>
              <w:t>2,451</w:t>
            </w:r>
            <w:r>
              <w:rPr>
                <w:rFonts w:ascii="Arial" w:eastAsia="Arial" w:hAnsi="Arial" w:cs="Arial"/>
                <w:sz w:val="20"/>
                <w:szCs w:val="20"/>
                <w:vertAlign w:val="superscript"/>
              </w:rPr>
              <w:t>(ii)</w:t>
            </w:r>
          </w:p>
        </w:tc>
        <w:tc>
          <w:tcPr>
            <w:tcW w:w="1080" w:type="dxa"/>
            <w:gridSpan w:val="4"/>
            <w:vAlign w:val="bottom"/>
          </w:tcPr>
          <w:p w:rsidR="00A621E3" w:rsidRDefault="00EC630E">
            <w:pPr>
              <w:ind w:right="12"/>
              <w:jc w:val="right"/>
              <w:rPr>
                <w:sz w:val="20"/>
                <w:szCs w:val="20"/>
              </w:rPr>
            </w:pPr>
            <w:r>
              <w:rPr>
                <w:rFonts w:ascii="Arial" w:eastAsia="Arial" w:hAnsi="Arial" w:cs="Arial"/>
                <w:sz w:val="13"/>
                <w:szCs w:val="13"/>
              </w:rPr>
              <w:t>133,920</w:t>
            </w:r>
          </w:p>
        </w:tc>
        <w:tc>
          <w:tcPr>
            <w:tcW w:w="0" w:type="dxa"/>
            <w:vAlign w:val="bottom"/>
          </w:tcPr>
          <w:p w:rsidR="00A621E3" w:rsidRDefault="00A621E3">
            <w:pPr>
              <w:rPr>
                <w:sz w:val="1"/>
                <w:szCs w:val="1"/>
              </w:rPr>
            </w:pPr>
          </w:p>
        </w:tc>
      </w:tr>
      <w:tr w:rsidR="00A621E3">
        <w:trPr>
          <w:trHeight w:val="149"/>
        </w:trPr>
        <w:tc>
          <w:tcPr>
            <w:tcW w:w="1500" w:type="dxa"/>
            <w:tcBorders>
              <w:bottom w:val="single" w:sz="8" w:space="0" w:color="CF0A2C"/>
            </w:tcBorders>
            <w:vAlign w:val="bottom"/>
          </w:tcPr>
          <w:p w:rsidR="00A621E3" w:rsidRDefault="00A621E3">
            <w:pPr>
              <w:rPr>
                <w:sz w:val="12"/>
                <w:szCs w:val="12"/>
              </w:rPr>
            </w:pP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2/10/2022</w:t>
            </w:r>
          </w:p>
        </w:tc>
        <w:tc>
          <w:tcPr>
            <w:tcW w:w="1080" w:type="dxa"/>
            <w:tcBorders>
              <w:bottom w:val="single" w:sz="8" w:space="0" w:color="CF0A2C"/>
            </w:tcBorders>
            <w:vAlign w:val="bottom"/>
          </w:tcPr>
          <w:p w:rsidR="00A621E3" w:rsidRDefault="00EC630E">
            <w:pPr>
              <w:ind w:right="11"/>
              <w:jc w:val="right"/>
              <w:rPr>
                <w:sz w:val="20"/>
                <w:szCs w:val="20"/>
              </w:rPr>
            </w:pPr>
            <w:r>
              <w:rPr>
                <w:rFonts w:ascii="Arial" w:eastAsia="Arial" w:hAnsi="Arial" w:cs="Arial"/>
                <w:sz w:val="13"/>
                <w:szCs w:val="13"/>
              </w:rPr>
              <w:t>—</w:t>
            </w:r>
          </w:p>
        </w:tc>
        <w:tc>
          <w:tcPr>
            <w:tcW w:w="1420" w:type="dxa"/>
            <w:tcBorders>
              <w:bottom w:val="single" w:sz="8" w:space="0" w:color="CF0A2C"/>
            </w:tcBorders>
            <w:vAlign w:val="bottom"/>
          </w:tcPr>
          <w:p w:rsidR="00A621E3" w:rsidRDefault="00EC630E">
            <w:pPr>
              <w:spacing w:line="150" w:lineRule="exact"/>
              <w:ind w:left="780"/>
              <w:rPr>
                <w:sz w:val="20"/>
                <w:szCs w:val="20"/>
              </w:rPr>
            </w:pPr>
            <w:r>
              <w:rPr>
                <w:rFonts w:ascii="Arial" w:eastAsia="Arial" w:hAnsi="Arial" w:cs="Arial"/>
                <w:sz w:val="12"/>
                <w:szCs w:val="12"/>
              </w:rPr>
              <w:t>38,579</w:t>
            </w:r>
            <w:r>
              <w:rPr>
                <w:rFonts w:ascii="Arial" w:eastAsia="Arial" w:hAnsi="Arial" w:cs="Arial"/>
                <w:sz w:val="17"/>
                <w:szCs w:val="17"/>
                <w:vertAlign w:val="superscript"/>
              </w:rPr>
              <w:t>(iv)</w:t>
            </w:r>
          </w:p>
        </w:tc>
        <w:tc>
          <w:tcPr>
            <w:tcW w:w="76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50.16</w:t>
            </w:r>
          </w:p>
        </w:tc>
        <w:tc>
          <w:tcPr>
            <w:tcW w:w="84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2/10/2032</w:t>
            </w:r>
          </w:p>
        </w:tc>
        <w:tc>
          <w:tcPr>
            <w:tcW w:w="260" w:type="dxa"/>
            <w:tcBorders>
              <w:bottom w:val="single" w:sz="8" w:space="0" w:color="CF0A2C"/>
            </w:tcBorders>
            <w:vAlign w:val="bottom"/>
          </w:tcPr>
          <w:p w:rsidR="00A621E3" w:rsidRDefault="00A621E3">
            <w:pPr>
              <w:rPr>
                <w:sz w:val="12"/>
                <w:szCs w:val="12"/>
              </w:rPr>
            </w:pPr>
          </w:p>
        </w:tc>
        <w:tc>
          <w:tcPr>
            <w:tcW w:w="1080" w:type="dxa"/>
            <w:tcBorders>
              <w:bottom w:val="single" w:sz="8" w:space="0" w:color="CF0A2C"/>
            </w:tcBorders>
            <w:vAlign w:val="bottom"/>
          </w:tcPr>
          <w:p w:rsidR="00A621E3" w:rsidRDefault="00EC630E">
            <w:pPr>
              <w:spacing w:line="150" w:lineRule="exact"/>
              <w:ind w:right="32"/>
              <w:jc w:val="right"/>
              <w:rPr>
                <w:sz w:val="20"/>
                <w:szCs w:val="20"/>
              </w:rPr>
            </w:pPr>
            <w:r>
              <w:rPr>
                <w:rFonts w:ascii="Arial" w:eastAsia="Arial" w:hAnsi="Arial" w:cs="Arial"/>
                <w:sz w:val="12"/>
                <w:szCs w:val="12"/>
              </w:rPr>
              <w:t>4,834</w:t>
            </w:r>
            <w:r>
              <w:rPr>
                <w:rFonts w:ascii="Arial" w:eastAsia="Arial" w:hAnsi="Arial" w:cs="Arial"/>
                <w:sz w:val="17"/>
                <w:szCs w:val="17"/>
                <w:vertAlign w:val="superscript"/>
              </w:rPr>
              <w:t>(ii)</w:t>
            </w:r>
          </w:p>
        </w:tc>
        <w:tc>
          <w:tcPr>
            <w:tcW w:w="92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264,172</w:t>
            </w:r>
          </w:p>
        </w:tc>
        <w:tc>
          <w:tcPr>
            <w:tcW w:w="1200" w:type="dxa"/>
            <w:tcBorders>
              <w:bottom w:val="single" w:sz="8" w:space="0" w:color="CF0A2C"/>
            </w:tcBorders>
            <w:vAlign w:val="bottom"/>
          </w:tcPr>
          <w:p w:rsidR="00A621E3" w:rsidRDefault="00EC630E">
            <w:pPr>
              <w:spacing w:line="150" w:lineRule="exact"/>
              <w:ind w:left="600"/>
              <w:rPr>
                <w:sz w:val="20"/>
                <w:szCs w:val="20"/>
              </w:rPr>
            </w:pPr>
            <w:r>
              <w:rPr>
                <w:rFonts w:ascii="Arial" w:eastAsia="Arial" w:hAnsi="Arial" w:cs="Arial"/>
                <w:sz w:val="12"/>
                <w:szCs w:val="12"/>
              </w:rPr>
              <w:t>10,560</w:t>
            </w:r>
            <w:r>
              <w:rPr>
                <w:rFonts w:ascii="Arial" w:eastAsia="Arial" w:hAnsi="Arial" w:cs="Arial"/>
                <w:sz w:val="17"/>
                <w:szCs w:val="17"/>
                <w:vertAlign w:val="superscript"/>
              </w:rPr>
              <w:t>(iii)</w:t>
            </w:r>
          </w:p>
        </w:tc>
        <w:tc>
          <w:tcPr>
            <w:tcW w:w="1080" w:type="dxa"/>
            <w:gridSpan w:val="4"/>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577,104</w:t>
            </w:r>
          </w:p>
        </w:tc>
        <w:tc>
          <w:tcPr>
            <w:tcW w:w="0" w:type="dxa"/>
            <w:vAlign w:val="bottom"/>
          </w:tcPr>
          <w:p w:rsidR="00A621E3" w:rsidRDefault="00A621E3">
            <w:pPr>
              <w:rPr>
                <w:sz w:val="1"/>
                <w:szCs w:val="1"/>
              </w:rPr>
            </w:pPr>
          </w:p>
        </w:tc>
      </w:tr>
      <w:tr w:rsidR="00A621E3">
        <w:trPr>
          <w:trHeight w:val="172"/>
        </w:trPr>
        <w:tc>
          <w:tcPr>
            <w:tcW w:w="1500" w:type="dxa"/>
            <w:vAlign w:val="bottom"/>
          </w:tcPr>
          <w:p w:rsidR="00A621E3" w:rsidRDefault="00EC630E">
            <w:pPr>
              <w:rPr>
                <w:sz w:val="20"/>
                <w:szCs w:val="20"/>
              </w:rPr>
            </w:pPr>
            <w:r>
              <w:rPr>
                <w:rFonts w:ascii="Arial" w:eastAsia="Arial" w:hAnsi="Arial" w:cs="Arial"/>
                <w:b/>
                <w:bCs/>
                <w:color w:val="CF0A2C"/>
                <w:sz w:val="13"/>
                <w:szCs w:val="13"/>
              </w:rPr>
              <w:t>Mr. Huang</w:t>
            </w:r>
          </w:p>
        </w:tc>
        <w:tc>
          <w:tcPr>
            <w:tcW w:w="880" w:type="dxa"/>
            <w:vAlign w:val="bottom"/>
          </w:tcPr>
          <w:p w:rsidR="00A621E3" w:rsidRDefault="00EC630E">
            <w:pPr>
              <w:jc w:val="right"/>
              <w:rPr>
                <w:sz w:val="20"/>
                <w:szCs w:val="20"/>
              </w:rPr>
            </w:pPr>
            <w:r>
              <w:rPr>
                <w:rFonts w:ascii="Arial" w:eastAsia="Arial" w:hAnsi="Arial" w:cs="Arial"/>
                <w:sz w:val="13"/>
                <w:szCs w:val="13"/>
              </w:rPr>
              <w:t>2/5/2014</w:t>
            </w:r>
          </w:p>
        </w:tc>
        <w:tc>
          <w:tcPr>
            <w:tcW w:w="1080" w:type="dxa"/>
            <w:vAlign w:val="bottom"/>
          </w:tcPr>
          <w:p w:rsidR="00A621E3" w:rsidRDefault="00EC630E">
            <w:pPr>
              <w:ind w:right="11"/>
              <w:jc w:val="right"/>
              <w:rPr>
                <w:sz w:val="20"/>
                <w:szCs w:val="20"/>
              </w:rPr>
            </w:pPr>
            <w:r>
              <w:rPr>
                <w:rFonts w:ascii="Arial" w:eastAsia="Arial" w:hAnsi="Arial" w:cs="Arial"/>
                <w:sz w:val="13"/>
                <w:szCs w:val="13"/>
              </w:rPr>
              <w:t>6,797</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21.30</w:t>
            </w:r>
          </w:p>
        </w:tc>
        <w:tc>
          <w:tcPr>
            <w:tcW w:w="840" w:type="dxa"/>
            <w:vAlign w:val="bottom"/>
          </w:tcPr>
          <w:p w:rsidR="00A621E3" w:rsidRDefault="00EC630E">
            <w:pPr>
              <w:jc w:val="right"/>
              <w:rPr>
                <w:sz w:val="20"/>
                <w:szCs w:val="20"/>
              </w:rPr>
            </w:pPr>
            <w:r>
              <w:rPr>
                <w:rFonts w:ascii="Arial" w:eastAsia="Arial" w:hAnsi="Arial" w:cs="Arial"/>
                <w:sz w:val="13"/>
                <w:szCs w:val="13"/>
              </w:rPr>
              <w:t>2/5/2024</w:t>
            </w:r>
          </w:p>
        </w:tc>
        <w:tc>
          <w:tcPr>
            <w:tcW w:w="260" w:type="dxa"/>
            <w:vAlign w:val="bottom"/>
          </w:tcPr>
          <w:p w:rsidR="00A621E3" w:rsidRDefault="00A621E3">
            <w:pPr>
              <w:rPr>
                <w:sz w:val="14"/>
                <w:szCs w:val="14"/>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ind w:right="132"/>
              <w:jc w:val="right"/>
              <w:rPr>
                <w:sz w:val="20"/>
                <w:szCs w:val="20"/>
              </w:rPr>
            </w:pPr>
            <w:r>
              <w:rPr>
                <w:rFonts w:ascii="Arial" w:eastAsia="Arial" w:hAnsi="Arial" w:cs="Arial"/>
                <w:sz w:val="13"/>
                <w:szCs w:val="13"/>
              </w:rPr>
              <w:t>—</w:t>
            </w:r>
          </w:p>
        </w:tc>
        <w:tc>
          <w:tcPr>
            <w:tcW w:w="640" w:type="dxa"/>
            <w:vAlign w:val="bottom"/>
          </w:tcPr>
          <w:p w:rsidR="00A621E3" w:rsidRDefault="00A621E3">
            <w:pPr>
              <w:rPr>
                <w:sz w:val="14"/>
                <w:szCs w:val="14"/>
              </w:rPr>
            </w:pPr>
          </w:p>
        </w:tc>
        <w:tc>
          <w:tcPr>
            <w:tcW w:w="20" w:type="dxa"/>
            <w:vAlign w:val="bottom"/>
          </w:tcPr>
          <w:p w:rsidR="00A621E3" w:rsidRDefault="00A621E3">
            <w:pPr>
              <w:rPr>
                <w:sz w:val="14"/>
                <w:szCs w:val="14"/>
              </w:rPr>
            </w:pPr>
          </w:p>
        </w:tc>
        <w:tc>
          <w:tcPr>
            <w:tcW w:w="160" w:type="dxa"/>
            <w:vAlign w:val="bottom"/>
          </w:tcPr>
          <w:p w:rsidR="00A621E3" w:rsidRDefault="00A621E3">
            <w:pPr>
              <w:rPr>
                <w:sz w:val="14"/>
                <w:szCs w:val="14"/>
              </w:rPr>
            </w:pPr>
          </w:p>
        </w:tc>
        <w:tc>
          <w:tcPr>
            <w:tcW w:w="26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2"/>
        </w:trPr>
        <w:tc>
          <w:tcPr>
            <w:tcW w:w="1500" w:type="dxa"/>
            <w:vAlign w:val="bottom"/>
          </w:tcPr>
          <w:p w:rsidR="00A621E3" w:rsidRDefault="00A621E3">
            <w:pPr>
              <w:rPr>
                <w:sz w:val="14"/>
                <w:szCs w:val="14"/>
              </w:rPr>
            </w:pPr>
          </w:p>
        </w:tc>
        <w:tc>
          <w:tcPr>
            <w:tcW w:w="880" w:type="dxa"/>
            <w:vAlign w:val="bottom"/>
          </w:tcPr>
          <w:p w:rsidR="00A621E3" w:rsidRDefault="00EC630E">
            <w:pPr>
              <w:jc w:val="right"/>
              <w:rPr>
                <w:sz w:val="20"/>
                <w:szCs w:val="20"/>
              </w:rPr>
            </w:pPr>
            <w:r>
              <w:rPr>
                <w:rFonts w:ascii="Arial" w:eastAsia="Arial" w:hAnsi="Arial" w:cs="Arial"/>
                <w:sz w:val="13"/>
                <w:szCs w:val="13"/>
              </w:rPr>
              <w:t>2/5/2014</w:t>
            </w:r>
          </w:p>
        </w:tc>
        <w:tc>
          <w:tcPr>
            <w:tcW w:w="1080" w:type="dxa"/>
            <w:vAlign w:val="bottom"/>
          </w:tcPr>
          <w:p w:rsidR="00A621E3" w:rsidRDefault="00EC630E">
            <w:pPr>
              <w:ind w:right="11"/>
              <w:jc w:val="right"/>
              <w:rPr>
                <w:sz w:val="20"/>
                <w:szCs w:val="20"/>
              </w:rPr>
            </w:pPr>
            <w:r>
              <w:rPr>
                <w:rFonts w:ascii="Arial" w:eastAsia="Arial" w:hAnsi="Arial" w:cs="Arial"/>
                <w:sz w:val="13"/>
                <w:szCs w:val="13"/>
              </w:rPr>
              <w:t>9,516</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21.30</w:t>
            </w:r>
          </w:p>
        </w:tc>
        <w:tc>
          <w:tcPr>
            <w:tcW w:w="840" w:type="dxa"/>
            <w:vAlign w:val="bottom"/>
          </w:tcPr>
          <w:p w:rsidR="00A621E3" w:rsidRDefault="00EC630E">
            <w:pPr>
              <w:jc w:val="right"/>
              <w:rPr>
                <w:sz w:val="20"/>
                <w:szCs w:val="20"/>
              </w:rPr>
            </w:pPr>
            <w:r>
              <w:rPr>
                <w:rFonts w:ascii="Arial" w:eastAsia="Arial" w:hAnsi="Arial" w:cs="Arial"/>
                <w:sz w:val="13"/>
                <w:szCs w:val="13"/>
              </w:rPr>
              <w:t>2/5/2024</w:t>
            </w:r>
          </w:p>
        </w:tc>
        <w:tc>
          <w:tcPr>
            <w:tcW w:w="260" w:type="dxa"/>
            <w:vAlign w:val="bottom"/>
          </w:tcPr>
          <w:p w:rsidR="00A621E3" w:rsidRDefault="00A621E3">
            <w:pPr>
              <w:rPr>
                <w:sz w:val="14"/>
                <w:szCs w:val="14"/>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ind w:right="132"/>
              <w:jc w:val="right"/>
              <w:rPr>
                <w:sz w:val="20"/>
                <w:szCs w:val="20"/>
              </w:rPr>
            </w:pPr>
            <w:r>
              <w:rPr>
                <w:rFonts w:ascii="Arial" w:eastAsia="Arial" w:hAnsi="Arial" w:cs="Arial"/>
                <w:sz w:val="13"/>
                <w:szCs w:val="13"/>
              </w:rPr>
              <w:t>—</w:t>
            </w:r>
          </w:p>
        </w:tc>
        <w:tc>
          <w:tcPr>
            <w:tcW w:w="640" w:type="dxa"/>
            <w:vAlign w:val="bottom"/>
          </w:tcPr>
          <w:p w:rsidR="00A621E3" w:rsidRDefault="00A621E3">
            <w:pPr>
              <w:rPr>
                <w:sz w:val="14"/>
                <w:szCs w:val="14"/>
              </w:rPr>
            </w:pPr>
          </w:p>
        </w:tc>
        <w:tc>
          <w:tcPr>
            <w:tcW w:w="20" w:type="dxa"/>
            <w:vAlign w:val="bottom"/>
          </w:tcPr>
          <w:p w:rsidR="00A621E3" w:rsidRDefault="00A621E3">
            <w:pPr>
              <w:rPr>
                <w:sz w:val="14"/>
                <w:szCs w:val="14"/>
              </w:rPr>
            </w:pPr>
          </w:p>
        </w:tc>
        <w:tc>
          <w:tcPr>
            <w:tcW w:w="160" w:type="dxa"/>
            <w:vAlign w:val="bottom"/>
          </w:tcPr>
          <w:p w:rsidR="00A621E3" w:rsidRDefault="00A621E3">
            <w:pPr>
              <w:rPr>
                <w:sz w:val="14"/>
                <w:szCs w:val="14"/>
              </w:rPr>
            </w:pPr>
          </w:p>
        </w:tc>
        <w:tc>
          <w:tcPr>
            <w:tcW w:w="26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5"/>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2/6/2015</w:t>
            </w:r>
          </w:p>
        </w:tc>
        <w:tc>
          <w:tcPr>
            <w:tcW w:w="1080" w:type="dxa"/>
            <w:vAlign w:val="bottom"/>
          </w:tcPr>
          <w:p w:rsidR="00A621E3" w:rsidRDefault="00EC630E">
            <w:pPr>
              <w:ind w:right="11"/>
              <w:jc w:val="right"/>
              <w:rPr>
                <w:sz w:val="20"/>
                <w:szCs w:val="20"/>
              </w:rPr>
            </w:pPr>
            <w:r>
              <w:rPr>
                <w:rFonts w:ascii="Arial" w:eastAsia="Arial" w:hAnsi="Arial" w:cs="Arial"/>
                <w:sz w:val="13"/>
                <w:szCs w:val="13"/>
              </w:rPr>
              <w:t>10,149</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22.32</w:t>
            </w:r>
          </w:p>
        </w:tc>
        <w:tc>
          <w:tcPr>
            <w:tcW w:w="840" w:type="dxa"/>
            <w:vAlign w:val="bottom"/>
          </w:tcPr>
          <w:p w:rsidR="00A621E3" w:rsidRDefault="00EC630E">
            <w:pPr>
              <w:jc w:val="right"/>
              <w:rPr>
                <w:sz w:val="20"/>
                <w:szCs w:val="20"/>
              </w:rPr>
            </w:pPr>
            <w:r>
              <w:rPr>
                <w:rFonts w:ascii="Arial" w:eastAsia="Arial" w:hAnsi="Arial" w:cs="Arial"/>
                <w:sz w:val="13"/>
                <w:szCs w:val="13"/>
              </w:rPr>
              <w:t>2/6/2025</w:t>
            </w:r>
          </w:p>
        </w:tc>
        <w:tc>
          <w:tcPr>
            <w:tcW w:w="260" w:type="dxa"/>
            <w:vAlign w:val="bottom"/>
          </w:tcPr>
          <w:p w:rsidR="00A621E3" w:rsidRDefault="00A621E3">
            <w:pPr>
              <w:rPr>
                <w:sz w:val="15"/>
                <w:szCs w:val="15"/>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ind w:right="132"/>
              <w:jc w:val="right"/>
              <w:rPr>
                <w:sz w:val="20"/>
                <w:szCs w:val="20"/>
              </w:rPr>
            </w:pPr>
            <w:r>
              <w:rPr>
                <w:rFonts w:ascii="Arial" w:eastAsia="Arial" w:hAnsi="Arial" w:cs="Arial"/>
                <w:sz w:val="13"/>
                <w:szCs w:val="13"/>
              </w:rPr>
              <w:t>—</w:t>
            </w:r>
          </w:p>
        </w:tc>
        <w:tc>
          <w:tcPr>
            <w:tcW w:w="640" w:type="dxa"/>
            <w:vAlign w:val="bottom"/>
          </w:tcPr>
          <w:p w:rsidR="00A621E3" w:rsidRDefault="00A621E3">
            <w:pPr>
              <w:rPr>
                <w:sz w:val="15"/>
                <w:szCs w:val="15"/>
              </w:rPr>
            </w:pPr>
          </w:p>
        </w:tc>
        <w:tc>
          <w:tcPr>
            <w:tcW w:w="20" w:type="dxa"/>
            <w:vAlign w:val="bottom"/>
          </w:tcPr>
          <w:p w:rsidR="00A621E3" w:rsidRDefault="00A621E3">
            <w:pPr>
              <w:rPr>
                <w:sz w:val="15"/>
                <w:szCs w:val="15"/>
              </w:rPr>
            </w:pPr>
          </w:p>
        </w:tc>
        <w:tc>
          <w:tcPr>
            <w:tcW w:w="160" w:type="dxa"/>
            <w:vAlign w:val="bottom"/>
          </w:tcPr>
          <w:p w:rsidR="00A621E3" w:rsidRDefault="00A621E3">
            <w:pPr>
              <w:rPr>
                <w:sz w:val="15"/>
                <w:szCs w:val="15"/>
              </w:rPr>
            </w:pPr>
          </w:p>
        </w:tc>
        <w:tc>
          <w:tcPr>
            <w:tcW w:w="26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5"/>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2/5/2016</w:t>
            </w:r>
          </w:p>
        </w:tc>
        <w:tc>
          <w:tcPr>
            <w:tcW w:w="1080" w:type="dxa"/>
            <w:vAlign w:val="bottom"/>
          </w:tcPr>
          <w:p w:rsidR="00A621E3" w:rsidRDefault="00EC630E">
            <w:pPr>
              <w:ind w:right="11"/>
              <w:jc w:val="right"/>
              <w:rPr>
                <w:sz w:val="20"/>
                <w:szCs w:val="20"/>
              </w:rPr>
            </w:pPr>
            <w:r>
              <w:rPr>
                <w:rFonts w:ascii="Arial" w:eastAsia="Arial" w:hAnsi="Arial" w:cs="Arial"/>
                <w:sz w:val="13"/>
                <w:szCs w:val="13"/>
              </w:rPr>
              <w:t>13,772</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21.06</w:t>
            </w:r>
          </w:p>
        </w:tc>
        <w:tc>
          <w:tcPr>
            <w:tcW w:w="840" w:type="dxa"/>
            <w:vAlign w:val="bottom"/>
          </w:tcPr>
          <w:p w:rsidR="00A621E3" w:rsidRDefault="00EC630E">
            <w:pPr>
              <w:jc w:val="right"/>
              <w:rPr>
                <w:sz w:val="20"/>
                <w:szCs w:val="20"/>
              </w:rPr>
            </w:pPr>
            <w:r>
              <w:rPr>
                <w:rFonts w:ascii="Arial" w:eastAsia="Arial" w:hAnsi="Arial" w:cs="Arial"/>
                <w:sz w:val="13"/>
                <w:szCs w:val="13"/>
              </w:rPr>
              <w:t>2/5/2026</w:t>
            </w:r>
          </w:p>
        </w:tc>
        <w:tc>
          <w:tcPr>
            <w:tcW w:w="260" w:type="dxa"/>
            <w:vAlign w:val="bottom"/>
          </w:tcPr>
          <w:p w:rsidR="00A621E3" w:rsidRDefault="00A621E3">
            <w:pPr>
              <w:rPr>
                <w:sz w:val="15"/>
                <w:szCs w:val="15"/>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ind w:right="132"/>
              <w:jc w:val="right"/>
              <w:rPr>
                <w:sz w:val="20"/>
                <w:szCs w:val="20"/>
              </w:rPr>
            </w:pPr>
            <w:r>
              <w:rPr>
                <w:rFonts w:ascii="Arial" w:eastAsia="Arial" w:hAnsi="Arial" w:cs="Arial"/>
                <w:sz w:val="13"/>
                <w:szCs w:val="13"/>
              </w:rPr>
              <w:t>—</w:t>
            </w:r>
          </w:p>
        </w:tc>
        <w:tc>
          <w:tcPr>
            <w:tcW w:w="640" w:type="dxa"/>
            <w:vAlign w:val="bottom"/>
          </w:tcPr>
          <w:p w:rsidR="00A621E3" w:rsidRDefault="00A621E3">
            <w:pPr>
              <w:rPr>
                <w:sz w:val="15"/>
                <w:szCs w:val="15"/>
              </w:rPr>
            </w:pPr>
          </w:p>
        </w:tc>
        <w:tc>
          <w:tcPr>
            <w:tcW w:w="20" w:type="dxa"/>
            <w:vAlign w:val="bottom"/>
          </w:tcPr>
          <w:p w:rsidR="00A621E3" w:rsidRDefault="00A621E3">
            <w:pPr>
              <w:rPr>
                <w:sz w:val="15"/>
                <w:szCs w:val="15"/>
              </w:rPr>
            </w:pPr>
          </w:p>
        </w:tc>
        <w:tc>
          <w:tcPr>
            <w:tcW w:w="160" w:type="dxa"/>
            <w:vAlign w:val="bottom"/>
          </w:tcPr>
          <w:p w:rsidR="00A621E3" w:rsidRDefault="00A621E3">
            <w:pPr>
              <w:rPr>
                <w:sz w:val="15"/>
                <w:szCs w:val="15"/>
              </w:rPr>
            </w:pPr>
          </w:p>
        </w:tc>
        <w:tc>
          <w:tcPr>
            <w:tcW w:w="26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6"/>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11/11/2016</w:t>
            </w:r>
          </w:p>
        </w:tc>
        <w:tc>
          <w:tcPr>
            <w:tcW w:w="1080" w:type="dxa"/>
            <w:vAlign w:val="bottom"/>
          </w:tcPr>
          <w:p w:rsidR="00A621E3" w:rsidRDefault="00EC630E">
            <w:pPr>
              <w:ind w:right="11"/>
              <w:jc w:val="right"/>
              <w:rPr>
                <w:sz w:val="20"/>
                <w:szCs w:val="20"/>
              </w:rPr>
            </w:pPr>
            <w:r>
              <w:rPr>
                <w:rFonts w:ascii="Arial" w:eastAsia="Arial" w:hAnsi="Arial" w:cs="Arial"/>
                <w:sz w:val="13"/>
                <w:szCs w:val="13"/>
              </w:rPr>
              <w:t>24,423</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26.98</w:t>
            </w:r>
          </w:p>
        </w:tc>
        <w:tc>
          <w:tcPr>
            <w:tcW w:w="840" w:type="dxa"/>
            <w:vAlign w:val="bottom"/>
          </w:tcPr>
          <w:p w:rsidR="00A621E3" w:rsidRDefault="00EC630E">
            <w:pPr>
              <w:jc w:val="right"/>
              <w:rPr>
                <w:sz w:val="20"/>
                <w:szCs w:val="20"/>
              </w:rPr>
            </w:pPr>
            <w:r>
              <w:rPr>
                <w:rFonts w:ascii="Arial" w:eastAsia="Arial" w:hAnsi="Arial" w:cs="Arial"/>
                <w:sz w:val="13"/>
                <w:szCs w:val="13"/>
              </w:rPr>
              <w:t>11/11/2026</w:t>
            </w:r>
          </w:p>
        </w:tc>
        <w:tc>
          <w:tcPr>
            <w:tcW w:w="260" w:type="dxa"/>
            <w:vAlign w:val="bottom"/>
          </w:tcPr>
          <w:p w:rsidR="00A621E3" w:rsidRDefault="00A621E3">
            <w:pPr>
              <w:rPr>
                <w:sz w:val="15"/>
                <w:szCs w:val="15"/>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ind w:right="132"/>
              <w:jc w:val="right"/>
              <w:rPr>
                <w:sz w:val="20"/>
                <w:szCs w:val="20"/>
              </w:rPr>
            </w:pPr>
            <w:r>
              <w:rPr>
                <w:rFonts w:ascii="Arial" w:eastAsia="Arial" w:hAnsi="Arial" w:cs="Arial"/>
                <w:sz w:val="13"/>
                <w:szCs w:val="13"/>
              </w:rPr>
              <w:t>—</w:t>
            </w:r>
          </w:p>
        </w:tc>
        <w:tc>
          <w:tcPr>
            <w:tcW w:w="640" w:type="dxa"/>
            <w:vAlign w:val="bottom"/>
          </w:tcPr>
          <w:p w:rsidR="00A621E3" w:rsidRDefault="00A621E3">
            <w:pPr>
              <w:rPr>
                <w:sz w:val="15"/>
                <w:szCs w:val="15"/>
              </w:rPr>
            </w:pPr>
          </w:p>
        </w:tc>
        <w:tc>
          <w:tcPr>
            <w:tcW w:w="20" w:type="dxa"/>
            <w:vAlign w:val="bottom"/>
          </w:tcPr>
          <w:p w:rsidR="00A621E3" w:rsidRDefault="00A621E3">
            <w:pPr>
              <w:rPr>
                <w:sz w:val="15"/>
                <w:szCs w:val="15"/>
              </w:rPr>
            </w:pPr>
          </w:p>
        </w:tc>
        <w:tc>
          <w:tcPr>
            <w:tcW w:w="160" w:type="dxa"/>
            <w:vAlign w:val="bottom"/>
          </w:tcPr>
          <w:p w:rsidR="00A621E3" w:rsidRDefault="00A621E3">
            <w:pPr>
              <w:rPr>
                <w:sz w:val="15"/>
                <w:szCs w:val="15"/>
              </w:rPr>
            </w:pPr>
          </w:p>
        </w:tc>
        <w:tc>
          <w:tcPr>
            <w:tcW w:w="26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5"/>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2/10/2017</w:t>
            </w:r>
          </w:p>
        </w:tc>
        <w:tc>
          <w:tcPr>
            <w:tcW w:w="1080" w:type="dxa"/>
            <w:vAlign w:val="bottom"/>
          </w:tcPr>
          <w:p w:rsidR="00A621E3" w:rsidRDefault="00EC630E">
            <w:pPr>
              <w:ind w:right="11"/>
              <w:jc w:val="right"/>
              <w:rPr>
                <w:sz w:val="20"/>
                <w:szCs w:val="20"/>
              </w:rPr>
            </w:pPr>
            <w:r>
              <w:rPr>
                <w:rFonts w:ascii="Arial" w:eastAsia="Arial" w:hAnsi="Arial" w:cs="Arial"/>
                <w:sz w:val="13"/>
                <w:szCs w:val="13"/>
              </w:rPr>
              <w:t>37,258</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26.56</w:t>
            </w:r>
          </w:p>
        </w:tc>
        <w:tc>
          <w:tcPr>
            <w:tcW w:w="840" w:type="dxa"/>
            <w:vAlign w:val="bottom"/>
          </w:tcPr>
          <w:p w:rsidR="00A621E3" w:rsidRDefault="00EC630E">
            <w:pPr>
              <w:jc w:val="right"/>
              <w:rPr>
                <w:sz w:val="20"/>
                <w:szCs w:val="20"/>
              </w:rPr>
            </w:pPr>
            <w:r>
              <w:rPr>
                <w:rFonts w:ascii="Arial" w:eastAsia="Arial" w:hAnsi="Arial" w:cs="Arial"/>
                <w:sz w:val="13"/>
                <w:szCs w:val="13"/>
              </w:rPr>
              <w:t>2/10/2027</w:t>
            </w:r>
          </w:p>
        </w:tc>
        <w:tc>
          <w:tcPr>
            <w:tcW w:w="260" w:type="dxa"/>
            <w:vAlign w:val="bottom"/>
          </w:tcPr>
          <w:p w:rsidR="00A621E3" w:rsidRDefault="00A621E3">
            <w:pPr>
              <w:rPr>
                <w:sz w:val="15"/>
                <w:szCs w:val="15"/>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ind w:right="132"/>
              <w:jc w:val="right"/>
              <w:rPr>
                <w:sz w:val="20"/>
                <w:szCs w:val="20"/>
              </w:rPr>
            </w:pPr>
            <w:r>
              <w:rPr>
                <w:rFonts w:ascii="Arial" w:eastAsia="Arial" w:hAnsi="Arial" w:cs="Arial"/>
                <w:sz w:val="13"/>
                <w:szCs w:val="13"/>
              </w:rPr>
              <w:t>—</w:t>
            </w:r>
          </w:p>
        </w:tc>
        <w:tc>
          <w:tcPr>
            <w:tcW w:w="640" w:type="dxa"/>
            <w:vAlign w:val="bottom"/>
          </w:tcPr>
          <w:p w:rsidR="00A621E3" w:rsidRDefault="00A621E3">
            <w:pPr>
              <w:rPr>
                <w:sz w:val="15"/>
                <w:szCs w:val="15"/>
              </w:rPr>
            </w:pPr>
          </w:p>
        </w:tc>
        <w:tc>
          <w:tcPr>
            <w:tcW w:w="20" w:type="dxa"/>
            <w:vAlign w:val="bottom"/>
          </w:tcPr>
          <w:p w:rsidR="00A621E3" w:rsidRDefault="00A621E3">
            <w:pPr>
              <w:rPr>
                <w:sz w:val="15"/>
                <w:szCs w:val="15"/>
              </w:rPr>
            </w:pPr>
          </w:p>
        </w:tc>
        <w:tc>
          <w:tcPr>
            <w:tcW w:w="160" w:type="dxa"/>
            <w:vAlign w:val="bottom"/>
          </w:tcPr>
          <w:p w:rsidR="00A621E3" w:rsidRDefault="00A621E3">
            <w:pPr>
              <w:rPr>
                <w:sz w:val="15"/>
                <w:szCs w:val="15"/>
              </w:rPr>
            </w:pPr>
          </w:p>
        </w:tc>
        <w:tc>
          <w:tcPr>
            <w:tcW w:w="26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5"/>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2/9/2018</w:t>
            </w:r>
          </w:p>
        </w:tc>
        <w:tc>
          <w:tcPr>
            <w:tcW w:w="1080" w:type="dxa"/>
            <w:vAlign w:val="bottom"/>
          </w:tcPr>
          <w:p w:rsidR="00A621E3" w:rsidRDefault="00EC630E">
            <w:pPr>
              <w:ind w:right="11"/>
              <w:jc w:val="right"/>
              <w:rPr>
                <w:sz w:val="20"/>
                <w:szCs w:val="20"/>
              </w:rPr>
            </w:pPr>
            <w:r>
              <w:rPr>
                <w:rFonts w:ascii="Arial" w:eastAsia="Arial" w:hAnsi="Arial" w:cs="Arial"/>
                <w:sz w:val="13"/>
                <w:szCs w:val="13"/>
              </w:rPr>
              <w:t>32,543</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40.29</w:t>
            </w:r>
          </w:p>
        </w:tc>
        <w:tc>
          <w:tcPr>
            <w:tcW w:w="840" w:type="dxa"/>
            <w:vAlign w:val="bottom"/>
          </w:tcPr>
          <w:p w:rsidR="00A621E3" w:rsidRDefault="00EC630E">
            <w:pPr>
              <w:jc w:val="right"/>
              <w:rPr>
                <w:sz w:val="20"/>
                <w:szCs w:val="20"/>
              </w:rPr>
            </w:pPr>
            <w:r>
              <w:rPr>
                <w:rFonts w:ascii="Arial" w:eastAsia="Arial" w:hAnsi="Arial" w:cs="Arial"/>
                <w:sz w:val="13"/>
                <w:szCs w:val="13"/>
              </w:rPr>
              <w:t>2/9/2028</w:t>
            </w:r>
          </w:p>
        </w:tc>
        <w:tc>
          <w:tcPr>
            <w:tcW w:w="260" w:type="dxa"/>
            <w:vAlign w:val="bottom"/>
          </w:tcPr>
          <w:p w:rsidR="00A621E3" w:rsidRDefault="00A621E3">
            <w:pPr>
              <w:rPr>
                <w:sz w:val="15"/>
                <w:szCs w:val="15"/>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ind w:right="132"/>
              <w:jc w:val="right"/>
              <w:rPr>
                <w:sz w:val="20"/>
                <w:szCs w:val="20"/>
              </w:rPr>
            </w:pPr>
            <w:r>
              <w:rPr>
                <w:rFonts w:ascii="Arial" w:eastAsia="Arial" w:hAnsi="Arial" w:cs="Arial"/>
                <w:sz w:val="13"/>
                <w:szCs w:val="13"/>
              </w:rPr>
              <w:t>—</w:t>
            </w:r>
          </w:p>
        </w:tc>
        <w:tc>
          <w:tcPr>
            <w:tcW w:w="640" w:type="dxa"/>
            <w:vAlign w:val="bottom"/>
          </w:tcPr>
          <w:p w:rsidR="00A621E3" w:rsidRDefault="00A621E3">
            <w:pPr>
              <w:rPr>
                <w:sz w:val="15"/>
                <w:szCs w:val="15"/>
              </w:rPr>
            </w:pPr>
          </w:p>
        </w:tc>
        <w:tc>
          <w:tcPr>
            <w:tcW w:w="20" w:type="dxa"/>
            <w:vAlign w:val="bottom"/>
          </w:tcPr>
          <w:p w:rsidR="00A621E3" w:rsidRDefault="00A621E3">
            <w:pPr>
              <w:rPr>
                <w:sz w:val="15"/>
                <w:szCs w:val="15"/>
              </w:rPr>
            </w:pPr>
          </w:p>
        </w:tc>
        <w:tc>
          <w:tcPr>
            <w:tcW w:w="160" w:type="dxa"/>
            <w:vAlign w:val="bottom"/>
          </w:tcPr>
          <w:p w:rsidR="00A621E3" w:rsidRDefault="00A621E3">
            <w:pPr>
              <w:rPr>
                <w:sz w:val="15"/>
                <w:szCs w:val="15"/>
              </w:rPr>
            </w:pPr>
          </w:p>
        </w:tc>
        <w:tc>
          <w:tcPr>
            <w:tcW w:w="26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89"/>
        </w:trPr>
        <w:tc>
          <w:tcPr>
            <w:tcW w:w="1500" w:type="dxa"/>
            <w:vAlign w:val="bottom"/>
          </w:tcPr>
          <w:p w:rsidR="00A621E3" w:rsidRDefault="00A621E3">
            <w:pPr>
              <w:rPr>
                <w:sz w:val="16"/>
                <w:szCs w:val="16"/>
              </w:rPr>
            </w:pPr>
          </w:p>
        </w:tc>
        <w:tc>
          <w:tcPr>
            <w:tcW w:w="880" w:type="dxa"/>
            <w:vAlign w:val="bottom"/>
          </w:tcPr>
          <w:p w:rsidR="00A621E3" w:rsidRDefault="00EC630E">
            <w:pPr>
              <w:jc w:val="right"/>
              <w:rPr>
                <w:sz w:val="20"/>
                <w:szCs w:val="20"/>
              </w:rPr>
            </w:pPr>
            <w:r>
              <w:rPr>
                <w:rFonts w:ascii="Arial" w:eastAsia="Arial" w:hAnsi="Arial" w:cs="Arial"/>
                <w:sz w:val="13"/>
                <w:szCs w:val="13"/>
              </w:rPr>
              <w:t>2/7/2019</w:t>
            </w:r>
          </w:p>
        </w:tc>
        <w:tc>
          <w:tcPr>
            <w:tcW w:w="1080" w:type="dxa"/>
            <w:vAlign w:val="bottom"/>
          </w:tcPr>
          <w:p w:rsidR="00A621E3" w:rsidRDefault="00EC630E">
            <w:pPr>
              <w:ind w:right="11"/>
              <w:jc w:val="right"/>
              <w:rPr>
                <w:sz w:val="20"/>
                <w:szCs w:val="20"/>
              </w:rPr>
            </w:pPr>
            <w:r>
              <w:rPr>
                <w:rFonts w:ascii="Arial" w:eastAsia="Arial" w:hAnsi="Arial" w:cs="Arial"/>
                <w:sz w:val="13"/>
                <w:szCs w:val="13"/>
              </w:rPr>
              <w:t>24,565</w:t>
            </w:r>
          </w:p>
        </w:tc>
        <w:tc>
          <w:tcPr>
            <w:tcW w:w="1420" w:type="dxa"/>
            <w:vAlign w:val="bottom"/>
          </w:tcPr>
          <w:p w:rsidR="00A621E3" w:rsidRDefault="00EC630E">
            <w:pPr>
              <w:spacing w:line="189" w:lineRule="exact"/>
              <w:ind w:right="72"/>
              <w:jc w:val="right"/>
              <w:rPr>
                <w:sz w:val="20"/>
                <w:szCs w:val="20"/>
              </w:rPr>
            </w:pPr>
            <w:r>
              <w:rPr>
                <w:rFonts w:ascii="Arial" w:eastAsia="Arial" w:hAnsi="Arial" w:cs="Arial"/>
                <w:sz w:val="13"/>
                <w:szCs w:val="13"/>
              </w:rPr>
              <w:t>8,189</w:t>
            </w:r>
            <w:r>
              <w:rPr>
                <w:rFonts w:ascii="Arial" w:eastAsia="Arial" w:hAnsi="Arial" w:cs="Arial"/>
                <w:sz w:val="20"/>
                <w:szCs w:val="20"/>
                <w:vertAlign w:val="superscript"/>
              </w:rPr>
              <w:t>(i)</w:t>
            </w:r>
          </w:p>
        </w:tc>
        <w:tc>
          <w:tcPr>
            <w:tcW w:w="760" w:type="dxa"/>
            <w:vAlign w:val="bottom"/>
          </w:tcPr>
          <w:p w:rsidR="00A621E3" w:rsidRDefault="00EC630E">
            <w:pPr>
              <w:ind w:right="12"/>
              <w:jc w:val="right"/>
              <w:rPr>
                <w:sz w:val="20"/>
                <w:szCs w:val="20"/>
              </w:rPr>
            </w:pPr>
            <w:r>
              <w:rPr>
                <w:rFonts w:ascii="Arial" w:eastAsia="Arial" w:hAnsi="Arial" w:cs="Arial"/>
                <w:sz w:val="13"/>
                <w:szCs w:val="13"/>
              </w:rPr>
              <w:t>41.66</w:t>
            </w:r>
          </w:p>
        </w:tc>
        <w:tc>
          <w:tcPr>
            <w:tcW w:w="840" w:type="dxa"/>
            <w:vAlign w:val="bottom"/>
          </w:tcPr>
          <w:p w:rsidR="00A621E3" w:rsidRDefault="00EC630E">
            <w:pPr>
              <w:jc w:val="right"/>
              <w:rPr>
                <w:sz w:val="20"/>
                <w:szCs w:val="20"/>
              </w:rPr>
            </w:pPr>
            <w:r>
              <w:rPr>
                <w:rFonts w:ascii="Arial" w:eastAsia="Arial" w:hAnsi="Arial" w:cs="Arial"/>
                <w:sz w:val="13"/>
                <w:szCs w:val="13"/>
              </w:rPr>
              <w:t>2/7/2029</w:t>
            </w:r>
          </w:p>
        </w:tc>
        <w:tc>
          <w:tcPr>
            <w:tcW w:w="260" w:type="dxa"/>
            <w:vAlign w:val="bottom"/>
          </w:tcPr>
          <w:p w:rsidR="00A621E3" w:rsidRDefault="00A621E3">
            <w:pPr>
              <w:rPr>
                <w:sz w:val="16"/>
                <w:szCs w:val="16"/>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ind w:right="132"/>
              <w:jc w:val="right"/>
              <w:rPr>
                <w:sz w:val="20"/>
                <w:szCs w:val="20"/>
              </w:rPr>
            </w:pPr>
            <w:r>
              <w:rPr>
                <w:rFonts w:ascii="Arial" w:eastAsia="Arial" w:hAnsi="Arial" w:cs="Arial"/>
                <w:sz w:val="13"/>
                <w:szCs w:val="13"/>
              </w:rPr>
              <w:t>—</w:t>
            </w:r>
          </w:p>
        </w:tc>
        <w:tc>
          <w:tcPr>
            <w:tcW w:w="640" w:type="dxa"/>
            <w:vAlign w:val="bottom"/>
          </w:tcPr>
          <w:p w:rsidR="00A621E3" w:rsidRDefault="00A621E3">
            <w:pPr>
              <w:rPr>
                <w:sz w:val="16"/>
                <w:szCs w:val="16"/>
              </w:rPr>
            </w:pPr>
          </w:p>
        </w:tc>
        <w:tc>
          <w:tcPr>
            <w:tcW w:w="20" w:type="dxa"/>
            <w:vAlign w:val="bottom"/>
          </w:tcPr>
          <w:p w:rsidR="00A621E3" w:rsidRDefault="00A621E3">
            <w:pPr>
              <w:rPr>
                <w:sz w:val="16"/>
                <w:szCs w:val="16"/>
              </w:rPr>
            </w:pPr>
          </w:p>
        </w:tc>
        <w:tc>
          <w:tcPr>
            <w:tcW w:w="160" w:type="dxa"/>
            <w:vAlign w:val="bottom"/>
          </w:tcPr>
          <w:p w:rsidR="00A621E3" w:rsidRDefault="00A621E3">
            <w:pPr>
              <w:rPr>
                <w:sz w:val="16"/>
                <w:szCs w:val="16"/>
              </w:rPr>
            </w:pPr>
          </w:p>
        </w:tc>
        <w:tc>
          <w:tcPr>
            <w:tcW w:w="260" w:type="dxa"/>
            <w:vAlign w:val="bottom"/>
          </w:tcPr>
          <w:p w:rsidR="00A621E3" w:rsidRDefault="00EC630E">
            <w:pPr>
              <w:ind w:right="12"/>
              <w:jc w:val="right"/>
              <w:rPr>
                <w:sz w:val="20"/>
                <w:szCs w:val="20"/>
              </w:rPr>
            </w:pPr>
            <w:r>
              <w:rPr>
                <w:rFonts w:ascii="Arial" w:eastAsia="Arial" w:hAnsi="Arial" w:cs="Arial"/>
                <w:sz w:val="13"/>
                <w:szCs w:val="13"/>
              </w:rPr>
              <w:t>—</w:t>
            </w:r>
          </w:p>
        </w:tc>
        <w:tc>
          <w:tcPr>
            <w:tcW w:w="0" w:type="dxa"/>
            <w:vAlign w:val="bottom"/>
          </w:tcPr>
          <w:p w:rsidR="00A621E3" w:rsidRDefault="00A621E3">
            <w:pPr>
              <w:rPr>
                <w:sz w:val="1"/>
                <w:szCs w:val="1"/>
              </w:rPr>
            </w:pPr>
          </w:p>
        </w:tc>
      </w:tr>
      <w:tr w:rsidR="00A621E3">
        <w:trPr>
          <w:trHeight w:val="175"/>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2/7/2020</w:t>
            </w:r>
          </w:p>
        </w:tc>
        <w:tc>
          <w:tcPr>
            <w:tcW w:w="1080" w:type="dxa"/>
            <w:vAlign w:val="bottom"/>
          </w:tcPr>
          <w:p w:rsidR="00A621E3" w:rsidRDefault="00EC630E">
            <w:pPr>
              <w:ind w:right="11"/>
              <w:jc w:val="right"/>
              <w:rPr>
                <w:sz w:val="20"/>
                <w:szCs w:val="20"/>
              </w:rPr>
            </w:pPr>
            <w:r>
              <w:rPr>
                <w:rFonts w:ascii="Arial" w:eastAsia="Arial" w:hAnsi="Arial" w:cs="Arial"/>
                <w:sz w:val="13"/>
                <w:szCs w:val="13"/>
              </w:rPr>
              <w:t>22,448</w:t>
            </w:r>
          </w:p>
        </w:tc>
        <w:tc>
          <w:tcPr>
            <w:tcW w:w="1420" w:type="dxa"/>
            <w:vAlign w:val="bottom"/>
          </w:tcPr>
          <w:p w:rsidR="00A621E3" w:rsidRDefault="00EC630E">
            <w:pPr>
              <w:spacing w:line="176" w:lineRule="exact"/>
              <w:ind w:left="780"/>
              <w:rPr>
                <w:sz w:val="20"/>
                <w:szCs w:val="20"/>
              </w:rPr>
            </w:pPr>
            <w:r>
              <w:rPr>
                <w:rFonts w:ascii="Arial" w:eastAsia="Arial" w:hAnsi="Arial" w:cs="Arial"/>
                <w:sz w:val="13"/>
                <w:szCs w:val="13"/>
              </w:rPr>
              <w:t>22,448</w:t>
            </w:r>
            <w:r>
              <w:rPr>
                <w:rFonts w:ascii="Arial" w:eastAsia="Arial" w:hAnsi="Arial" w:cs="Arial"/>
                <w:sz w:val="20"/>
                <w:szCs w:val="20"/>
                <w:vertAlign w:val="superscript"/>
              </w:rPr>
              <w:t>(ii)</w:t>
            </w:r>
          </w:p>
        </w:tc>
        <w:tc>
          <w:tcPr>
            <w:tcW w:w="760" w:type="dxa"/>
            <w:vAlign w:val="bottom"/>
          </w:tcPr>
          <w:p w:rsidR="00A621E3" w:rsidRDefault="00EC630E">
            <w:pPr>
              <w:ind w:right="12"/>
              <w:jc w:val="right"/>
              <w:rPr>
                <w:sz w:val="20"/>
                <w:szCs w:val="20"/>
              </w:rPr>
            </w:pPr>
            <w:r>
              <w:rPr>
                <w:rFonts w:ascii="Arial" w:eastAsia="Arial" w:hAnsi="Arial" w:cs="Arial"/>
                <w:sz w:val="13"/>
                <w:szCs w:val="13"/>
              </w:rPr>
              <w:t>42.71</w:t>
            </w:r>
          </w:p>
        </w:tc>
        <w:tc>
          <w:tcPr>
            <w:tcW w:w="840" w:type="dxa"/>
            <w:vAlign w:val="bottom"/>
          </w:tcPr>
          <w:p w:rsidR="00A621E3" w:rsidRDefault="00EC630E">
            <w:pPr>
              <w:jc w:val="right"/>
              <w:rPr>
                <w:sz w:val="20"/>
                <w:szCs w:val="20"/>
              </w:rPr>
            </w:pPr>
            <w:r>
              <w:rPr>
                <w:rFonts w:ascii="Arial" w:eastAsia="Arial" w:hAnsi="Arial" w:cs="Arial"/>
                <w:sz w:val="13"/>
                <w:szCs w:val="13"/>
              </w:rPr>
              <w:t>2/7/2030</w:t>
            </w:r>
          </w:p>
        </w:tc>
        <w:tc>
          <w:tcPr>
            <w:tcW w:w="260" w:type="dxa"/>
            <w:vAlign w:val="bottom"/>
          </w:tcPr>
          <w:p w:rsidR="00A621E3" w:rsidRDefault="00A621E3">
            <w:pPr>
              <w:rPr>
                <w:sz w:val="15"/>
                <w:szCs w:val="15"/>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spacing w:line="176" w:lineRule="exact"/>
              <w:ind w:left="600"/>
              <w:rPr>
                <w:sz w:val="20"/>
                <w:szCs w:val="20"/>
              </w:rPr>
            </w:pPr>
            <w:r>
              <w:rPr>
                <w:rFonts w:ascii="Arial" w:eastAsia="Arial" w:hAnsi="Arial" w:cs="Arial"/>
                <w:sz w:val="13"/>
                <w:szCs w:val="13"/>
              </w:rPr>
              <w:t>26,056</w:t>
            </w:r>
            <w:r>
              <w:rPr>
                <w:rFonts w:ascii="Arial" w:eastAsia="Arial" w:hAnsi="Arial" w:cs="Arial"/>
                <w:sz w:val="20"/>
                <w:szCs w:val="20"/>
                <w:vertAlign w:val="superscript"/>
              </w:rPr>
              <w:t>(i)</w:t>
            </w:r>
          </w:p>
        </w:tc>
        <w:tc>
          <w:tcPr>
            <w:tcW w:w="1080" w:type="dxa"/>
            <w:gridSpan w:val="4"/>
            <w:vAlign w:val="bottom"/>
          </w:tcPr>
          <w:p w:rsidR="00A621E3" w:rsidRDefault="00EC630E">
            <w:pPr>
              <w:ind w:right="12"/>
              <w:jc w:val="right"/>
              <w:rPr>
                <w:sz w:val="20"/>
                <w:szCs w:val="20"/>
              </w:rPr>
            </w:pPr>
            <w:r>
              <w:rPr>
                <w:rFonts w:ascii="Arial" w:eastAsia="Arial" w:hAnsi="Arial" w:cs="Arial"/>
                <w:sz w:val="13"/>
                <w:szCs w:val="13"/>
              </w:rPr>
              <w:t>1,423,960</w:t>
            </w:r>
          </w:p>
        </w:tc>
        <w:tc>
          <w:tcPr>
            <w:tcW w:w="0" w:type="dxa"/>
            <w:vAlign w:val="bottom"/>
          </w:tcPr>
          <w:p w:rsidR="00A621E3" w:rsidRDefault="00A621E3">
            <w:pPr>
              <w:rPr>
                <w:sz w:val="1"/>
                <w:szCs w:val="1"/>
              </w:rPr>
            </w:pPr>
          </w:p>
        </w:tc>
      </w:tr>
      <w:tr w:rsidR="00A621E3">
        <w:trPr>
          <w:trHeight w:val="175"/>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2/5/2021</w:t>
            </w:r>
          </w:p>
        </w:tc>
        <w:tc>
          <w:tcPr>
            <w:tcW w:w="1080" w:type="dxa"/>
            <w:vAlign w:val="bottom"/>
          </w:tcPr>
          <w:p w:rsidR="00A621E3" w:rsidRDefault="00EC630E">
            <w:pPr>
              <w:ind w:right="11"/>
              <w:jc w:val="right"/>
              <w:rPr>
                <w:sz w:val="20"/>
                <w:szCs w:val="20"/>
              </w:rPr>
            </w:pPr>
            <w:r>
              <w:rPr>
                <w:rFonts w:ascii="Arial" w:eastAsia="Arial" w:hAnsi="Arial" w:cs="Arial"/>
                <w:sz w:val="13"/>
                <w:szCs w:val="13"/>
              </w:rPr>
              <w:t>8,957</w:t>
            </w:r>
          </w:p>
        </w:tc>
        <w:tc>
          <w:tcPr>
            <w:tcW w:w="1420" w:type="dxa"/>
            <w:vAlign w:val="bottom"/>
          </w:tcPr>
          <w:p w:rsidR="00A621E3" w:rsidRDefault="00EC630E">
            <w:pPr>
              <w:spacing w:line="176" w:lineRule="exact"/>
              <w:ind w:left="780"/>
              <w:rPr>
                <w:sz w:val="20"/>
                <w:szCs w:val="20"/>
              </w:rPr>
            </w:pPr>
            <w:r>
              <w:rPr>
                <w:rFonts w:ascii="Arial" w:eastAsia="Arial" w:hAnsi="Arial" w:cs="Arial"/>
                <w:sz w:val="13"/>
                <w:szCs w:val="13"/>
              </w:rPr>
              <w:t>26,874</w:t>
            </w:r>
            <w:r>
              <w:rPr>
                <w:rFonts w:ascii="Arial" w:eastAsia="Arial" w:hAnsi="Arial" w:cs="Arial"/>
                <w:sz w:val="20"/>
                <w:szCs w:val="20"/>
                <w:vertAlign w:val="superscript"/>
              </w:rPr>
              <w:t>(iii)</w:t>
            </w:r>
          </w:p>
        </w:tc>
        <w:tc>
          <w:tcPr>
            <w:tcW w:w="760" w:type="dxa"/>
            <w:vAlign w:val="bottom"/>
          </w:tcPr>
          <w:p w:rsidR="00A621E3" w:rsidRDefault="00EC630E">
            <w:pPr>
              <w:ind w:right="12"/>
              <w:jc w:val="right"/>
              <w:rPr>
                <w:sz w:val="20"/>
                <w:szCs w:val="20"/>
              </w:rPr>
            </w:pPr>
            <w:r>
              <w:rPr>
                <w:rFonts w:ascii="Arial" w:eastAsia="Arial" w:hAnsi="Arial" w:cs="Arial"/>
                <w:sz w:val="13"/>
                <w:szCs w:val="13"/>
              </w:rPr>
              <w:t>57.39</w:t>
            </w:r>
          </w:p>
        </w:tc>
        <w:tc>
          <w:tcPr>
            <w:tcW w:w="840" w:type="dxa"/>
            <w:vAlign w:val="bottom"/>
          </w:tcPr>
          <w:p w:rsidR="00A621E3" w:rsidRDefault="00EC630E">
            <w:pPr>
              <w:jc w:val="right"/>
              <w:rPr>
                <w:sz w:val="20"/>
                <w:szCs w:val="20"/>
              </w:rPr>
            </w:pPr>
            <w:r>
              <w:rPr>
                <w:rFonts w:ascii="Arial" w:eastAsia="Arial" w:hAnsi="Arial" w:cs="Arial"/>
                <w:sz w:val="13"/>
                <w:szCs w:val="13"/>
              </w:rPr>
              <w:t>2/5/2031</w:t>
            </w:r>
          </w:p>
        </w:tc>
        <w:tc>
          <w:tcPr>
            <w:tcW w:w="260" w:type="dxa"/>
            <w:vAlign w:val="bottom"/>
          </w:tcPr>
          <w:p w:rsidR="00A621E3" w:rsidRDefault="00A621E3">
            <w:pPr>
              <w:rPr>
                <w:sz w:val="15"/>
                <w:szCs w:val="15"/>
              </w:rPr>
            </w:pP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spacing w:line="176" w:lineRule="exact"/>
              <w:ind w:right="12"/>
              <w:jc w:val="right"/>
              <w:rPr>
                <w:sz w:val="20"/>
                <w:szCs w:val="20"/>
              </w:rPr>
            </w:pPr>
            <w:r>
              <w:rPr>
                <w:rFonts w:ascii="Arial" w:eastAsia="Arial" w:hAnsi="Arial" w:cs="Arial"/>
                <w:sz w:val="13"/>
                <w:szCs w:val="13"/>
              </w:rPr>
              <w:t>2,138</w:t>
            </w:r>
            <w:r>
              <w:rPr>
                <w:rFonts w:ascii="Arial" w:eastAsia="Arial" w:hAnsi="Arial" w:cs="Arial"/>
                <w:sz w:val="20"/>
                <w:szCs w:val="20"/>
                <w:vertAlign w:val="superscript"/>
              </w:rPr>
              <w:t>(ii)</w:t>
            </w:r>
          </w:p>
        </w:tc>
        <w:tc>
          <w:tcPr>
            <w:tcW w:w="1080" w:type="dxa"/>
            <w:gridSpan w:val="4"/>
            <w:vAlign w:val="bottom"/>
          </w:tcPr>
          <w:p w:rsidR="00A621E3" w:rsidRDefault="00EC630E">
            <w:pPr>
              <w:ind w:right="12"/>
              <w:jc w:val="right"/>
              <w:rPr>
                <w:sz w:val="20"/>
                <w:szCs w:val="20"/>
              </w:rPr>
            </w:pPr>
            <w:r>
              <w:rPr>
                <w:rFonts w:ascii="Arial" w:eastAsia="Arial" w:hAnsi="Arial" w:cs="Arial"/>
                <w:sz w:val="13"/>
                <w:szCs w:val="13"/>
              </w:rPr>
              <w:t>116,842</w:t>
            </w:r>
          </w:p>
        </w:tc>
        <w:tc>
          <w:tcPr>
            <w:tcW w:w="0" w:type="dxa"/>
            <w:vAlign w:val="bottom"/>
          </w:tcPr>
          <w:p w:rsidR="00A621E3" w:rsidRDefault="00A621E3">
            <w:pPr>
              <w:rPr>
                <w:sz w:val="1"/>
                <w:szCs w:val="1"/>
              </w:rPr>
            </w:pPr>
          </w:p>
        </w:tc>
      </w:tr>
      <w:tr w:rsidR="00A621E3">
        <w:trPr>
          <w:trHeight w:val="175"/>
        </w:trPr>
        <w:tc>
          <w:tcPr>
            <w:tcW w:w="1500" w:type="dxa"/>
            <w:vAlign w:val="bottom"/>
          </w:tcPr>
          <w:p w:rsidR="00A621E3" w:rsidRDefault="00A621E3">
            <w:pPr>
              <w:rPr>
                <w:sz w:val="15"/>
                <w:szCs w:val="15"/>
              </w:rPr>
            </w:pPr>
          </w:p>
        </w:tc>
        <w:tc>
          <w:tcPr>
            <w:tcW w:w="880" w:type="dxa"/>
            <w:vAlign w:val="bottom"/>
          </w:tcPr>
          <w:p w:rsidR="00A621E3" w:rsidRDefault="00EC630E">
            <w:pPr>
              <w:jc w:val="right"/>
              <w:rPr>
                <w:sz w:val="20"/>
                <w:szCs w:val="20"/>
              </w:rPr>
            </w:pPr>
            <w:r>
              <w:rPr>
                <w:rFonts w:ascii="Arial" w:eastAsia="Arial" w:hAnsi="Arial" w:cs="Arial"/>
                <w:sz w:val="13"/>
                <w:szCs w:val="13"/>
              </w:rPr>
              <w:t>5/25/2021</w:t>
            </w:r>
          </w:p>
        </w:tc>
        <w:tc>
          <w:tcPr>
            <w:tcW w:w="1080" w:type="dxa"/>
            <w:vAlign w:val="bottom"/>
          </w:tcPr>
          <w:p w:rsidR="00A621E3" w:rsidRDefault="00EC630E">
            <w:pPr>
              <w:ind w:right="11"/>
              <w:jc w:val="right"/>
              <w:rPr>
                <w:sz w:val="20"/>
                <w:szCs w:val="20"/>
              </w:rPr>
            </w:pPr>
            <w:r>
              <w:rPr>
                <w:rFonts w:ascii="Arial" w:eastAsia="Arial" w:hAnsi="Arial" w:cs="Arial"/>
                <w:sz w:val="13"/>
                <w:szCs w:val="13"/>
              </w:rPr>
              <w:t>—</w:t>
            </w:r>
          </w:p>
        </w:tc>
        <w:tc>
          <w:tcPr>
            <w:tcW w:w="1420" w:type="dxa"/>
            <w:vAlign w:val="bottom"/>
          </w:tcPr>
          <w:p w:rsidR="00A621E3" w:rsidRDefault="00EC630E">
            <w:pPr>
              <w:ind w:right="152"/>
              <w:jc w:val="right"/>
              <w:rPr>
                <w:sz w:val="20"/>
                <w:szCs w:val="20"/>
              </w:rPr>
            </w:pPr>
            <w:r>
              <w:rPr>
                <w:rFonts w:ascii="Arial" w:eastAsia="Arial" w:hAnsi="Arial" w:cs="Arial"/>
                <w:sz w:val="13"/>
                <w:szCs w:val="13"/>
              </w:rPr>
              <w:t>—</w:t>
            </w:r>
          </w:p>
        </w:tc>
        <w:tc>
          <w:tcPr>
            <w:tcW w:w="760" w:type="dxa"/>
            <w:vAlign w:val="bottom"/>
          </w:tcPr>
          <w:p w:rsidR="00A621E3" w:rsidRDefault="00EC630E">
            <w:pPr>
              <w:ind w:right="12"/>
              <w:jc w:val="right"/>
              <w:rPr>
                <w:sz w:val="20"/>
                <w:szCs w:val="20"/>
              </w:rPr>
            </w:pPr>
            <w:r>
              <w:rPr>
                <w:rFonts w:ascii="Arial" w:eastAsia="Arial" w:hAnsi="Arial" w:cs="Arial"/>
                <w:sz w:val="13"/>
                <w:szCs w:val="13"/>
              </w:rPr>
              <w:t>—</w:t>
            </w:r>
          </w:p>
        </w:tc>
        <w:tc>
          <w:tcPr>
            <w:tcW w:w="1100" w:type="dxa"/>
            <w:gridSpan w:val="2"/>
            <w:vAlign w:val="bottom"/>
          </w:tcPr>
          <w:p w:rsidR="00A621E3" w:rsidRDefault="00EC630E">
            <w:pPr>
              <w:ind w:right="300"/>
              <w:jc w:val="right"/>
              <w:rPr>
                <w:sz w:val="20"/>
                <w:szCs w:val="20"/>
              </w:rPr>
            </w:pPr>
            <w:r>
              <w:rPr>
                <w:rFonts w:ascii="Arial" w:eastAsia="Arial" w:hAnsi="Arial" w:cs="Arial"/>
                <w:sz w:val="13"/>
                <w:szCs w:val="13"/>
              </w:rPr>
              <w:t>—</w:t>
            </w:r>
          </w:p>
        </w:tc>
        <w:tc>
          <w:tcPr>
            <w:tcW w:w="1080" w:type="dxa"/>
            <w:vAlign w:val="bottom"/>
          </w:tcPr>
          <w:p w:rsidR="00A621E3" w:rsidRDefault="00EC630E">
            <w:pPr>
              <w:ind w:right="132"/>
              <w:jc w:val="right"/>
              <w:rPr>
                <w:sz w:val="20"/>
                <w:szCs w:val="20"/>
              </w:rPr>
            </w:pPr>
            <w:r>
              <w:rPr>
                <w:rFonts w:ascii="Arial" w:eastAsia="Arial" w:hAnsi="Arial" w:cs="Arial"/>
                <w:sz w:val="13"/>
                <w:szCs w:val="13"/>
              </w:rPr>
              <w:t>—</w:t>
            </w:r>
          </w:p>
        </w:tc>
        <w:tc>
          <w:tcPr>
            <w:tcW w:w="920" w:type="dxa"/>
            <w:vAlign w:val="bottom"/>
          </w:tcPr>
          <w:p w:rsidR="00A621E3" w:rsidRDefault="00EC630E">
            <w:pPr>
              <w:ind w:right="32"/>
              <w:jc w:val="right"/>
              <w:rPr>
                <w:sz w:val="20"/>
                <w:szCs w:val="20"/>
              </w:rPr>
            </w:pPr>
            <w:r>
              <w:rPr>
                <w:rFonts w:ascii="Arial" w:eastAsia="Arial" w:hAnsi="Arial" w:cs="Arial"/>
                <w:sz w:val="13"/>
                <w:szCs w:val="13"/>
              </w:rPr>
              <w:t>—</w:t>
            </w:r>
          </w:p>
        </w:tc>
        <w:tc>
          <w:tcPr>
            <w:tcW w:w="1200" w:type="dxa"/>
            <w:vAlign w:val="bottom"/>
          </w:tcPr>
          <w:p w:rsidR="00A621E3" w:rsidRDefault="00EC630E">
            <w:pPr>
              <w:spacing w:line="176" w:lineRule="exact"/>
              <w:ind w:right="12"/>
              <w:jc w:val="right"/>
              <w:rPr>
                <w:sz w:val="20"/>
                <w:szCs w:val="20"/>
              </w:rPr>
            </w:pPr>
            <w:r>
              <w:rPr>
                <w:rFonts w:ascii="Arial" w:eastAsia="Arial" w:hAnsi="Arial" w:cs="Arial"/>
                <w:sz w:val="13"/>
                <w:szCs w:val="13"/>
              </w:rPr>
              <w:t>2,723</w:t>
            </w:r>
            <w:r>
              <w:rPr>
                <w:rFonts w:ascii="Arial" w:eastAsia="Arial" w:hAnsi="Arial" w:cs="Arial"/>
                <w:sz w:val="20"/>
                <w:szCs w:val="20"/>
                <w:vertAlign w:val="superscript"/>
              </w:rPr>
              <w:t>(ii)</w:t>
            </w:r>
          </w:p>
        </w:tc>
        <w:tc>
          <w:tcPr>
            <w:tcW w:w="1080" w:type="dxa"/>
            <w:gridSpan w:val="4"/>
            <w:vAlign w:val="bottom"/>
          </w:tcPr>
          <w:p w:rsidR="00A621E3" w:rsidRDefault="00EC630E">
            <w:pPr>
              <w:ind w:right="12"/>
              <w:jc w:val="right"/>
              <w:rPr>
                <w:sz w:val="20"/>
                <w:szCs w:val="20"/>
              </w:rPr>
            </w:pPr>
            <w:r>
              <w:rPr>
                <w:rFonts w:ascii="Arial" w:eastAsia="Arial" w:hAnsi="Arial" w:cs="Arial"/>
                <w:sz w:val="13"/>
                <w:szCs w:val="13"/>
              </w:rPr>
              <w:t>148,812</w:t>
            </w:r>
          </w:p>
        </w:tc>
        <w:tc>
          <w:tcPr>
            <w:tcW w:w="0" w:type="dxa"/>
            <w:vAlign w:val="bottom"/>
          </w:tcPr>
          <w:p w:rsidR="00A621E3" w:rsidRDefault="00A621E3">
            <w:pPr>
              <w:rPr>
                <w:sz w:val="1"/>
                <w:szCs w:val="1"/>
              </w:rPr>
            </w:pPr>
          </w:p>
        </w:tc>
      </w:tr>
      <w:tr w:rsidR="00A621E3">
        <w:trPr>
          <w:trHeight w:val="149"/>
        </w:trPr>
        <w:tc>
          <w:tcPr>
            <w:tcW w:w="1500" w:type="dxa"/>
            <w:tcBorders>
              <w:bottom w:val="single" w:sz="8" w:space="0" w:color="CF0A2C"/>
            </w:tcBorders>
            <w:vAlign w:val="bottom"/>
          </w:tcPr>
          <w:p w:rsidR="00A621E3" w:rsidRDefault="00A621E3">
            <w:pPr>
              <w:rPr>
                <w:sz w:val="12"/>
                <w:szCs w:val="12"/>
              </w:rPr>
            </w:pPr>
          </w:p>
        </w:tc>
        <w:tc>
          <w:tcPr>
            <w:tcW w:w="8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2/10/2022</w:t>
            </w:r>
          </w:p>
        </w:tc>
        <w:tc>
          <w:tcPr>
            <w:tcW w:w="1080" w:type="dxa"/>
            <w:tcBorders>
              <w:bottom w:val="single" w:sz="8" w:space="0" w:color="CF0A2C"/>
            </w:tcBorders>
            <w:vAlign w:val="bottom"/>
          </w:tcPr>
          <w:p w:rsidR="00A621E3" w:rsidRDefault="00EC630E">
            <w:pPr>
              <w:ind w:right="11"/>
              <w:jc w:val="right"/>
              <w:rPr>
                <w:sz w:val="20"/>
                <w:szCs w:val="20"/>
              </w:rPr>
            </w:pPr>
            <w:r>
              <w:rPr>
                <w:rFonts w:ascii="Arial" w:eastAsia="Arial" w:hAnsi="Arial" w:cs="Arial"/>
                <w:sz w:val="13"/>
                <w:szCs w:val="13"/>
              </w:rPr>
              <w:t>—</w:t>
            </w:r>
          </w:p>
        </w:tc>
        <w:tc>
          <w:tcPr>
            <w:tcW w:w="1420" w:type="dxa"/>
            <w:tcBorders>
              <w:bottom w:val="single" w:sz="8" w:space="0" w:color="CF0A2C"/>
            </w:tcBorders>
            <w:vAlign w:val="bottom"/>
          </w:tcPr>
          <w:p w:rsidR="00A621E3" w:rsidRDefault="00EC630E">
            <w:pPr>
              <w:spacing w:line="150" w:lineRule="exact"/>
              <w:ind w:left="780"/>
              <w:rPr>
                <w:sz w:val="20"/>
                <w:szCs w:val="20"/>
              </w:rPr>
            </w:pPr>
            <w:r>
              <w:rPr>
                <w:rFonts w:ascii="Arial" w:eastAsia="Arial" w:hAnsi="Arial" w:cs="Arial"/>
                <w:sz w:val="12"/>
                <w:szCs w:val="12"/>
              </w:rPr>
              <w:t>42,759</w:t>
            </w:r>
            <w:r>
              <w:rPr>
                <w:rFonts w:ascii="Arial" w:eastAsia="Arial" w:hAnsi="Arial" w:cs="Arial"/>
                <w:sz w:val="17"/>
                <w:szCs w:val="17"/>
                <w:vertAlign w:val="superscript"/>
              </w:rPr>
              <w:t>(iv)</w:t>
            </w:r>
          </w:p>
        </w:tc>
        <w:tc>
          <w:tcPr>
            <w:tcW w:w="760" w:type="dxa"/>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50.16</w:t>
            </w:r>
          </w:p>
        </w:tc>
        <w:tc>
          <w:tcPr>
            <w:tcW w:w="84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2/10/2032</w:t>
            </w:r>
          </w:p>
        </w:tc>
        <w:tc>
          <w:tcPr>
            <w:tcW w:w="260" w:type="dxa"/>
            <w:tcBorders>
              <w:bottom w:val="single" w:sz="8" w:space="0" w:color="CF0A2C"/>
            </w:tcBorders>
            <w:vAlign w:val="bottom"/>
          </w:tcPr>
          <w:p w:rsidR="00A621E3" w:rsidRDefault="00A621E3">
            <w:pPr>
              <w:rPr>
                <w:sz w:val="12"/>
                <w:szCs w:val="12"/>
              </w:rPr>
            </w:pPr>
          </w:p>
        </w:tc>
        <w:tc>
          <w:tcPr>
            <w:tcW w:w="1080" w:type="dxa"/>
            <w:tcBorders>
              <w:bottom w:val="single" w:sz="8" w:space="0" w:color="CF0A2C"/>
            </w:tcBorders>
            <w:vAlign w:val="bottom"/>
          </w:tcPr>
          <w:p w:rsidR="00A621E3" w:rsidRDefault="00EC630E">
            <w:pPr>
              <w:spacing w:line="150" w:lineRule="exact"/>
              <w:ind w:right="32"/>
              <w:jc w:val="right"/>
              <w:rPr>
                <w:sz w:val="20"/>
                <w:szCs w:val="20"/>
              </w:rPr>
            </w:pPr>
            <w:r>
              <w:rPr>
                <w:rFonts w:ascii="Arial" w:eastAsia="Arial" w:hAnsi="Arial" w:cs="Arial"/>
                <w:sz w:val="12"/>
                <w:szCs w:val="12"/>
              </w:rPr>
              <w:t>5,358</w:t>
            </w:r>
            <w:r>
              <w:rPr>
                <w:rFonts w:ascii="Arial" w:eastAsia="Arial" w:hAnsi="Arial" w:cs="Arial"/>
                <w:sz w:val="17"/>
                <w:szCs w:val="17"/>
                <w:vertAlign w:val="superscript"/>
              </w:rPr>
              <w:t>(ii)</w:t>
            </w:r>
          </w:p>
        </w:tc>
        <w:tc>
          <w:tcPr>
            <w:tcW w:w="920" w:type="dxa"/>
            <w:tcBorders>
              <w:bottom w:val="single" w:sz="8" w:space="0" w:color="CF0A2C"/>
            </w:tcBorders>
            <w:vAlign w:val="bottom"/>
          </w:tcPr>
          <w:p w:rsidR="00A621E3" w:rsidRDefault="00EC630E">
            <w:pPr>
              <w:ind w:right="32"/>
              <w:jc w:val="right"/>
              <w:rPr>
                <w:sz w:val="20"/>
                <w:szCs w:val="20"/>
              </w:rPr>
            </w:pPr>
            <w:r>
              <w:rPr>
                <w:rFonts w:ascii="Arial" w:eastAsia="Arial" w:hAnsi="Arial" w:cs="Arial"/>
                <w:sz w:val="13"/>
                <w:szCs w:val="13"/>
              </w:rPr>
              <w:t>292,825</w:t>
            </w:r>
          </w:p>
        </w:tc>
        <w:tc>
          <w:tcPr>
            <w:tcW w:w="1200" w:type="dxa"/>
            <w:tcBorders>
              <w:bottom w:val="single" w:sz="8" w:space="0" w:color="CF0A2C"/>
            </w:tcBorders>
            <w:vAlign w:val="bottom"/>
          </w:tcPr>
          <w:p w:rsidR="00A621E3" w:rsidRDefault="00EC630E">
            <w:pPr>
              <w:spacing w:line="150" w:lineRule="exact"/>
              <w:ind w:left="600"/>
              <w:rPr>
                <w:sz w:val="20"/>
                <w:szCs w:val="20"/>
              </w:rPr>
            </w:pPr>
            <w:r>
              <w:rPr>
                <w:rFonts w:ascii="Arial" w:eastAsia="Arial" w:hAnsi="Arial" w:cs="Arial"/>
                <w:sz w:val="12"/>
                <w:szCs w:val="12"/>
              </w:rPr>
              <w:t>11,704</w:t>
            </w:r>
            <w:r>
              <w:rPr>
                <w:rFonts w:ascii="Arial" w:eastAsia="Arial" w:hAnsi="Arial" w:cs="Arial"/>
                <w:sz w:val="17"/>
                <w:szCs w:val="17"/>
                <w:vertAlign w:val="superscript"/>
              </w:rPr>
              <w:t>(iii)</w:t>
            </w:r>
          </w:p>
        </w:tc>
        <w:tc>
          <w:tcPr>
            <w:tcW w:w="1080" w:type="dxa"/>
            <w:gridSpan w:val="4"/>
            <w:tcBorders>
              <w:bottom w:val="single" w:sz="8" w:space="0" w:color="CF0A2C"/>
            </w:tcBorders>
            <w:vAlign w:val="bottom"/>
          </w:tcPr>
          <w:p w:rsidR="00A621E3" w:rsidRDefault="00EC630E">
            <w:pPr>
              <w:ind w:right="12"/>
              <w:jc w:val="right"/>
              <w:rPr>
                <w:sz w:val="20"/>
                <w:szCs w:val="20"/>
              </w:rPr>
            </w:pPr>
            <w:r>
              <w:rPr>
                <w:rFonts w:ascii="Arial" w:eastAsia="Arial" w:hAnsi="Arial" w:cs="Arial"/>
                <w:sz w:val="13"/>
                <w:szCs w:val="13"/>
              </w:rPr>
              <w:t>639,624</w:t>
            </w:r>
          </w:p>
        </w:tc>
        <w:tc>
          <w:tcPr>
            <w:tcW w:w="0" w:type="dxa"/>
            <w:vAlign w:val="bottom"/>
          </w:tcPr>
          <w:p w:rsidR="00A621E3" w:rsidRDefault="00A621E3">
            <w:pPr>
              <w:rPr>
                <w:sz w:val="1"/>
                <w:szCs w:val="1"/>
              </w:rPr>
            </w:pPr>
          </w:p>
        </w:tc>
      </w:tr>
      <w:tr w:rsidR="00A621E3">
        <w:trPr>
          <w:trHeight w:val="142"/>
        </w:trPr>
        <w:tc>
          <w:tcPr>
            <w:tcW w:w="1500" w:type="dxa"/>
            <w:vAlign w:val="bottom"/>
          </w:tcPr>
          <w:p w:rsidR="00A621E3" w:rsidRDefault="00A621E3">
            <w:pPr>
              <w:rPr>
                <w:sz w:val="12"/>
                <w:szCs w:val="12"/>
              </w:rPr>
            </w:pPr>
          </w:p>
        </w:tc>
        <w:tc>
          <w:tcPr>
            <w:tcW w:w="880" w:type="dxa"/>
            <w:vAlign w:val="bottom"/>
          </w:tcPr>
          <w:p w:rsidR="00A621E3" w:rsidRDefault="00A621E3">
            <w:pPr>
              <w:rPr>
                <w:sz w:val="12"/>
                <w:szCs w:val="12"/>
              </w:rPr>
            </w:pPr>
          </w:p>
        </w:tc>
        <w:tc>
          <w:tcPr>
            <w:tcW w:w="1080" w:type="dxa"/>
            <w:vAlign w:val="bottom"/>
          </w:tcPr>
          <w:p w:rsidR="00A621E3" w:rsidRDefault="00A621E3">
            <w:pPr>
              <w:rPr>
                <w:sz w:val="12"/>
                <w:szCs w:val="12"/>
              </w:rPr>
            </w:pPr>
          </w:p>
        </w:tc>
        <w:tc>
          <w:tcPr>
            <w:tcW w:w="1420" w:type="dxa"/>
            <w:vAlign w:val="bottom"/>
          </w:tcPr>
          <w:p w:rsidR="00A621E3" w:rsidRDefault="00A621E3">
            <w:pPr>
              <w:rPr>
                <w:sz w:val="12"/>
                <w:szCs w:val="12"/>
              </w:rPr>
            </w:pPr>
          </w:p>
        </w:tc>
        <w:tc>
          <w:tcPr>
            <w:tcW w:w="760" w:type="dxa"/>
            <w:vAlign w:val="bottom"/>
          </w:tcPr>
          <w:p w:rsidR="00A621E3" w:rsidRDefault="00A621E3">
            <w:pPr>
              <w:rPr>
                <w:sz w:val="12"/>
                <w:szCs w:val="12"/>
              </w:rPr>
            </w:pPr>
          </w:p>
        </w:tc>
        <w:tc>
          <w:tcPr>
            <w:tcW w:w="840" w:type="dxa"/>
            <w:vAlign w:val="bottom"/>
          </w:tcPr>
          <w:p w:rsidR="00A621E3" w:rsidRDefault="00A621E3">
            <w:pPr>
              <w:rPr>
                <w:sz w:val="12"/>
                <w:szCs w:val="12"/>
              </w:rPr>
            </w:pPr>
          </w:p>
        </w:tc>
        <w:tc>
          <w:tcPr>
            <w:tcW w:w="260" w:type="dxa"/>
            <w:vAlign w:val="bottom"/>
          </w:tcPr>
          <w:p w:rsidR="00A621E3" w:rsidRDefault="00A621E3">
            <w:pPr>
              <w:rPr>
                <w:sz w:val="12"/>
                <w:szCs w:val="12"/>
              </w:rPr>
            </w:pPr>
          </w:p>
        </w:tc>
        <w:tc>
          <w:tcPr>
            <w:tcW w:w="1080" w:type="dxa"/>
            <w:vAlign w:val="bottom"/>
          </w:tcPr>
          <w:p w:rsidR="00A621E3" w:rsidRDefault="00A621E3">
            <w:pPr>
              <w:rPr>
                <w:sz w:val="12"/>
                <w:szCs w:val="12"/>
              </w:rPr>
            </w:pPr>
          </w:p>
        </w:tc>
        <w:tc>
          <w:tcPr>
            <w:tcW w:w="2760" w:type="dxa"/>
            <w:gridSpan w:val="3"/>
            <w:vMerge w:val="restart"/>
            <w:vAlign w:val="bottom"/>
          </w:tcPr>
          <w:p w:rsidR="00A621E3" w:rsidRDefault="00EC630E">
            <w:pPr>
              <w:ind w:left="2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p>
        </w:tc>
        <w:tc>
          <w:tcPr>
            <w:tcW w:w="20" w:type="dxa"/>
            <w:vAlign w:val="bottom"/>
          </w:tcPr>
          <w:p w:rsidR="00A621E3" w:rsidRDefault="00A621E3">
            <w:pPr>
              <w:rPr>
                <w:sz w:val="12"/>
                <w:szCs w:val="12"/>
              </w:rPr>
            </w:pPr>
          </w:p>
        </w:tc>
        <w:tc>
          <w:tcPr>
            <w:tcW w:w="160" w:type="dxa"/>
            <w:vMerge w:val="restart"/>
            <w:vAlign w:val="bottom"/>
          </w:tcPr>
          <w:p w:rsidR="00A621E3" w:rsidRDefault="00A621E3">
            <w:pPr>
              <w:rPr>
                <w:sz w:val="12"/>
                <w:szCs w:val="12"/>
              </w:rPr>
            </w:pPr>
          </w:p>
        </w:tc>
        <w:tc>
          <w:tcPr>
            <w:tcW w:w="260" w:type="dxa"/>
            <w:vMerge w:val="restart"/>
            <w:vAlign w:val="bottom"/>
          </w:tcPr>
          <w:p w:rsidR="00A621E3" w:rsidRDefault="00EC630E">
            <w:pPr>
              <w:ind w:right="32"/>
              <w:jc w:val="right"/>
              <w:rPr>
                <w:sz w:val="20"/>
                <w:szCs w:val="20"/>
              </w:rPr>
            </w:pPr>
            <w:r>
              <w:rPr>
                <w:rFonts w:ascii="Arial" w:eastAsia="Arial" w:hAnsi="Arial" w:cs="Arial"/>
                <w:color w:val="CF0A2C"/>
                <w:w w:val="89"/>
                <w:sz w:val="14"/>
                <w:szCs w:val="14"/>
              </w:rPr>
              <w:t>79</w:t>
            </w:r>
          </w:p>
        </w:tc>
        <w:tc>
          <w:tcPr>
            <w:tcW w:w="0" w:type="dxa"/>
            <w:vAlign w:val="bottom"/>
          </w:tcPr>
          <w:p w:rsidR="00A621E3" w:rsidRDefault="00A621E3">
            <w:pPr>
              <w:rPr>
                <w:sz w:val="1"/>
                <w:szCs w:val="1"/>
              </w:rPr>
            </w:pPr>
          </w:p>
        </w:tc>
      </w:tr>
      <w:tr w:rsidR="00A621E3">
        <w:trPr>
          <w:trHeight w:val="162"/>
        </w:trPr>
        <w:tc>
          <w:tcPr>
            <w:tcW w:w="1500" w:type="dxa"/>
            <w:vAlign w:val="bottom"/>
          </w:tcPr>
          <w:p w:rsidR="00A621E3" w:rsidRDefault="00A621E3">
            <w:pPr>
              <w:rPr>
                <w:sz w:val="14"/>
                <w:szCs w:val="14"/>
              </w:rPr>
            </w:pPr>
          </w:p>
        </w:tc>
        <w:tc>
          <w:tcPr>
            <w:tcW w:w="880" w:type="dxa"/>
            <w:vAlign w:val="bottom"/>
          </w:tcPr>
          <w:p w:rsidR="00A621E3" w:rsidRDefault="00A621E3">
            <w:pPr>
              <w:rPr>
                <w:sz w:val="14"/>
                <w:szCs w:val="14"/>
              </w:rPr>
            </w:pPr>
          </w:p>
        </w:tc>
        <w:tc>
          <w:tcPr>
            <w:tcW w:w="1080" w:type="dxa"/>
            <w:vAlign w:val="bottom"/>
          </w:tcPr>
          <w:p w:rsidR="00A621E3" w:rsidRDefault="00A621E3">
            <w:pPr>
              <w:rPr>
                <w:sz w:val="14"/>
                <w:szCs w:val="14"/>
              </w:rPr>
            </w:pPr>
          </w:p>
        </w:tc>
        <w:tc>
          <w:tcPr>
            <w:tcW w:w="1420" w:type="dxa"/>
            <w:vAlign w:val="bottom"/>
          </w:tcPr>
          <w:p w:rsidR="00A621E3" w:rsidRDefault="00A621E3">
            <w:pPr>
              <w:rPr>
                <w:sz w:val="14"/>
                <w:szCs w:val="14"/>
              </w:rPr>
            </w:pPr>
          </w:p>
        </w:tc>
        <w:tc>
          <w:tcPr>
            <w:tcW w:w="760" w:type="dxa"/>
            <w:vAlign w:val="bottom"/>
          </w:tcPr>
          <w:p w:rsidR="00A621E3" w:rsidRDefault="00A621E3">
            <w:pPr>
              <w:rPr>
                <w:sz w:val="14"/>
                <w:szCs w:val="14"/>
              </w:rPr>
            </w:pPr>
          </w:p>
        </w:tc>
        <w:tc>
          <w:tcPr>
            <w:tcW w:w="840" w:type="dxa"/>
            <w:vAlign w:val="bottom"/>
          </w:tcPr>
          <w:p w:rsidR="00A621E3" w:rsidRDefault="00A621E3">
            <w:pPr>
              <w:rPr>
                <w:sz w:val="14"/>
                <w:szCs w:val="14"/>
              </w:rPr>
            </w:pPr>
          </w:p>
        </w:tc>
        <w:tc>
          <w:tcPr>
            <w:tcW w:w="260" w:type="dxa"/>
            <w:vAlign w:val="bottom"/>
          </w:tcPr>
          <w:p w:rsidR="00A621E3" w:rsidRDefault="00A621E3">
            <w:pPr>
              <w:rPr>
                <w:sz w:val="14"/>
                <w:szCs w:val="14"/>
              </w:rPr>
            </w:pPr>
          </w:p>
        </w:tc>
        <w:tc>
          <w:tcPr>
            <w:tcW w:w="1080" w:type="dxa"/>
            <w:vAlign w:val="bottom"/>
          </w:tcPr>
          <w:p w:rsidR="00A621E3" w:rsidRDefault="00A621E3">
            <w:pPr>
              <w:rPr>
                <w:sz w:val="14"/>
                <w:szCs w:val="14"/>
              </w:rPr>
            </w:pPr>
          </w:p>
        </w:tc>
        <w:tc>
          <w:tcPr>
            <w:tcW w:w="2760" w:type="dxa"/>
            <w:gridSpan w:val="3"/>
            <w:vMerge/>
            <w:vAlign w:val="bottom"/>
          </w:tcPr>
          <w:p w:rsidR="00A621E3" w:rsidRDefault="00A621E3">
            <w:pPr>
              <w:rPr>
                <w:sz w:val="14"/>
                <w:szCs w:val="14"/>
              </w:rPr>
            </w:pPr>
          </w:p>
        </w:tc>
        <w:tc>
          <w:tcPr>
            <w:tcW w:w="20" w:type="dxa"/>
            <w:shd w:val="clear" w:color="auto" w:fill="CF0A2C"/>
            <w:vAlign w:val="bottom"/>
          </w:tcPr>
          <w:p w:rsidR="00A621E3" w:rsidRDefault="00A621E3">
            <w:pPr>
              <w:rPr>
                <w:sz w:val="14"/>
                <w:szCs w:val="14"/>
              </w:rPr>
            </w:pPr>
          </w:p>
        </w:tc>
        <w:tc>
          <w:tcPr>
            <w:tcW w:w="160" w:type="dxa"/>
            <w:vMerge/>
            <w:vAlign w:val="bottom"/>
          </w:tcPr>
          <w:p w:rsidR="00A621E3" w:rsidRDefault="00A621E3">
            <w:pPr>
              <w:rPr>
                <w:sz w:val="14"/>
                <w:szCs w:val="14"/>
              </w:rPr>
            </w:pPr>
          </w:p>
        </w:tc>
        <w:tc>
          <w:tcPr>
            <w:tcW w:w="260" w:type="dxa"/>
            <w:vMerge/>
            <w:vAlign w:val="bottom"/>
          </w:tcPr>
          <w:p w:rsidR="00A621E3" w:rsidRDefault="00A621E3">
            <w:pPr>
              <w:rPr>
                <w:sz w:val="14"/>
                <w:szCs w:val="14"/>
              </w:rPr>
            </w:pPr>
          </w:p>
        </w:tc>
        <w:tc>
          <w:tcPr>
            <w:tcW w:w="0" w:type="dxa"/>
            <w:vAlign w:val="bottom"/>
          </w:tcPr>
          <w:p w:rsidR="00A621E3" w:rsidRDefault="00A621E3">
            <w:pPr>
              <w:rPr>
                <w:sz w:val="1"/>
                <w:szCs w:val="1"/>
              </w:rPr>
            </w:pPr>
          </w:p>
        </w:tc>
      </w:tr>
    </w:tbl>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85" w:name="page85"/>
      <w:bookmarkEnd w:id="85"/>
      <w:r>
        <w:rPr>
          <w:rFonts w:ascii="Arial" w:eastAsia="Arial" w:hAnsi="Arial" w:cs="Arial"/>
          <w:b/>
          <w:bCs/>
          <w:noProof/>
          <w:color w:val="0000EE"/>
          <w:sz w:val="18"/>
          <w:szCs w:val="18"/>
          <w:u w:val="single"/>
        </w:rPr>
        <w:drawing>
          <wp:anchor distT="0" distB="0" distL="114300" distR="114300" simplePos="0" relativeHeight="25199104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92064"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206"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460"/>
        <w:gridCol w:w="840"/>
        <w:gridCol w:w="1080"/>
        <w:gridCol w:w="1440"/>
        <w:gridCol w:w="780"/>
        <w:gridCol w:w="840"/>
        <w:gridCol w:w="260"/>
        <w:gridCol w:w="1100"/>
        <w:gridCol w:w="920"/>
        <w:gridCol w:w="1220"/>
        <w:gridCol w:w="1080"/>
      </w:tblGrid>
      <w:tr w:rsidR="00A621E3">
        <w:trPr>
          <w:trHeight w:val="175"/>
        </w:trPr>
        <w:tc>
          <w:tcPr>
            <w:tcW w:w="1460" w:type="dxa"/>
            <w:tcBorders>
              <w:top w:val="single" w:sz="8" w:space="0" w:color="CF0A2C"/>
              <w:bottom w:val="single" w:sz="8" w:space="0" w:color="FAE6E9"/>
            </w:tcBorders>
            <w:shd w:val="clear" w:color="auto" w:fill="FAE6E9"/>
            <w:vAlign w:val="bottom"/>
          </w:tcPr>
          <w:p w:rsidR="00A621E3" w:rsidRDefault="00A621E3">
            <w:pPr>
              <w:rPr>
                <w:sz w:val="15"/>
                <w:szCs w:val="15"/>
              </w:rPr>
            </w:pPr>
          </w:p>
        </w:tc>
        <w:tc>
          <w:tcPr>
            <w:tcW w:w="840" w:type="dxa"/>
            <w:tcBorders>
              <w:top w:val="single" w:sz="8" w:space="0" w:color="CF0A2C"/>
              <w:bottom w:val="single" w:sz="8" w:space="0" w:color="FAE6E9"/>
            </w:tcBorders>
            <w:shd w:val="clear" w:color="auto" w:fill="FAE6E9"/>
            <w:vAlign w:val="bottom"/>
          </w:tcPr>
          <w:p w:rsidR="00A621E3" w:rsidRDefault="00A621E3">
            <w:pPr>
              <w:rPr>
                <w:sz w:val="15"/>
                <w:szCs w:val="15"/>
              </w:rPr>
            </w:pPr>
          </w:p>
        </w:tc>
        <w:tc>
          <w:tcPr>
            <w:tcW w:w="1080" w:type="dxa"/>
            <w:tcBorders>
              <w:top w:val="single" w:sz="8" w:space="0" w:color="CF0A2C"/>
              <w:bottom w:val="single" w:sz="8" w:space="0" w:color="CF0A2C"/>
            </w:tcBorders>
            <w:shd w:val="clear" w:color="auto" w:fill="FAE6E9"/>
            <w:vAlign w:val="bottom"/>
          </w:tcPr>
          <w:p w:rsidR="00A621E3" w:rsidRDefault="00A621E3">
            <w:pPr>
              <w:rPr>
                <w:sz w:val="15"/>
                <w:szCs w:val="15"/>
              </w:rPr>
            </w:pPr>
          </w:p>
        </w:tc>
        <w:tc>
          <w:tcPr>
            <w:tcW w:w="2220" w:type="dxa"/>
            <w:gridSpan w:val="2"/>
            <w:tcBorders>
              <w:top w:val="single" w:sz="8" w:space="0" w:color="CF0A2C"/>
              <w:bottom w:val="single" w:sz="8" w:space="0" w:color="CF0A2C"/>
            </w:tcBorders>
            <w:shd w:val="clear" w:color="auto" w:fill="FAE6E9"/>
            <w:vAlign w:val="bottom"/>
          </w:tcPr>
          <w:p w:rsidR="00A621E3" w:rsidRDefault="00EC630E">
            <w:pPr>
              <w:ind w:right="431"/>
              <w:jc w:val="right"/>
              <w:rPr>
                <w:sz w:val="20"/>
                <w:szCs w:val="20"/>
              </w:rPr>
            </w:pPr>
            <w:r>
              <w:rPr>
                <w:rFonts w:ascii="Arial" w:eastAsia="Arial" w:hAnsi="Arial" w:cs="Arial"/>
                <w:b/>
                <w:bCs/>
                <w:color w:val="CF0A2C"/>
                <w:sz w:val="14"/>
                <w:szCs w:val="14"/>
              </w:rPr>
              <w:t>Option/SAR Awards</w:t>
            </w:r>
          </w:p>
        </w:tc>
        <w:tc>
          <w:tcPr>
            <w:tcW w:w="840" w:type="dxa"/>
            <w:tcBorders>
              <w:top w:val="single" w:sz="8" w:space="0" w:color="CF0A2C"/>
              <w:bottom w:val="single" w:sz="8" w:space="0" w:color="CF0A2C"/>
            </w:tcBorders>
            <w:shd w:val="clear" w:color="auto" w:fill="FAE6E9"/>
            <w:vAlign w:val="bottom"/>
          </w:tcPr>
          <w:p w:rsidR="00A621E3" w:rsidRDefault="00A621E3">
            <w:pPr>
              <w:rPr>
                <w:sz w:val="15"/>
                <w:szCs w:val="15"/>
              </w:rPr>
            </w:pPr>
          </w:p>
        </w:tc>
        <w:tc>
          <w:tcPr>
            <w:tcW w:w="260" w:type="dxa"/>
            <w:tcBorders>
              <w:top w:val="single" w:sz="8" w:space="0" w:color="CF0A2C"/>
              <w:bottom w:val="single" w:sz="8" w:space="0" w:color="FAE6E9"/>
            </w:tcBorders>
            <w:shd w:val="clear" w:color="auto" w:fill="FAE6E9"/>
            <w:vAlign w:val="bottom"/>
          </w:tcPr>
          <w:p w:rsidR="00A621E3" w:rsidRDefault="00A621E3">
            <w:pPr>
              <w:rPr>
                <w:sz w:val="15"/>
                <w:szCs w:val="15"/>
              </w:rPr>
            </w:pPr>
          </w:p>
        </w:tc>
        <w:tc>
          <w:tcPr>
            <w:tcW w:w="1100" w:type="dxa"/>
            <w:tcBorders>
              <w:top w:val="single" w:sz="8" w:space="0" w:color="CF0A2C"/>
              <w:bottom w:val="single" w:sz="8" w:space="0" w:color="CF0A2C"/>
            </w:tcBorders>
            <w:shd w:val="clear" w:color="auto" w:fill="FAE6E9"/>
            <w:vAlign w:val="bottom"/>
          </w:tcPr>
          <w:p w:rsidR="00A621E3" w:rsidRDefault="00A621E3">
            <w:pPr>
              <w:rPr>
                <w:sz w:val="15"/>
                <w:szCs w:val="15"/>
              </w:rPr>
            </w:pPr>
          </w:p>
        </w:tc>
        <w:tc>
          <w:tcPr>
            <w:tcW w:w="2140" w:type="dxa"/>
            <w:gridSpan w:val="2"/>
            <w:tcBorders>
              <w:top w:val="single" w:sz="8" w:space="0" w:color="CF0A2C"/>
              <w:bottom w:val="single" w:sz="8" w:space="0" w:color="CF0A2C"/>
            </w:tcBorders>
            <w:shd w:val="clear" w:color="auto" w:fill="FAE6E9"/>
            <w:vAlign w:val="bottom"/>
          </w:tcPr>
          <w:p w:rsidR="00A621E3" w:rsidRDefault="00EC630E">
            <w:pPr>
              <w:ind w:left="600"/>
              <w:rPr>
                <w:sz w:val="20"/>
                <w:szCs w:val="20"/>
              </w:rPr>
            </w:pPr>
            <w:r>
              <w:rPr>
                <w:rFonts w:ascii="Arial" w:eastAsia="Arial" w:hAnsi="Arial" w:cs="Arial"/>
                <w:b/>
                <w:bCs/>
                <w:color w:val="CF0A2C"/>
                <w:sz w:val="14"/>
                <w:szCs w:val="14"/>
              </w:rPr>
              <w:t>Stock Awards</w:t>
            </w:r>
          </w:p>
        </w:tc>
        <w:tc>
          <w:tcPr>
            <w:tcW w:w="1080" w:type="dxa"/>
            <w:tcBorders>
              <w:top w:val="single" w:sz="8" w:space="0" w:color="CF0A2C"/>
              <w:bottom w:val="single" w:sz="8" w:space="0" w:color="CF0A2C"/>
            </w:tcBorders>
            <w:shd w:val="clear" w:color="auto" w:fill="FAE6E9"/>
            <w:vAlign w:val="bottom"/>
          </w:tcPr>
          <w:p w:rsidR="00A621E3" w:rsidRDefault="00A621E3">
            <w:pPr>
              <w:rPr>
                <w:sz w:val="15"/>
                <w:szCs w:val="15"/>
              </w:rPr>
            </w:pPr>
          </w:p>
        </w:tc>
      </w:tr>
      <w:tr w:rsidR="00A621E3">
        <w:trPr>
          <w:trHeight w:val="142"/>
        </w:trPr>
        <w:tc>
          <w:tcPr>
            <w:tcW w:w="1460" w:type="dxa"/>
            <w:shd w:val="clear" w:color="auto" w:fill="FAE6E9"/>
            <w:vAlign w:val="bottom"/>
          </w:tcPr>
          <w:p w:rsidR="00A621E3" w:rsidRDefault="00A621E3">
            <w:pPr>
              <w:rPr>
                <w:sz w:val="12"/>
                <w:szCs w:val="12"/>
              </w:rPr>
            </w:pPr>
          </w:p>
        </w:tc>
        <w:tc>
          <w:tcPr>
            <w:tcW w:w="840" w:type="dxa"/>
            <w:shd w:val="clear" w:color="auto" w:fill="FAE6E9"/>
            <w:vAlign w:val="bottom"/>
          </w:tcPr>
          <w:p w:rsidR="00A621E3" w:rsidRDefault="00A621E3">
            <w:pPr>
              <w:rPr>
                <w:sz w:val="12"/>
                <w:szCs w:val="12"/>
              </w:rPr>
            </w:pPr>
          </w:p>
        </w:tc>
        <w:tc>
          <w:tcPr>
            <w:tcW w:w="1080" w:type="dxa"/>
            <w:shd w:val="clear" w:color="auto" w:fill="FAE6E9"/>
            <w:vAlign w:val="bottom"/>
          </w:tcPr>
          <w:p w:rsidR="00A621E3" w:rsidRDefault="00A621E3">
            <w:pPr>
              <w:rPr>
                <w:sz w:val="12"/>
                <w:szCs w:val="12"/>
              </w:rPr>
            </w:pPr>
          </w:p>
        </w:tc>
        <w:tc>
          <w:tcPr>
            <w:tcW w:w="1440" w:type="dxa"/>
            <w:shd w:val="clear" w:color="auto" w:fill="FAE6E9"/>
            <w:vAlign w:val="bottom"/>
          </w:tcPr>
          <w:p w:rsidR="00A621E3" w:rsidRDefault="00A621E3">
            <w:pPr>
              <w:rPr>
                <w:sz w:val="12"/>
                <w:szCs w:val="12"/>
              </w:rPr>
            </w:pPr>
          </w:p>
        </w:tc>
        <w:tc>
          <w:tcPr>
            <w:tcW w:w="780" w:type="dxa"/>
            <w:shd w:val="clear" w:color="auto" w:fill="FAE6E9"/>
            <w:vAlign w:val="bottom"/>
          </w:tcPr>
          <w:p w:rsidR="00A621E3" w:rsidRDefault="00A621E3">
            <w:pPr>
              <w:rPr>
                <w:sz w:val="12"/>
                <w:szCs w:val="12"/>
              </w:rPr>
            </w:pPr>
          </w:p>
        </w:tc>
        <w:tc>
          <w:tcPr>
            <w:tcW w:w="840" w:type="dxa"/>
            <w:shd w:val="clear" w:color="auto" w:fill="FAE6E9"/>
            <w:vAlign w:val="bottom"/>
          </w:tcPr>
          <w:p w:rsidR="00A621E3" w:rsidRDefault="00A621E3">
            <w:pPr>
              <w:rPr>
                <w:sz w:val="12"/>
                <w:szCs w:val="12"/>
              </w:rPr>
            </w:pPr>
          </w:p>
        </w:tc>
        <w:tc>
          <w:tcPr>
            <w:tcW w:w="260" w:type="dxa"/>
            <w:shd w:val="clear" w:color="auto" w:fill="FAE6E9"/>
            <w:vAlign w:val="bottom"/>
          </w:tcPr>
          <w:p w:rsidR="00A621E3" w:rsidRDefault="00A621E3">
            <w:pPr>
              <w:rPr>
                <w:sz w:val="12"/>
                <w:szCs w:val="12"/>
              </w:rPr>
            </w:pPr>
          </w:p>
        </w:tc>
        <w:tc>
          <w:tcPr>
            <w:tcW w:w="1100" w:type="dxa"/>
            <w:shd w:val="clear" w:color="auto" w:fill="FAE6E9"/>
            <w:vAlign w:val="bottom"/>
          </w:tcPr>
          <w:p w:rsidR="00A621E3" w:rsidRDefault="00A621E3">
            <w:pPr>
              <w:rPr>
                <w:sz w:val="12"/>
                <w:szCs w:val="12"/>
              </w:rPr>
            </w:pPr>
          </w:p>
        </w:tc>
        <w:tc>
          <w:tcPr>
            <w:tcW w:w="920" w:type="dxa"/>
            <w:shd w:val="clear" w:color="auto" w:fill="FAE6E9"/>
            <w:vAlign w:val="bottom"/>
          </w:tcPr>
          <w:p w:rsidR="00A621E3" w:rsidRDefault="00A621E3">
            <w:pPr>
              <w:rPr>
                <w:sz w:val="12"/>
                <w:szCs w:val="12"/>
              </w:rPr>
            </w:pPr>
          </w:p>
        </w:tc>
        <w:tc>
          <w:tcPr>
            <w:tcW w:w="1220" w:type="dxa"/>
            <w:shd w:val="clear" w:color="auto" w:fill="FAE6E9"/>
            <w:vAlign w:val="bottom"/>
          </w:tcPr>
          <w:p w:rsidR="00A621E3" w:rsidRDefault="00A621E3">
            <w:pPr>
              <w:rPr>
                <w:sz w:val="12"/>
                <w:szCs w:val="12"/>
              </w:rPr>
            </w:pPr>
          </w:p>
        </w:tc>
        <w:tc>
          <w:tcPr>
            <w:tcW w:w="1080" w:type="dxa"/>
            <w:shd w:val="clear" w:color="auto" w:fill="FAE6E9"/>
            <w:vAlign w:val="bottom"/>
          </w:tcPr>
          <w:p w:rsidR="00A621E3" w:rsidRDefault="00EC630E">
            <w:pPr>
              <w:spacing w:line="143" w:lineRule="exact"/>
              <w:jc w:val="center"/>
              <w:rPr>
                <w:sz w:val="20"/>
                <w:szCs w:val="20"/>
              </w:rPr>
            </w:pPr>
            <w:r>
              <w:rPr>
                <w:rFonts w:ascii="Arial" w:eastAsia="Arial" w:hAnsi="Arial" w:cs="Arial"/>
                <w:b/>
                <w:bCs/>
                <w:color w:val="CF0A2C"/>
                <w:sz w:val="14"/>
                <w:szCs w:val="14"/>
              </w:rPr>
              <w:t>Equity</w:t>
            </w:r>
          </w:p>
        </w:tc>
      </w:tr>
      <w:tr w:rsidR="00A621E3">
        <w:trPr>
          <w:trHeight w:val="162"/>
        </w:trPr>
        <w:tc>
          <w:tcPr>
            <w:tcW w:w="146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A621E3">
            <w:pPr>
              <w:rPr>
                <w:sz w:val="14"/>
                <w:szCs w:val="14"/>
              </w:rPr>
            </w:pPr>
          </w:p>
        </w:tc>
        <w:tc>
          <w:tcPr>
            <w:tcW w:w="1440" w:type="dxa"/>
            <w:shd w:val="clear" w:color="auto" w:fill="FAE6E9"/>
            <w:vAlign w:val="bottom"/>
          </w:tcPr>
          <w:p w:rsidR="00A621E3" w:rsidRDefault="00A621E3">
            <w:pPr>
              <w:rPr>
                <w:sz w:val="14"/>
                <w:szCs w:val="14"/>
              </w:rPr>
            </w:pPr>
          </w:p>
        </w:tc>
        <w:tc>
          <w:tcPr>
            <w:tcW w:w="78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260" w:type="dxa"/>
            <w:shd w:val="clear" w:color="auto" w:fill="FAE6E9"/>
            <w:vAlign w:val="bottom"/>
          </w:tcPr>
          <w:p w:rsidR="00A621E3" w:rsidRDefault="00A621E3">
            <w:pPr>
              <w:rPr>
                <w:sz w:val="14"/>
                <w:szCs w:val="14"/>
              </w:rPr>
            </w:pPr>
          </w:p>
        </w:tc>
        <w:tc>
          <w:tcPr>
            <w:tcW w:w="1100" w:type="dxa"/>
            <w:shd w:val="clear" w:color="auto" w:fill="FAE6E9"/>
            <w:vAlign w:val="bottom"/>
          </w:tcPr>
          <w:p w:rsidR="00A621E3" w:rsidRDefault="00A621E3">
            <w:pPr>
              <w:rPr>
                <w:sz w:val="14"/>
                <w:szCs w:val="14"/>
              </w:rPr>
            </w:pPr>
          </w:p>
        </w:tc>
        <w:tc>
          <w:tcPr>
            <w:tcW w:w="920" w:type="dxa"/>
            <w:shd w:val="clear" w:color="auto" w:fill="FAE6E9"/>
            <w:vAlign w:val="bottom"/>
          </w:tcPr>
          <w:p w:rsidR="00A621E3" w:rsidRDefault="00A621E3">
            <w:pPr>
              <w:rPr>
                <w:sz w:val="14"/>
                <w:szCs w:val="14"/>
              </w:rPr>
            </w:pPr>
          </w:p>
        </w:tc>
        <w:tc>
          <w:tcPr>
            <w:tcW w:w="1220" w:type="dxa"/>
            <w:shd w:val="clear" w:color="auto" w:fill="FAE6E9"/>
            <w:vAlign w:val="bottom"/>
          </w:tcPr>
          <w:p w:rsidR="00A621E3" w:rsidRDefault="00EC630E">
            <w:pPr>
              <w:ind w:right="31"/>
              <w:jc w:val="center"/>
              <w:rPr>
                <w:sz w:val="20"/>
                <w:szCs w:val="20"/>
              </w:rPr>
            </w:pPr>
            <w:r>
              <w:rPr>
                <w:rFonts w:ascii="Arial" w:eastAsia="Arial" w:hAnsi="Arial" w:cs="Arial"/>
                <w:b/>
                <w:bCs/>
                <w:color w:val="CF0A2C"/>
                <w:sz w:val="14"/>
                <w:szCs w:val="14"/>
              </w:rPr>
              <w:t>Equity</w:t>
            </w: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Incentive</w:t>
            </w:r>
          </w:p>
        </w:tc>
      </w:tr>
      <w:tr w:rsidR="00A621E3">
        <w:trPr>
          <w:trHeight w:val="162"/>
        </w:trPr>
        <w:tc>
          <w:tcPr>
            <w:tcW w:w="146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A621E3">
            <w:pPr>
              <w:rPr>
                <w:sz w:val="14"/>
                <w:szCs w:val="14"/>
              </w:rPr>
            </w:pPr>
          </w:p>
        </w:tc>
        <w:tc>
          <w:tcPr>
            <w:tcW w:w="1440" w:type="dxa"/>
            <w:shd w:val="clear" w:color="auto" w:fill="FAE6E9"/>
            <w:vAlign w:val="bottom"/>
          </w:tcPr>
          <w:p w:rsidR="00A621E3" w:rsidRDefault="00A621E3">
            <w:pPr>
              <w:rPr>
                <w:sz w:val="14"/>
                <w:szCs w:val="14"/>
              </w:rPr>
            </w:pPr>
          </w:p>
        </w:tc>
        <w:tc>
          <w:tcPr>
            <w:tcW w:w="78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260" w:type="dxa"/>
            <w:shd w:val="clear" w:color="auto" w:fill="FAE6E9"/>
            <w:vAlign w:val="bottom"/>
          </w:tcPr>
          <w:p w:rsidR="00A621E3" w:rsidRDefault="00A621E3">
            <w:pPr>
              <w:rPr>
                <w:sz w:val="14"/>
                <w:szCs w:val="14"/>
              </w:rPr>
            </w:pPr>
          </w:p>
        </w:tc>
        <w:tc>
          <w:tcPr>
            <w:tcW w:w="1100" w:type="dxa"/>
            <w:shd w:val="clear" w:color="auto" w:fill="FAE6E9"/>
            <w:vAlign w:val="bottom"/>
          </w:tcPr>
          <w:p w:rsidR="00A621E3" w:rsidRDefault="00A621E3">
            <w:pPr>
              <w:rPr>
                <w:sz w:val="14"/>
                <w:szCs w:val="14"/>
              </w:rPr>
            </w:pPr>
          </w:p>
        </w:tc>
        <w:tc>
          <w:tcPr>
            <w:tcW w:w="920" w:type="dxa"/>
            <w:shd w:val="clear" w:color="auto" w:fill="FAE6E9"/>
            <w:vAlign w:val="bottom"/>
          </w:tcPr>
          <w:p w:rsidR="00A621E3" w:rsidRDefault="00A621E3">
            <w:pPr>
              <w:rPr>
                <w:sz w:val="14"/>
                <w:szCs w:val="14"/>
              </w:rPr>
            </w:pPr>
          </w:p>
        </w:tc>
        <w:tc>
          <w:tcPr>
            <w:tcW w:w="1220" w:type="dxa"/>
            <w:shd w:val="clear" w:color="auto" w:fill="FAE6E9"/>
            <w:vAlign w:val="bottom"/>
          </w:tcPr>
          <w:p w:rsidR="00A621E3" w:rsidRDefault="00EC630E">
            <w:pPr>
              <w:ind w:right="51"/>
              <w:jc w:val="center"/>
              <w:rPr>
                <w:sz w:val="20"/>
                <w:szCs w:val="20"/>
              </w:rPr>
            </w:pPr>
            <w:r>
              <w:rPr>
                <w:rFonts w:ascii="Arial" w:eastAsia="Arial" w:hAnsi="Arial" w:cs="Arial"/>
                <w:b/>
                <w:bCs/>
                <w:color w:val="CF0A2C"/>
                <w:sz w:val="14"/>
                <w:szCs w:val="14"/>
              </w:rPr>
              <w:t>Incentive</w:t>
            </w: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Plan Awards:</w:t>
            </w:r>
          </w:p>
        </w:tc>
      </w:tr>
      <w:tr w:rsidR="00A621E3">
        <w:trPr>
          <w:trHeight w:val="162"/>
        </w:trPr>
        <w:tc>
          <w:tcPr>
            <w:tcW w:w="146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A621E3">
            <w:pPr>
              <w:rPr>
                <w:sz w:val="14"/>
                <w:szCs w:val="14"/>
              </w:rPr>
            </w:pPr>
          </w:p>
        </w:tc>
        <w:tc>
          <w:tcPr>
            <w:tcW w:w="1440" w:type="dxa"/>
            <w:shd w:val="clear" w:color="auto" w:fill="FAE6E9"/>
            <w:vAlign w:val="bottom"/>
          </w:tcPr>
          <w:p w:rsidR="00A621E3" w:rsidRDefault="00A621E3">
            <w:pPr>
              <w:rPr>
                <w:sz w:val="14"/>
                <w:szCs w:val="14"/>
              </w:rPr>
            </w:pPr>
          </w:p>
        </w:tc>
        <w:tc>
          <w:tcPr>
            <w:tcW w:w="78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260" w:type="dxa"/>
            <w:shd w:val="clear" w:color="auto" w:fill="FAE6E9"/>
            <w:vAlign w:val="bottom"/>
          </w:tcPr>
          <w:p w:rsidR="00A621E3" w:rsidRDefault="00A621E3">
            <w:pPr>
              <w:rPr>
                <w:sz w:val="14"/>
                <w:szCs w:val="14"/>
              </w:rPr>
            </w:pPr>
          </w:p>
        </w:tc>
        <w:tc>
          <w:tcPr>
            <w:tcW w:w="1100" w:type="dxa"/>
            <w:shd w:val="clear" w:color="auto" w:fill="FAE6E9"/>
            <w:vAlign w:val="bottom"/>
          </w:tcPr>
          <w:p w:rsidR="00A621E3" w:rsidRDefault="00A621E3">
            <w:pPr>
              <w:rPr>
                <w:sz w:val="14"/>
                <w:szCs w:val="14"/>
              </w:rPr>
            </w:pPr>
          </w:p>
        </w:tc>
        <w:tc>
          <w:tcPr>
            <w:tcW w:w="920" w:type="dxa"/>
            <w:shd w:val="clear" w:color="auto" w:fill="FAE6E9"/>
            <w:vAlign w:val="bottom"/>
          </w:tcPr>
          <w:p w:rsidR="00A621E3" w:rsidRDefault="00A621E3">
            <w:pPr>
              <w:rPr>
                <w:sz w:val="14"/>
                <w:szCs w:val="14"/>
              </w:rPr>
            </w:pPr>
          </w:p>
        </w:tc>
        <w:tc>
          <w:tcPr>
            <w:tcW w:w="1220" w:type="dxa"/>
            <w:shd w:val="clear" w:color="auto" w:fill="FAE6E9"/>
            <w:vAlign w:val="bottom"/>
          </w:tcPr>
          <w:p w:rsidR="00A621E3" w:rsidRDefault="00EC630E">
            <w:pPr>
              <w:ind w:right="51"/>
              <w:jc w:val="center"/>
              <w:rPr>
                <w:sz w:val="20"/>
                <w:szCs w:val="20"/>
              </w:rPr>
            </w:pPr>
            <w:r>
              <w:rPr>
                <w:rFonts w:ascii="Arial" w:eastAsia="Arial" w:hAnsi="Arial" w:cs="Arial"/>
                <w:b/>
                <w:bCs/>
                <w:color w:val="CF0A2C"/>
                <w:sz w:val="14"/>
                <w:szCs w:val="14"/>
              </w:rPr>
              <w:t>Plan Awards:</w:t>
            </w: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Market or</w:t>
            </w:r>
          </w:p>
        </w:tc>
      </w:tr>
      <w:tr w:rsidR="00A621E3">
        <w:trPr>
          <w:trHeight w:val="162"/>
        </w:trPr>
        <w:tc>
          <w:tcPr>
            <w:tcW w:w="146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Number of</w:t>
            </w:r>
          </w:p>
        </w:tc>
        <w:tc>
          <w:tcPr>
            <w:tcW w:w="1440" w:type="dxa"/>
            <w:shd w:val="clear" w:color="auto" w:fill="FAE6E9"/>
            <w:vAlign w:val="bottom"/>
          </w:tcPr>
          <w:p w:rsidR="00A621E3" w:rsidRDefault="00A621E3">
            <w:pPr>
              <w:rPr>
                <w:sz w:val="14"/>
                <w:szCs w:val="14"/>
              </w:rPr>
            </w:pPr>
          </w:p>
        </w:tc>
        <w:tc>
          <w:tcPr>
            <w:tcW w:w="78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260" w:type="dxa"/>
            <w:shd w:val="clear" w:color="auto" w:fill="FAE6E9"/>
            <w:vAlign w:val="bottom"/>
          </w:tcPr>
          <w:p w:rsidR="00A621E3" w:rsidRDefault="00A621E3">
            <w:pPr>
              <w:rPr>
                <w:sz w:val="14"/>
                <w:szCs w:val="14"/>
              </w:rPr>
            </w:pPr>
          </w:p>
        </w:tc>
        <w:tc>
          <w:tcPr>
            <w:tcW w:w="1100" w:type="dxa"/>
            <w:shd w:val="clear" w:color="auto" w:fill="FAE6E9"/>
            <w:vAlign w:val="bottom"/>
          </w:tcPr>
          <w:p w:rsidR="00A621E3" w:rsidRDefault="00A621E3">
            <w:pPr>
              <w:rPr>
                <w:sz w:val="14"/>
                <w:szCs w:val="14"/>
              </w:rPr>
            </w:pPr>
          </w:p>
        </w:tc>
        <w:tc>
          <w:tcPr>
            <w:tcW w:w="92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Market</w:t>
            </w:r>
          </w:p>
        </w:tc>
        <w:tc>
          <w:tcPr>
            <w:tcW w:w="1220" w:type="dxa"/>
            <w:shd w:val="clear" w:color="auto" w:fill="FAE6E9"/>
            <w:vAlign w:val="bottom"/>
          </w:tcPr>
          <w:p w:rsidR="00A621E3" w:rsidRDefault="00EC630E">
            <w:pPr>
              <w:ind w:right="31"/>
              <w:jc w:val="center"/>
              <w:rPr>
                <w:sz w:val="20"/>
                <w:szCs w:val="20"/>
              </w:rPr>
            </w:pPr>
            <w:r>
              <w:rPr>
                <w:rFonts w:ascii="Arial" w:eastAsia="Arial" w:hAnsi="Arial" w:cs="Arial"/>
                <w:b/>
                <w:bCs/>
                <w:color w:val="CF0A2C"/>
                <w:sz w:val="14"/>
                <w:szCs w:val="14"/>
              </w:rPr>
              <w:t>Number</w:t>
            </w:r>
            <w:r>
              <w:rPr>
                <w:rFonts w:ascii="Arial" w:eastAsia="Arial" w:hAnsi="Arial" w:cs="Arial"/>
                <w:b/>
                <w:bCs/>
                <w:color w:val="CF0A2C"/>
                <w:sz w:val="14"/>
                <w:szCs w:val="14"/>
              </w:rPr>
              <w:t xml:space="preserve"> of</w:t>
            </w: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Payout Value</w:t>
            </w:r>
          </w:p>
        </w:tc>
      </w:tr>
      <w:tr w:rsidR="00A621E3">
        <w:trPr>
          <w:trHeight w:val="162"/>
        </w:trPr>
        <w:tc>
          <w:tcPr>
            <w:tcW w:w="146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Securities</w:t>
            </w:r>
          </w:p>
        </w:tc>
        <w:tc>
          <w:tcPr>
            <w:tcW w:w="1440" w:type="dxa"/>
            <w:shd w:val="clear" w:color="auto" w:fill="FAE6E9"/>
            <w:vAlign w:val="bottom"/>
          </w:tcPr>
          <w:p w:rsidR="00A621E3" w:rsidRDefault="00EC630E">
            <w:pPr>
              <w:ind w:right="91"/>
              <w:jc w:val="center"/>
              <w:rPr>
                <w:sz w:val="20"/>
                <w:szCs w:val="20"/>
              </w:rPr>
            </w:pPr>
            <w:r>
              <w:rPr>
                <w:rFonts w:ascii="Arial" w:eastAsia="Arial" w:hAnsi="Arial" w:cs="Arial"/>
                <w:b/>
                <w:bCs/>
                <w:color w:val="CF0A2C"/>
                <w:sz w:val="14"/>
                <w:szCs w:val="14"/>
              </w:rPr>
              <w:t>Number of</w:t>
            </w:r>
          </w:p>
        </w:tc>
        <w:tc>
          <w:tcPr>
            <w:tcW w:w="78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260" w:type="dxa"/>
            <w:shd w:val="clear" w:color="auto" w:fill="FAE6E9"/>
            <w:vAlign w:val="bottom"/>
          </w:tcPr>
          <w:p w:rsidR="00A621E3" w:rsidRDefault="00A621E3">
            <w:pPr>
              <w:rPr>
                <w:sz w:val="14"/>
                <w:szCs w:val="14"/>
              </w:rPr>
            </w:pPr>
          </w:p>
        </w:tc>
        <w:tc>
          <w:tcPr>
            <w:tcW w:w="1100" w:type="dxa"/>
            <w:shd w:val="clear" w:color="auto" w:fill="FAE6E9"/>
            <w:vAlign w:val="bottom"/>
          </w:tcPr>
          <w:p w:rsidR="00A621E3" w:rsidRDefault="00EC630E">
            <w:pPr>
              <w:ind w:right="11"/>
              <w:jc w:val="center"/>
              <w:rPr>
                <w:sz w:val="20"/>
                <w:szCs w:val="20"/>
              </w:rPr>
            </w:pPr>
            <w:r>
              <w:rPr>
                <w:rFonts w:ascii="Arial" w:eastAsia="Arial" w:hAnsi="Arial" w:cs="Arial"/>
                <w:b/>
                <w:bCs/>
                <w:color w:val="CF0A2C"/>
                <w:sz w:val="14"/>
                <w:szCs w:val="14"/>
              </w:rPr>
              <w:t>Number</w:t>
            </w:r>
          </w:p>
        </w:tc>
        <w:tc>
          <w:tcPr>
            <w:tcW w:w="920" w:type="dxa"/>
            <w:shd w:val="clear" w:color="auto" w:fill="FAE6E9"/>
            <w:vAlign w:val="bottom"/>
          </w:tcPr>
          <w:p w:rsidR="00A621E3" w:rsidRDefault="00EC630E">
            <w:pPr>
              <w:jc w:val="center"/>
              <w:rPr>
                <w:sz w:val="20"/>
                <w:szCs w:val="20"/>
              </w:rPr>
            </w:pPr>
            <w:r>
              <w:rPr>
                <w:rFonts w:ascii="Arial" w:eastAsia="Arial" w:hAnsi="Arial" w:cs="Arial"/>
                <w:b/>
                <w:bCs/>
                <w:color w:val="CF0A2C"/>
                <w:w w:val="96"/>
                <w:sz w:val="14"/>
                <w:szCs w:val="14"/>
              </w:rPr>
              <w:t>Value</w:t>
            </w:r>
          </w:p>
        </w:tc>
        <w:tc>
          <w:tcPr>
            <w:tcW w:w="1220" w:type="dxa"/>
            <w:shd w:val="clear" w:color="auto" w:fill="FAE6E9"/>
            <w:vAlign w:val="bottom"/>
          </w:tcPr>
          <w:p w:rsidR="00A621E3" w:rsidRDefault="00EC630E">
            <w:pPr>
              <w:ind w:right="51"/>
              <w:jc w:val="center"/>
              <w:rPr>
                <w:sz w:val="20"/>
                <w:szCs w:val="20"/>
              </w:rPr>
            </w:pPr>
            <w:r>
              <w:rPr>
                <w:rFonts w:ascii="Arial" w:eastAsia="Arial" w:hAnsi="Arial" w:cs="Arial"/>
                <w:b/>
                <w:bCs/>
                <w:color w:val="CF0A2C"/>
                <w:sz w:val="14"/>
                <w:szCs w:val="14"/>
              </w:rPr>
              <w:t>Unearned</w:t>
            </w: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of Unearned</w:t>
            </w:r>
          </w:p>
        </w:tc>
      </w:tr>
      <w:tr w:rsidR="00A621E3">
        <w:trPr>
          <w:trHeight w:val="162"/>
        </w:trPr>
        <w:tc>
          <w:tcPr>
            <w:tcW w:w="146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Underlying</w:t>
            </w:r>
          </w:p>
        </w:tc>
        <w:tc>
          <w:tcPr>
            <w:tcW w:w="1440" w:type="dxa"/>
            <w:shd w:val="clear" w:color="auto" w:fill="FAE6E9"/>
            <w:vAlign w:val="bottom"/>
          </w:tcPr>
          <w:p w:rsidR="00A621E3" w:rsidRDefault="00EC630E">
            <w:pPr>
              <w:ind w:right="91"/>
              <w:jc w:val="center"/>
              <w:rPr>
                <w:sz w:val="20"/>
                <w:szCs w:val="20"/>
              </w:rPr>
            </w:pPr>
            <w:r>
              <w:rPr>
                <w:rFonts w:ascii="Arial" w:eastAsia="Arial" w:hAnsi="Arial" w:cs="Arial"/>
                <w:b/>
                <w:bCs/>
                <w:color w:val="CF0A2C"/>
                <w:sz w:val="14"/>
                <w:szCs w:val="14"/>
              </w:rPr>
              <w:t>Securities</w:t>
            </w:r>
          </w:p>
        </w:tc>
        <w:tc>
          <w:tcPr>
            <w:tcW w:w="78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260" w:type="dxa"/>
            <w:shd w:val="clear" w:color="auto" w:fill="FAE6E9"/>
            <w:vAlign w:val="bottom"/>
          </w:tcPr>
          <w:p w:rsidR="00A621E3" w:rsidRDefault="00A621E3">
            <w:pPr>
              <w:rPr>
                <w:sz w:val="14"/>
                <w:szCs w:val="14"/>
              </w:rPr>
            </w:pPr>
          </w:p>
        </w:tc>
        <w:tc>
          <w:tcPr>
            <w:tcW w:w="1100" w:type="dxa"/>
            <w:shd w:val="clear" w:color="auto" w:fill="FAE6E9"/>
            <w:vAlign w:val="bottom"/>
          </w:tcPr>
          <w:p w:rsidR="00A621E3" w:rsidRDefault="00EC630E">
            <w:pPr>
              <w:ind w:right="11"/>
              <w:jc w:val="center"/>
              <w:rPr>
                <w:sz w:val="20"/>
                <w:szCs w:val="20"/>
              </w:rPr>
            </w:pPr>
            <w:r>
              <w:rPr>
                <w:rFonts w:ascii="Arial" w:eastAsia="Arial" w:hAnsi="Arial" w:cs="Arial"/>
                <w:b/>
                <w:bCs/>
                <w:color w:val="CF0A2C"/>
                <w:sz w:val="14"/>
                <w:szCs w:val="14"/>
              </w:rPr>
              <w:t>of Shares</w:t>
            </w:r>
          </w:p>
        </w:tc>
        <w:tc>
          <w:tcPr>
            <w:tcW w:w="92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of Shares</w:t>
            </w:r>
          </w:p>
        </w:tc>
        <w:tc>
          <w:tcPr>
            <w:tcW w:w="1220" w:type="dxa"/>
            <w:shd w:val="clear" w:color="auto" w:fill="FAE6E9"/>
            <w:vAlign w:val="bottom"/>
          </w:tcPr>
          <w:p w:rsidR="00A621E3" w:rsidRDefault="00EC630E">
            <w:pPr>
              <w:ind w:right="31"/>
              <w:jc w:val="center"/>
              <w:rPr>
                <w:sz w:val="20"/>
                <w:szCs w:val="20"/>
              </w:rPr>
            </w:pPr>
            <w:r>
              <w:rPr>
                <w:rFonts w:ascii="Arial" w:eastAsia="Arial" w:hAnsi="Arial" w:cs="Arial"/>
                <w:b/>
                <w:bCs/>
                <w:color w:val="CF0A2C"/>
                <w:sz w:val="14"/>
                <w:szCs w:val="14"/>
              </w:rPr>
              <w:t>Shares, Units</w:t>
            </w: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Shares, Units</w:t>
            </w:r>
          </w:p>
        </w:tc>
      </w:tr>
      <w:tr w:rsidR="00A621E3">
        <w:trPr>
          <w:trHeight w:val="162"/>
        </w:trPr>
        <w:tc>
          <w:tcPr>
            <w:tcW w:w="146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Unexercised</w:t>
            </w:r>
          </w:p>
        </w:tc>
        <w:tc>
          <w:tcPr>
            <w:tcW w:w="1440" w:type="dxa"/>
            <w:shd w:val="clear" w:color="auto" w:fill="FAE6E9"/>
            <w:vAlign w:val="bottom"/>
          </w:tcPr>
          <w:p w:rsidR="00A621E3" w:rsidRDefault="00EC630E">
            <w:pPr>
              <w:ind w:right="71"/>
              <w:jc w:val="center"/>
              <w:rPr>
                <w:sz w:val="20"/>
                <w:szCs w:val="20"/>
              </w:rPr>
            </w:pPr>
            <w:r>
              <w:rPr>
                <w:rFonts w:ascii="Arial" w:eastAsia="Arial" w:hAnsi="Arial" w:cs="Arial"/>
                <w:b/>
                <w:bCs/>
                <w:color w:val="CF0A2C"/>
                <w:sz w:val="14"/>
                <w:szCs w:val="14"/>
              </w:rPr>
              <w:t>Underlying</w:t>
            </w:r>
          </w:p>
        </w:tc>
        <w:tc>
          <w:tcPr>
            <w:tcW w:w="7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Option/</w:t>
            </w:r>
          </w:p>
        </w:tc>
        <w:tc>
          <w:tcPr>
            <w:tcW w:w="840" w:type="dxa"/>
            <w:shd w:val="clear" w:color="auto" w:fill="FAE6E9"/>
            <w:vAlign w:val="bottom"/>
          </w:tcPr>
          <w:p w:rsidR="00A621E3" w:rsidRDefault="00A621E3">
            <w:pPr>
              <w:rPr>
                <w:sz w:val="14"/>
                <w:szCs w:val="14"/>
              </w:rPr>
            </w:pPr>
          </w:p>
        </w:tc>
        <w:tc>
          <w:tcPr>
            <w:tcW w:w="260" w:type="dxa"/>
            <w:shd w:val="clear" w:color="auto" w:fill="FAE6E9"/>
            <w:vAlign w:val="bottom"/>
          </w:tcPr>
          <w:p w:rsidR="00A621E3" w:rsidRDefault="00A621E3">
            <w:pPr>
              <w:rPr>
                <w:sz w:val="14"/>
                <w:szCs w:val="14"/>
              </w:rPr>
            </w:pPr>
          </w:p>
        </w:tc>
        <w:tc>
          <w:tcPr>
            <w:tcW w:w="1100" w:type="dxa"/>
            <w:shd w:val="clear" w:color="auto" w:fill="FAE6E9"/>
            <w:vAlign w:val="bottom"/>
          </w:tcPr>
          <w:p w:rsidR="00A621E3" w:rsidRDefault="00EC630E">
            <w:pPr>
              <w:ind w:right="31"/>
              <w:jc w:val="center"/>
              <w:rPr>
                <w:sz w:val="20"/>
                <w:szCs w:val="20"/>
              </w:rPr>
            </w:pPr>
            <w:r>
              <w:rPr>
                <w:rFonts w:ascii="Arial" w:eastAsia="Arial" w:hAnsi="Arial" w:cs="Arial"/>
                <w:b/>
                <w:bCs/>
                <w:color w:val="CF0A2C"/>
                <w:sz w:val="14"/>
                <w:szCs w:val="14"/>
              </w:rPr>
              <w:t>or Units of</w:t>
            </w:r>
          </w:p>
        </w:tc>
        <w:tc>
          <w:tcPr>
            <w:tcW w:w="92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or Units of</w:t>
            </w:r>
          </w:p>
        </w:tc>
        <w:tc>
          <w:tcPr>
            <w:tcW w:w="1220" w:type="dxa"/>
            <w:shd w:val="clear" w:color="auto" w:fill="FAE6E9"/>
            <w:vAlign w:val="bottom"/>
          </w:tcPr>
          <w:p w:rsidR="00A621E3" w:rsidRDefault="00EC630E">
            <w:pPr>
              <w:ind w:right="31"/>
              <w:jc w:val="center"/>
              <w:rPr>
                <w:sz w:val="20"/>
                <w:szCs w:val="20"/>
              </w:rPr>
            </w:pPr>
            <w:r>
              <w:rPr>
                <w:rFonts w:ascii="Arial" w:eastAsia="Arial" w:hAnsi="Arial" w:cs="Arial"/>
                <w:b/>
                <w:bCs/>
                <w:color w:val="CF0A2C"/>
                <w:sz w:val="14"/>
                <w:szCs w:val="14"/>
              </w:rPr>
              <w:t>or Other</w:t>
            </w: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or Other</w:t>
            </w:r>
          </w:p>
        </w:tc>
      </w:tr>
      <w:tr w:rsidR="00A621E3">
        <w:trPr>
          <w:trHeight w:val="162"/>
        </w:trPr>
        <w:tc>
          <w:tcPr>
            <w:tcW w:w="146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Options/</w:t>
            </w:r>
          </w:p>
        </w:tc>
        <w:tc>
          <w:tcPr>
            <w:tcW w:w="1440" w:type="dxa"/>
            <w:shd w:val="clear" w:color="auto" w:fill="FAE6E9"/>
            <w:vAlign w:val="bottom"/>
          </w:tcPr>
          <w:p w:rsidR="00A621E3" w:rsidRDefault="00EC630E">
            <w:pPr>
              <w:ind w:right="71"/>
              <w:jc w:val="center"/>
              <w:rPr>
                <w:sz w:val="20"/>
                <w:szCs w:val="20"/>
              </w:rPr>
            </w:pPr>
            <w:r>
              <w:rPr>
                <w:rFonts w:ascii="Arial" w:eastAsia="Arial" w:hAnsi="Arial" w:cs="Arial"/>
                <w:b/>
                <w:bCs/>
                <w:color w:val="CF0A2C"/>
                <w:sz w:val="14"/>
                <w:szCs w:val="14"/>
              </w:rPr>
              <w:t>Unexercised</w:t>
            </w:r>
          </w:p>
        </w:tc>
        <w:tc>
          <w:tcPr>
            <w:tcW w:w="7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SAR</w:t>
            </w:r>
          </w:p>
        </w:tc>
        <w:tc>
          <w:tcPr>
            <w:tcW w:w="1100" w:type="dxa"/>
            <w:gridSpan w:val="2"/>
            <w:shd w:val="clear" w:color="auto" w:fill="FAE6E9"/>
            <w:vAlign w:val="bottom"/>
          </w:tcPr>
          <w:p w:rsidR="00A621E3" w:rsidRDefault="00EC630E">
            <w:pPr>
              <w:ind w:right="240"/>
              <w:jc w:val="center"/>
              <w:rPr>
                <w:sz w:val="20"/>
                <w:szCs w:val="20"/>
              </w:rPr>
            </w:pPr>
            <w:r>
              <w:rPr>
                <w:rFonts w:ascii="Arial" w:eastAsia="Arial" w:hAnsi="Arial" w:cs="Arial"/>
                <w:b/>
                <w:bCs/>
                <w:color w:val="CF0A2C"/>
                <w:sz w:val="14"/>
                <w:szCs w:val="14"/>
              </w:rPr>
              <w:t>Option/</w:t>
            </w:r>
          </w:p>
        </w:tc>
        <w:tc>
          <w:tcPr>
            <w:tcW w:w="1100" w:type="dxa"/>
            <w:shd w:val="clear" w:color="auto" w:fill="FAE6E9"/>
            <w:vAlign w:val="bottom"/>
          </w:tcPr>
          <w:p w:rsidR="00A621E3" w:rsidRDefault="00EC630E">
            <w:pPr>
              <w:ind w:right="31"/>
              <w:jc w:val="center"/>
              <w:rPr>
                <w:sz w:val="20"/>
                <w:szCs w:val="20"/>
              </w:rPr>
            </w:pPr>
            <w:r>
              <w:rPr>
                <w:rFonts w:ascii="Arial" w:eastAsia="Arial" w:hAnsi="Arial" w:cs="Arial"/>
                <w:b/>
                <w:bCs/>
                <w:color w:val="CF0A2C"/>
                <w:sz w:val="14"/>
                <w:szCs w:val="14"/>
              </w:rPr>
              <w:t>Stock</w:t>
            </w:r>
          </w:p>
        </w:tc>
        <w:tc>
          <w:tcPr>
            <w:tcW w:w="92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Stock That</w:t>
            </w:r>
          </w:p>
        </w:tc>
        <w:tc>
          <w:tcPr>
            <w:tcW w:w="1220" w:type="dxa"/>
            <w:shd w:val="clear" w:color="auto" w:fill="FAE6E9"/>
            <w:vAlign w:val="bottom"/>
          </w:tcPr>
          <w:p w:rsidR="00A621E3" w:rsidRDefault="00EC630E">
            <w:pPr>
              <w:ind w:right="31"/>
              <w:jc w:val="center"/>
              <w:rPr>
                <w:sz w:val="20"/>
                <w:szCs w:val="20"/>
              </w:rPr>
            </w:pPr>
            <w:r>
              <w:rPr>
                <w:rFonts w:ascii="Arial" w:eastAsia="Arial" w:hAnsi="Arial" w:cs="Arial"/>
                <w:b/>
                <w:bCs/>
                <w:color w:val="CF0A2C"/>
                <w:sz w:val="14"/>
                <w:szCs w:val="14"/>
              </w:rPr>
              <w:t>Rights</w:t>
            </w: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Rights</w:t>
            </w:r>
          </w:p>
        </w:tc>
      </w:tr>
      <w:tr w:rsidR="00A621E3">
        <w:trPr>
          <w:trHeight w:val="162"/>
        </w:trPr>
        <w:tc>
          <w:tcPr>
            <w:tcW w:w="146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SARs</w:t>
            </w:r>
          </w:p>
        </w:tc>
        <w:tc>
          <w:tcPr>
            <w:tcW w:w="1440" w:type="dxa"/>
            <w:shd w:val="clear" w:color="auto" w:fill="FAE6E9"/>
            <w:vAlign w:val="bottom"/>
          </w:tcPr>
          <w:p w:rsidR="00A621E3" w:rsidRDefault="00EC630E">
            <w:pPr>
              <w:ind w:right="91"/>
              <w:jc w:val="center"/>
              <w:rPr>
                <w:sz w:val="20"/>
                <w:szCs w:val="20"/>
              </w:rPr>
            </w:pPr>
            <w:r>
              <w:rPr>
                <w:rFonts w:ascii="Arial" w:eastAsia="Arial" w:hAnsi="Arial" w:cs="Arial"/>
                <w:b/>
                <w:bCs/>
                <w:color w:val="CF0A2C"/>
                <w:sz w:val="14"/>
                <w:szCs w:val="14"/>
              </w:rPr>
              <w:t>Options/ SARs</w:t>
            </w:r>
          </w:p>
        </w:tc>
        <w:tc>
          <w:tcPr>
            <w:tcW w:w="7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Exercise</w:t>
            </w:r>
          </w:p>
        </w:tc>
        <w:tc>
          <w:tcPr>
            <w:tcW w:w="1100" w:type="dxa"/>
            <w:gridSpan w:val="2"/>
            <w:shd w:val="clear" w:color="auto" w:fill="FAE6E9"/>
            <w:vAlign w:val="bottom"/>
          </w:tcPr>
          <w:p w:rsidR="00A621E3" w:rsidRDefault="00EC630E">
            <w:pPr>
              <w:ind w:right="240"/>
              <w:jc w:val="center"/>
              <w:rPr>
                <w:sz w:val="20"/>
                <w:szCs w:val="20"/>
              </w:rPr>
            </w:pPr>
            <w:r>
              <w:rPr>
                <w:rFonts w:ascii="Arial" w:eastAsia="Arial" w:hAnsi="Arial" w:cs="Arial"/>
                <w:b/>
                <w:bCs/>
                <w:color w:val="CF0A2C"/>
                <w:sz w:val="14"/>
                <w:szCs w:val="14"/>
              </w:rPr>
              <w:t>SAR</w:t>
            </w:r>
          </w:p>
        </w:tc>
        <w:tc>
          <w:tcPr>
            <w:tcW w:w="1100" w:type="dxa"/>
            <w:shd w:val="clear" w:color="auto" w:fill="FAE6E9"/>
            <w:vAlign w:val="bottom"/>
          </w:tcPr>
          <w:p w:rsidR="00A621E3" w:rsidRDefault="00EC630E">
            <w:pPr>
              <w:ind w:right="31"/>
              <w:jc w:val="center"/>
              <w:rPr>
                <w:sz w:val="20"/>
                <w:szCs w:val="20"/>
              </w:rPr>
            </w:pPr>
            <w:r>
              <w:rPr>
                <w:rFonts w:ascii="Arial" w:eastAsia="Arial" w:hAnsi="Arial" w:cs="Arial"/>
                <w:b/>
                <w:bCs/>
                <w:color w:val="CF0A2C"/>
                <w:sz w:val="14"/>
                <w:szCs w:val="14"/>
              </w:rPr>
              <w:t>That Have</w:t>
            </w:r>
          </w:p>
        </w:tc>
        <w:tc>
          <w:tcPr>
            <w:tcW w:w="92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Have</w:t>
            </w:r>
          </w:p>
        </w:tc>
        <w:tc>
          <w:tcPr>
            <w:tcW w:w="1220" w:type="dxa"/>
            <w:shd w:val="clear" w:color="auto" w:fill="FAE6E9"/>
            <w:vAlign w:val="bottom"/>
          </w:tcPr>
          <w:p w:rsidR="00A621E3" w:rsidRDefault="00EC630E">
            <w:pPr>
              <w:ind w:right="31"/>
              <w:jc w:val="center"/>
              <w:rPr>
                <w:sz w:val="20"/>
                <w:szCs w:val="20"/>
              </w:rPr>
            </w:pPr>
            <w:r>
              <w:rPr>
                <w:rFonts w:ascii="Arial" w:eastAsia="Arial" w:hAnsi="Arial" w:cs="Arial"/>
                <w:b/>
                <w:bCs/>
                <w:color w:val="CF0A2C"/>
                <w:sz w:val="14"/>
                <w:szCs w:val="14"/>
              </w:rPr>
              <w:t>That Have</w:t>
            </w: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That Have</w:t>
            </w:r>
          </w:p>
        </w:tc>
      </w:tr>
      <w:tr w:rsidR="00A621E3">
        <w:trPr>
          <w:trHeight w:val="162"/>
        </w:trPr>
        <w:tc>
          <w:tcPr>
            <w:tcW w:w="1460" w:type="dxa"/>
            <w:shd w:val="clear" w:color="auto" w:fill="FAE6E9"/>
            <w:vAlign w:val="bottom"/>
          </w:tcPr>
          <w:p w:rsidR="00A621E3" w:rsidRDefault="00A621E3">
            <w:pPr>
              <w:rPr>
                <w:sz w:val="14"/>
                <w:szCs w:val="14"/>
              </w:rPr>
            </w:pPr>
          </w:p>
        </w:tc>
        <w:tc>
          <w:tcPr>
            <w:tcW w:w="840" w:type="dxa"/>
            <w:shd w:val="clear" w:color="auto" w:fill="FAE6E9"/>
            <w:vAlign w:val="bottom"/>
          </w:tcPr>
          <w:p w:rsidR="00A621E3" w:rsidRDefault="00EC630E">
            <w:pPr>
              <w:ind w:left="32"/>
              <w:jc w:val="center"/>
              <w:rPr>
                <w:sz w:val="20"/>
                <w:szCs w:val="20"/>
              </w:rPr>
            </w:pPr>
            <w:r>
              <w:rPr>
                <w:rFonts w:ascii="Arial" w:eastAsia="Arial" w:hAnsi="Arial" w:cs="Arial"/>
                <w:b/>
                <w:bCs/>
                <w:color w:val="CF0A2C"/>
                <w:sz w:val="14"/>
                <w:szCs w:val="14"/>
              </w:rPr>
              <w:t>Grant</w:t>
            </w: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w w:val="93"/>
                <w:sz w:val="14"/>
                <w:szCs w:val="14"/>
              </w:rPr>
              <w:t>(#)</w:t>
            </w:r>
          </w:p>
        </w:tc>
        <w:tc>
          <w:tcPr>
            <w:tcW w:w="1440" w:type="dxa"/>
            <w:shd w:val="clear" w:color="auto" w:fill="FAE6E9"/>
            <w:vAlign w:val="bottom"/>
          </w:tcPr>
          <w:p w:rsidR="00A621E3" w:rsidRDefault="00EC630E">
            <w:pPr>
              <w:ind w:right="71"/>
              <w:jc w:val="center"/>
              <w:rPr>
                <w:sz w:val="20"/>
                <w:szCs w:val="20"/>
              </w:rPr>
            </w:pPr>
            <w:r>
              <w:rPr>
                <w:rFonts w:ascii="Arial" w:eastAsia="Arial" w:hAnsi="Arial" w:cs="Arial"/>
                <w:b/>
                <w:bCs/>
                <w:color w:val="CF0A2C"/>
                <w:sz w:val="14"/>
                <w:szCs w:val="14"/>
              </w:rPr>
              <w:t>(#)</w:t>
            </w:r>
          </w:p>
        </w:tc>
        <w:tc>
          <w:tcPr>
            <w:tcW w:w="780" w:type="dxa"/>
            <w:shd w:val="clear" w:color="auto" w:fill="FAE6E9"/>
            <w:vAlign w:val="bottom"/>
          </w:tcPr>
          <w:p w:rsidR="00A621E3" w:rsidRDefault="00EC630E">
            <w:pPr>
              <w:jc w:val="center"/>
              <w:rPr>
                <w:sz w:val="20"/>
                <w:szCs w:val="20"/>
              </w:rPr>
            </w:pPr>
            <w:r>
              <w:rPr>
                <w:rFonts w:ascii="Arial" w:eastAsia="Arial" w:hAnsi="Arial" w:cs="Arial"/>
                <w:b/>
                <w:bCs/>
                <w:color w:val="CF0A2C"/>
                <w:w w:val="99"/>
                <w:sz w:val="14"/>
                <w:szCs w:val="14"/>
              </w:rPr>
              <w:t>Price</w:t>
            </w:r>
          </w:p>
        </w:tc>
        <w:tc>
          <w:tcPr>
            <w:tcW w:w="1100" w:type="dxa"/>
            <w:gridSpan w:val="2"/>
            <w:shd w:val="clear" w:color="auto" w:fill="FAE6E9"/>
            <w:vAlign w:val="bottom"/>
          </w:tcPr>
          <w:p w:rsidR="00A621E3" w:rsidRDefault="00EC630E">
            <w:pPr>
              <w:ind w:right="240"/>
              <w:jc w:val="center"/>
              <w:rPr>
                <w:sz w:val="20"/>
                <w:szCs w:val="20"/>
              </w:rPr>
            </w:pPr>
            <w:r>
              <w:rPr>
                <w:rFonts w:ascii="Arial" w:eastAsia="Arial" w:hAnsi="Arial" w:cs="Arial"/>
                <w:b/>
                <w:bCs/>
                <w:color w:val="CF0A2C"/>
                <w:sz w:val="14"/>
                <w:szCs w:val="14"/>
              </w:rPr>
              <w:t>Expiration</w:t>
            </w:r>
          </w:p>
        </w:tc>
        <w:tc>
          <w:tcPr>
            <w:tcW w:w="1100" w:type="dxa"/>
            <w:shd w:val="clear" w:color="auto" w:fill="FAE6E9"/>
            <w:vAlign w:val="bottom"/>
          </w:tcPr>
          <w:p w:rsidR="00A621E3" w:rsidRDefault="00EC630E">
            <w:pPr>
              <w:ind w:right="151"/>
              <w:jc w:val="right"/>
              <w:rPr>
                <w:sz w:val="20"/>
                <w:szCs w:val="20"/>
              </w:rPr>
            </w:pPr>
            <w:r>
              <w:rPr>
                <w:rFonts w:ascii="Arial" w:eastAsia="Arial" w:hAnsi="Arial" w:cs="Arial"/>
                <w:b/>
                <w:bCs/>
                <w:color w:val="CF0A2C"/>
                <w:sz w:val="14"/>
                <w:szCs w:val="14"/>
              </w:rPr>
              <w:t>Not Vested</w:t>
            </w:r>
          </w:p>
        </w:tc>
        <w:tc>
          <w:tcPr>
            <w:tcW w:w="92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Not Vested</w:t>
            </w:r>
          </w:p>
        </w:tc>
        <w:tc>
          <w:tcPr>
            <w:tcW w:w="1220" w:type="dxa"/>
            <w:shd w:val="clear" w:color="auto" w:fill="FAE6E9"/>
            <w:vAlign w:val="bottom"/>
          </w:tcPr>
          <w:p w:rsidR="00A621E3" w:rsidRDefault="00EC630E">
            <w:pPr>
              <w:ind w:right="51"/>
              <w:jc w:val="center"/>
              <w:rPr>
                <w:sz w:val="20"/>
                <w:szCs w:val="20"/>
              </w:rPr>
            </w:pPr>
            <w:r>
              <w:rPr>
                <w:rFonts w:ascii="Arial" w:eastAsia="Arial" w:hAnsi="Arial" w:cs="Arial"/>
                <w:b/>
                <w:bCs/>
                <w:color w:val="CF0A2C"/>
                <w:sz w:val="14"/>
                <w:szCs w:val="14"/>
              </w:rPr>
              <w:t>Not Vested</w:t>
            </w: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Not Vested</w:t>
            </w:r>
          </w:p>
        </w:tc>
      </w:tr>
      <w:tr w:rsidR="00A621E3">
        <w:trPr>
          <w:trHeight w:val="189"/>
        </w:trPr>
        <w:tc>
          <w:tcPr>
            <w:tcW w:w="1460" w:type="dxa"/>
            <w:tcBorders>
              <w:bottom w:val="single" w:sz="8" w:space="0" w:color="CF0A2C"/>
            </w:tcBorders>
            <w:shd w:val="clear" w:color="auto" w:fill="FAE6E9"/>
            <w:vAlign w:val="bottom"/>
          </w:tcPr>
          <w:p w:rsidR="00A621E3" w:rsidRDefault="00EC630E">
            <w:pPr>
              <w:rPr>
                <w:sz w:val="20"/>
                <w:szCs w:val="20"/>
              </w:rPr>
            </w:pPr>
            <w:r>
              <w:rPr>
                <w:rFonts w:ascii="Arial" w:eastAsia="Arial" w:hAnsi="Arial" w:cs="Arial"/>
                <w:b/>
                <w:bCs/>
                <w:color w:val="CF0A2C"/>
                <w:sz w:val="14"/>
                <w:szCs w:val="14"/>
              </w:rPr>
              <w:t>Name</w:t>
            </w:r>
          </w:p>
        </w:tc>
        <w:tc>
          <w:tcPr>
            <w:tcW w:w="840" w:type="dxa"/>
            <w:tcBorders>
              <w:bottom w:val="single" w:sz="8" w:space="0" w:color="CF0A2C"/>
            </w:tcBorders>
            <w:shd w:val="clear" w:color="auto" w:fill="FAE6E9"/>
            <w:vAlign w:val="bottom"/>
          </w:tcPr>
          <w:p w:rsidR="00A621E3" w:rsidRDefault="00EC630E">
            <w:pPr>
              <w:ind w:left="32"/>
              <w:jc w:val="center"/>
              <w:rPr>
                <w:sz w:val="20"/>
                <w:szCs w:val="20"/>
              </w:rPr>
            </w:pPr>
            <w:r>
              <w:rPr>
                <w:rFonts w:ascii="Arial" w:eastAsia="Arial" w:hAnsi="Arial" w:cs="Arial"/>
                <w:b/>
                <w:bCs/>
                <w:color w:val="CF0A2C"/>
                <w:w w:val="98"/>
                <w:sz w:val="14"/>
                <w:szCs w:val="14"/>
              </w:rPr>
              <w:t>Date</w:t>
            </w:r>
          </w:p>
        </w:tc>
        <w:tc>
          <w:tcPr>
            <w:tcW w:w="1080" w:type="dxa"/>
            <w:tcBorders>
              <w:bottom w:val="single" w:sz="8" w:space="0" w:color="CF0A2C"/>
            </w:tcBorders>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Exercisable</w:t>
            </w:r>
          </w:p>
        </w:tc>
        <w:tc>
          <w:tcPr>
            <w:tcW w:w="1440" w:type="dxa"/>
            <w:tcBorders>
              <w:bottom w:val="single" w:sz="8" w:space="0" w:color="CF0A2C"/>
            </w:tcBorders>
            <w:shd w:val="clear" w:color="auto" w:fill="FAE6E9"/>
            <w:vAlign w:val="bottom"/>
          </w:tcPr>
          <w:p w:rsidR="00A621E3" w:rsidRDefault="00EC630E">
            <w:pPr>
              <w:spacing w:line="189" w:lineRule="exact"/>
              <w:ind w:right="171"/>
              <w:jc w:val="right"/>
              <w:rPr>
                <w:sz w:val="20"/>
                <w:szCs w:val="20"/>
              </w:rPr>
            </w:pPr>
            <w:r>
              <w:rPr>
                <w:rFonts w:ascii="Arial" w:eastAsia="Arial" w:hAnsi="Arial" w:cs="Arial"/>
                <w:b/>
                <w:bCs/>
                <w:color w:val="CF0A2C"/>
                <w:sz w:val="14"/>
                <w:szCs w:val="14"/>
              </w:rPr>
              <w:t>Unexercisable</w:t>
            </w:r>
            <w:r>
              <w:rPr>
                <w:rFonts w:ascii="Arial" w:eastAsia="Arial" w:hAnsi="Arial" w:cs="Arial"/>
                <w:b/>
                <w:bCs/>
                <w:color w:val="CF0A2C"/>
                <w:sz w:val="21"/>
                <w:szCs w:val="21"/>
                <w:vertAlign w:val="superscript"/>
              </w:rPr>
              <w:t>(1)</w:t>
            </w:r>
          </w:p>
        </w:tc>
        <w:tc>
          <w:tcPr>
            <w:tcW w:w="780" w:type="dxa"/>
            <w:tcBorders>
              <w:bottom w:val="single" w:sz="8" w:space="0" w:color="CF0A2C"/>
            </w:tcBorders>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w:t>
            </w:r>
          </w:p>
        </w:tc>
        <w:tc>
          <w:tcPr>
            <w:tcW w:w="1100" w:type="dxa"/>
            <w:gridSpan w:val="2"/>
            <w:tcBorders>
              <w:bottom w:val="single" w:sz="8" w:space="0" w:color="CF0A2C"/>
            </w:tcBorders>
            <w:shd w:val="clear" w:color="auto" w:fill="FAE6E9"/>
            <w:vAlign w:val="bottom"/>
          </w:tcPr>
          <w:p w:rsidR="00A621E3" w:rsidRDefault="00EC630E">
            <w:pPr>
              <w:ind w:right="220"/>
              <w:jc w:val="center"/>
              <w:rPr>
                <w:sz w:val="20"/>
                <w:szCs w:val="20"/>
              </w:rPr>
            </w:pPr>
            <w:r>
              <w:rPr>
                <w:rFonts w:ascii="Arial" w:eastAsia="Arial" w:hAnsi="Arial" w:cs="Arial"/>
                <w:b/>
                <w:bCs/>
                <w:color w:val="CF0A2C"/>
                <w:sz w:val="14"/>
                <w:szCs w:val="14"/>
              </w:rPr>
              <w:t>Date</w:t>
            </w:r>
          </w:p>
        </w:tc>
        <w:tc>
          <w:tcPr>
            <w:tcW w:w="1100" w:type="dxa"/>
            <w:tcBorders>
              <w:bottom w:val="single" w:sz="8" w:space="0" w:color="CF0A2C"/>
            </w:tcBorders>
            <w:shd w:val="clear" w:color="auto" w:fill="FAE6E9"/>
            <w:vAlign w:val="bottom"/>
          </w:tcPr>
          <w:p w:rsidR="00A621E3" w:rsidRDefault="00EC630E">
            <w:pPr>
              <w:spacing w:line="189" w:lineRule="exact"/>
              <w:ind w:right="11"/>
              <w:jc w:val="center"/>
              <w:rPr>
                <w:sz w:val="20"/>
                <w:szCs w:val="20"/>
              </w:rPr>
            </w:pPr>
            <w:r>
              <w:rPr>
                <w:rFonts w:ascii="Arial" w:eastAsia="Arial" w:hAnsi="Arial" w:cs="Arial"/>
                <w:b/>
                <w:bCs/>
                <w:color w:val="CF0A2C"/>
                <w:w w:val="87"/>
                <w:sz w:val="14"/>
                <w:szCs w:val="14"/>
              </w:rPr>
              <w:t>(#)</w:t>
            </w:r>
            <w:r>
              <w:rPr>
                <w:rFonts w:ascii="Arial" w:eastAsia="Arial" w:hAnsi="Arial" w:cs="Arial"/>
                <w:b/>
                <w:bCs/>
                <w:color w:val="CF0A2C"/>
                <w:w w:val="87"/>
                <w:sz w:val="21"/>
                <w:szCs w:val="21"/>
                <w:vertAlign w:val="superscript"/>
              </w:rPr>
              <w:t>(2)</w:t>
            </w:r>
          </w:p>
        </w:tc>
        <w:tc>
          <w:tcPr>
            <w:tcW w:w="920" w:type="dxa"/>
            <w:tcBorders>
              <w:bottom w:val="single" w:sz="8" w:space="0" w:color="CF0A2C"/>
            </w:tcBorders>
            <w:shd w:val="clear" w:color="auto" w:fill="FAE6E9"/>
            <w:vAlign w:val="bottom"/>
          </w:tcPr>
          <w:p w:rsidR="00A621E3" w:rsidRDefault="00EC630E">
            <w:pPr>
              <w:spacing w:line="189" w:lineRule="exact"/>
              <w:jc w:val="center"/>
              <w:rPr>
                <w:sz w:val="20"/>
                <w:szCs w:val="20"/>
              </w:rPr>
            </w:pPr>
            <w:r>
              <w:rPr>
                <w:rFonts w:ascii="Arial" w:eastAsia="Arial" w:hAnsi="Arial" w:cs="Arial"/>
                <w:b/>
                <w:bCs/>
                <w:color w:val="CF0A2C"/>
                <w:w w:val="93"/>
                <w:sz w:val="14"/>
                <w:szCs w:val="14"/>
              </w:rPr>
              <w:t>($)</w:t>
            </w:r>
            <w:r>
              <w:rPr>
                <w:rFonts w:ascii="Arial" w:eastAsia="Arial" w:hAnsi="Arial" w:cs="Arial"/>
                <w:b/>
                <w:bCs/>
                <w:color w:val="CF0A2C"/>
                <w:w w:val="93"/>
                <w:sz w:val="21"/>
                <w:szCs w:val="21"/>
                <w:vertAlign w:val="superscript"/>
              </w:rPr>
              <w:t>(3)</w:t>
            </w:r>
          </w:p>
        </w:tc>
        <w:tc>
          <w:tcPr>
            <w:tcW w:w="1220" w:type="dxa"/>
            <w:tcBorders>
              <w:bottom w:val="single" w:sz="8" w:space="0" w:color="CF0A2C"/>
            </w:tcBorders>
            <w:shd w:val="clear" w:color="auto" w:fill="FAE6E9"/>
            <w:vAlign w:val="bottom"/>
          </w:tcPr>
          <w:p w:rsidR="00A621E3" w:rsidRDefault="00EC630E">
            <w:pPr>
              <w:spacing w:line="189" w:lineRule="exact"/>
              <w:ind w:right="31"/>
              <w:jc w:val="center"/>
              <w:rPr>
                <w:sz w:val="20"/>
                <w:szCs w:val="20"/>
              </w:rPr>
            </w:pPr>
            <w:r>
              <w:rPr>
                <w:rFonts w:ascii="Arial" w:eastAsia="Arial" w:hAnsi="Arial" w:cs="Arial"/>
                <w:b/>
                <w:bCs/>
                <w:color w:val="CF0A2C"/>
                <w:w w:val="93"/>
                <w:sz w:val="14"/>
                <w:szCs w:val="14"/>
              </w:rPr>
              <w:t>(#)</w:t>
            </w:r>
            <w:r>
              <w:rPr>
                <w:rFonts w:ascii="Arial" w:eastAsia="Arial" w:hAnsi="Arial" w:cs="Arial"/>
                <w:b/>
                <w:bCs/>
                <w:color w:val="CF0A2C"/>
                <w:w w:val="93"/>
                <w:sz w:val="21"/>
                <w:szCs w:val="21"/>
                <w:vertAlign w:val="superscript"/>
              </w:rPr>
              <w:t>(4)</w:t>
            </w:r>
          </w:p>
        </w:tc>
        <w:tc>
          <w:tcPr>
            <w:tcW w:w="1080" w:type="dxa"/>
            <w:tcBorders>
              <w:bottom w:val="single" w:sz="8" w:space="0" w:color="CF0A2C"/>
            </w:tcBorders>
            <w:shd w:val="clear" w:color="auto" w:fill="FAE6E9"/>
            <w:vAlign w:val="bottom"/>
          </w:tcPr>
          <w:p w:rsidR="00A621E3" w:rsidRDefault="00EC630E">
            <w:pPr>
              <w:spacing w:line="189" w:lineRule="exact"/>
              <w:jc w:val="center"/>
              <w:rPr>
                <w:sz w:val="20"/>
                <w:szCs w:val="20"/>
              </w:rPr>
            </w:pPr>
            <w:r>
              <w:rPr>
                <w:rFonts w:ascii="Arial" w:eastAsia="Arial" w:hAnsi="Arial" w:cs="Arial"/>
                <w:b/>
                <w:bCs/>
                <w:color w:val="CF0A2C"/>
                <w:w w:val="87"/>
                <w:sz w:val="14"/>
                <w:szCs w:val="14"/>
              </w:rPr>
              <w:t>($)</w:t>
            </w:r>
            <w:r>
              <w:rPr>
                <w:rFonts w:ascii="Arial" w:eastAsia="Arial" w:hAnsi="Arial" w:cs="Arial"/>
                <w:b/>
                <w:bCs/>
                <w:color w:val="CF0A2C"/>
                <w:w w:val="87"/>
                <w:sz w:val="21"/>
                <w:szCs w:val="21"/>
                <w:vertAlign w:val="superscript"/>
              </w:rPr>
              <w:t>(3)</w:t>
            </w:r>
          </w:p>
        </w:tc>
      </w:tr>
      <w:tr w:rsidR="00A621E3">
        <w:trPr>
          <w:trHeight w:val="166"/>
        </w:trPr>
        <w:tc>
          <w:tcPr>
            <w:tcW w:w="1460" w:type="dxa"/>
            <w:vAlign w:val="bottom"/>
          </w:tcPr>
          <w:p w:rsidR="00A621E3" w:rsidRDefault="00EC630E">
            <w:pPr>
              <w:ind w:left="80"/>
              <w:rPr>
                <w:sz w:val="20"/>
                <w:szCs w:val="20"/>
              </w:rPr>
            </w:pPr>
            <w:r>
              <w:rPr>
                <w:rFonts w:ascii="Arial" w:eastAsia="Arial" w:hAnsi="Arial" w:cs="Arial"/>
                <w:b/>
                <w:bCs/>
                <w:color w:val="CF0A2C"/>
                <w:sz w:val="14"/>
                <w:szCs w:val="14"/>
              </w:rPr>
              <w:t>(a)</w:t>
            </w:r>
          </w:p>
        </w:tc>
        <w:tc>
          <w:tcPr>
            <w:tcW w:w="840" w:type="dxa"/>
            <w:vAlign w:val="bottom"/>
          </w:tcPr>
          <w:p w:rsidR="00A621E3" w:rsidRDefault="00EC630E">
            <w:pPr>
              <w:ind w:left="32"/>
              <w:jc w:val="center"/>
              <w:rPr>
                <w:sz w:val="20"/>
                <w:szCs w:val="20"/>
              </w:rPr>
            </w:pPr>
            <w:r>
              <w:rPr>
                <w:rFonts w:ascii="Arial" w:eastAsia="Arial" w:hAnsi="Arial" w:cs="Arial"/>
                <w:b/>
                <w:bCs/>
                <w:color w:val="CF0A2C"/>
                <w:sz w:val="14"/>
                <w:szCs w:val="14"/>
              </w:rPr>
              <w:t>(b)</w:t>
            </w:r>
          </w:p>
        </w:tc>
        <w:tc>
          <w:tcPr>
            <w:tcW w:w="1080" w:type="dxa"/>
            <w:vAlign w:val="bottom"/>
          </w:tcPr>
          <w:p w:rsidR="00A621E3" w:rsidRDefault="00EC630E">
            <w:pPr>
              <w:jc w:val="center"/>
              <w:rPr>
                <w:sz w:val="20"/>
                <w:szCs w:val="20"/>
              </w:rPr>
            </w:pPr>
            <w:r>
              <w:rPr>
                <w:rFonts w:ascii="Arial" w:eastAsia="Arial" w:hAnsi="Arial" w:cs="Arial"/>
                <w:b/>
                <w:bCs/>
                <w:color w:val="CF0A2C"/>
                <w:w w:val="93"/>
                <w:sz w:val="14"/>
                <w:szCs w:val="14"/>
              </w:rPr>
              <w:t>(c)</w:t>
            </w:r>
          </w:p>
        </w:tc>
        <w:tc>
          <w:tcPr>
            <w:tcW w:w="1440" w:type="dxa"/>
            <w:vAlign w:val="bottom"/>
          </w:tcPr>
          <w:p w:rsidR="00A621E3" w:rsidRDefault="00EC630E">
            <w:pPr>
              <w:ind w:right="71"/>
              <w:jc w:val="center"/>
              <w:rPr>
                <w:sz w:val="20"/>
                <w:szCs w:val="20"/>
              </w:rPr>
            </w:pPr>
            <w:r>
              <w:rPr>
                <w:rFonts w:ascii="Arial" w:eastAsia="Arial" w:hAnsi="Arial" w:cs="Arial"/>
                <w:b/>
                <w:bCs/>
                <w:color w:val="CF0A2C"/>
                <w:sz w:val="14"/>
                <w:szCs w:val="14"/>
              </w:rPr>
              <w:t>(d)</w:t>
            </w:r>
          </w:p>
        </w:tc>
        <w:tc>
          <w:tcPr>
            <w:tcW w:w="780" w:type="dxa"/>
            <w:vAlign w:val="bottom"/>
          </w:tcPr>
          <w:p w:rsidR="00A621E3" w:rsidRDefault="00EC630E">
            <w:pPr>
              <w:jc w:val="center"/>
              <w:rPr>
                <w:sz w:val="20"/>
                <w:szCs w:val="20"/>
              </w:rPr>
            </w:pPr>
            <w:r>
              <w:rPr>
                <w:rFonts w:ascii="Arial" w:eastAsia="Arial" w:hAnsi="Arial" w:cs="Arial"/>
                <w:b/>
                <w:bCs/>
                <w:color w:val="CF0A2C"/>
                <w:sz w:val="14"/>
                <w:szCs w:val="14"/>
              </w:rPr>
              <w:t>(e)</w:t>
            </w:r>
          </w:p>
        </w:tc>
        <w:tc>
          <w:tcPr>
            <w:tcW w:w="1100" w:type="dxa"/>
            <w:gridSpan w:val="2"/>
            <w:vAlign w:val="bottom"/>
          </w:tcPr>
          <w:p w:rsidR="00A621E3" w:rsidRDefault="00EC630E">
            <w:pPr>
              <w:ind w:right="240"/>
              <w:jc w:val="center"/>
              <w:rPr>
                <w:sz w:val="20"/>
                <w:szCs w:val="20"/>
              </w:rPr>
            </w:pPr>
            <w:r>
              <w:rPr>
                <w:rFonts w:ascii="Arial" w:eastAsia="Arial" w:hAnsi="Arial" w:cs="Arial"/>
                <w:b/>
                <w:bCs/>
                <w:color w:val="CF0A2C"/>
                <w:w w:val="99"/>
                <w:sz w:val="14"/>
                <w:szCs w:val="14"/>
              </w:rPr>
              <w:t>(f)</w:t>
            </w:r>
          </w:p>
        </w:tc>
        <w:tc>
          <w:tcPr>
            <w:tcW w:w="1100" w:type="dxa"/>
            <w:vAlign w:val="bottom"/>
          </w:tcPr>
          <w:p w:rsidR="00A621E3" w:rsidRDefault="00EC630E">
            <w:pPr>
              <w:ind w:right="11"/>
              <w:jc w:val="center"/>
              <w:rPr>
                <w:sz w:val="20"/>
                <w:szCs w:val="20"/>
              </w:rPr>
            </w:pPr>
            <w:r>
              <w:rPr>
                <w:rFonts w:ascii="Arial" w:eastAsia="Arial" w:hAnsi="Arial" w:cs="Arial"/>
                <w:b/>
                <w:bCs/>
                <w:color w:val="CF0A2C"/>
                <w:sz w:val="14"/>
                <w:szCs w:val="14"/>
              </w:rPr>
              <w:t>(g)</w:t>
            </w:r>
          </w:p>
        </w:tc>
        <w:tc>
          <w:tcPr>
            <w:tcW w:w="920" w:type="dxa"/>
            <w:vAlign w:val="bottom"/>
          </w:tcPr>
          <w:p w:rsidR="00A621E3" w:rsidRDefault="00EC630E">
            <w:pPr>
              <w:jc w:val="center"/>
              <w:rPr>
                <w:sz w:val="20"/>
                <w:szCs w:val="20"/>
              </w:rPr>
            </w:pPr>
            <w:r>
              <w:rPr>
                <w:rFonts w:ascii="Arial" w:eastAsia="Arial" w:hAnsi="Arial" w:cs="Arial"/>
                <w:b/>
                <w:bCs/>
                <w:color w:val="CF0A2C"/>
                <w:sz w:val="14"/>
                <w:szCs w:val="14"/>
              </w:rPr>
              <w:t>(h)</w:t>
            </w:r>
          </w:p>
        </w:tc>
        <w:tc>
          <w:tcPr>
            <w:tcW w:w="1220" w:type="dxa"/>
            <w:vAlign w:val="bottom"/>
          </w:tcPr>
          <w:p w:rsidR="00A621E3" w:rsidRDefault="00EC630E">
            <w:pPr>
              <w:ind w:right="51"/>
              <w:jc w:val="center"/>
              <w:rPr>
                <w:sz w:val="20"/>
                <w:szCs w:val="20"/>
              </w:rPr>
            </w:pPr>
            <w:r>
              <w:rPr>
                <w:rFonts w:ascii="Arial" w:eastAsia="Arial" w:hAnsi="Arial" w:cs="Arial"/>
                <w:b/>
                <w:bCs/>
                <w:color w:val="CF0A2C"/>
                <w:sz w:val="14"/>
                <w:szCs w:val="14"/>
              </w:rPr>
              <w:t>(i)</w:t>
            </w:r>
          </w:p>
        </w:tc>
        <w:tc>
          <w:tcPr>
            <w:tcW w:w="1080" w:type="dxa"/>
            <w:vAlign w:val="bottom"/>
          </w:tcPr>
          <w:p w:rsidR="00A621E3" w:rsidRDefault="00EC630E">
            <w:pPr>
              <w:jc w:val="center"/>
              <w:rPr>
                <w:sz w:val="20"/>
                <w:szCs w:val="20"/>
              </w:rPr>
            </w:pPr>
            <w:r>
              <w:rPr>
                <w:rFonts w:ascii="Arial" w:eastAsia="Arial" w:hAnsi="Arial" w:cs="Arial"/>
                <w:b/>
                <w:bCs/>
                <w:color w:val="CF0A2C"/>
                <w:sz w:val="14"/>
                <w:szCs w:val="14"/>
              </w:rPr>
              <w:t>(j)</w:t>
            </w:r>
          </w:p>
        </w:tc>
      </w:tr>
      <w:tr w:rsidR="00A621E3">
        <w:trPr>
          <w:trHeight w:val="178"/>
        </w:trPr>
        <w:tc>
          <w:tcPr>
            <w:tcW w:w="1460" w:type="dxa"/>
            <w:vAlign w:val="bottom"/>
          </w:tcPr>
          <w:p w:rsidR="00A621E3" w:rsidRDefault="00EC630E">
            <w:pPr>
              <w:rPr>
                <w:sz w:val="20"/>
                <w:szCs w:val="20"/>
              </w:rPr>
            </w:pPr>
            <w:r>
              <w:rPr>
                <w:rFonts w:ascii="Arial" w:eastAsia="Arial" w:hAnsi="Arial" w:cs="Arial"/>
                <w:b/>
                <w:bCs/>
                <w:color w:val="CF0A2C"/>
                <w:sz w:val="13"/>
                <w:szCs w:val="13"/>
              </w:rPr>
              <w:t>Mr. Yuen</w:t>
            </w:r>
          </w:p>
        </w:tc>
        <w:tc>
          <w:tcPr>
            <w:tcW w:w="840" w:type="dxa"/>
            <w:vAlign w:val="bottom"/>
          </w:tcPr>
          <w:p w:rsidR="00A621E3" w:rsidRDefault="00EC630E">
            <w:pPr>
              <w:jc w:val="right"/>
              <w:rPr>
                <w:sz w:val="20"/>
                <w:szCs w:val="20"/>
              </w:rPr>
            </w:pPr>
            <w:r>
              <w:rPr>
                <w:rFonts w:ascii="Arial" w:eastAsia="Arial" w:hAnsi="Arial" w:cs="Arial"/>
                <w:sz w:val="13"/>
                <w:szCs w:val="13"/>
              </w:rPr>
              <w:t>2/5/2014</w:t>
            </w:r>
          </w:p>
        </w:tc>
        <w:tc>
          <w:tcPr>
            <w:tcW w:w="1080" w:type="dxa"/>
            <w:vAlign w:val="bottom"/>
          </w:tcPr>
          <w:p w:rsidR="00A621E3" w:rsidRDefault="00EC630E">
            <w:pPr>
              <w:ind w:right="10"/>
              <w:jc w:val="right"/>
              <w:rPr>
                <w:sz w:val="20"/>
                <w:szCs w:val="20"/>
              </w:rPr>
            </w:pPr>
            <w:r>
              <w:rPr>
                <w:rFonts w:ascii="Arial" w:eastAsia="Arial" w:hAnsi="Arial" w:cs="Arial"/>
                <w:sz w:val="13"/>
                <w:szCs w:val="13"/>
              </w:rPr>
              <w:t>3,602</w:t>
            </w:r>
          </w:p>
        </w:tc>
        <w:tc>
          <w:tcPr>
            <w:tcW w:w="1440" w:type="dxa"/>
            <w:vAlign w:val="bottom"/>
          </w:tcPr>
          <w:p w:rsidR="00A621E3" w:rsidRDefault="00EC630E">
            <w:pPr>
              <w:ind w:right="171"/>
              <w:jc w:val="right"/>
              <w:rPr>
                <w:sz w:val="20"/>
                <w:szCs w:val="20"/>
              </w:rPr>
            </w:pPr>
            <w:r>
              <w:rPr>
                <w:rFonts w:ascii="Arial" w:eastAsia="Arial" w:hAnsi="Arial" w:cs="Arial"/>
                <w:sz w:val="13"/>
                <w:szCs w:val="13"/>
              </w:rPr>
              <w:t>—</w:t>
            </w:r>
          </w:p>
        </w:tc>
        <w:tc>
          <w:tcPr>
            <w:tcW w:w="780" w:type="dxa"/>
            <w:vAlign w:val="bottom"/>
          </w:tcPr>
          <w:p w:rsidR="00A621E3" w:rsidRDefault="00EC630E">
            <w:pPr>
              <w:ind w:right="31"/>
              <w:jc w:val="right"/>
              <w:rPr>
                <w:sz w:val="20"/>
                <w:szCs w:val="20"/>
              </w:rPr>
            </w:pPr>
            <w:r>
              <w:rPr>
                <w:rFonts w:ascii="Arial" w:eastAsia="Arial" w:hAnsi="Arial" w:cs="Arial"/>
                <w:sz w:val="13"/>
                <w:szCs w:val="13"/>
              </w:rPr>
              <w:t>21.30</w:t>
            </w:r>
          </w:p>
        </w:tc>
        <w:tc>
          <w:tcPr>
            <w:tcW w:w="840" w:type="dxa"/>
            <w:vAlign w:val="bottom"/>
          </w:tcPr>
          <w:p w:rsidR="00A621E3" w:rsidRDefault="00EC630E">
            <w:pPr>
              <w:jc w:val="right"/>
              <w:rPr>
                <w:sz w:val="20"/>
                <w:szCs w:val="20"/>
              </w:rPr>
            </w:pPr>
            <w:r>
              <w:rPr>
                <w:rFonts w:ascii="Arial" w:eastAsia="Arial" w:hAnsi="Arial" w:cs="Arial"/>
                <w:sz w:val="13"/>
                <w:szCs w:val="13"/>
              </w:rPr>
              <w:t>2/5/2024</w:t>
            </w:r>
          </w:p>
        </w:tc>
        <w:tc>
          <w:tcPr>
            <w:tcW w:w="260" w:type="dxa"/>
            <w:vAlign w:val="bottom"/>
          </w:tcPr>
          <w:p w:rsidR="00A621E3" w:rsidRDefault="00A621E3">
            <w:pPr>
              <w:rPr>
                <w:sz w:val="15"/>
                <w:szCs w:val="15"/>
              </w:rPr>
            </w:pPr>
          </w:p>
        </w:tc>
        <w:tc>
          <w:tcPr>
            <w:tcW w:w="1100" w:type="dxa"/>
            <w:vAlign w:val="bottom"/>
          </w:tcPr>
          <w:p w:rsidR="00A621E3" w:rsidRDefault="00EC630E">
            <w:pPr>
              <w:ind w:right="151"/>
              <w:jc w:val="right"/>
              <w:rPr>
                <w:sz w:val="20"/>
                <w:szCs w:val="20"/>
              </w:rPr>
            </w:pPr>
            <w:r>
              <w:rPr>
                <w:rFonts w:ascii="Arial" w:eastAsia="Arial" w:hAnsi="Arial" w:cs="Arial"/>
                <w:sz w:val="13"/>
                <w:szCs w:val="13"/>
              </w:rPr>
              <w:t>—</w:t>
            </w:r>
          </w:p>
        </w:tc>
        <w:tc>
          <w:tcPr>
            <w:tcW w:w="920" w:type="dxa"/>
            <w:vAlign w:val="bottom"/>
          </w:tcPr>
          <w:p w:rsidR="00A621E3" w:rsidRDefault="00EC630E">
            <w:pPr>
              <w:ind w:right="10"/>
              <w:jc w:val="right"/>
              <w:rPr>
                <w:sz w:val="20"/>
                <w:szCs w:val="20"/>
              </w:rPr>
            </w:pPr>
            <w:r>
              <w:rPr>
                <w:rFonts w:ascii="Arial" w:eastAsia="Arial" w:hAnsi="Arial" w:cs="Arial"/>
                <w:sz w:val="13"/>
                <w:szCs w:val="13"/>
              </w:rPr>
              <w:t>—</w:t>
            </w:r>
          </w:p>
        </w:tc>
        <w:tc>
          <w:tcPr>
            <w:tcW w:w="1220" w:type="dxa"/>
            <w:vAlign w:val="bottom"/>
          </w:tcPr>
          <w:p w:rsidR="00A621E3" w:rsidRDefault="00EC630E">
            <w:pPr>
              <w:ind w:left="880"/>
              <w:rPr>
                <w:sz w:val="20"/>
                <w:szCs w:val="20"/>
              </w:rPr>
            </w:pPr>
            <w:r>
              <w:rPr>
                <w:rFonts w:ascii="Arial" w:eastAsia="Arial" w:hAnsi="Arial" w:cs="Arial"/>
                <w:sz w:val="13"/>
                <w:szCs w:val="13"/>
              </w:rPr>
              <w:t>—</w:t>
            </w:r>
          </w:p>
        </w:tc>
        <w:tc>
          <w:tcPr>
            <w:tcW w:w="1080" w:type="dxa"/>
            <w:vAlign w:val="bottom"/>
          </w:tcPr>
          <w:p w:rsidR="00A621E3" w:rsidRDefault="00EC630E">
            <w:pPr>
              <w:ind w:right="10"/>
              <w:jc w:val="right"/>
              <w:rPr>
                <w:sz w:val="20"/>
                <w:szCs w:val="20"/>
              </w:rPr>
            </w:pPr>
            <w:r>
              <w:rPr>
                <w:rFonts w:ascii="Arial" w:eastAsia="Arial" w:hAnsi="Arial" w:cs="Arial"/>
                <w:sz w:val="13"/>
                <w:szCs w:val="13"/>
              </w:rPr>
              <w:t>—</w:t>
            </w:r>
          </w:p>
        </w:tc>
      </w:tr>
      <w:tr w:rsidR="00A621E3">
        <w:trPr>
          <w:trHeight w:val="176"/>
        </w:trPr>
        <w:tc>
          <w:tcPr>
            <w:tcW w:w="1460" w:type="dxa"/>
            <w:vAlign w:val="bottom"/>
          </w:tcPr>
          <w:p w:rsidR="00A621E3" w:rsidRDefault="00A621E3">
            <w:pPr>
              <w:rPr>
                <w:sz w:val="15"/>
                <w:szCs w:val="15"/>
              </w:rPr>
            </w:pPr>
          </w:p>
        </w:tc>
        <w:tc>
          <w:tcPr>
            <w:tcW w:w="840" w:type="dxa"/>
            <w:vAlign w:val="bottom"/>
          </w:tcPr>
          <w:p w:rsidR="00A621E3" w:rsidRDefault="00EC630E">
            <w:pPr>
              <w:jc w:val="right"/>
              <w:rPr>
                <w:sz w:val="20"/>
                <w:szCs w:val="20"/>
              </w:rPr>
            </w:pPr>
            <w:r>
              <w:rPr>
                <w:rFonts w:ascii="Arial" w:eastAsia="Arial" w:hAnsi="Arial" w:cs="Arial"/>
                <w:sz w:val="13"/>
                <w:szCs w:val="13"/>
              </w:rPr>
              <w:t>2/6/2015</w:t>
            </w:r>
          </w:p>
        </w:tc>
        <w:tc>
          <w:tcPr>
            <w:tcW w:w="1080" w:type="dxa"/>
            <w:vAlign w:val="bottom"/>
          </w:tcPr>
          <w:p w:rsidR="00A621E3" w:rsidRDefault="00EC630E">
            <w:pPr>
              <w:ind w:right="10"/>
              <w:jc w:val="right"/>
              <w:rPr>
                <w:sz w:val="20"/>
                <w:szCs w:val="20"/>
              </w:rPr>
            </w:pPr>
            <w:r>
              <w:rPr>
                <w:rFonts w:ascii="Arial" w:eastAsia="Arial" w:hAnsi="Arial" w:cs="Arial"/>
                <w:sz w:val="13"/>
                <w:szCs w:val="13"/>
              </w:rPr>
              <w:t>4,060</w:t>
            </w:r>
          </w:p>
        </w:tc>
        <w:tc>
          <w:tcPr>
            <w:tcW w:w="1440" w:type="dxa"/>
            <w:vAlign w:val="bottom"/>
          </w:tcPr>
          <w:p w:rsidR="00A621E3" w:rsidRDefault="00EC630E">
            <w:pPr>
              <w:ind w:right="171"/>
              <w:jc w:val="right"/>
              <w:rPr>
                <w:sz w:val="20"/>
                <w:szCs w:val="20"/>
              </w:rPr>
            </w:pPr>
            <w:r>
              <w:rPr>
                <w:rFonts w:ascii="Arial" w:eastAsia="Arial" w:hAnsi="Arial" w:cs="Arial"/>
                <w:sz w:val="13"/>
                <w:szCs w:val="13"/>
              </w:rPr>
              <w:t>—</w:t>
            </w:r>
          </w:p>
        </w:tc>
        <w:tc>
          <w:tcPr>
            <w:tcW w:w="780" w:type="dxa"/>
            <w:vAlign w:val="bottom"/>
          </w:tcPr>
          <w:p w:rsidR="00A621E3" w:rsidRDefault="00EC630E">
            <w:pPr>
              <w:ind w:right="31"/>
              <w:jc w:val="right"/>
              <w:rPr>
                <w:sz w:val="20"/>
                <w:szCs w:val="20"/>
              </w:rPr>
            </w:pPr>
            <w:r>
              <w:rPr>
                <w:rFonts w:ascii="Arial" w:eastAsia="Arial" w:hAnsi="Arial" w:cs="Arial"/>
                <w:sz w:val="13"/>
                <w:szCs w:val="13"/>
              </w:rPr>
              <w:t>22.32</w:t>
            </w:r>
          </w:p>
        </w:tc>
        <w:tc>
          <w:tcPr>
            <w:tcW w:w="840" w:type="dxa"/>
            <w:vAlign w:val="bottom"/>
          </w:tcPr>
          <w:p w:rsidR="00A621E3" w:rsidRDefault="00EC630E">
            <w:pPr>
              <w:jc w:val="right"/>
              <w:rPr>
                <w:sz w:val="20"/>
                <w:szCs w:val="20"/>
              </w:rPr>
            </w:pPr>
            <w:r>
              <w:rPr>
                <w:rFonts w:ascii="Arial" w:eastAsia="Arial" w:hAnsi="Arial" w:cs="Arial"/>
                <w:sz w:val="13"/>
                <w:szCs w:val="13"/>
              </w:rPr>
              <w:t>2/6/2025</w:t>
            </w:r>
          </w:p>
        </w:tc>
        <w:tc>
          <w:tcPr>
            <w:tcW w:w="260" w:type="dxa"/>
            <w:vAlign w:val="bottom"/>
          </w:tcPr>
          <w:p w:rsidR="00A621E3" w:rsidRDefault="00A621E3">
            <w:pPr>
              <w:rPr>
                <w:sz w:val="15"/>
                <w:szCs w:val="15"/>
              </w:rPr>
            </w:pPr>
          </w:p>
        </w:tc>
        <w:tc>
          <w:tcPr>
            <w:tcW w:w="1100" w:type="dxa"/>
            <w:vAlign w:val="bottom"/>
          </w:tcPr>
          <w:p w:rsidR="00A621E3" w:rsidRDefault="00EC630E">
            <w:pPr>
              <w:ind w:right="151"/>
              <w:jc w:val="right"/>
              <w:rPr>
                <w:sz w:val="20"/>
                <w:szCs w:val="20"/>
              </w:rPr>
            </w:pPr>
            <w:r>
              <w:rPr>
                <w:rFonts w:ascii="Arial" w:eastAsia="Arial" w:hAnsi="Arial" w:cs="Arial"/>
                <w:sz w:val="13"/>
                <w:szCs w:val="13"/>
              </w:rPr>
              <w:t>—</w:t>
            </w:r>
          </w:p>
        </w:tc>
        <w:tc>
          <w:tcPr>
            <w:tcW w:w="920" w:type="dxa"/>
            <w:vAlign w:val="bottom"/>
          </w:tcPr>
          <w:p w:rsidR="00A621E3" w:rsidRDefault="00EC630E">
            <w:pPr>
              <w:ind w:right="10"/>
              <w:jc w:val="right"/>
              <w:rPr>
                <w:sz w:val="20"/>
                <w:szCs w:val="20"/>
              </w:rPr>
            </w:pPr>
            <w:r>
              <w:rPr>
                <w:rFonts w:ascii="Arial" w:eastAsia="Arial" w:hAnsi="Arial" w:cs="Arial"/>
                <w:sz w:val="13"/>
                <w:szCs w:val="13"/>
              </w:rPr>
              <w:t>—</w:t>
            </w:r>
          </w:p>
        </w:tc>
        <w:tc>
          <w:tcPr>
            <w:tcW w:w="1220" w:type="dxa"/>
            <w:vAlign w:val="bottom"/>
          </w:tcPr>
          <w:p w:rsidR="00A621E3" w:rsidRDefault="00EC630E">
            <w:pPr>
              <w:ind w:left="880"/>
              <w:rPr>
                <w:sz w:val="20"/>
                <w:szCs w:val="20"/>
              </w:rPr>
            </w:pPr>
            <w:r>
              <w:rPr>
                <w:rFonts w:ascii="Arial" w:eastAsia="Arial" w:hAnsi="Arial" w:cs="Arial"/>
                <w:sz w:val="13"/>
                <w:szCs w:val="13"/>
              </w:rPr>
              <w:t>—</w:t>
            </w:r>
          </w:p>
        </w:tc>
        <w:tc>
          <w:tcPr>
            <w:tcW w:w="1080" w:type="dxa"/>
            <w:vAlign w:val="bottom"/>
          </w:tcPr>
          <w:p w:rsidR="00A621E3" w:rsidRDefault="00EC630E">
            <w:pPr>
              <w:ind w:right="10"/>
              <w:jc w:val="right"/>
              <w:rPr>
                <w:sz w:val="20"/>
                <w:szCs w:val="20"/>
              </w:rPr>
            </w:pPr>
            <w:r>
              <w:rPr>
                <w:rFonts w:ascii="Arial" w:eastAsia="Arial" w:hAnsi="Arial" w:cs="Arial"/>
                <w:sz w:val="13"/>
                <w:szCs w:val="13"/>
              </w:rPr>
              <w:t>—</w:t>
            </w:r>
          </w:p>
        </w:tc>
      </w:tr>
      <w:tr w:rsidR="00A621E3">
        <w:trPr>
          <w:trHeight w:val="175"/>
        </w:trPr>
        <w:tc>
          <w:tcPr>
            <w:tcW w:w="1460" w:type="dxa"/>
            <w:vAlign w:val="bottom"/>
          </w:tcPr>
          <w:p w:rsidR="00A621E3" w:rsidRDefault="00A621E3">
            <w:pPr>
              <w:rPr>
                <w:sz w:val="15"/>
                <w:szCs w:val="15"/>
              </w:rPr>
            </w:pPr>
          </w:p>
        </w:tc>
        <w:tc>
          <w:tcPr>
            <w:tcW w:w="840" w:type="dxa"/>
            <w:vAlign w:val="bottom"/>
          </w:tcPr>
          <w:p w:rsidR="00A621E3" w:rsidRDefault="00EC630E">
            <w:pPr>
              <w:jc w:val="right"/>
              <w:rPr>
                <w:sz w:val="20"/>
                <w:szCs w:val="20"/>
              </w:rPr>
            </w:pPr>
            <w:r>
              <w:rPr>
                <w:rFonts w:ascii="Arial" w:eastAsia="Arial" w:hAnsi="Arial" w:cs="Arial"/>
                <w:sz w:val="13"/>
                <w:szCs w:val="13"/>
              </w:rPr>
              <w:t>2/6/2015</w:t>
            </w:r>
          </w:p>
        </w:tc>
        <w:tc>
          <w:tcPr>
            <w:tcW w:w="1080" w:type="dxa"/>
            <w:vAlign w:val="bottom"/>
          </w:tcPr>
          <w:p w:rsidR="00A621E3" w:rsidRDefault="00EC630E">
            <w:pPr>
              <w:ind w:right="10"/>
              <w:jc w:val="right"/>
              <w:rPr>
                <w:sz w:val="20"/>
                <w:szCs w:val="20"/>
              </w:rPr>
            </w:pPr>
            <w:r>
              <w:rPr>
                <w:rFonts w:ascii="Arial" w:eastAsia="Arial" w:hAnsi="Arial" w:cs="Arial"/>
                <w:sz w:val="13"/>
                <w:szCs w:val="13"/>
              </w:rPr>
              <w:t>4,060</w:t>
            </w:r>
          </w:p>
        </w:tc>
        <w:tc>
          <w:tcPr>
            <w:tcW w:w="1440" w:type="dxa"/>
            <w:vAlign w:val="bottom"/>
          </w:tcPr>
          <w:p w:rsidR="00A621E3" w:rsidRDefault="00EC630E">
            <w:pPr>
              <w:ind w:right="171"/>
              <w:jc w:val="right"/>
              <w:rPr>
                <w:sz w:val="20"/>
                <w:szCs w:val="20"/>
              </w:rPr>
            </w:pPr>
            <w:r>
              <w:rPr>
                <w:rFonts w:ascii="Arial" w:eastAsia="Arial" w:hAnsi="Arial" w:cs="Arial"/>
                <w:sz w:val="13"/>
                <w:szCs w:val="13"/>
              </w:rPr>
              <w:t>—</w:t>
            </w:r>
          </w:p>
        </w:tc>
        <w:tc>
          <w:tcPr>
            <w:tcW w:w="780" w:type="dxa"/>
            <w:vAlign w:val="bottom"/>
          </w:tcPr>
          <w:p w:rsidR="00A621E3" w:rsidRDefault="00EC630E">
            <w:pPr>
              <w:ind w:right="31"/>
              <w:jc w:val="right"/>
              <w:rPr>
                <w:sz w:val="20"/>
                <w:szCs w:val="20"/>
              </w:rPr>
            </w:pPr>
            <w:r>
              <w:rPr>
                <w:rFonts w:ascii="Arial" w:eastAsia="Arial" w:hAnsi="Arial" w:cs="Arial"/>
                <w:sz w:val="13"/>
                <w:szCs w:val="13"/>
              </w:rPr>
              <w:t>22.32</w:t>
            </w:r>
          </w:p>
        </w:tc>
        <w:tc>
          <w:tcPr>
            <w:tcW w:w="840" w:type="dxa"/>
            <w:vAlign w:val="bottom"/>
          </w:tcPr>
          <w:p w:rsidR="00A621E3" w:rsidRDefault="00EC630E">
            <w:pPr>
              <w:jc w:val="right"/>
              <w:rPr>
                <w:sz w:val="20"/>
                <w:szCs w:val="20"/>
              </w:rPr>
            </w:pPr>
            <w:r>
              <w:rPr>
                <w:rFonts w:ascii="Arial" w:eastAsia="Arial" w:hAnsi="Arial" w:cs="Arial"/>
                <w:sz w:val="13"/>
                <w:szCs w:val="13"/>
              </w:rPr>
              <w:t>2/6/2025</w:t>
            </w:r>
          </w:p>
        </w:tc>
        <w:tc>
          <w:tcPr>
            <w:tcW w:w="260" w:type="dxa"/>
            <w:vAlign w:val="bottom"/>
          </w:tcPr>
          <w:p w:rsidR="00A621E3" w:rsidRDefault="00A621E3">
            <w:pPr>
              <w:rPr>
                <w:sz w:val="15"/>
                <w:szCs w:val="15"/>
              </w:rPr>
            </w:pPr>
          </w:p>
        </w:tc>
        <w:tc>
          <w:tcPr>
            <w:tcW w:w="1100" w:type="dxa"/>
            <w:vAlign w:val="bottom"/>
          </w:tcPr>
          <w:p w:rsidR="00A621E3" w:rsidRDefault="00EC630E">
            <w:pPr>
              <w:ind w:right="151"/>
              <w:jc w:val="right"/>
              <w:rPr>
                <w:sz w:val="20"/>
                <w:szCs w:val="20"/>
              </w:rPr>
            </w:pPr>
            <w:r>
              <w:rPr>
                <w:rFonts w:ascii="Arial" w:eastAsia="Arial" w:hAnsi="Arial" w:cs="Arial"/>
                <w:sz w:val="13"/>
                <w:szCs w:val="13"/>
              </w:rPr>
              <w:t>—</w:t>
            </w:r>
          </w:p>
        </w:tc>
        <w:tc>
          <w:tcPr>
            <w:tcW w:w="920" w:type="dxa"/>
            <w:vAlign w:val="bottom"/>
          </w:tcPr>
          <w:p w:rsidR="00A621E3" w:rsidRDefault="00EC630E">
            <w:pPr>
              <w:ind w:right="10"/>
              <w:jc w:val="right"/>
              <w:rPr>
                <w:sz w:val="20"/>
                <w:szCs w:val="20"/>
              </w:rPr>
            </w:pPr>
            <w:r>
              <w:rPr>
                <w:rFonts w:ascii="Arial" w:eastAsia="Arial" w:hAnsi="Arial" w:cs="Arial"/>
                <w:sz w:val="13"/>
                <w:szCs w:val="13"/>
              </w:rPr>
              <w:t>—</w:t>
            </w:r>
          </w:p>
        </w:tc>
        <w:tc>
          <w:tcPr>
            <w:tcW w:w="1220" w:type="dxa"/>
            <w:vAlign w:val="bottom"/>
          </w:tcPr>
          <w:p w:rsidR="00A621E3" w:rsidRDefault="00EC630E">
            <w:pPr>
              <w:ind w:left="880"/>
              <w:rPr>
                <w:sz w:val="20"/>
                <w:szCs w:val="20"/>
              </w:rPr>
            </w:pPr>
            <w:r>
              <w:rPr>
                <w:rFonts w:ascii="Arial" w:eastAsia="Arial" w:hAnsi="Arial" w:cs="Arial"/>
                <w:sz w:val="13"/>
                <w:szCs w:val="13"/>
              </w:rPr>
              <w:t>—</w:t>
            </w:r>
          </w:p>
        </w:tc>
        <w:tc>
          <w:tcPr>
            <w:tcW w:w="1080" w:type="dxa"/>
            <w:vAlign w:val="bottom"/>
          </w:tcPr>
          <w:p w:rsidR="00A621E3" w:rsidRDefault="00EC630E">
            <w:pPr>
              <w:ind w:right="10"/>
              <w:jc w:val="right"/>
              <w:rPr>
                <w:sz w:val="20"/>
                <w:szCs w:val="20"/>
              </w:rPr>
            </w:pPr>
            <w:r>
              <w:rPr>
                <w:rFonts w:ascii="Arial" w:eastAsia="Arial" w:hAnsi="Arial" w:cs="Arial"/>
                <w:sz w:val="13"/>
                <w:szCs w:val="13"/>
              </w:rPr>
              <w:t>—</w:t>
            </w:r>
          </w:p>
        </w:tc>
      </w:tr>
      <w:tr w:rsidR="00A621E3">
        <w:trPr>
          <w:trHeight w:val="176"/>
        </w:trPr>
        <w:tc>
          <w:tcPr>
            <w:tcW w:w="1460" w:type="dxa"/>
            <w:vAlign w:val="bottom"/>
          </w:tcPr>
          <w:p w:rsidR="00A621E3" w:rsidRDefault="00A621E3">
            <w:pPr>
              <w:rPr>
                <w:sz w:val="15"/>
                <w:szCs w:val="15"/>
              </w:rPr>
            </w:pPr>
          </w:p>
        </w:tc>
        <w:tc>
          <w:tcPr>
            <w:tcW w:w="840" w:type="dxa"/>
            <w:vAlign w:val="bottom"/>
          </w:tcPr>
          <w:p w:rsidR="00A621E3" w:rsidRDefault="00EC630E">
            <w:pPr>
              <w:jc w:val="right"/>
              <w:rPr>
                <w:sz w:val="20"/>
                <w:szCs w:val="20"/>
              </w:rPr>
            </w:pPr>
            <w:r>
              <w:rPr>
                <w:rFonts w:ascii="Arial" w:eastAsia="Arial" w:hAnsi="Arial" w:cs="Arial"/>
                <w:sz w:val="13"/>
                <w:szCs w:val="13"/>
              </w:rPr>
              <w:t>2/5/2016</w:t>
            </w:r>
          </w:p>
        </w:tc>
        <w:tc>
          <w:tcPr>
            <w:tcW w:w="1080" w:type="dxa"/>
            <w:vAlign w:val="bottom"/>
          </w:tcPr>
          <w:p w:rsidR="00A621E3" w:rsidRDefault="00EC630E">
            <w:pPr>
              <w:ind w:right="10"/>
              <w:jc w:val="right"/>
              <w:rPr>
                <w:sz w:val="20"/>
                <w:szCs w:val="20"/>
              </w:rPr>
            </w:pPr>
            <w:r>
              <w:rPr>
                <w:rFonts w:ascii="Arial" w:eastAsia="Arial" w:hAnsi="Arial" w:cs="Arial"/>
                <w:sz w:val="13"/>
                <w:szCs w:val="13"/>
              </w:rPr>
              <w:t>4,614</w:t>
            </w:r>
          </w:p>
        </w:tc>
        <w:tc>
          <w:tcPr>
            <w:tcW w:w="1440" w:type="dxa"/>
            <w:vAlign w:val="bottom"/>
          </w:tcPr>
          <w:p w:rsidR="00A621E3" w:rsidRDefault="00EC630E">
            <w:pPr>
              <w:ind w:right="171"/>
              <w:jc w:val="right"/>
              <w:rPr>
                <w:sz w:val="20"/>
                <w:szCs w:val="20"/>
              </w:rPr>
            </w:pPr>
            <w:r>
              <w:rPr>
                <w:rFonts w:ascii="Arial" w:eastAsia="Arial" w:hAnsi="Arial" w:cs="Arial"/>
                <w:sz w:val="13"/>
                <w:szCs w:val="13"/>
              </w:rPr>
              <w:t>—</w:t>
            </w:r>
          </w:p>
        </w:tc>
        <w:tc>
          <w:tcPr>
            <w:tcW w:w="780" w:type="dxa"/>
            <w:vAlign w:val="bottom"/>
          </w:tcPr>
          <w:p w:rsidR="00A621E3" w:rsidRDefault="00EC630E">
            <w:pPr>
              <w:ind w:right="31"/>
              <w:jc w:val="right"/>
              <w:rPr>
                <w:sz w:val="20"/>
                <w:szCs w:val="20"/>
              </w:rPr>
            </w:pPr>
            <w:r>
              <w:rPr>
                <w:rFonts w:ascii="Arial" w:eastAsia="Arial" w:hAnsi="Arial" w:cs="Arial"/>
                <w:sz w:val="13"/>
                <w:szCs w:val="13"/>
              </w:rPr>
              <w:t>21.06</w:t>
            </w:r>
          </w:p>
        </w:tc>
        <w:tc>
          <w:tcPr>
            <w:tcW w:w="840" w:type="dxa"/>
            <w:vAlign w:val="bottom"/>
          </w:tcPr>
          <w:p w:rsidR="00A621E3" w:rsidRDefault="00EC630E">
            <w:pPr>
              <w:jc w:val="right"/>
              <w:rPr>
                <w:sz w:val="20"/>
                <w:szCs w:val="20"/>
              </w:rPr>
            </w:pPr>
            <w:r>
              <w:rPr>
                <w:rFonts w:ascii="Arial" w:eastAsia="Arial" w:hAnsi="Arial" w:cs="Arial"/>
                <w:sz w:val="13"/>
                <w:szCs w:val="13"/>
              </w:rPr>
              <w:t>2/5/2026</w:t>
            </w:r>
          </w:p>
        </w:tc>
        <w:tc>
          <w:tcPr>
            <w:tcW w:w="260" w:type="dxa"/>
            <w:vAlign w:val="bottom"/>
          </w:tcPr>
          <w:p w:rsidR="00A621E3" w:rsidRDefault="00A621E3">
            <w:pPr>
              <w:rPr>
                <w:sz w:val="15"/>
                <w:szCs w:val="15"/>
              </w:rPr>
            </w:pPr>
          </w:p>
        </w:tc>
        <w:tc>
          <w:tcPr>
            <w:tcW w:w="1100" w:type="dxa"/>
            <w:vAlign w:val="bottom"/>
          </w:tcPr>
          <w:p w:rsidR="00A621E3" w:rsidRDefault="00EC630E">
            <w:pPr>
              <w:ind w:right="151"/>
              <w:jc w:val="right"/>
              <w:rPr>
                <w:sz w:val="20"/>
                <w:szCs w:val="20"/>
              </w:rPr>
            </w:pPr>
            <w:r>
              <w:rPr>
                <w:rFonts w:ascii="Arial" w:eastAsia="Arial" w:hAnsi="Arial" w:cs="Arial"/>
                <w:sz w:val="13"/>
                <w:szCs w:val="13"/>
              </w:rPr>
              <w:t>—</w:t>
            </w:r>
          </w:p>
        </w:tc>
        <w:tc>
          <w:tcPr>
            <w:tcW w:w="920" w:type="dxa"/>
            <w:vAlign w:val="bottom"/>
          </w:tcPr>
          <w:p w:rsidR="00A621E3" w:rsidRDefault="00EC630E">
            <w:pPr>
              <w:ind w:right="10"/>
              <w:jc w:val="right"/>
              <w:rPr>
                <w:sz w:val="20"/>
                <w:szCs w:val="20"/>
              </w:rPr>
            </w:pPr>
            <w:r>
              <w:rPr>
                <w:rFonts w:ascii="Arial" w:eastAsia="Arial" w:hAnsi="Arial" w:cs="Arial"/>
                <w:sz w:val="13"/>
                <w:szCs w:val="13"/>
              </w:rPr>
              <w:t>—</w:t>
            </w:r>
          </w:p>
        </w:tc>
        <w:tc>
          <w:tcPr>
            <w:tcW w:w="1220" w:type="dxa"/>
            <w:vAlign w:val="bottom"/>
          </w:tcPr>
          <w:p w:rsidR="00A621E3" w:rsidRDefault="00EC630E">
            <w:pPr>
              <w:ind w:left="880"/>
              <w:rPr>
                <w:sz w:val="20"/>
                <w:szCs w:val="20"/>
              </w:rPr>
            </w:pPr>
            <w:r>
              <w:rPr>
                <w:rFonts w:ascii="Arial" w:eastAsia="Arial" w:hAnsi="Arial" w:cs="Arial"/>
                <w:sz w:val="13"/>
                <w:szCs w:val="13"/>
              </w:rPr>
              <w:t>—</w:t>
            </w:r>
          </w:p>
        </w:tc>
        <w:tc>
          <w:tcPr>
            <w:tcW w:w="1080" w:type="dxa"/>
            <w:vAlign w:val="bottom"/>
          </w:tcPr>
          <w:p w:rsidR="00A621E3" w:rsidRDefault="00EC630E">
            <w:pPr>
              <w:ind w:right="10"/>
              <w:jc w:val="right"/>
              <w:rPr>
                <w:sz w:val="20"/>
                <w:szCs w:val="20"/>
              </w:rPr>
            </w:pPr>
            <w:r>
              <w:rPr>
                <w:rFonts w:ascii="Arial" w:eastAsia="Arial" w:hAnsi="Arial" w:cs="Arial"/>
                <w:sz w:val="13"/>
                <w:szCs w:val="13"/>
              </w:rPr>
              <w:t>—</w:t>
            </w:r>
          </w:p>
        </w:tc>
      </w:tr>
      <w:tr w:rsidR="00A621E3">
        <w:trPr>
          <w:trHeight w:val="175"/>
        </w:trPr>
        <w:tc>
          <w:tcPr>
            <w:tcW w:w="1460" w:type="dxa"/>
            <w:vAlign w:val="bottom"/>
          </w:tcPr>
          <w:p w:rsidR="00A621E3" w:rsidRDefault="00A621E3">
            <w:pPr>
              <w:rPr>
                <w:sz w:val="15"/>
                <w:szCs w:val="15"/>
              </w:rPr>
            </w:pPr>
          </w:p>
        </w:tc>
        <w:tc>
          <w:tcPr>
            <w:tcW w:w="840" w:type="dxa"/>
            <w:vAlign w:val="bottom"/>
          </w:tcPr>
          <w:p w:rsidR="00A621E3" w:rsidRDefault="00EC630E">
            <w:pPr>
              <w:jc w:val="right"/>
              <w:rPr>
                <w:sz w:val="20"/>
                <w:szCs w:val="20"/>
              </w:rPr>
            </w:pPr>
            <w:r>
              <w:rPr>
                <w:rFonts w:ascii="Arial" w:eastAsia="Arial" w:hAnsi="Arial" w:cs="Arial"/>
                <w:sz w:val="13"/>
                <w:szCs w:val="13"/>
              </w:rPr>
              <w:t>2/10/2017</w:t>
            </w:r>
          </w:p>
        </w:tc>
        <w:tc>
          <w:tcPr>
            <w:tcW w:w="1080" w:type="dxa"/>
            <w:vAlign w:val="bottom"/>
          </w:tcPr>
          <w:p w:rsidR="00A621E3" w:rsidRDefault="00EC630E">
            <w:pPr>
              <w:ind w:right="10"/>
              <w:jc w:val="right"/>
              <w:rPr>
                <w:sz w:val="20"/>
                <w:szCs w:val="20"/>
              </w:rPr>
            </w:pPr>
            <w:r>
              <w:rPr>
                <w:rFonts w:ascii="Arial" w:eastAsia="Arial" w:hAnsi="Arial" w:cs="Arial"/>
                <w:sz w:val="13"/>
                <w:szCs w:val="13"/>
              </w:rPr>
              <w:t>11,364</w:t>
            </w:r>
          </w:p>
        </w:tc>
        <w:tc>
          <w:tcPr>
            <w:tcW w:w="1440" w:type="dxa"/>
            <w:vAlign w:val="bottom"/>
          </w:tcPr>
          <w:p w:rsidR="00A621E3" w:rsidRDefault="00EC630E">
            <w:pPr>
              <w:ind w:right="171"/>
              <w:jc w:val="right"/>
              <w:rPr>
                <w:sz w:val="20"/>
                <w:szCs w:val="20"/>
              </w:rPr>
            </w:pPr>
            <w:r>
              <w:rPr>
                <w:rFonts w:ascii="Arial" w:eastAsia="Arial" w:hAnsi="Arial" w:cs="Arial"/>
                <w:sz w:val="13"/>
                <w:szCs w:val="13"/>
              </w:rPr>
              <w:t>—</w:t>
            </w:r>
          </w:p>
        </w:tc>
        <w:tc>
          <w:tcPr>
            <w:tcW w:w="780" w:type="dxa"/>
            <w:vAlign w:val="bottom"/>
          </w:tcPr>
          <w:p w:rsidR="00A621E3" w:rsidRDefault="00EC630E">
            <w:pPr>
              <w:ind w:right="31"/>
              <w:jc w:val="right"/>
              <w:rPr>
                <w:sz w:val="20"/>
                <w:szCs w:val="20"/>
              </w:rPr>
            </w:pPr>
            <w:r>
              <w:rPr>
                <w:rFonts w:ascii="Arial" w:eastAsia="Arial" w:hAnsi="Arial" w:cs="Arial"/>
                <w:sz w:val="13"/>
                <w:szCs w:val="13"/>
              </w:rPr>
              <w:t>26.56</w:t>
            </w:r>
          </w:p>
        </w:tc>
        <w:tc>
          <w:tcPr>
            <w:tcW w:w="840" w:type="dxa"/>
            <w:vAlign w:val="bottom"/>
          </w:tcPr>
          <w:p w:rsidR="00A621E3" w:rsidRDefault="00EC630E">
            <w:pPr>
              <w:jc w:val="right"/>
              <w:rPr>
                <w:sz w:val="20"/>
                <w:szCs w:val="20"/>
              </w:rPr>
            </w:pPr>
            <w:r>
              <w:rPr>
                <w:rFonts w:ascii="Arial" w:eastAsia="Arial" w:hAnsi="Arial" w:cs="Arial"/>
                <w:sz w:val="13"/>
                <w:szCs w:val="13"/>
              </w:rPr>
              <w:t>2/10/2027</w:t>
            </w:r>
          </w:p>
        </w:tc>
        <w:tc>
          <w:tcPr>
            <w:tcW w:w="260" w:type="dxa"/>
            <w:vAlign w:val="bottom"/>
          </w:tcPr>
          <w:p w:rsidR="00A621E3" w:rsidRDefault="00A621E3">
            <w:pPr>
              <w:rPr>
                <w:sz w:val="15"/>
                <w:szCs w:val="15"/>
              </w:rPr>
            </w:pPr>
          </w:p>
        </w:tc>
        <w:tc>
          <w:tcPr>
            <w:tcW w:w="1100" w:type="dxa"/>
            <w:vAlign w:val="bottom"/>
          </w:tcPr>
          <w:p w:rsidR="00A621E3" w:rsidRDefault="00EC630E">
            <w:pPr>
              <w:ind w:right="151"/>
              <w:jc w:val="right"/>
              <w:rPr>
                <w:sz w:val="20"/>
                <w:szCs w:val="20"/>
              </w:rPr>
            </w:pPr>
            <w:r>
              <w:rPr>
                <w:rFonts w:ascii="Arial" w:eastAsia="Arial" w:hAnsi="Arial" w:cs="Arial"/>
                <w:sz w:val="13"/>
                <w:szCs w:val="13"/>
              </w:rPr>
              <w:t>—</w:t>
            </w:r>
          </w:p>
        </w:tc>
        <w:tc>
          <w:tcPr>
            <w:tcW w:w="920" w:type="dxa"/>
            <w:vAlign w:val="bottom"/>
          </w:tcPr>
          <w:p w:rsidR="00A621E3" w:rsidRDefault="00EC630E">
            <w:pPr>
              <w:ind w:right="10"/>
              <w:jc w:val="right"/>
              <w:rPr>
                <w:sz w:val="20"/>
                <w:szCs w:val="20"/>
              </w:rPr>
            </w:pPr>
            <w:r>
              <w:rPr>
                <w:rFonts w:ascii="Arial" w:eastAsia="Arial" w:hAnsi="Arial" w:cs="Arial"/>
                <w:sz w:val="13"/>
                <w:szCs w:val="13"/>
              </w:rPr>
              <w:t>—</w:t>
            </w:r>
          </w:p>
        </w:tc>
        <w:tc>
          <w:tcPr>
            <w:tcW w:w="1220" w:type="dxa"/>
            <w:vAlign w:val="bottom"/>
          </w:tcPr>
          <w:p w:rsidR="00A621E3" w:rsidRDefault="00EC630E">
            <w:pPr>
              <w:ind w:left="880"/>
              <w:rPr>
                <w:sz w:val="20"/>
                <w:szCs w:val="20"/>
              </w:rPr>
            </w:pPr>
            <w:r>
              <w:rPr>
                <w:rFonts w:ascii="Arial" w:eastAsia="Arial" w:hAnsi="Arial" w:cs="Arial"/>
                <w:sz w:val="13"/>
                <w:szCs w:val="13"/>
              </w:rPr>
              <w:t>—</w:t>
            </w:r>
          </w:p>
        </w:tc>
        <w:tc>
          <w:tcPr>
            <w:tcW w:w="1080" w:type="dxa"/>
            <w:vAlign w:val="bottom"/>
          </w:tcPr>
          <w:p w:rsidR="00A621E3" w:rsidRDefault="00EC630E">
            <w:pPr>
              <w:ind w:right="10"/>
              <w:jc w:val="right"/>
              <w:rPr>
                <w:sz w:val="20"/>
                <w:szCs w:val="20"/>
              </w:rPr>
            </w:pPr>
            <w:r>
              <w:rPr>
                <w:rFonts w:ascii="Arial" w:eastAsia="Arial" w:hAnsi="Arial" w:cs="Arial"/>
                <w:sz w:val="13"/>
                <w:szCs w:val="13"/>
              </w:rPr>
              <w:t>—</w:t>
            </w:r>
          </w:p>
        </w:tc>
      </w:tr>
      <w:tr w:rsidR="00A621E3">
        <w:trPr>
          <w:trHeight w:val="176"/>
        </w:trPr>
        <w:tc>
          <w:tcPr>
            <w:tcW w:w="1460" w:type="dxa"/>
            <w:vAlign w:val="bottom"/>
          </w:tcPr>
          <w:p w:rsidR="00A621E3" w:rsidRDefault="00A621E3">
            <w:pPr>
              <w:rPr>
                <w:sz w:val="15"/>
                <w:szCs w:val="15"/>
              </w:rPr>
            </w:pPr>
          </w:p>
        </w:tc>
        <w:tc>
          <w:tcPr>
            <w:tcW w:w="840" w:type="dxa"/>
            <w:vAlign w:val="bottom"/>
          </w:tcPr>
          <w:p w:rsidR="00A621E3" w:rsidRDefault="00EC630E">
            <w:pPr>
              <w:jc w:val="right"/>
              <w:rPr>
                <w:sz w:val="20"/>
                <w:szCs w:val="20"/>
              </w:rPr>
            </w:pPr>
            <w:r>
              <w:rPr>
                <w:rFonts w:ascii="Arial" w:eastAsia="Arial" w:hAnsi="Arial" w:cs="Arial"/>
                <w:sz w:val="13"/>
                <w:szCs w:val="13"/>
              </w:rPr>
              <w:t>2/9/2018</w:t>
            </w:r>
          </w:p>
        </w:tc>
        <w:tc>
          <w:tcPr>
            <w:tcW w:w="1080" w:type="dxa"/>
            <w:vAlign w:val="bottom"/>
          </w:tcPr>
          <w:p w:rsidR="00A621E3" w:rsidRDefault="00EC630E">
            <w:pPr>
              <w:ind w:right="10"/>
              <w:jc w:val="right"/>
              <w:rPr>
                <w:sz w:val="20"/>
                <w:szCs w:val="20"/>
              </w:rPr>
            </w:pPr>
            <w:r>
              <w:rPr>
                <w:rFonts w:ascii="Arial" w:eastAsia="Arial" w:hAnsi="Arial" w:cs="Arial"/>
                <w:sz w:val="13"/>
                <w:szCs w:val="13"/>
              </w:rPr>
              <w:t>16,863</w:t>
            </w:r>
          </w:p>
        </w:tc>
        <w:tc>
          <w:tcPr>
            <w:tcW w:w="1440" w:type="dxa"/>
            <w:vAlign w:val="bottom"/>
          </w:tcPr>
          <w:p w:rsidR="00A621E3" w:rsidRDefault="00EC630E">
            <w:pPr>
              <w:ind w:right="171"/>
              <w:jc w:val="right"/>
              <w:rPr>
                <w:sz w:val="20"/>
                <w:szCs w:val="20"/>
              </w:rPr>
            </w:pPr>
            <w:r>
              <w:rPr>
                <w:rFonts w:ascii="Arial" w:eastAsia="Arial" w:hAnsi="Arial" w:cs="Arial"/>
                <w:sz w:val="13"/>
                <w:szCs w:val="13"/>
              </w:rPr>
              <w:t>—</w:t>
            </w:r>
          </w:p>
        </w:tc>
        <w:tc>
          <w:tcPr>
            <w:tcW w:w="780" w:type="dxa"/>
            <w:vAlign w:val="bottom"/>
          </w:tcPr>
          <w:p w:rsidR="00A621E3" w:rsidRDefault="00EC630E">
            <w:pPr>
              <w:ind w:right="31"/>
              <w:jc w:val="right"/>
              <w:rPr>
                <w:sz w:val="20"/>
                <w:szCs w:val="20"/>
              </w:rPr>
            </w:pPr>
            <w:r>
              <w:rPr>
                <w:rFonts w:ascii="Arial" w:eastAsia="Arial" w:hAnsi="Arial" w:cs="Arial"/>
                <w:sz w:val="13"/>
                <w:szCs w:val="13"/>
              </w:rPr>
              <w:t>40.29</w:t>
            </w:r>
          </w:p>
        </w:tc>
        <w:tc>
          <w:tcPr>
            <w:tcW w:w="840" w:type="dxa"/>
            <w:vAlign w:val="bottom"/>
          </w:tcPr>
          <w:p w:rsidR="00A621E3" w:rsidRDefault="00EC630E">
            <w:pPr>
              <w:jc w:val="right"/>
              <w:rPr>
                <w:sz w:val="20"/>
                <w:szCs w:val="20"/>
              </w:rPr>
            </w:pPr>
            <w:r>
              <w:rPr>
                <w:rFonts w:ascii="Arial" w:eastAsia="Arial" w:hAnsi="Arial" w:cs="Arial"/>
                <w:sz w:val="13"/>
                <w:szCs w:val="13"/>
              </w:rPr>
              <w:t>2/9/2028</w:t>
            </w:r>
          </w:p>
        </w:tc>
        <w:tc>
          <w:tcPr>
            <w:tcW w:w="260" w:type="dxa"/>
            <w:vAlign w:val="bottom"/>
          </w:tcPr>
          <w:p w:rsidR="00A621E3" w:rsidRDefault="00A621E3">
            <w:pPr>
              <w:rPr>
                <w:sz w:val="15"/>
                <w:szCs w:val="15"/>
              </w:rPr>
            </w:pPr>
          </w:p>
        </w:tc>
        <w:tc>
          <w:tcPr>
            <w:tcW w:w="1100" w:type="dxa"/>
            <w:vAlign w:val="bottom"/>
          </w:tcPr>
          <w:p w:rsidR="00A621E3" w:rsidRDefault="00EC630E">
            <w:pPr>
              <w:ind w:right="151"/>
              <w:jc w:val="right"/>
              <w:rPr>
                <w:sz w:val="20"/>
                <w:szCs w:val="20"/>
              </w:rPr>
            </w:pPr>
            <w:r>
              <w:rPr>
                <w:rFonts w:ascii="Arial" w:eastAsia="Arial" w:hAnsi="Arial" w:cs="Arial"/>
                <w:sz w:val="13"/>
                <w:szCs w:val="13"/>
              </w:rPr>
              <w:t>—</w:t>
            </w:r>
          </w:p>
        </w:tc>
        <w:tc>
          <w:tcPr>
            <w:tcW w:w="920" w:type="dxa"/>
            <w:vAlign w:val="bottom"/>
          </w:tcPr>
          <w:p w:rsidR="00A621E3" w:rsidRDefault="00EC630E">
            <w:pPr>
              <w:ind w:right="10"/>
              <w:jc w:val="right"/>
              <w:rPr>
                <w:sz w:val="20"/>
                <w:szCs w:val="20"/>
              </w:rPr>
            </w:pPr>
            <w:r>
              <w:rPr>
                <w:rFonts w:ascii="Arial" w:eastAsia="Arial" w:hAnsi="Arial" w:cs="Arial"/>
                <w:sz w:val="13"/>
                <w:szCs w:val="13"/>
              </w:rPr>
              <w:t>—</w:t>
            </w:r>
          </w:p>
        </w:tc>
        <w:tc>
          <w:tcPr>
            <w:tcW w:w="1220" w:type="dxa"/>
            <w:vAlign w:val="bottom"/>
          </w:tcPr>
          <w:p w:rsidR="00A621E3" w:rsidRDefault="00EC630E">
            <w:pPr>
              <w:ind w:left="880"/>
              <w:rPr>
                <w:sz w:val="20"/>
                <w:szCs w:val="20"/>
              </w:rPr>
            </w:pPr>
            <w:r>
              <w:rPr>
                <w:rFonts w:ascii="Arial" w:eastAsia="Arial" w:hAnsi="Arial" w:cs="Arial"/>
                <w:sz w:val="13"/>
                <w:szCs w:val="13"/>
              </w:rPr>
              <w:t>—</w:t>
            </w:r>
          </w:p>
        </w:tc>
        <w:tc>
          <w:tcPr>
            <w:tcW w:w="1080" w:type="dxa"/>
            <w:vAlign w:val="bottom"/>
          </w:tcPr>
          <w:p w:rsidR="00A621E3" w:rsidRDefault="00EC630E">
            <w:pPr>
              <w:ind w:right="10"/>
              <w:jc w:val="right"/>
              <w:rPr>
                <w:sz w:val="20"/>
                <w:szCs w:val="20"/>
              </w:rPr>
            </w:pPr>
            <w:r>
              <w:rPr>
                <w:rFonts w:ascii="Arial" w:eastAsia="Arial" w:hAnsi="Arial" w:cs="Arial"/>
                <w:sz w:val="13"/>
                <w:szCs w:val="13"/>
              </w:rPr>
              <w:t>—</w:t>
            </w:r>
          </w:p>
        </w:tc>
      </w:tr>
      <w:tr w:rsidR="00A621E3">
        <w:trPr>
          <w:trHeight w:val="189"/>
        </w:trPr>
        <w:tc>
          <w:tcPr>
            <w:tcW w:w="1460" w:type="dxa"/>
            <w:vAlign w:val="bottom"/>
          </w:tcPr>
          <w:p w:rsidR="00A621E3" w:rsidRDefault="00A621E3">
            <w:pPr>
              <w:rPr>
                <w:sz w:val="16"/>
                <w:szCs w:val="16"/>
              </w:rPr>
            </w:pPr>
          </w:p>
        </w:tc>
        <w:tc>
          <w:tcPr>
            <w:tcW w:w="840" w:type="dxa"/>
            <w:vAlign w:val="bottom"/>
          </w:tcPr>
          <w:p w:rsidR="00A621E3" w:rsidRDefault="00EC630E">
            <w:pPr>
              <w:jc w:val="right"/>
              <w:rPr>
                <w:sz w:val="20"/>
                <w:szCs w:val="20"/>
              </w:rPr>
            </w:pPr>
            <w:r>
              <w:rPr>
                <w:rFonts w:ascii="Arial" w:eastAsia="Arial" w:hAnsi="Arial" w:cs="Arial"/>
                <w:sz w:val="13"/>
                <w:szCs w:val="13"/>
              </w:rPr>
              <w:t>2/7/2019</w:t>
            </w:r>
          </w:p>
        </w:tc>
        <w:tc>
          <w:tcPr>
            <w:tcW w:w="1080" w:type="dxa"/>
            <w:vAlign w:val="bottom"/>
          </w:tcPr>
          <w:p w:rsidR="00A621E3" w:rsidRDefault="00EC630E">
            <w:pPr>
              <w:ind w:right="10"/>
              <w:jc w:val="right"/>
              <w:rPr>
                <w:sz w:val="20"/>
                <w:szCs w:val="20"/>
              </w:rPr>
            </w:pPr>
            <w:r>
              <w:rPr>
                <w:rFonts w:ascii="Arial" w:eastAsia="Arial" w:hAnsi="Arial" w:cs="Arial"/>
                <w:sz w:val="13"/>
                <w:szCs w:val="13"/>
              </w:rPr>
              <w:t>12,729</w:t>
            </w:r>
          </w:p>
        </w:tc>
        <w:tc>
          <w:tcPr>
            <w:tcW w:w="1440" w:type="dxa"/>
            <w:vAlign w:val="bottom"/>
          </w:tcPr>
          <w:p w:rsidR="00A621E3" w:rsidRDefault="00EC630E">
            <w:pPr>
              <w:spacing w:line="189" w:lineRule="exact"/>
              <w:ind w:right="71"/>
              <w:jc w:val="right"/>
              <w:rPr>
                <w:sz w:val="20"/>
                <w:szCs w:val="20"/>
              </w:rPr>
            </w:pPr>
            <w:r>
              <w:rPr>
                <w:rFonts w:ascii="Arial" w:eastAsia="Arial" w:hAnsi="Arial" w:cs="Arial"/>
                <w:sz w:val="13"/>
                <w:szCs w:val="13"/>
              </w:rPr>
              <w:t>4,244</w:t>
            </w:r>
            <w:r>
              <w:rPr>
                <w:rFonts w:ascii="Arial" w:eastAsia="Arial" w:hAnsi="Arial" w:cs="Arial"/>
                <w:sz w:val="20"/>
                <w:szCs w:val="20"/>
                <w:vertAlign w:val="superscript"/>
              </w:rPr>
              <w:t>(i)</w:t>
            </w:r>
          </w:p>
        </w:tc>
        <w:tc>
          <w:tcPr>
            <w:tcW w:w="780" w:type="dxa"/>
            <w:vAlign w:val="bottom"/>
          </w:tcPr>
          <w:p w:rsidR="00A621E3" w:rsidRDefault="00EC630E">
            <w:pPr>
              <w:ind w:right="31"/>
              <w:jc w:val="right"/>
              <w:rPr>
                <w:sz w:val="20"/>
                <w:szCs w:val="20"/>
              </w:rPr>
            </w:pPr>
            <w:r>
              <w:rPr>
                <w:rFonts w:ascii="Arial" w:eastAsia="Arial" w:hAnsi="Arial" w:cs="Arial"/>
                <w:sz w:val="13"/>
                <w:szCs w:val="13"/>
              </w:rPr>
              <w:t>41.66</w:t>
            </w:r>
          </w:p>
        </w:tc>
        <w:tc>
          <w:tcPr>
            <w:tcW w:w="840" w:type="dxa"/>
            <w:vAlign w:val="bottom"/>
          </w:tcPr>
          <w:p w:rsidR="00A621E3" w:rsidRDefault="00EC630E">
            <w:pPr>
              <w:jc w:val="right"/>
              <w:rPr>
                <w:sz w:val="20"/>
                <w:szCs w:val="20"/>
              </w:rPr>
            </w:pPr>
            <w:r>
              <w:rPr>
                <w:rFonts w:ascii="Arial" w:eastAsia="Arial" w:hAnsi="Arial" w:cs="Arial"/>
                <w:sz w:val="13"/>
                <w:szCs w:val="13"/>
              </w:rPr>
              <w:t>2/7/2029</w:t>
            </w:r>
          </w:p>
        </w:tc>
        <w:tc>
          <w:tcPr>
            <w:tcW w:w="260" w:type="dxa"/>
            <w:vAlign w:val="bottom"/>
          </w:tcPr>
          <w:p w:rsidR="00A621E3" w:rsidRDefault="00A621E3">
            <w:pPr>
              <w:rPr>
                <w:sz w:val="16"/>
                <w:szCs w:val="16"/>
              </w:rPr>
            </w:pPr>
          </w:p>
        </w:tc>
        <w:tc>
          <w:tcPr>
            <w:tcW w:w="1100" w:type="dxa"/>
            <w:vAlign w:val="bottom"/>
          </w:tcPr>
          <w:p w:rsidR="00A621E3" w:rsidRDefault="00EC630E">
            <w:pPr>
              <w:ind w:right="151"/>
              <w:jc w:val="right"/>
              <w:rPr>
                <w:sz w:val="20"/>
                <w:szCs w:val="20"/>
              </w:rPr>
            </w:pPr>
            <w:r>
              <w:rPr>
                <w:rFonts w:ascii="Arial" w:eastAsia="Arial" w:hAnsi="Arial" w:cs="Arial"/>
                <w:sz w:val="13"/>
                <w:szCs w:val="13"/>
              </w:rPr>
              <w:t>—</w:t>
            </w:r>
          </w:p>
        </w:tc>
        <w:tc>
          <w:tcPr>
            <w:tcW w:w="920" w:type="dxa"/>
            <w:vAlign w:val="bottom"/>
          </w:tcPr>
          <w:p w:rsidR="00A621E3" w:rsidRDefault="00EC630E">
            <w:pPr>
              <w:ind w:right="10"/>
              <w:jc w:val="right"/>
              <w:rPr>
                <w:sz w:val="20"/>
                <w:szCs w:val="20"/>
              </w:rPr>
            </w:pPr>
            <w:r>
              <w:rPr>
                <w:rFonts w:ascii="Arial" w:eastAsia="Arial" w:hAnsi="Arial" w:cs="Arial"/>
                <w:sz w:val="13"/>
                <w:szCs w:val="13"/>
              </w:rPr>
              <w:t>—</w:t>
            </w:r>
          </w:p>
        </w:tc>
        <w:tc>
          <w:tcPr>
            <w:tcW w:w="1220" w:type="dxa"/>
            <w:vAlign w:val="bottom"/>
          </w:tcPr>
          <w:p w:rsidR="00A621E3" w:rsidRDefault="00EC630E">
            <w:pPr>
              <w:ind w:left="880"/>
              <w:rPr>
                <w:sz w:val="20"/>
                <w:szCs w:val="20"/>
              </w:rPr>
            </w:pPr>
            <w:r>
              <w:rPr>
                <w:rFonts w:ascii="Arial" w:eastAsia="Arial" w:hAnsi="Arial" w:cs="Arial"/>
                <w:sz w:val="13"/>
                <w:szCs w:val="13"/>
              </w:rPr>
              <w:t>—</w:t>
            </w:r>
          </w:p>
        </w:tc>
        <w:tc>
          <w:tcPr>
            <w:tcW w:w="1080" w:type="dxa"/>
            <w:vAlign w:val="bottom"/>
          </w:tcPr>
          <w:p w:rsidR="00A621E3" w:rsidRDefault="00EC630E">
            <w:pPr>
              <w:ind w:right="10"/>
              <w:jc w:val="right"/>
              <w:rPr>
                <w:sz w:val="20"/>
                <w:szCs w:val="20"/>
              </w:rPr>
            </w:pPr>
            <w:r>
              <w:rPr>
                <w:rFonts w:ascii="Arial" w:eastAsia="Arial" w:hAnsi="Arial" w:cs="Arial"/>
                <w:sz w:val="13"/>
                <w:szCs w:val="13"/>
              </w:rPr>
              <w:t>—</w:t>
            </w:r>
          </w:p>
        </w:tc>
      </w:tr>
      <w:tr w:rsidR="00A621E3">
        <w:trPr>
          <w:trHeight w:val="176"/>
        </w:trPr>
        <w:tc>
          <w:tcPr>
            <w:tcW w:w="1460" w:type="dxa"/>
            <w:vAlign w:val="bottom"/>
          </w:tcPr>
          <w:p w:rsidR="00A621E3" w:rsidRDefault="00A621E3">
            <w:pPr>
              <w:rPr>
                <w:sz w:val="15"/>
                <w:szCs w:val="15"/>
              </w:rPr>
            </w:pPr>
          </w:p>
        </w:tc>
        <w:tc>
          <w:tcPr>
            <w:tcW w:w="840" w:type="dxa"/>
            <w:vAlign w:val="bottom"/>
          </w:tcPr>
          <w:p w:rsidR="00A621E3" w:rsidRDefault="00EC630E">
            <w:pPr>
              <w:jc w:val="right"/>
              <w:rPr>
                <w:sz w:val="20"/>
                <w:szCs w:val="20"/>
              </w:rPr>
            </w:pPr>
            <w:r>
              <w:rPr>
                <w:rFonts w:ascii="Arial" w:eastAsia="Arial" w:hAnsi="Arial" w:cs="Arial"/>
                <w:sz w:val="13"/>
                <w:szCs w:val="13"/>
              </w:rPr>
              <w:t>2/7/2020</w:t>
            </w:r>
          </w:p>
        </w:tc>
        <w:tc>
          <w:tcPr>
            <w:tcW w:w="1080" w:type="dxa"/>
            <w:vAlign w:val="bottom"/>
          </w:tcPr>
          <w:p w:rsidR="00A621E3" w:rsidRDefault="00EC630E">
            <w:pPr>
              <w:ind w:right="10"/>
              <w:jc w:val="right"/>
              <w:rPr>
                <w:sz w:val="20"/>
                <w:szCs w:val="20"/>
              </w:rPr>
            </w:pPr>
            <w:r>
              <w:rPr>
                <w:rFonts w:ascii="Arial" w:eastAsia="Arial" w:hAnsi="Arial" w:cs="Arial"/>
                <w:sz w:val="13"/>
                <w:szCs w:val="13"/>
              </w:rPr>
              <w:t>12,159</w:t>
            </w:r>
          </w:p>
        </w:tc>
        <w:tc>
          <w:tcPr>
            <w:tcW w:w="1440" w:type="dxa"/>
            <w:vAlign w:val="bottom"/>
          </w:tcPr>
          <w:p w:rsidR="00A621E3" w:rsidRDefault="00EC630E">
            <w:pPr>
              <w:spacing w:line="176" w:lineRule="exact"/>
              <w:ind w:left="800"/>
              <w:rPr>
                <w:sz w:val="20"/>
                <w:szCs w:val="20"/>
              </w:rPr>
            </w:pPr>
            <w:r>
              <w:rPr>
                <w:rFonts w:ascii="Arial" w:eastAsia="Arial" w:hAnsi="Arial" w:cs="Arial"/>
                <w:sz w:val="13"/>
                <w:szCs w:val="13"/>
              </w:rPr>
              <w:t>12,160</w:t>
            </w:r>
            <w:r>
              <w:rPr>
                <w:rFonts w:ascii="Arial" w:eastAsia="Arial" w:hAnsi="Arial" w:cs="Arial"/>
                <w:sz w:val="20"/>
                <w:szCs w:val="20"/>
                <w:vertAlign w:val="superscript"/>
              </w:rPr>
              <w:t>(ii)</w:t>
            </w:r>
          </w:p>
        </w:tc>
        <w:tc>
          <w:tcPr>
            <w:tcW w:w="780" w:type="dxa"/>
            <w:vAlign w:val="bottom"/>
          </w:tcPr>
          <w:p w:rsidR="00A621E3" w:rsidRDefault="00EC630E">
            <w:pPr>
              <w:ind w:right="31"/>
              <w:jc w:val="right"/>
              <w:rPr>
                <w:sz w:val="20"/>
                <w:szCs w:val="20"/>
              </w:rPr>
            </w:pPr>
            <w:r>
              <w:rPr>
                <w:rFonts w:ascii="Arial" w:eastAsia="Arial" w:hAnsi="Arial" w:cs="Arial"/>
                <w:sz w:val="13"/>
                <w:szCs w:val="13"/>
              </w:rPr>
              <w:t>42.71</w:t>
            </w:r>
          </w:p>
        </w:tc>
        <w:tc>
          <w:tcPr>
            <w:tcW w:w="840" w:type="dxa"/>
            <w:vAlign w:val="bottom"/>
          </w:tcPr>
          <w:p w:rsidR="00A621E3" w:rsidRDefault="00EC630E">
            <w:pPr>
              <w:jc w:val="right"/>
              <w:rPr>
                <w:sz w:val="20"/>
                <w:szCs w:val="20"/>
              </w:rPr>
            </w:pPr>
            <w:r>
              <w:rPr>
                <w:rFonts w:ascii="Arial" w:eastAsia="Arial" w:hAnsi="Arial" w:cs="Arial"/>
                <w:sz w:val="13"/>
                <w:szCs w:val="13"/>
              </w:rPr>
              <w:t>2/7/2030</w:t>
            </w:r>
          </w:p>
        </w:tc>
        <w:tc>
          <w:tcPr>
            <w:tcW w:w="260" w:type="dxa"/>
            <w:vAlign w:val="bottom"/>
          </w:tcPr>
          <w:p w:rsidR="00A621E3" w:rsidRDefault="00A621E3">
            <w:pPr>
              <w:rPr>
                <w:sz w:val="15"/>
                <w:szCs w:val="15"/>
              </w:rPr>
            </w:pPr>
          </w:p>
        </w:tc>
        <w:tc>
          <w:tcPr>
            <w:tcW w:w="1100" w:type="dxa"/>
            <w:vAlign w:val="bottom"/>
          </w:tcPr>
          <w:p w:rsidR="00A621E3" w:rsidRDefault="00EC630E">
            <w:pPr>
              <w:ind w:right="151"/>
              <w:jc w:val="right"/>
              <w:rPr>
                <w:sz w:val="20"/>
                <w:szCs w:val="20"/>
              </w:rPr>
            </w:pPr>
            <w:r>
              <w:rPr>
                <w:rFonts w:ascii="Arial" w:eastAsia="Arial" w:hAnsi="Arial" w:cs="Arial"/>
                <w:sz w:val="13"/>
                <w:szCs w:val="13"/>
              </w:rPr>
              <w:t>—</w:t>
            </w:r>
          </w:p>
        </w:tc>
        <w:tc>
          <w:tcPr>
            <w:tcW w:w="920" w:type="dxa"/>
            <w:vAlign w:val="bottom"/>
          </w:tcPr>
          <w:p w:rsidR="00A621E3" w:rsidRDefault="00EC630E">
            <w:pPr>
              <w:ind w:right="10"/>
              <w:jc w:val="right"/>
              <w:rPr>
                <w:sz w:val="20"/>
                <w:szCs w:val="20"/>
              </w:rPr>
            </w:pPr>
            <w:r>
              <w:rPr>
                <w:rFonts w:ascii="Arial" w:eastAsia="Arial" w:hAnsi="Arial" w:cs="Arial"/>
                <w:sz w:val="13"/>
                <w:szCs w:val="13"/>
              </w:rPr>
              <w:t>—</w:t>
            </w:r>
          </w:p>
        </w:tc>
        <w:tc>
          <w:tcPr>
            <w:tcW w:w="1220" w:type="dxa"/>
            <w:vAlign w:val="bottom"/>
          </w:tcPr>
          <w:p w:rsidR="00A621E3" w:rsidRDefault="00EC630E">
            <w:pPr>
              <w:spacing w:line="176" w:lineRule="exact"/>
              <w:ind w:left="620"/>
              <w:rPr>
                <w:sz w:val="20"/>
                <w:szCs w:val="20"/>
              </w:rPr>
            </w:pPr>
            <w:r>
              <w:rPr>
                <w:rFonts w:ascii="Arial" w:eastAsia="Arial" w:hAnsi="Arial" w:cs="Arial"/>
                <w:sz w:val="13"/>
                <w:szCs w:val="13"/>
              </w:rPr>
              <w:t>19,542</w:t>
            </w:r>
            <w:r>
              <w:rPr>
                <w:rFonts w:ascii="Arial" w:eastAsia="Arial" w:hAnsi="Arial" w:cs="Arial"/>
                <w:sz w:val="20"/>
                <w:szCs w:val="20"/>
                <w:vertAlign w:val="superscript"/>
              </w:rPr>
              <w:t>(i)</w:t>
            </w:r>
          </w:p>
        </w:tc>
        <w:tc>
          <w:tcPr>
            <w:tcW w:w="1080" w:type="dxa"/>
            <w:vAlign w:val="bottom"/>
          </w:tcPr>
          <w:p w:rsidR="00A621E3" w:rsidRDefault="00EC630E">
            <w:pPr>
              <w:ind w:right="10"/>
              <w:jc w:val="right"/>
              <w:rPr>
                <w:sz w:val="20"/>
                <w:szCs w:val="20"/>
              </w:rPr>
            </w:pPr>
            <w:r>
              <w:rPr>
                <w:rFonts w:ascii="Arial" w:eastAsia="Arial" w:hAnsi="Arial" w:cs="Arial"/>
                <w:sz w:val="13"/>
                <w:szCs w:val="13"/>
              </w:rPr>
              <w:t>1,067,970</w:t>
            </w:r>
          </w:p>
        </w:tc>
      </w:tr>
      <w:tr w:rsidR="00A621E3">
        <w:trPr>
          <w:trHeight w:val="175"/>
        </w:trPr>
        <w:tc>
          <w:tcPr>
            <w:tcW w:w="1460" w:type="dxa"/>
            <w:vAlign w:val="bottom"/>
          </w:tcPr>
          <w:p w:rsidR="00A621E3" w:rsidRDefault="00A621E3">
            <w:pPr>
              <w:rPr>
                <w:sz w:val="15"/>
                <w:szCs w:val="15"/>
              </w:rPr>
            </w:pPr>
          </w:p>
        </w:tc>
        <w:tc>
          <w:tcPr>
            <w:tcW w:w="840" w:type="dxa"/>
            <w:vAlign w:val="bottom"/>
          </w:tcPr>
          <w:p w:rsidR="00A621E3" w:rsidRDefault="00EC630E">
            <w:pPr>
              <w:jc w:val="right"/>
              <w:rPr>
                <w:sz w:val="20"/>
                <w:szCs w:val="20"/>
              </w:rPr>
            </w:pPr>
            <w:r>
              <w:rPr>
                <w:rFonts w:ascii="Arial" w:eastAsia="Arial" w:hAnsi="Arial" w:cs="Arial"/>
                <w:sz w:val="13"/>
                <w:szCs w:val="13"/>
              </w:rPr>
              <w:t>2/5/2021</w:t>
            </w:r>
          </w:p>
        </w:tc>
        <w:tc>
          <w:tcPr>
            <w:tcW w:w="1080" w:type="dxa"/>
            <w:vAlign w:val="bottom"/>
          </w:tcPr>
          <w:p w:rsidR="00A621E3" w:rsidRDefault="00EC630E">
            <w:pPr>
              <w:ind w:right="10"/>
              <w:jc w:val="right"/>
              <w:rPr>
                <w:sz w:val="20"/>
                <w:szCs w:val="20"/>
              </w:rPr>
            </w:pPr>
            <w:r>
              <w:rPr>
                <w:rFonts w:ascii="Arial" w:eastAsia="Arial" w:hAnsi="Arial" w:cs="Arial"/>
                <w:sz w:val="13"/>
                <w:szCs w:val="13"/>
              </w:rPr>
              <w:t>5,016</w:t>
            </w:r>
          </w:p>
        </w:tc>
        <w:tc>
          <w:tcPr>
            <w:tcW w:w="1440" w:type="dxa"/>
            <w:vAlign w:val="bottom"/>
          </w:tcPr>
          <w:p w:rsidR="00A621E3" w:rsidRDefault="00EC630E">
            <w:pPr>
              <w:spacing w:line="176" w:lineRule="exact"/>
              <w:ind w:left="800"/>
              <w:rPr>
                <w:sz w:val="20"/>
                <w:szCs w:val="20"/>
              </w:rPr>
            </w:pPr>
            <w:r>
              <w:rPr>
                <w:rFonts w:ascii="Arial" w:eastAsia="Arial" w:hAnsi="Arial" w:cs="Arial"/>
                <w:sz w:val="13"/>
                <w:szCs w:val="13"/>
              </w:rPr>
              <w:t>15,050</w:t>
            </w:r>
            <w:r>
              <w:rPr>
                <w:rFonts w:ascii="Arial" w:eastAsia="Arial" w:hAnsi="Arial" w:cs="Arial"/>
                <w:sz w:val="20"/>
                <w:szCs w:val="20"/>
                <w:vertAlign w:val="superscript"/>
              </w:rPr>
              <w:t>(iii)</w:t>
            </w:r>
          </w:p>
        </w:tc>
        <w:tc>
          <w:tcPr>
            <w:tcW w:w="780" w:type="dxa"/>
            <w:vAlign w:val="bottom"/>
          </w:tcPr>
          <w:p w:rsidR="00A621E3" w:rsidRDefault="00EC630E">
            <w:pPr>
              <w:ind w:right="31"/>
              <w:jc w:val="right"/>
              <w:rPr>
                <w:sz w:val="20"/>
                <w:szCs w:val="20"/>
              </w:rPr>
            </w:pPr>
            <w:r>
              <w:rPr>
                <w:rFonts w:ascii="Arial" w:eastAsia="Arial" w:hAnsi="Arial" w:cs="Arial"/>
                <w:sz w:val="13"/>
                <w:szCs w:val="13"/>
              </w:rPr>
              <w:t>57.39</w:t>
            </w:r>
          </w:p>
        </w:tc>
        <w:tc>
          <w:tcPr>
            <w:tcW w:w="840" w:type="dxa"/>
            <w:vAlign w:val="bottom"/>
          </w:tcPr>
          <w:p w:rsidR="00A621E3" w:rsidRDefault="00EC630E">
            <w:pPr>
              <w:jc w:val="right"/>
              <w:rPr>
                <w:sz w:val="20"/>
                <w:szCs w:val="20"/>
              </w:rPr>
            </w:pPr>
            <w:r>
              <w:rPr>
                <w:rFonts w:ascii="Arial" w:eastAsia="Arial" w:hAnsi="Arial" w:cs="Arial"/>
                <w:sz w:val="13"/>
                <w:szCs w:val="13"/>
              </w:rPr>
              <w:t>2/5/2031</w:t>
            </w:r>
          </w:p>
        </w:tc>
        <w:tc>
          <w:tcPr>
            <w:tcW w:w="260" w:type="dxa"/>
            <w:vAlign w:val="bottom"/>
          </w:tcPr>
          <w:p w:rsidR="00A621E3" w:rsidRDefault="00A621E3">
            <w:pPr>
              <w:rPr>
                <w:sz w:val="15"/>
                <w:szCs w:val="15"/>
              </w:rPr>
            </w:pPr>
          </w:p>
        </w:tc>
        <w:tc>
          <w:tcPr>
            <w:tcW w:w="1100" w:type="dxa"/>
            <w:vAlign w:val="bottom"/>
          </w:tcPr>
          <w:p w:rsidR="00A621E3" w:rsidRDefault="00EC630E">
            <w:pPr>
              <w:ind w:right="151"/>
              <w:jc w:val="right"/>
              <w:rPr>
                <w:sz w:val="20"/>
                <w:szCs w:val="20"/>
              </w:rPr>
            </w:pPr>
            <w:r>
              <w:rPr>
                <w:rFonts w:ascii="Arial" w:eastAsia="Arial" w:hAnsi="Arial" w:cs="Arial"/>
                <w:sz w:val="13"/>
                <w:szCs w:val="13"/>
              </w:rPr>
              <w:t>—</w:t>
            </w:r>
          </w:p>
        </w:tc>
        <w:tc>
          <w:tcPr>
            <w:tcW w:w="920" w:type="dxa"/>
            <w:vAlign w:val="bottom"/>
          </w:tcPr>
          <w:p w:rsidR="00A621E3" w:rsidRDefault="00EC630E">
            <w:pPr>
              <w:ind w:right="10"/>
              <w:jc w:val="right"/>
              <w:rPr>
                <w:sz w:val="20"/>
                <w:szCs w:val="20"/>
              </w:rPr>
            </w:pPr>
            <w:r>
              <w:rPr>
                <w:rFonts w:ascii="Arial" w:eastAsia="Arial" w:hAnsi="Arial" w:cs="Arial"/>
                <w:sz w:val="13"/>
                <w:szCs w:val="13"/>
              </w:rPr>
              <w:t>—</w:t>
            </w:r>
          </w:p>
        </w:tc>
        <w:tc>
          <w:tcPr>
            <w:tcW w:w="1220" w:type="dxa"/>
            <w:vAlign w:val="bottom"/>
          </w:tcPr>
          <w:p w:rsidR="00A621E3" w:rsidRDefault="00EC630E">
            <w:pPr>
              <w:spacing w:line="176" w:lineRule="exact"/>
              <w:ind w:left="680"/>
              <w:rPr>
                <w:sz w:val="20"/>
                <w:szCs w:val="20"/>
              </w:rPr>
            </w:pPr>
            <w:r>
              <w:rPr>
                <w:rFonts w:ascii="Arial" w:eastAsia="Arial" w:hAnsi="Arial" w:cs="Arial"/>
                <w:sz w:val="13"/>
                <w:szCs w:val="13"/>
              </w:rPr>
              <w:t>1,198</w:t>
            </w:r>
            <w:r>
              <w:rPr>
                <w:rFonts w:ascii="Arial" w:eastAsia="Arial" w:hAnsi="Arial" w:cs="Arial"/>
                <w:sz w:val="20"/>
                <w:szCs w:val="20"/>
                <w:vertAlign w:val="superscript"/>
              </w:rPr>
              <w:t>(ii)</w:t>
            </w:r>
          </w:p>
        </w:tc>
        <w:tc>
          <w:tcPr>
            <w:tcW w:w="1080" w:type="dxa"/>
            <w:vAlign w:val="bottom"/>
          </w:tcPr>
          <w:p w:rsidR="00A621E3" w:rsidRDefault="00EC630E">
            <w:pPr>
              <w:ind w:right="10"/>
              <w:jc w:val="right"/>
              <w:rPr>
                <w:sz w:val="20"/>
                <w:szCs w:val="20"/>
              </w:rPr>
            </w:pPr>
            <w:r>
              <w:rPr>
                <w:rFonts w:ascii="Arial" w:eastAsia="Arial" w:hAnsi="Arial" w:cs="Arial"/>
                <w:sz w:val="13"/>
                <w:szCs w:val="13"/>
              </w:rPr>
              <w:t>65,443</w:t>
            </w:r>
          </w:p>
        </w:tc>
      </w:tr>
      <w:tr w:rsidR="00A621E3">
        <w:trPr>
          <w:trHeight w:val="176"/>
        </w:trPr>
        <w:tc>
          <w:tcPr>
            <w:tcW w:w="1460" w:type="dxa"/>
            <w:vAlign w:val="bottom"/>
          </w:tcPr>
          <w:p w:rsidR="00A621E3" w:rsidRDefault="00A621E3">
            <w:pPr>
              <w:rPr>
                <w:sz w:val="15"/>
                <w:szCs w:val="15"/>
              </w:rPr>
            </w:pPr>
          </w:p>
        </w:tc>
        <w:tc>
          <w:tcPr>
            <w:tcW w:w="840" w:type="dxa"/>
            <w:vAlign w:val="bottom"/>
          </w:tcPr>
          <w:p w:rsidR="00A621E3" w:rsidRDefault="00EC630E">
            <w:pPr>
              <w:jc w:val="right"/>
              <w:rPr>
                <w:sz w:val="20"/>
                <w:szCs w:val="20"/>
              </w:rPr>
            </w:pPr>
            <w:r>
              <w:rPr>
                <w:rFonts w:ascii="Arial" w:eastAsia="Arial" w:hAnsi="Arial" w:cs="Arial"/>
                <w:sz w:val="13"/>
                <w:szCs w:val="13"/>
              </w:rPr>
              <w:t>5/25/2021</w:t>
            </w:r>
          </w:p>
        </w:tc>
        <w:tc>
          <w:tcPr>
            <w:tcW w:w="1080" w:type="dxa"/>
            <w:vAlign w:val="bottom"/>
          </w:tcPr>
          <w:p w:rsidR="00A621E3" w:rsidRDefault="00EC630E">
            <w:pPr>
              <w:ind w:right="10"/>
              <w:jc w:val="right"/>
              <w:rPr>
                <w:sz w:val="20"/>
                <w:szCs w:val="20"/>
              </w:rPr>
            </w:pPr>
            <w:r>
              <w:rPr>
                <w:rFonts w:ascii="Arial" w:eastAsia="Arial" w:hAnsi="Arial" w:cs="Arial"/>
                <w:sz w:val="13"/>
                <w:szCs w:val="13"/>
              </w:rPr>
              <w:t>—</w:t>
            </w:r>
          </w:p>
        </w:tc>
        <w:tc>
          <w:tcPr>
            <w:tcW w:w="1440" w:type="dxa"/>
            <w:vAlign w:val="bottom"/>
          </w:tcPr>
          <w:p w:rsidR="00A621E3" w:rsidRDefault="00EC630E">
            <w:pPr>
              <w:ind w:right="171"/>
              <w:jc w:val="right"/>
              <w:rPr>
                <w:sz w:val="20"/>
                <w:szCs w:val="20"/>
              </w:rPr>
            </w:pPr>
            <w:r>
              <w:rPr>
                <w:rFonts w:ascii="Arial" w:eastAsia="Arial" w:hAnsi="Arial" w:cs="Arial"/>
                <w:sz w:val="13"/>
                <w:szCs w:val="13"/>
              </w:rPr>
              <w:t>—</w:t>
            </w:r>
          </w:p>
        </w:tc>
        <w:tc>
          <w:tcPr>
            <w:tcW w:w="780" w:type="dxa"/>
            <w:vAlign w:val="bottom"/>
          </w:tcPr>
          <w:p w:rsidR="00A621E3" w:rsidRDefault="00EC630E">
            <w:pPr>
              <w:ind w:right="31"/>
              <w:jc w:val="right"/>
              <w:rPr>
                <w:sz w:val="20"/>
                <w:szCs w:val="20"/>
              </w:rPr>
            </w:pPr>
            <w:r>
              <w:rPr>
                <w:rFonts w:ascii="Arial" w:eastAsia="Arial" w:hAnsi="Arial" w:cs="Arial"/>
                <w:sz w:val="13"/>
                <w:szCs w:val="13"/>
              </w:rPr>
              <w:t>—</w:t>
            </w:r>
          </w:p>
        </w:tc>
        <w:tc>
          <w:tcPr>
            <w:tcW w:w="1100" w:type="dxa"/>
            <w:gridSpan w:val="2"/>
            <w:vAlign w:val="bottom"/>
          </w:tcPr>
          <w:p w:rsidR="00A621E3" w:rsidRDefault="00EC630E">
            <w:pPr>
              <w:ind w:right="300"/>
              <w:jc w:val="right"/>
              <w:rPr>
                <w:sz w:val="20"/>
                <w:szCs w:val="20"/>
              </w:rPr>
            </w:pPr>
            <w:r>
              <w:rPr>
                <w:rFonts w:ascii="Arial" w:eastAsia="Arial" w:hAnsi="Arial" w:cs="Arial"/>
                <w:sz w:val="13"/>
                <w:szCs w:val="13"/>
              </w:rPr>
              <w:t>—</w:t>
            </w:r>
          </w:p>
        </w:tc>
        <w:tc>
          <w:tcPr>
            <w:tcW w:w="1100" w:type="dxa"/>
            <w:vAlign w:val="bottom"/>
          </w:tcPr>
          <w:p w:rsidR="00A621E3" w:rsidRDefault="00EC630E">
            <w:pPr>
              <w:ind w:right="151"/>
              <w:jc w:val="right"/>
              <w:rPr>
                <w:sz w:val="20"/>
                <w:szCs w:val="20"/>
              </w:rPr>
            </w:pPr>
            <w:r>
              <w:rPr>
                <w:rFonts w:ascii="Arial" w:eastAsia="Arial" w:hAnsi="Arial" w:cs="Arial"/>
                <w:sz w:val="13"/>
                <w:szCs w:val="13"/>
              </w:rPr>
              <w:t>—</w:t>
            </w:r>
          </w:p>
        </w:tc>
        <w:tc>
          <w:tcPr>
            <w:tcW w:w="920" w:type="dxa"/>
            <w:vAlign w:val="bottom"/>
          </w:tcPr>
          <w:p w:rsidR="00A621E3" w:rsidRDefault="00EC630E">
            <w:pPr>
              <w:ind w:right="10"/>
              <w:jc w:val="right"/>
              <w:rPr>
                <w:sz w:val="20"/>
                <w:szCs w:val="20"/>
              </w:rPr>
            </w:pPr>
            <w:r>
              <w:rPr>
                <w:rFonts w:ascii="Arial" w:eastAsia="Arial" w:hAnsi="Arial" w:cs="Arial"/>
                <w:sz w:val="13"/>
                <w:szCs w:val="13"/>
              </w:rPr>
              <w:t>—</w:t>
            </w:r>
          </w:p>
        </w:tc>
        <w:tc>
          <w:tcPr>
            <w:tcW w:w="1220" w:type="dxa"/>
            <w:vAlign w:val="bottom"/>
          </w:tcPr>
          <w:p w:rsidR="00A621E3" w:rsidRDefault="00EC630E">
            <w:pPr>
              <w:spacing w:line="176" w:lineRule="exact"/>
              <w:ind w:left="680"/>
              <w:rPr>
                <w:sz w:val="20"/>
                <w:szCs w:val="20"/>
              </w:rPr>
            </w:pPr>
            <w:r>
              <w:rPr>
                <w:rFonts w:ascii="Arial" w:eastAsia="Arial" w:hAnsi="Arial" w:cs="Arial"/>
                <w:sz w:val="13"/>
                <w:szCs w:val="13"/>
              </w:rPr>
              <w:t>1,525</w:t>
            </w:r>
            <w:r>
              <w:rPr>
                <w:rFonts w:ascii="Arial" w:eastAsia="Arial" w:hAnsi="Arial" w:cs="Arial"/>
                <w:sz w:val="20"/>
                <w:szCs w:val="20"/>
                <w:vertAlign w:val="superscript"/>
              </w:rPr>
              <w:t>(ii)</w:t>
            </w:r>
          </w:p>
        </w:tc>
        <w:tc>
          <w:tcPr>
            <w:tcW w:w="1080" w:type="dxa"/>
            <w:vAlign w:val="bottom"/>
          </w:tcPr>
          <w:p w:rsidR="00A621E3" w:rsidRDefault="00EC630E">
            <w:pPr>
              <w:ind w:right="10"/>
              <w:jc w:val="right"/>
              <w:rPr>
                <w:sz w:val="20"/>
                <w:szCs w:val="20"/>
              </w:rPr>
            </w:pPr>
            <w:r>
              <w:rPr>
                <w:rFonts w:ascii="Arial" w:eastAsia="Arial" w:hAnsi="Arial" w:cs="Arial"/>
                <w:sz w:val="13"/>
                <w:szCs w:val="13"/>
              </w:rPr>
              <w:t>83,341</w:t>
            </w:r>
          </w:p>
        </w:tc>
      </w:tr>
      <w:tr w:rsidR="00A621E3">
        <w:trPr>
          <w:trHeight w:val="149"/>
        </w:trPr>
        <w:tc>
          <w:tcPr>
            <w:tcW w:w="1460" w:type="dxa"/>
            <w:tcBorders>
              <w:bottom w:val="single" w:sz="8" w:space="0" w:color="CF0A2C"/>
            </w:tcBorders>
            <w:vAlign w:val="bottom"/>
          </w:tcPr>
          <w:p w:rsidR="00A621E3" w:rsidRDefault="00A621E3">
            <w:pPr>
              <w:rPr>
                <w:sz w:val="12"/>
                <w:szCs w:val="12"/>
              </w:rPr>
            </w:pPr>
          </w:p>
        </w:tc>
        <w:tc>
          <w:tcPr>
            <w:tcW w:w="84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2/10/2022</w:t>
            </w:r>
          </w:p>
        </w:tc>
        <w:tc>
          <w:tcPr>
            <w:tcW w:w="1080" w:type="dxa"/>
            <w:tcBorders>
              <w:bottom w:val="single" w:sz="8" w:space="0" w:color="CF0A2C"/>
            </w:tcBorders>
            <w:vAlign w:val="bottom"/>
          </w:tcPr>
          <w:p w:rsidR="00A621E3" w:rsidRDefault="00EC630E">
            <w:pPr>
              <w:ind w:right="10"/>
              <w:jc w:val="right"/>
              <w:rPr>
                <w:sz w:val="20"/>
                <w:szCs w:val="20"/>
              </w:rPr>
            </w:pPr>
            <w:r>
              <w:rPr>
                <w:rFonts w:ascii="Arial" w:eastAsia="Arial" w:hAnsi="Arial" w:cs="Arial"/>
                <w:sz w:val="13"/>
                <w:szCs w:val="13"/>
              </w:rPr>
              <w:t>—</w:t>
            </w:r>
          </w:p>
        </w:tc>
        <w:tc>
          <w:tcPr>
            <w:tcW w:w="1440" w:type="dxa"/>
            <w:tcBorders>
              <w:bottom w:val="single" w:sz="8" w:space="0" w:color="CF0A2C"/>
            </w:tcBorders>
            <w:vAlign w:val="bottom"/>
          </w:tcPr>
          <w:p w:rsidR="00A621E3" w:rsidRDefault="00EC630E">
            <w:pPr>
              <w:spacing w:line="150" w:lineRule="exact"/>
              <w:ind w:left="800"/>
              <w:rPr>
                <w:sz w:val="20"/>
                <w:szCs w:val="20"/>
              </w:rPr>
            </w:pPr>
            <w:r>
              <w:rPr>
                <w:rFonts w:ascii="Arial" w:eastAsia="Arial" w:hAnsi="Arial" w:cs="Arial"/>
                <w:sz w:val="12"/>
                <w:szCs w:val="12"/>
              </w:rPr>
              <w:t>24,112</w:t>
            </w:r>
            <w:r>
              <w:rPr>
                <w:rFonts w:ascii="Arial" w:eastAsia="Arial" w:hAnsi="Arial" w:cs="Arial"/>
                <w:sz w:val="17"/>
                <w:szCs w:val="17"/>
                <w:vertAlign w:val="superscript"/>
              </w:rPr>
              <w:t>(iv)</w:t>
            </w:r>
          </w:p>
        </w:tc>
        <w:tc>
          <w:tcPr>
            <w:tcW w:w="780" w:type="dxa"/>
            <w:tcBorders>
              <w:bottom w:val="single" w:sz="8" w:space="0" w:color="CF0A2C"/>
            </w:tcBorders>
            <w:vAlign w:val="bottom"/>
          </w:tcPr>
          <w:p w:rsidR="00A621E3" w:rsidRDefault="00EC630E">
            <w:pPr>
              <w:ind w:right="31"/>
              <w:jc w:val="right"/>
              <w:rPr>
                <w:sz w:val="20"/>
                <w:szCs w:val="20"/>
              </w:rPr>
            </w:pPr>
            <w:r>
              <w:rPr>
                <w:rFonts w:ascii="Arial" w:eastAsia="Arial" w:hAnsi="Arial" w:cs="Arial"/>
                <w:sz w:val="13"/>
                <w:szCs w:val="13"/>
              </w:rPr>
              <w:t>50.16</w:t>
            </w:r>
          </w:p>
        </w:tc>
        <w:tc>
          <w:tcPr>
            <w:tcW w:w="84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2/10/2032</w:t>
            </w:r>
          </w:p>
        </w:tc>
        <w:tc>
          <w:tcPr>
            <w:tcW w:w="260" w:type="dxa"/>
            <w:tcBorders>
              <w:bottom w:val="single" w:sz="8" w:space="0" w:color="CF0A2C"/>
            </w:tcBorders>
            <w:vAlign w:val="bottom"/>
          </w:tcPr>
          <w:p w:rsidR="00A621E3" w:rsidRDefault="00A621E3">
            <w:pPr>
              <w:rPr>
                <w:sz w:val="12"/>
                <w:szCs w:val="12"/>
              </w:rPr>
            </w:pPr>
          </w:p>
        </w:tc>
        <w:tc>
          <w:tcPr>
            <w:tcW w:w="1100" w:type="dxa"/>
            <w:tcBorders>
              <w:bottom w:val="single" w:sz="8" w:space="0" w:color="CF0A2C"/>
            </w:tcBorders>
            <w:vAlign w:val="bottom"/>
          </w:tcPr>
          <w:p w:rsidR="00A621E3" w:rsidRDefault="00EC630E">
            <w:pPr>
              <w:spacing w:line="150" w:lineRule="exact"/>
              <w:ind w:right="31"/>
              <w:jc w:val="right"/>
              <w:rPr>
                <w:sz w:val="20"/>
                <w:szCs w:val="20"/>
              </w:rPr>
            </w:pPr>
            <w:r>
              <w:rPr>
                <w:rFonts w:ascii="Arial" w:eastAsia="Arial" w:hAnsi="Arial" w:cs="Arial"/>
                <w:sz w:val="12"/>
                <w:szCs w:val="12"/>
              </w:rPr>
              <w:t>3,022</w:t>
            </w:r>
            <w:r>
              <w:rPr>
                <w:rFonts w:ascii="Arial" w:eastAsia="Arial" w:hAnsi="Arial" w:cs="Arial"/>
                <w:sz w:val="17"/>
                <w:szCs w:val="17"/>
                <w:vertAlign w:val="superscript"/>
              </w:rPr>
              <w:t>(ii)</w:t>
            </w:r>
          </w:p>
        </w:tc>
        <w:tc>
          <w:tcPr>
            <w:tcW w:w="920" w:type="dxa"/>
            <w:tcBorders>
              <w:bottom w:val="single" w:sz="8" w:space="0" w:color="CF0A2C"/>
            </w:tcBorders>
            <w:vAlign w:val="bottom"/>
          </w:tcPr>
          <w:p w:rsidR="00A621E3" w:rsidRDefault="00EC630E">
            <w:pPr>
              <w:ind w:right="10"/>
              <w:jc w:val="right"/>
              <w:rPr>
                <w:sz w:val="20"/>
                <w:szCs w:val="20"/>
              </w:rPr>
            </w:pPr>
            <w:r>
              <w:rPr>
                <w:rFonts w:ascii="Arial" w:eastAsia="Arial" w:hAnsi="Arial" w:cs="Arial"/>
                <w:sz w:val="13"/>
                <w:szCs w:val="13"/>
              </w:rPr>
              <w:t>165,128</w:t>
            </w:r>
          </w:p>
        </w:tc>
        <w:tc>
          <w:tcPr>
            <w:tcW w:w="1220" w:type="dxa"/>
            <w:tcBorders>
              <w:bottom w:val="single" w:sz="8" w:space="0" w:color="CF0A2C"/>
            </w:tcBorders>
            <w:vAlign w:val="bottom"/>
          </w:tcPr>
          <w:p w:rsidR="00A621E3" w:rsidRDefault="00EC630E">
            <w:pPr>
              <w:spacing w:line="150" w:lineRule="exact"/>
              <w:ind w:left="680"/>
              <w:rPr>
                <w:sz w:val="20"/>
                <w:szCs w:val="20"/>
              </w:rPr>
            </w:pPr>
            <w:r>
              <w:rPr>
                <w:rFonts w:ascii="Arial" w:eastAsia="Arial" w:hAnsi="Arial" w:cs="Arial"/>
                <w:sz w:val="12"/>
                <w:szCs w:val="12"/>
              </w:rPr>
              <w:t>6,600</w:t>
            </w:r>
            <w:r>
              <w:rPr>
                <w:rFonts w:ascii="Arial" w:eastAsia="Arial" w:hAnsi="Arial" w:cs="Arial"/>
                <w:sz w:val="17"/>
                <w:szCs w:val="17"/>
                <w:vertAlign w:val="superscript"/>
              </w:rPr>
              <w:t>(iii)</w:t>
            </w:r>
          </w:p>
        </w:tc>
        <w:tc>
          <w:tcPr>
            <w:tcW w:w="1080" w:type="dxa"/>
            <w:tcBorders>
              <w:bottom w:val="single" w:sz="8" w:space="0" w:color="CF0A2C"/>
            </w:tcBorders>
            <w:vAlign w:val="bottom"/>
          </w:tcPr>
          <w:p w:rsidR="00A621E3" w:rsidRDefault="00EC630E">
            <w:pPr>
              <w:ind w:right="10"/>
              <w:jc w:val="right"/>
              <w:rPr>
                <w:sz w:val="20"/>
                <w:szCs w:val="20"/>
              </w:rPr>
            </w:pPr>
            <w:r>
              <w:rPr>
                <w:rFonts w:ascii="Arial" w:eastAsia="Arial" w:hAnsi="Arial" w:cs="Arial"/>
                <w:sz w:val="13"/>
                <w:szCs w:val="13"/>
              </w:rPr>
              <w:t>360,690</w:t>
            </w:r>
          </w:p>
        </w:tc>
      </w:tr>
    </w:tbl>
    <w:p w:rsidR="00A621E3" w:rsidRDefault="00A621E3">
      <w:pPr>
        <w:spacing w:line="226" w:lineRule="exact"/>
        <w:rPr>
          <w:sz w:val="20"/>
          <w:szCs w:val="20"/>
        </w:rPr>
      </w:pPr>
    </w:p>
    <w:p w:rsidR="00A621E3" w:rsidRDefault="00EC630E">
      <w:pPr>
        <w:numPr>
          <w:ilvl w:val="0"/>
          <w:numId w:val="107"/>
        </w:numPr>
        <w:tabs>
          <w:tab w:val="left" w:pos="760"/>
        </w:tabs>
        <w:ind w:left="760" w:hanging="644"/>
        <w:rPr>
          <w:rFonts w:ascii="Arial" w:eastAsia="Arial" w:hAnsi="Arial" w:cs="Arial"/>
          <w:color w:val="CF0A2C"/>
          <w:sz w:val="20"/>
          <w:szCs w:val="20"/>
        </w:rPr>
      </w:pPr>
      <w:r>
        <w:rPr>
          <w:rFonts w:ascii="Arial" w:eastAsia="Arial" w:hAnsi="Arial" w:cs="Arial"/>
          <w:sz w:val="20"/>
          <w:szCs w:val="20"/>
        </w:rPr>
        <w:t>The actual vesting dates for unexercisable SARs are as follows:</w:t>
      </w:r>
    </w:p>
    <w:p w:rsidR="00A621E3" w:rsidRDefault="00A621E3">
      <w:pPr>
        <w:spacing w:line="242" w:lineRule="exact"/>
        <w:rPr>
          <w:rFonts w:ascii="Arial" w:eastAsia="Arial" w:hAnsi="Arial" w:cs="Arial"/>
          <w:color w:val="CF0A2C"/>
          <w:sz w:val="20"/>
          <w:szCs w:val="20"/>
        </w:rPr>
      </w:pPr>
    </w:p>
    <w:p w:rsidR="00A621E3" w:rsidRDefault="00EC630E">
      <w:pPr>
        <w:numPr>
          <w:ilvl w:val="1"/>
          <w:numId w:val="107"/>
        </w:numPr>
        <w:tabs>
          <w:tab w:val="left" w:pos="1420"/>
        </w:tabs>
        <w:ind w:left="1420" w:hanging="656"/>
        <w:rPr>
          <w:rFonts w:ascii="Arial" w:eastAsia="Arial" w:hAnsi="Arial" w:cs="Arial"/>
          <w:color w:val="CF0A2C"/>
          <w:sz w:val="20"/>
          <w:szCs w:val="20"/>
        </w:rPr>
      </w:pPr>
      <w:r>
        <w:rPr>
          <w:rFonts w:ascii="Arial" w:eastAsia="Arial" w:hAnsi="Arial" w:cs="Arial"/>
          <w:sz w:val="20"/>
          <w:szCs w:val="20"/>
        </w:rPr>
        <w:t>Remainder of the unexercisable award vested on February 7, 2023.</w:t>
      </w:r>
    </w:p>
    <w:p w:rsidR="00A621E3" w:rsidRDefault="00A621E3">
      <w:pPr>
        <w:spacing w:line="242" w:lineRule="exact"/>
        <w:rPr>
          <w:rFonts w:ascii="Arial" w:eastAsia="Arial" w:hAnsi="Arial" w:cs="Arial"/>
          <w:color w:val="CF0A2C"/>
          <w:sz w:val="20"/>
          <w:szCs w:val="20"/>
        </w:rPr>
      </w:pPr>
    </w:p>
    <w:p w:rsidR="00A621E3" w:rsidRDefault="00EC630E">
      <w:pPr>
        <w:numPr>
          <w:ilvl w:val="1"/>
          <w:numId w:val="107"/>
        </w:numPr>
        <w:tabs>
          <w:tab w:val="left" w:pos="1420"/>
        </w:tabs>
        <w:ind w:left="1420" w:hanging="656"/>
        <w:rPr>
          <w:rFonts w:ascii="Arial" w:eastAsia="Arial" w:hAnsi="Arial" w:cs="Arial"/>
          <w:color w:val="CF0A2C"/>
          <w:sz w:val="20"/>
          <w:szCs w:val="20"/>
        </w:rPr>
      </w:pPr>
      <w:r>
        <w:rPr>
          <w:rFonts w:ascii="Arial" w:eastAsia="Arial" w:hAnsi="Arial" w:cs="Arial"/>
          <w:sz w:val="20"/>
          <w:szCs w:val="20"/>
        </w:rPr>
        <w:t>One-half of the unexercisable award vested or will vest on each of February 7, 2023 and 2024.</w:t>
      </w:r>
    </w:p>
    <w:p w:rsidR="00A621E3" w:rsidRDefault="00A621E3">
      <w:pPr>
        <w:spacing w:line="242" w:lineRule="exact"/>
        <w:rPr>
          <w:rFonts w:ascii="Arial" w:eastAsia="Arial" w:hAnsi="Arial" w:cs="Arial"/>
          <w:color w:val="CF0A2C"/>
          <w:sz w:val="20"/>
          <w:szCs w:val="20"/>
        </w:rPr>
      </w:pPr>
    </w:p>
    <w:p w:rsidR="00A621E3" w:rsidRDefault="00EC630E">
      <w:pPr>
        <w:numPr>
          <w:ilvl w:val="1"/>
          <w:numId w:val="107"/>
        </w:numPr>
        <w:tabs>
          <w:tab w:val="left" w:pos="1420"/>
        </w:tabs>
        <w:ind w:left="1420" w:hanging="656"/>
        <w:rPr>
          <w:rFonts w:ascii="Arial" w:eastAsia="Arial" w:hAnsi="Arial" w:cs="Arial"/>
          <w:color w:val="CF0A2C"/>
          <w:sz w:val="20"/>
          <w:szCs w:val="20"/>
        </w:rPr>
      </w:pPr>
      <w:r>
        <w:rPr>
          <w:rFonts w:ascii="Arial" w:eastAsia="Arial" w:hAnsi="Arial" w:cs="Arial"/>
          <w:sz w:val="20"/>
          <w:szCs w:val="20"/>
        </w:rPr>
        <w:t>One-third of the unexercisable award vested or will vest on each of February 5, 2023, 2024 and 2025.</w:t>
      </w:r>
    </w:p>
    <w:p w:rsidR="00A621E3" w:rsidRDefault="00A621E3">
      <w:pPr>
        <w:spacing w:line="242" w:lineRule="exact"/>
        <w:rPr>
          <w:rFonts w:ascii="Arial" w:eastAsia="Arial" w:hAnsi="Arial" w:cs="Arial"/>
          <w:color w:val="CF0A2C"/>
          <w:sz w:val="20"/>
          <w:szCs w:val="20"/>
        </w:rPr>
      </w:pPr>
    </w:p>
    <w:p w:rsidR="00A621E3" w:rsidRDefault="00EC630E">
      <w:pPr>
        <w:numPr>
          <w:ilvl w:val="1"/>
          <w:numId w:val="107"/>
        </w:numPr>
        <w:tabs>
          <w:tab w:val="left" w:pos="1420"/>
        </w:tabs>
        <w:ind w:left="1420" w:hanging="656"/>
        <w:rPr>
          <w:rFonts w:ascii="Arial" w:eastAsia="Arial" w:hAnsi="Arial" w:cs="Arial"/>
          <w:color w:val="CF0A2C"/>
          <w:sz w:val="19"/>
          <w:szCs w:val="19"/>
        </w:rPr>
      </w:pPr>
      <w:r>
        <w:rPr>
          <w:rFonts w:ascii="Arial" w:eastAsia="Arial" w:hAnsi="Arial" w:cs="Arial"/>
          <w:sz w:val="19"/>
          <w:szCs w:val="19"/>
        </w:rPr>
        <w:t xml:space="preserve">One-fourth of the unexercisable award vested or will vest </w:t>
      </w:r>
      <w:r>
        <w:rPr>
          <w:rFonts w:ascii="Arial" w:eastAsia="Arial" w:hAnsi="Arial" w:cs="Arial"/>
          <w:sz w:val="19"/>
          <w:szCs w:val="19"/>
        </w:rPr>
        <w:t>on each of February 10, 2023, 2024, 2025 and 2026.</w:t>
      </w:r>
    </w:p>
    <w:p w:rsidR="00A621E3" w:rsidRDefault="00A621E3">
      <w:pPr>
        <w:spacing w:line="254" w:lineRule="exact"/>
        <w:rPr>
          <w:rFonts w:ascii="Arial" w:eastAsia="Arial" w:hAnsi="Arial" w:cs="Arial"/>
          <w:color w:val="CF0A2C"/>
          <w:sz w:val="19"/>
          <w:szCs w:val="19"/>
        </w:rPr>
      </w:pPr>
    </w:p>
    <w:p w:rsidR="00A621E3" w:rsidRDefault="00EC630E">
      <w:pPr>
        <w:numPr>
          <w:ilvl w:val="0"/>
          <w:numId w:val="107"/>
        </w:numPr>
        <w:tabs>
          <w:tab w:val="left" w:pos="760"/>
        </w:tabs>
        <w:spacing w:line="260" w:lineRule="auto"/>
        <w:ind w:left="760" w:hanging="644"/>
        <w:rPr>
          <w:rFonts w:ascii="Arial" w:eastAsia="Arial" w:hAnsi="Arial" w:cs="Arial"/>
          <w:color w:val="CF0A2C"/>
          <w:sz w:val="20"/>
          <w:szCs w:val="20"/>
        </w:rPr>
      </w:pPr>
      <w:r>
        <w:rPr>
          <w:rFonts w:ascii="Arial" w:eastAsia="Arial" w:hAnsi="Arial" w:cs="Arial"/>
          <w:sz w:val="20"/>
          <w:szCs w:val="20"/>
        </w:rPr>
        <w:t xml:space="preserve">The RSUs reported in this column include additional RSUs received with respect to dividend equivalents, which remain subject to the same underlying vesting conditions. The actual vesting dates for </w:t>
      </w:r>
      <w:r>
        <w:rPr>
          <w:rFonts w:ascii="Arial" w:eastAsia="Arial" w:hAnsi="Arial" w:cs="Arial"/>
          <w:sz w:val="20"/>
          <w:szCs w:val="20"/>
        </w:rPr>
        <w:t>unvested RSUs are as follows:</w:t>
      </w:r>
    </w:p>
    <w:p w:rsidR="00A621E3" w:rsidRDefault="00A621E3">
      <w:pPr>
        <w:spacing w:line="203" w:lineRule="exact"/>
        <w:rPr>
          <w:rFonts w:ascii="Arial" w:eastAsia="Arial" w:hAnsi="Arial" w:cs="Arial"/>
          <w:color w:val="CF0A2C"/>
          <w:sz w:val="20"/>
          <w:szCs w:val="20"/>
        </w:rPr>
      </w:pPr>
    </w:p>
    <w:p w:rsidR="00A621E3" w:rsidRDefault="00EC630E">
      <w:pPr>
        <w:numPr>
          <w:ilvl w:val="1"/>
          <w:numId w:val="107"/>
        </w:numPr>
        <w:tabs>
          <w:tab w:val="left" w:pos="1420"/>
        </w:tabs>
        <w:ind w:left="1420" w:hanging="656"/>
        <w:rPr>
          <w:rFonts w:ascii="Arial" w:eastAsia="Arial" w:hAnsi="Arial" w:cs="Arial"/>
          <w:color w:val="CF0A2C"/>
          <w:sz w:val="20"/>
          <w:szCs w:val="20"/>
        </w:rPr>
      </w:pPr>
      <w:r>
        <w:rPr>
          <w:rFonts w:ascii="Arial" w:eastAsia="Arial" w:hAnsi="Arial" w:cs="Arial"/>
          <w:sz w:val="20"/>
          <w:szCs w:val="20"/>
        </w:rPr>
        <w:t>The RSUs will vest in full on February 5, 2024.</w:t>
      </w:r>
    </w:p>
    <w:p w:rsidR="00A621E3" w:rsidRDefault="00A621E3">
      <w:pPr>
        <w:spacing w:line="242" w:lineRule="exact"/>
        <w:rPr>
          <w:rFonts w:ascii="Arial" w:eastAsia="Arial" w:hAnsi="Arial" w:cs="Arial"/>
          <w:color w:val="CF0A2C"/>
          <w:sz w:val="20"/>
          <w:szCs w:val="20"/>
        </w:rPr>
      </w:pPr>
    </w:p>
    <w:p w:rsidR="00A621E3" w:rsidRDefault="00EC630E">
      <w:pPr>
        <w:numPr>
          <w:ilvl w:val="1"/>
          <w:numId w:val="107"/>
        </w:numPr>
        <w:tabs>
          <w:tab w:val="left" w:pos="1420"/>
        </w:tabs>
        <w:ind w:left="1420" w:hanging="656"/>
        <w:rPr>
          <w:rFonts w:ascii="Arial" w:eastAsia="Arial" w:hAnsi="Arial" w:cs="Arial"/>
          <w:color w:val="CF0A2C"/>
          <w:sz w:val="20"/>
          <w:szCs w:val="20"/>
        </w:rPr>
      </w:pPr>
      <w:r>
        <w:rPr>
          <w:rFonts w:ascii="Arial" w:eastAsia="Arial" w:hAnsi="Arial" w:cs="Arial"/>
          <w:sz w:val="20"/>
          <w:szCs w:val="20"/>
        </w:rPr>
        <w:t>One-fourth of the RSUs vested or will vest on each of February 10, 2023, 2024, 2025 and 2026.</w:t>
      </w:r>
    </w:p>
    <w:p w:rsidR="00A621E3" w:rsidRDefault="00A621E3">
      <w:pPr>
        <w:spacing w:line="242" w:lineRule="exact"/>
        <w:rPr>
          <w:rFonts w:ascii="Arial" w:eastAsia="Arial" w:hAnsi="Arial" w:cs="Arial"/>
          <w:color w:val="CF0A2C"/>
          <w:sz w:val="20"/>
          <w:szCs w:val="20"/>
        </w:rPr>
      </w:pPr>
    </w:p>
    <w:p w:rsidR="00A621E3" w:rsidRDefault="00EC630E">
      <w:pPr>
        <w:numPr>
          <w:ilvl w:val="0"/>
          <w:numId w:val="107"/>
        </w:numPr>
        <w:tabs>
          <w:tab w:val="left" w:pos="760"/>
        </w:tabs>
        <w:spacing w:line="260" w:lineRule="auto"/>
        <w:ind w:left="760" w:right="20" w:hanging="644"/>
        <w:rPr>
          <w:rFonts w:ascii="Arial" w:eastAsia="Arial" w:hAnsi="Arial" w:cs="Arial"/>
          <w:color w:val="CF0A2C"/>
          <w:sz w:val="20"/>
          <w:szCs w:val="20"/>
        </w:rPr>
      </w:pPr>
      <w:r>
        <w:rPr>
          <w:rFonts w:ascii="Arial" w:eastAsia="Arial" w:hAnsi="Arial" w:cs="Arial"/>
          <w:sz w:val="20"/>
          <w:szCs w:val="20"/>
        </w:rPr>
        <w:t xml:space="preserve">The market value of each award is calculated by multiplying the number of shares </w:t>
      </w:r>
      <w:r>
        <w:rPr>
          <w:rFonts w:ascii="Arial" w:eastAsia="Arial" w:hAnsi="Arial" w:cs="Arial"/>
          <w:sz w:val="20"/>
          <w:szCs w:val="20"/>
        </w:rPr>
        <w:t>covered by the award by $54.65, the closing price of the Company’s stock on the NYSE on December 30, 2022.</w:t>
      </w:r>
    </w:p>
    <w:p w:rsidR="00A621E3" w:rsidRDefault="00A621E3">
      <w:pPr>
        <w:spacing w:line="203" w:lineRule="exact"/>
        <w:rPr>
          <w:rFonts w:ascii="Arial" w:eastAsia="Arial" w:hAnsi="Arial" w:cs="Arial"/>
          <w:color w:val="CF0A2C"/>
          <w:sz w:val="20"/>
          <w:szCs w:val="20"/>
        </w:rPr>
      </w:pPr>
    </w:p>
    <w:p w:rsidR="00A621E3" w:rsidRDefault="00EC630E">
      <w:pPr>
        <w:numPr>
          <w:ilvl w:val="0"/>
          <w:numId w:val="107"/>
        </w:numPr>
        <w:tabs>
          <w:tab w:val="left" w:pos="760"/>
        </w:tabs>
        <w:ind w:left="760" w:hanging="644"/>
        <w:rPr>
          <w:rFonts w:ascii="Arial" w:eastAsia="Arial" w:hAnsi="Arial" w:cs="Arial"/>
          <w:color w:val="CF0A2C"/>
          <w:sz w:val="20"/>
          <w:szCs w:val="20"/>
        </w:rPr>
      </w:pPr>
      <w:r>
        <w:rPr>
          <w:rFonts w:ascii="Arial" w:eastAsia="Arial" w:hAnsi="Arial" w:cs="Arial"/>
          <w:sz w:val="20"/>
          <w:szCs w:val="20"/>
        </w:rPr>
        <w:t>The awards reported in this column represent PSU awards granted to the NEOs with the following vesting terms:</w:t>
      </w:r>
    </w:p>
    <w:p w:rsidR="00A621E3" w:rsidRDefault="00A621E3">
      <w:pPr>
        <w:spacing w:line="242" w:lineRule="exact"/>
        <w:rPr>
          <w:rFonts w:ascii="Arial" w:eastAsia="Arial" w:hAnsi="Arial" w:cs="Arial"/>
          <w:color w:val="CF0A2C"/>
          <w:sz w:val="20"/>
          <w:szCs w:val="20"/>
        </w:rPr>
      </w:pPr>
    </w:p>
    <w:p w:rsidR="00A621E3" w:rsidRDefault="00EC630E">
      <w:pPr>
        <w:numPr>
          <w:ilvl w:val="1"/>
          <w:numId w:val="107"/>
        </w:numPr>
        <w:tabs>
          <w:tab w:val="left" w:pos="1420"/>
        </w:tabs>
        <w:spacing w:line="257" w:lineRule="auto"/>
        <w:ind w:left="1420" w:hanging="656"/>
        <w:jc w:val="both"/>
        <w:rPr>
          <w:rFonts w:ascii="Arial" w:eastAsia="Arial" w:hAnsi="Arial" w:cs="Arial"/>
          <w:color w:val="CF0A2C"/>
          <w:sz w:val="19"/>
          <w:szCs w:val="19"/>
        </w:rPr>
      </w:pPr>
      <w:r>
        <w:rPr>
          <w:rFonts w:ascii="Arial" w:eastAsia="Arial" w:hAnsi="Arial" w:cs="Arial"/>
          <w:sz w:val="19"/>
          <w:szCs w:val="19"/>
        </w:rPr>
        <w:t xml:space="preserve">The 2020 Partner PSU Awards that are </w:t>
      </w:r>
      <w:r>
        <w:rPr>
          <w:rFonts w:ascii="Arial" w:eastAsia="Arial" w:hAnsi="Arial" w:cs="Arial"/>
          <w:sz w:val="19"/>
          <w:szCs w:val="19"/>
        </w:rPr>
        <w:t>scheduled to vest based on the absolute Company stock price hurdles, adjusted total revenue growth, adjusted EBITDA growth and transformational objectives, over the January 1, 2020 through December 31, 2023 performance period, subject to the NEO’s continue</w:t>
      </w:r>
      <w:r>
        <w:rPr>
          <w:rFonts w:ascii="Arial" w:eastAsia="Arial" w:hAnsi="Arial" w:cs="Arial"/>
          <w:sz w:val="19"/>
          <w:szCs w:val="19"/>
        </w:rPr>
        <w:t>d employment through the last day of the performance period except as otherwise provided for in the underlying equity award agreement upon a qualifying termination of employment. The 2020 Partner PSU Awards are subject to different goals with different lev</w:t>
      </w:r>
      <w:r>
        <w:rPr>
          <w:rFonts w:ascii="Arial" w:eastAsia="Arial" w:hAnsi="Arial" w:cs="Arial"/>
          <w:sz w:val="19"/>
          <w:szCs w:val="19"/>
        </w:rPr>
        <w:t>els of projected performance and the amount reported for this award is reported assuming threshold payout. Based on performance, these PSUs will vest in full on December 31, 2023.</w:t>
      </w:r>
    </w:p>
    <w:p w:rsidR="00A621E3" w:rsidRDefault="00A621E3">
      <w:pPr>
        <w:spacing w:line="125" w:lineRule="exact"/>
        <w:rPr>
          <w:sz w:val="20"/>
          <w:szCs w:val="20"/>
        </w:rPr>
      </w:pPr>
    </w:p>
    <w:p w:rsidR="00A621E3" w:rsidRDefault="00EC630E">
      <w:pPr>
        <w:numPr>
          <w:ilvl w:val="0"/>
          <w:numId w:val="108"/>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199308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86" w:name="page86"/>
      <w:bookmarkEnd w:id="86"/>
      <w:r>
        <w:rPr>
          <w:rFonts w:ascii="Arial" w:eastAsia="Arial" w:hAnsi="Arial" w:cs="Arial"/>
          <w:b/>
          <w:bCs/>
          <w:noProof/>
          <w:color w:val="0000EE"/>
          <w:sz w:val="18"/>
          <w:szCs w:val="18"/>
          <w:u w:val="single"/>
        </w:rPr>
        <w:drawing>
          <wp:anchor distT="0" distB="0" distL="114300" distR="114300" simplePos="0" relativeHeight="25199411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95136"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680"/>
        <w:rPr>
          <w:sz w:val="20"/>
          <w:szCs w:val="20"/>
        </w:rPr>
      </w:pPr>
      <w:r>
        <w:rPr>
          <w:rFonts w:ascii="Arial" w:eastAsia="Arial" w:hAnsi="Arial" w:cs="Arial"/>
          <w:b/>
          <w:bCs/>
          <w:color w:val="FFFFFF"/>
          <w:sz w:val="16"/>
          <w:szCs w:val="16"/>
        </w:rPr>
        <w:t>EXECUTIVE COMPENSATION</w:t>
      </w:r>
    </w:p>
    <w:p w:rsidR="00A621E3" w:rsidRDefault="00A621E3">
      <w:pPr>
        <w:spacing w:line="209" w:lineRule="exact"/>
        <w:rPr>
          <w:sz w:val="20"/>
          <w:szCs w:val="20"/>
        </w:rPr>
      </w:pPr>
    </w:p>
    <w:p w:rsidR="00A621E3" w:rsidRDefault="00EC630E">
      <w:pPr>
        <w:numPr>
          <w:ilvl w:val="0"/>
          <w:numId w:val="109"/>
        </w:numPr>
        <w:tabs>
          <w:tab w:val="left" w:pos="1420"/>
        </w:tabs>
        <w:spacing w:line="259" w:lineRule="auto"/>
        <w:ind w:left="1420" w:hanging="656"/>
        <w:jc w:val="both"/>
        <w:rPr>
          <w:rFonts w:ascii="Arial" w:eastAsia="Arial" w:hAnsi="Arial" w:cs="Arial"/>
          <w:color w:val="CF0A2C"/>
          <w:sz w:val="19"/>
          <w:szCs w:val="19"/>
        </w:rPr>
      </w:pPr>
      <w:r>
        <w:rPr>
          <w:rFonts w:ascii="Arial" w:eastAsia="Arial" w:hAnsi="Arial" w:cs="Arial"/>
          <w:sz w:val="19"/>
          <w:szCs w:val="19"/>
        </w:rPr>
        <w:t>PSU awards that are scheduled to vest based on the Company’s achievement of rTSR performance goals and the Company’s adjusted total revenue growth and adjusted diluted EPS growth, over the January 1, 2021 through December 31, 2023</w:t>
      </w:r>
      <w:r>
        <w:rPr>
          <w:rFonts w:ascii="Arial" w:eastAsia="Arial" w:hAnsi="Arial" w:cs="Arial"/>
          <w:sz w:val="19"/>
          <w:szCs w:val="19"/>
        </w:rPr>
        <w:t xml:space="preserve"> performance period, subject to the NEO’s continued employment through the last day of the performance period except as otherwise provided for in the underlying equity award agreement upon a qualifying termination of employment. In accordance with SEC disc</w:t>
      </w:r>
      <w:r>
        <w:rPr>
          <w:rFonts w:ascii="Arial" w:eastAsia="Arial" w:hAnsi="Arial" w:cs="Arial"/>
          <w:sz w:val="19"/>
          <w:szCs w:val="19"/>
        </w:rPr>
        <w:t>losure rules, the amount reported for this award is reported assuming threshold payout. Based on performance, these PSUs will vest in full on December 31, 2023.</w:t>
      </w:r>
    </w:p>
    <w:p w:rsidR="00A621E3" w:rsidRDefault="00A621E3">
      <w:pPr>
        <w:spacing w:line="205" w:lineRule="exact"/>
        <w:rPr>
          <w:rFonts w:ascii="Arial" w:eastAsia="Arial" w:hAnsi="Arial" w:cs="Arial"/>
          <w:color w:val="CF0A2C"/>
          <w:sz w:val="19"/>
          <w:szCs w:val="19"/>
        </w:rPr>
      </w:pPr>
    </w:p>
    <w:p w:rsidR="00A621E3" w:rsidRDefault="00EC630E">
      <w:pPr>
        <w:numPr>
          <w:ilvl w:val="0"/>
          <w:numId w:val="109"/>
        </w:numPr>
        <w:tabs>
          <w:tab w:val="left" w:pos="1420"/>
        </w:tabs>
        <w:spacing w:line="278" w:lineRule="auto"/>
        <w:ind w:left="1420" w:right="20" w:hanging="656"/>
        <w:jc w:val="both"/>
        <w:rPr>
          <w:rFonts w:ascii="Arial" w:eastAsia="Arial" w:hAnsi="Arial" w:cs="Arial"/>
          <w:color w:val="CF0A2C"/>
          <w:sz w:val="18"/>
          <w:szCs w:val="18"/>
        </w:rPr>
      </w:pPr>
      <w:r>
        <w:rPr>
          <w:rFonts w:ascii="Arial" w:eastAsia="Arial" w:hAnsi="Arial" w:cs="Arial"/>
          <w:sz w:val="18"/>
          <w:szCs w:val="18"/>
        </w:rPr>
        <w:t>PSU awards that are scheduled to vest based on the Company’s achievement of the rTSR performan</w:t>
      </w:r>
      <w:r>
        <w:rPr>
          <w:rFonts w:ascii="Arial" w:eastAsia="Arial" w:hAnsi="Arial" w:cs="Arial"/>
          <w:sz w:val="18"/>
          <w:szCs w:val="18"/>
        </w:rPr>
        <w:t>ce goal over the January 1, 2022 through December 31, 2024 performance period, subject to the NEO’s continued employment through the last day of the performance period except as otherwise provided for in the underlying equity award agreement upon a qualify</w:t>
      </w:r>
      <w:r>
        <w:rPr>
          <w:rFonts w:ascii="Arial" w:eastAsia="Arial" w:hAnsi="Arial" w:cs="Arial"/>
          <w:sz w:val="18"/>
          <w:szCs w:val="18"/>
        </w:rPr>
        <w:t>ing termination of employment. In accordance with SEC disclosure rules, the amount reported for this award is reported assuming maximum payout. Based on performance, these PSUs will vest in full on December 31, 2024.</w:t>
      </w:r>
    </w:p>
    <w:p w:rsidR="00A621E3" w:rsidRDefault="00A621E3">
      <w:pPr>
        <w:spacing w:line="101"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81</w:t>
      </w:r>
    </w:p>
    <w:p w:rsidR="00A621E3" w:rsidRDefault="00EC630E">
      <w:pPr>
        <w:spacing w:line="20" w:lineRule="exact"/>
        <w:rPr>
          <w:sz w:val="20"/>
          <w:szCs w:val="20"/>
        </w:rPr>
      </w:pPr>
      <w:r>
        <w:rPr>
          <w:noProof/>
          <w:sz w:val="20"/>
          <w:szCs w:val="20"/>
        </w:rPr>
        <w:drawing>
          <wp:anchor distT="0" distB="0" distL="114300" distR="114300" simplePos="0" relativeHeight="251996160"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87" w:name="page87"/>
      <w:bookmarkEnd w:id="87"/>
      <w:r>
        <w:rPr>
          <w:rFonts w:ascii="Arial" w:eastAsia="Arial" w:hAnsi="Arial" w:cs="Arial"/>
          <w:b/>
          <w:bCs/>
          <w:noProof/>
          <w:color w:val="0000EE"/>
          <w:sz w:val="18"/>
          <w:szCs w:val="18"/>
          <w:u w:val="single"/>
        </w:rPr>
        <w:drawing>
          <wp:anchor distT="0" distB="0" distL="114300" distR="114300" simplePos="0" relativeHeight="25199718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1998208"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189" w:lineRule="exact"/>
        <w:rPr>
          <w:sz w:val="20"/>
          <w:szCs w:val="20"/>
        </w:rPr>
      </w:pPr>
    </w:p>
    <w:p w:rsidR="00A621E3" w:rsidRDefault="00EC630E">
      <w:pPr>
        <w:ind w:left="120"/>
        <w:rPr>
          <w:sz w:val="20"/>
          <w:szCs w:val="20"/>
        </w:rPr>
      </w:pPr>
      <w:r>
        <w:rPr>
          <w:rFonts w:ascii="Arial" w:eastAsia="Arial" w:hAnsi="Arial" w:cs="Arial"/>
          <w:b/>
          <w:bCs/>
          <w:color w:val="CF0A2C"/>
          <w:sz w:val="32"/>
          <w:szCs w:val="32"/>
        </w:rPr>
        <w:t>OUTSTANDING 2022 LAVAZZA ESOP GRANTS AT 2022 YEAR-END</w:t>
      </w:r>
    </w:p>
    <w:p w:rsidR="00A621E3" w:rsidRDefault="00EC630E">
      <w:pPr>
        <w:spacing w:line="20" w:lineRule="exact"/>
        <w:rPr>
          <w:sz w:val="20"/>
          <w:szCs w:val="20"/>
        </w:rPr>
      </w:pPr>
      <w:r>
        <w:rPr>
          <w:noProof/>
          <w:sz w:val="20"/>
          <w:szCs w:val="20"/>
        </w:rPr>
        <w:drawing>
          <wp:anchor distT="0" distB="0" distL="114300" distR="114300" simplePos="0" relativeHeight="251999232"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36" w:lineRule="exact"/>
        <w:rPr>
          <w:sz w:val="20"/>
          <w:szCs w:val="20"/>
        </w:rPr>
      </w:pPr>
    </w:p>
    <w:p w:rsidR="00A621E3" w:rsidRDefault="00EC630E">
      <w:pPr>
        <w:spacing w:line="260" w:lineRule="auto"/>
        <w:ind w:left="120" w:right="20"/>
        <w:rPr>
          <w:sz w:val="20"/>
          <w:szCs w:val="20"/>
        </w:rPr>
      </w:pPr>
      <w:r>
        <w:rPr>
          <w:rFonts w:ascii="Arial" w:eastAsia="Arial" w:hAnsi="Arial" w:cs="Arial"/>
          <w:sz w:val="20"/>
          <w:szCs w:val="20"/>
        </w:rPr>
        <w:t xml:space="preserve">The following table shows the number of the shares of the Lavazza Joint Venture covered by the unvested 2022 Lavazza ESOP Grants </w:t>
      </w:r>
      <w:r>
        <w:rPr>
          <w:rFonts w:ascii="Arial" w:eastAsia="Arial" w:hAnsi="Arial" w:cs="Arial"/>
          <w:sz w:val="20"/>
          <w:szCs w:val="20"/>
        </w:rPr>
        <w:t>held by the Company’s NEOs on December 31, 2022.</w:t>
      </w:r>
    </w:p>
    <w:p w:rsidR="00A621E3" w:rsidRDefault="00A621E3">
      <w:pPr>
        <w:spacing w:line="20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560"/>
        <w:gridCol w:w="3020"/>
        <w:gridCol w:w="2800"/>
        <w:gridCol w:w="840"/>
        <w:gridCol w:w="1800"/>
      </w:tblGrid>
      <w:tr w:rsidR="00A621E3">
        <w:trPr>
          <w:trHeight w:val="162"/>
        </w:trPr>
        <w:tc>
          <w:tcPr>
            <w:tcW w:w="2560" w:type="dxa"/>
            <w:tcBorders>
              <w:top w:val="single" w:sz="8" w:space="0" w:color="CF0A2C"/>
            </w:tcBorders>
            <w:shd w:val="clear" w:color="auto" w:fill="FAE6E9"/>
            <w:vAlign w:val="bottom"/>
          </w:tcPr>
          <w:p w:rsidR="00A621E3" w:rsidRDefault="00A621E3">
            <w:pPr>
              <w:rPr>
                <w:sz w:val="14"/>
                <w:szCs w:val="14"/>
              </w:rPr>
            </w:pPr>
          </w:p>
        </w:tc>
        <w:tc>
          <w:tcPr>
            <w:tcW w:w="3020" w:type="dxa"/>
            <w:tcBorders>
              <w:top w:val="single" w:sz="8" w:space="0" w:color="CF0A2C"/>
            </w:tcBorders>
            <w:shd w:val="clear" w:color="auto" w:fill="FAE6E9"/>
            <w:vAlign w:val="bottom"/>
          </w:tcPr>
          <w:p w:rsidR="00A621E3" w:rsidRDefault="00A621E3">
            <w:pPr>
              <w:rPr>
                <w:sz w:val="14"/>
                <w:szCs w:val="14"/>
              </w:rPr>
            </w:pPr>
          </w:p>
        </w:tc>
        <w:tc>
          <w:tcPr>
            <w:tcW w:w="2800" w:type="dxa"/>
            <w:tcBorders>
              <w:top w:val="single" w:sz="8" w:space="0" w:color="CF0A2C"/>
            </w:tcBorders>
            <w:shd w:val="clear" w:color="auto" w:fill="FAE6E9"/>
            <w:vAlign w:val="bottom"/>
          </w:tcPr>
          <w:p w:rsidR="00A621E3" w:rsidRDefault="00EC630E">
            <w:pPr>
              <w:ind w:right="230"/>
              <w:jc w:val="center"/>
              <w:rPr>
                <w:sz w:val="20"/>
                <w:szCs w:val="20"/>
              </w:rPr>
            </w:pPr>
            <w:r>
              <w:rPr>
                <w:rFonts w:ascii="Arial" w:eastAsia="Arial" w:hAnsi="Arial" w:cs="Arial"/>
                <w:b/>
                <w:bCs/>
                <w:color w:val="CF0A2C"/>
                <w:sz w:val="14"/>
                <w:szCs w:val="14"/>
              </w:rPr>
              <w:t>Number of Lavazza Joint</w:t>
            </w:r>
          </w:p>
        </w:tc>
        <w:tc>
          <w:tcPr>
            <w:tcW w:w="2640" w:type="dxa"/>
            <w:gridSpan w:val="2"/>
            <w:tcBorders>
              <w:top w:val="single" w:sz="8" w:space="0" w:color="CF0A2C"/>
            </w:tcBorders>
            <w:shd w:val="clear" w:color="auto" w:fill="FAE6E9"/>
            <w:vAlign w:val="bottom"/>
          </w:tcPr>
          <w:p w:rsidR="00A621E3" w:rsidRDefault="00EC630E">
            <w:pPr>
              <w:ind w:left="700"/>
              <w:rPr>
                <w:sz w:val="20"/>
                <w:szCs w:val="20"/>
              </w:rPr>
            </w:pPr>
            <w:r>
              <w:rPr>
                <w:rFonts w:ascii="Arial" w:eastAsia="Arial" w:hAnsi="Arial" w:cs="Arial"/>
                <w:b/>
                <w:bCs/>
                <w:color w:val="CF0A2C"/>
                <w:sz w:val="14"/>
                <w:szCs w:val="14"/>
              </w:rPr>
              <w:t>Fair Value of Lavazza Joint</w:t>
            </w:r>
          </w:p>
        </w:tc>
      </w:tr>
      <w:tr w:rsidR="00A621E3">
        <w:trPr>
          <w:trHeight w:val="162"/>
        </w:trPr>
        <w:tc>
          <w:tcPr>
            <w:tcW w:w="2560" w:type="dxa"/>
            <w:shd w:val="clear" w:color="auto" w:fill="FAE6E9"/>
            <w:vAlign w:val="bottom"/>
          </w:tcPr>
          <w:p w:rsidR="00A621E3" w:rsidRDefault="00A621E3">
            <w:pPr>
              <w:rPr>
                <w:sz w:val="14"/>
                <w:szCs w:val="14"/>
              </w:rPr>
            </w:pPr>
          </w:p>
        </w:tc>
        <w:tc>
          <w:tcPr>
            <w:tcW w:w="3020" w:type="dxa"/>
            <w:shd w:val="clear" w:color="auto" w:fill="FAE6E9"/>
            <w:vAlign w:val="bottom"/>
          </w:tcPr>
          <w:p w:rsidR="00A621E3" w:rsidRDefault="00A621E3">
            <w:pPr>
              <w:rPr>
                <w:sz w:val="14"/>
                <w:szCs w:val="14"/>
              </w:rPr>
            </w:pPr>
          </w:p>
        </w:tc>
        <w:tc>
          <w:tcPr>
            <w:tcW w:w="2800" w:type="dxa"/>
            <w:shd w:val="clear" w:color="auto" w:fill="FAE6E9"/>
            <w:vAlign w:val="bottom"/>
          </w:tcPr>
          <w:p w:rsidR="00A621E3" w:rsidRDefault="00EC630E">
            <w:pPr>
              <w:ind w:right="230"/>
              <w:jc w:val="center"/>
              <w:rPr>
                <w:sz w:val="20"/>
                <w:szCs w:val="20"/>
              </w:rPr>
            </w:pPr>
            <w:r>
              <w:rPr>
                <w:rFonts w:ascii="Arial" w:eastAsia="Arial" w:hAnsi="Arial" w:cs="Arial"/>
                <w:b/>
                <w:bCs/>
                <w:color w:val="CF0A2C"/>
                <w:sz w:val="14"/>
                <w:szCs w:val="14"/>
              </w:rPr>
              <w:t>Venture Shares</w:t>
            </w:r>
          </w:p>
        </w:tc>
        <w:tc>
          <w:tcPr>
            <w:tcW w:w="840" w:type="dxa"/>
            <w:shd w:val="clear" w:color="auto" w:fill="FAE6E9"/>
            <w:vAlign w:val="bottom"/>
          </w:tcPr>
          <w:p w:rsidR="00A621E3" w:rsidRDefault="00A621E3">
            <w:pPr>
              <w:rPr>
                <w:sz w:val="14"/>
                <w:szCs w:val="14"/>
              </w:rPr>
            </w:pPr>
          </w:p>
        </w:tc>
        <w:tc>
          <w:tcPr>
            <w:tcW w:w="1800" w:type="dxa"/>
            <w:shd w:val="clear" w:color="auto" w:fill="FAE6E9"/>
            <w:vAlign w:val="bottom"/>
          </w:tcPr>
          <w:p w:rsidR="00A621E3" w:rsidRDefault="00EC630E">
            <w:pPr>
              <w:ind w:right="171"/>
              <w:jc w:val="center"/>
              <w:rPr>
                <w:sz w:val="20"/>
                <w:szCs w:val="20"/>
              </w:rPr>
            </w:pPr>
            <w:r>
              <w:rPr>
                <w:rFonts w:ascii="Arial" w:eastAsia="Arial" w:hAnsi="Arial" w:cs="Arial"/>
                <w:b/>
                <w:bCs/>
                <w:color w:val="CF0A2C"/>
                <w:sz w:val="14"/>
                <w:szCs w:val="14"/>
              </w:rPr>
              <w:t>Venture Shares</w:t>
            </w:r>
          </w:p>
        </w:tc>
      </w:tr>
      <w:tr w:rsidR="00A621E3">
        <w:trPr>
          <w:trHeight w:val="160"/>
        </w:trPr>
        <w:tc>
          <w:tcPr>
            <w:tcW w:w="2560" w:type="dxa"/>
            <w:shd w:val="clear" w:color="auto" w:fill="FAE6E9"/>
            <w:vAlign w:val="bottom"/>
          </w:tcPr>
          <w:p w:rsidR="00A621E3" w:rsidRDefault="00A621E3">
            <w:pPr>
              <w:rPr>
                <w:sz w:val="13"/>
                <w:szCs w:val="13"/>
              </w:rPr>
            </w:pPr>
          </w:p>
        </w:tc>
        <w:tc>
          <w:tcPr>
            <w:tcW w:w="3020" w:type="dxa"/>
            <w:shd w:val="clear" w:color="auto" w:fill="FAE6E9"/>
            <w:vAlign w:val="bottom"/>
          </w:tcPr>
          <w:p w:rsidR="00A621E3" w:rsidRDefault="00A621E3">
            <w:pPr>
              <w:rPr>
                <w:sz w:val="13"/>
                <w:szCs w:val="13"/>
              </w:rPr>
            </w:pPr>
          </w:p>
        </w:tc>
        <w:tc>
          <w:tcPr>
            <w:tcW w:w="2800" w:type="dxa"/>
            <w:shd w:val="clear" w:color="auto" w:fill="FAE6E9"/>
            <w:vAlign w:val="bottom"/>
          </w:tcPr>
          <w:p w:rsidR="00A621E3" w:rsidRDefault="00EC630E">
            <w:pPr>
              <w:ind w:right="230"/>
              <w:jc w:val="center"/>
              <w:rPr>
                <w:sz w:val="20"/>
                <w:szCs w:val="20"/>
              </w:rPr>
            </w:pPr>
            <w:r>
              <w:rPr>
                <w:rFonts w:ascii="Arial" w:eastAsia="Arial" w:hAnsi="Arial" w:cs="Arial"/>
                <w:b/>
                <w:bCs/>
                <w:color w:val="CF0A2C"/>
                <w:sz w:val="14"/>
                <w:szCs w:val="14"/>
              </w:rPr>
              <w:t>That Have Not Vested</w:t>
            </w:r>
          </w:p>
        </w:tc>
        <w:tc>
          <w:tcPr>
            <w:tcW w:w="840" w:type="dxa"/>
            <w:shd w:val="clear" w:color="auto" w:fill="FAE6E9"/>
            <w:vAlign w:val="bottom"/>
          </w:tcPr>
          <w:p w:rsidR="00A621E3" w:rsidRDefault="00A621E3">
            <w:pPr>
              <w:rPr>
                <w:sz w:val="13"/>
                <w:szCs w:val="13"/>
              </w:rPr>
            </w:pPr>
          </w:p>
        </w:tc>
        <w:tc>
          <w:tcPr>
            <w:tcW w:w="1800" w:type="dxa"/>
            <w:shd w:val="clear" w:color="auto" w:fill="FAE6E9"/>
            <w:vAlign w:val="bottom"/>
          </w:tcPr>
          <w:p w:rsidR="00A621E3" w:rsidRDefault="00EC630E">
            <w:pPr>
              <w:ind w:right="171"/>
              <w:jc w:val="center"/>
              <w:rPr>
                <w:sz w:val="20"/>
                <w:szCs w:val="20"/>
              </w:rPr>
            </w:pPr>
            <w:r>
              <w:rPr>
                <w:rFonts w:ascii="Arial" w:eastAsia="Arial" w:hAnsi="Arial" w:cs="Arial"/>
                <w:b/>
                <w:bCs/>
                <w:color w:val="CF0A2C"/>
                <w:sz w:val="14"/>
                <w:szCs w:val="14"/>
              </w:rPr>
              <w:t>That Have Not Vested</w:t>
            </w:r>
          </w:p>
        </w:tc>
      </w:tr>
      <w:tr w:rsidR="00A621E3">
        <w:trPr>
          <w:trHeight w:val="191"/>
        </w:trPr>
        <w:tc>
          <w:tcPr>
            <w:tcW w:w="2560" w:type="dxa"/>
            <w:tcBorders>
              <w:bottom w:val="single" w:sz="8" w:space="0" w:color="CF0A2C"/>
            </w:tcBorders>
            <w:shd w:val="clear" w:color="auto" w:fill="FAE6E9"/>
            <w:vAlign w:val="bottom"/>
          </w:tcPr>
          <w:p w:rsidR="00A621E3" w:rsidRDefault="00EC630E">
            <w:pPr>
              <w:ind w:left="60"/>
              <w:rPr>
                <w:sz w:val="20"/>
                <w:szCs w:val="20"/>
              </w:rPr>
            </w:pPr>
            <w:r>
              <w:rPr>
                <w:rFonts w:ascii="Arial" w:eastAsia="Arial" w:hAnsi="Arial" w:cs="Arial"/>
                <w:b/>
                <w:bCs/>
                <w:color w:val="CF0A2C"/>
                <w:sz w:val="14"/>
                <w:szCs w:val="14"/>
              </w:rPr>
              <w:t>Name</w:t>
            </w:r>
          </w:p>
        </w:tc>
        <w:tc>
          <w:tcPr>
            <w:tcW w:w="3020" w:type="dxa"/>
            <w:tcBorders>
              <w:bottom w:val="single" w:sz="8" w:space="0" w:color="CF0A2C"/>
            </w:tcBorders>
            <w:shd w:val="clear" w:color="auto" w:fill="FAE6E9"/>
            <w:vAlign w:val="bottom"/>
          </w:tcPr>
          <w:p w:rsidR="00A621E3" w:rsidRDefault="00EC630E">
            <w:pPr>
              <w:ind w:right="331"/>
              <w:jc w:val="right"/>
              <w:rPr>
                <w:sz w:val="20"/>
                <w:szCs w:val="20"/>
              </w:rPr>
            </w:pPr>
            <w:r>
              <w:rPr>
                <w:rFonts w:ascii="Arial" w:eastAsia="Arial" w:hAnsi="Arial" w:cs="Arial"/>
                <w:b/>
                <w:bCs/>
                <w:color w:val="CF0A2C"/>
                <w:sz w:val="14"/>
                <w:szCs w:val="14"/>
              </w:rPr>
              <w:t>Grant Date</w:t>
            </w:r>
          </w:p>
        </w:tc>
        <w:tc>
          <w:tcPr>
            <w:tcW w:w="2800" w:type="dxa"/>
            <w:tcBorders>
              <w:bottom w:val="single" w:sz="8" w:space="0" w:color="CF0A2C"/>
            </w:tcBorders>
            <w:shd w:val="clear" w:color="auto" w:fill="FAE6E9"/>
            <w:vAlign w:val="bottom"/>
          </w:tcPr>
          <w:p w:rsidR="00A621E3" w:rsidRDefault="00EC630E">
            <w:pPr>
              <w:spacing w:line="191" w:lineRule="exact"/>
              <w:ind w:right="230"/>
              <w:jc w:val="center"/>
              <w:rPr>
                <w:sz w:val="20"/>
                <w:szCs w:val="20"/>
              </w:rPr>
            </w:pPr>
            <w:r>
              <w:rPr>
                <w:rFonts w:ascii="Arial" w:eastAsia="Arial" w:hAnsi="Arial" w:cs="Arial"/>
                <w:b/>
                <w:bCs/>
                <w:color w:val="CF0A2C"/>
                <w:w w:val="87"/>
                <w:sz w:val="14"/>
                <w:szCs w:val="14"/>
              </w:rPr>
              <w:t>(#)</w:t>
            </w:r>
            <w:r>
              <w:rPr>
                <w:rFonts w:ascii="Arial" w:eastAsia="Arial" w:hAnsi="Arial" w:cs="Arial"/>
                <w:b/>
                <w:bCs/>
                <w:color w:val="CF0A2C"/>
                <w:w w:val="87"/>
                <w:sz w:val="21"/>
                <w:szCs w:val="21"/>
                <w:vertAlign w:val="superscript"/>
              </w:rPr>
              <w:t>(1)</w:t>
            </w:r>
          </w:p>
        </w:tc>
        <w:tc>
          <w:tcPr>
            <w:tcW w:w="840" w:type="dxa"/>
            <w:tcBorders>
              <w:bottom w:val="single" w:sz="8" w:space="0" w:color="CF0A2C"/>
            </w:tcBorders>
            <w:shd w:val="clear" w:color="auto" w:fill="FAE6E9"/>
            <w:vAlign w:val="bottom"/>
          </w:tcPr>
          <w:p w:rsidR="00A621E3" w:rsidRDefault="00A621E3">
            <w:pPr>
              <w:rPr>
                <w:sz w:val="16"/>
                <w:szCs w:val="16"/>
              </w:rPr>
            </w:pPr>
          </w:p>
        </w:tc>
        <w:tc>
          <w:tcPr>
            <w:tcW w:w="1800" w:type="dxa"/>
            <w:tcBorders>
              <w:bottom w:val="single" w:sz="8" w:space="0" w:color="CF0A2C"/>
            </w:tcBorders>
            <w:shd w:val="clear" w:color="auto" w:fill="FAE6E9"/>
            <w:vAlign w:val="bottom"/>
          </w:tcPr>
          <w:p w:rsidR="00A621E3" w:rsidRDefault="00EC630E">
            <w:pPr>
              <w:spacing w:line="191" w:lineRule="exact"/>
              <w:ind w:right="171"/>
              <w:jc w:val="center"/>
              <w:rPr>
                <w:sz w:val="20"/>
                <w:szCs w:val="20"/>
              </w:rPr>
            </w:pPr>
            <w:r>
              <w:rPr>
                <w:rFonts w:ascii="Arial" w:eastAsia="Arial" w:hAnsi="Arial" w:cs="Arial"/>
                <w:b/>
                <w:bCs/>
                <w:color w:val="CF0A2C"/>
                <w:w w:val="93"/>
                <w:sz w:val="14"/>
                <w:szCs w:val="14"/>
              </w:rPr>
              <w:t>($)</w:t>
            </w:r>
            <w:r>
              <w:rPr>
                <w:rFonts w:ascii="Arial" w:eastAsia="Arial" w:hAnsi="Arial" w:cs="Arial"/>
                <w:b/>
                <w:bCs/>
                <w:color w:val="CF0A2C"/>
                <w:w w:val="93"/>
                <w:sz w:val="21"/>
                <w:szCs w:val="21"/>
                <w:vertAlign w:val="superscript"/>
              </w:rPr>
              <w:t>(2)</w:t>
            </w:r>
          </w:p>
        </w:tc>
      </w:tr>
      <w:tr w:rsidR="00A621E3">
        <w:trPr>
          <w:trHeight w:val="169"/>
        </w:trPr>
        <w:tc>
          <w:tcPr>
            <w:tcW w:w="2560" w:type="dxa"/>
            <w:vAlign w:val="bottom"/>
          </w:tcPr>
          <w:p w:rsidR="00A621E3" w:rsidRDefault="00EC630E">
            <w:pPr>
              <w:ind w:left="60"/>
              <w:rPr>
                <w:sz w:val="20"/>
                <w:szCs w:val="20"/>
              </w:rPr>
            </w:pPr>
            <w:r>
              <w:rPr>
                <w:rFonts w:ascii="Arial" w:eastAsia="Arial" w:hAnsi="Arial" w:cs="Arial"/>
                <w:b/>
                <w:bCs/>
                <w:color w:val="CF0A2C"/>
                <w:sz w:val="14"/>
                <w:szCs w:val="14"/>
              </w:rPr>
              <w:t>(a)</w:t>
            </w:r>
          </w:p>
        </w:tc>
        <w:tc>
          <w:tcPr>
            <w:tcW w:w="3020" w:type="dxa"/>
            <w:vAlign w:val="bottom"/>
          </w:tcPr>
          <w:p w:rsidR="00A621E3" w:rsidRDefault="00EC630E">
            <w:pPr>
              <w:ind w:right="611"/>
              <w:jc w:val="right"/>
              <w:rPr>
                <w:sz w:val="20"/>
                <w:szCs w:val="20"/>
              </w:rPr>
            </w:pPr>
            <w:r>
              <w:rPr>
                <w:rFonts w:ascii="Arial" w:eastAsia="Arial" w:hAnsi="Arial" w:cs="Arial"/>
                <w:b/>
                <w:bCs/>
                <w:color w:val="CF0A2C"/>
                <w:sz w:val="14"/>
                <w:szCs w:val="14"/>
              </w:rPr>
              <w:t>(b)</w:t>
            </w:r>
          </w:p>
        </w:tc>
        <w:tc>
          <w:tcPr>
            <w:tcW w:w="2800" w:type="dxa"/>
            <w:vAlign w:val="bottom"/>
          </w:tcPr>
          <w:p w:rsidR="00A621E3" w:rsidRDefault="00EC630E">
            <w:pPr>
              <w:ind w:right="230"/>
              <w:jc w:val="center"/>
              <w:rPr>
                <w:sz w:val="20"/>
                <w:szCs w:val="20"/>
              </w:rPr>
            </w:pPr>
            <w:r>
              <w:rPr>
                <w:rFonts w:ascii="Arial" w:eastAsia="Arial" w:hAnsi="Arial" w:cs="Arial"/>
                <w:b/>
                <w:bCs/>
                <w:color w:val="CF0A2C"/>
                <w:sz w:val="14"/>
                <w:szCs w:val="14"/>
              </w:rPr>
              <w:t>(c)</w:t>
            </w:r>
          </w:p>
        </w:tc>
        <w:tc>
          <w:tcPr>
            <w:tcW w:w="840" w:type="dxa"/>
            <w:vAlign w:val="bottom"/>
          </w:tcPr>
          <w:p w:rsidR="00A621E3" w:rsidRDefault="00A621E3">
            <w:pPr>
              <w:rPr>
                <w:sz w:val="14"/>
                <w:szCs w:val="14"/>
              </w:rPr>
            </w:pPr>
          </w:p>
        </w:tc>
        <w:tc>
          <w:tcPr>
            <w:tcW w:w="1800" w:type="dxa"/>
            <w:vAlign w:val="bottom"/>
          </w:tcPr>
          <w:p w:rsidR="00A621E3" w:rsidRDefault="00EC630E">
            <w:pPr>
              <w:ind w:right="171"/>
              <w:jc w:val="center"/>
              <w:rPr>
                <w:sz w:val="20"/>
                <w:szCs w:val="20"/>
              </w:rPr>
            </w:pPr>
            <w:r>
              <w:rPr>
                <w:rFonts w:ascii="Arial" w:eastAsia="Arial" w:hAnsi="Arial" w:cs="Arial"/>
                <w:b/>
                <w:bCs/>
                <w:color w:val="CF0A2C"/>
                <w:sz w:val="14"/>
                <w:szCs w:val="14"/>
              </w:rPr>
              <w:t>(d)</w:t>
            </w:r>
          </w:p>
        </w:tc>
      </w:tr>
      <w:tr w:rsidR="00A621E3">
        <w:trPr>
          <w:trHeight w:val="189"/>
        </w:trPr>
        <w:tc>
          <w:tcPr>
            <w:tcW w:w="2560" w:type="dxa"/>
            <w:vAlign w:val="bottom"/>
          </w:tcPr>
          <w:p w:rsidR="00A621E3" w:rsidRDefault="00EC630E">
            <w:pPr>
              <w:rPr>
                <w:sz w:val="20"/>
                <w:szCs w:val="20"/>
              </w:rPr>
            </w:pPr>
            <w:r>
              <w:rPr>
                <w:rFonts w:ascii="Arial" w:eastAsia="Arial" w:hAnsi="Arial" w:cs="Arial"/>
                <w:b/>
                <w:bCs/>
                <w:color w:val="CF0A2C"/>
                <w:sz w:val="14"/>
                <w:szCs w:val="14"/>
              </w:rPr>
              <w:t>Ms. Wat</w:t>
            </w:r>
          </w:p>
        </w:tc>
        <w:tc>
          <w:tcPr>
            <w:tcW w:w="3020" w:type="dxa"/>
            <w:vAlign w:val="bottom"/>
          </w:tcPr>
          <w:p w:rsidR="00A621E3" w:rsidRDefault="00EC630E">
            <w:pPr>
              <w:ind w:right="331"/>
              <w:jc w:val="right"/>
              <w:rPr>
                <w:sz w:val="20"/>
                <w:szCs w:val="20"/>
              </w:rPr>
            </w:pPr>
            <w:r>
              <w:rPr>
                <w:rFonts w:ascii="Arial" w:eastAsia="Arial" w:hAnsi="Arial" w:cs="Arial"/>
                <w:sz w:val="13"/>
                <w:szCs w:val="13"/>
              </w:rPr>
              <w:t>2/10/2022</w:t>
            </w:r>
          </w:p>
        </w:tc>
        <w:tc>
          <w:tcPr>
            <w:tcW w:w="2800" w:type="dxa"/>
            <w:vAlign w:val="bottom"/>
          </w:tcPr>
          <w:p w:rsidR="00A621E3" w:rsidRDefault="00EC630E">
            <w:pPr>
              <w:ind w:right="630"/>
              <w:jc w:val="right"/>
              <w:rPr>
                <w:sz w:val="20"/>
                <w:szCs w:val="20"/>
              </w:rPr>
            </w:pPr>
            <w:r>
              <w:rPr>
                <w:rFonts w:ascii="Arial" w:eastAsia="Arial" w:hAnsi="Arial" w:cs="Arial"/>
                <w:sz w:val="13"/>
                <w:szCs w:val="13"/>
              </w:rPr>
              <w:t>1,000,000</w:t>
            </w:r>
          </w:p>
        </w:tc>
        <w:tc>
          <w:tcPr>
            <w:tcW w:w="840" w:type="dxa"/>
            <w:vAlign w:val="bottom"/>
          </w:tcPr>
          <w:p w:rsidR="00A621E3" w:rsidRDefault="00EC630E">
            <w:pPr>
              <w:ind w:left="700"/>
              <w:rPr>
                <w:sz w:val="20"/>
                <w:szCs w:val="20"/>
              </w:rPr>
            </w:pPr>
            <w:r>
              <w:rPr>
                <w:rFonts w:ascii="Arial" w:eastAsia="Arial" w:hAnsi="Arial" w:cs="Arial"/>
                <w:sz w:val="13"/>
                <w:szCs w:val="13"/>
              </w:rPr>
              <w:t>$</w:t>
            </w:r>
          </w:p>
        </w:tc>
        <w:tc>
          <w:tcPr>
            <w:tcW w:w="1800" w:type="dxa"/>
            <w:vAlign w:val="bottom"/>
          </w:tcPr>
          <w:p w:rsidR="00A621E3" w:rsidRDefault="00EC630E">
            <w:pPr>
              <w:ind w:right="31"/>
              <w:jc w:val="right"/>
              <w:rPr>
                <w:sz w:val="20"/>
                <w:szCs w:val="20"/>
              </w:rPr>
            </w:pPr>
            <w:r>
              <w:rPr>
                <w:rFonts w:ascii="Arial" w:eastAsia="Arial" w:hAnsi="Arial" w:cs="Arial"/>
                <w:sz w:val="13"/>
                <w:szCs w:val="13"/>
              </w:rPr>
              <w:t>1,010,000</w:t>
            </w:r>
          </w:p>
        </w:tc>
      </w:tr>
      <w:tr w:rsidR="00A621E3">
        <w:trPr>
          <w:trHeight w:val="189"/>
        </w:trPr>
        <w:tc>
          <w:tcPr>
            <w:tcW w:w="2560" w:type="dxa"/>
            <w:vAlign w:val="bottom"/>
          </w:tcPr>
          <w:p w:rsidR="00A621E3" w:rsidRDefault="00EC630E">
            <w:pPr>
              <w:rPr>
                <w:sz w:val="20"/>
                <w:szCs w:val="20"/>
              </w:rPr>
            </w:pPr>
            <w:r>
              <w:rPr>
                <w:rFonts w:ascii="Arial" w:eastAsia="Arial" w:hAnsi="Arial" w:cs="Arial"/>
                <w:b/>
                <w:bCs/>
                <w:color w:val="CF0A2C"/>
                <w:sz w:val="14"/>
                <w:szCs w:val="14"/>
              </w:rPr>
              <w:t>Mr. Yeung</w:t>
            </w:r>
          </w:p>
        </w:tc>
        <w:tc>
          <w:tcPr>
            <w:tcW w:w="3020" w:type="dxa"/>
            <w:vAlign w:val="bottom"/>
          </w:tcPr>
          <w:p w:rsidR="00A621E3" w:rsidRDefault="00EC630E">
            <w:pPr>
              <w:ind w:right="331"/>
              <w:jc w:val="right"/>
              <w:rPr>
                <w:sz w:val="20"/>
                <w:szCs w:val="20"/>
              </w:rPr>
            </w:pPr>
            <w:r>
              <w:rPr>
                <w:rFonts w:ascii="Arial" w:eastAsia="Arial" w:hAnsi="Arial" w:cs="Arial"/>
                <w:sz w:val="13"/>
                <w:szCs w:val="13"/>
              </w:rPr>
              <w:t>2/10/2022</w:t>
            </w:r>
          </w:p>
        </w:tc>
        <w:tc>
          <w:tcPr>
            <w:tcW w:w="2800" w:type="dxa"/>
            <w:vAlign w:val="bottom"/>
          </w:tcPr>
          <w:p w:rsidR="00A621E3" w:rsidRDefault="00EC630E">
            <w:pPr>
              <w:ind w:right="630"/>
              <w:jc w:val="right"/>
              <w:rPr>
                <w:sz w:val="20"/>
                <w:szCs w:val="20"/>
              </w:rPr>
            </w:pPr>
            <w:r>
              <w:rPr>
                <w:rFonts w:ascii="Arial" w:eastAsia="Arial" w:hAnsi="Arial" w:cs="Arial"/>
                <w:sz w:val="13"/>
                <w:szCs w:val="13"/>
              </w:rPr>
              <w:t>200,000</w:t>
            </w:r>
          </w:p>
        </w:tc>
        <w:tc>
          <w:tcPr>
            <w:tcW w:w="840" w:type="dxa"/>
            <w:vAlign w:val="bottom"/>
          </w:tcPr>
          <w:p w:rsidR="00A621E3" w:rsidRDefault="00EC630E">
            <w:pPr>
              <w:ind w:left="700"/>
              <w:rPr>
                <w:sz w:val="20"/>
                <w:szCs w:val="20"/>
              </w:rPr>
            </w:pPr>
            <w:r>
              <w:rPr>
                <w:rFonts w:ascii="Arial" w:eastAsia="Arial" w:hAnsi="Arial" w:cs="Arial"/>
                <w:sz w:val="13"/>
                <w:szCs w:val="13"/>
              </w:rPr>
              <w:t>$</w:t>
            </w:r>
          </w:p>
        </w:tc>
        <w:tc>
          <w:tcPr>
            <w:tcW w:w="1800" w:type="dxa"/>
            <w:vAlign w:val="bottom"/>
          </w:tcPr>
          <w:p w:rsidR="00A621E3" w:rsidRDefault="00EC630E">
            <w:pPr>
              <w:ind w:right="31"/>
              <w:jc w:val="right"/>
              <w:rPr>
                <w:sz w:val="20"/>
                <w:szCs w:val="20"/>
              </w:rPr>
            </w:pPr>
            <w:r>
              <w:rPr>
                <w:rFonts w:ascii="Arial" w:eastAsia="Arial" w:hAnsi="Arial" w:cs="Arial"/>
                <w:sz w:val="13"/>
                <w:szCs w:val="13"/>
              </w:rPr>
              <w:t>202,000</w:t>
            </w:r>
          </w:p>
        </w:tc>
      </w:tr>
      <w:tr w:rsidR="00A621E3">
        <w:trPr>
          <w:trHeight w:val="189"/>
        </w:trPr>
        <w:tc>
          <w:tcPr>
            <w:tcW w:w="2560" w:type="dxa"/>
            <w:vAlign w:val="bottom"/>
          </w:tcPr>
          <w:p w:rsidR="00A621E3" w:rsidRDefault="00EC630E">
            <w:pPr>
              <w:rPr>
                <w:sz w:val="20"/>
                <w:szCs w:val="20"/>
              </w:rPr>
            </w:pPr>
            <w:r>
              <w:rPr>
                <w:rFonts w:ascii="Arial" w:eastAsia="Arial" w:hAnsi="Arial" w:cs="Arial"/>
                <w:b/>
                <w:bCs/>
                <w:color w:val="CF0A2C"/>
                <w:sz w:val="14"/>
                <w:szCs w:val="14"/>
              </w:rPr>
              <w:t>Mr. Chan</w:t>
            </w:r>
          </w:p>
        </w:tc>
        <w:tc>
          <w:tcPr>
            <w:tcW w:w="3020" w:type="dxa"/>
            <w:vAlign w:val="bottom"/>
          </w:tcPr>
          <w:p w:rsidR="00A621E3" w:rsidRDefault="00EC630E">
            <w:pPr>
              <w:ind w:right="331"/>
              <w:jc w:val="right"/>
              <w:rPr>
                <w:sz w:val="20"/>
                <w:szCs w:val="20"/>
              </w:rPr>
            </w:pPr>
            <w:r>
              <w:rPr>
                <w:rFonts w:ascii="Arial" w:eastAsia="Arial" w:hAnsi="Arial" w:cs="Arial"/>
                <w:sz w:val="13"/>
                <w:szCs w:val="13"/>
              </w:rPr>
              <w:t>2/10/2022</w:t>
            </w:r>
          </w:p>
        </w:tc>
        <w:tc>
          <w:tcPr>
            <w:tcW w:w="2800" w:type="dxa"/>
            <w:vAlign w:val="bottom"/>
          </w:tcPr>
          <w:p w:rsidR="00A621E3" w:rsidRDefault="00EC630E">
            <w:pPr>
              <w:ind w:right="630"/>
              <w:jc w:val="right"/>
              <w:rPr>
                <w:sz w:val="20"/>
                <w:szCs w:val="20"/>
              </w:rPr>
            </w:pPr>
            <w:r>
              <w:rPr>
                <w:rFonts w:ascii="Arial" w:eastAsia="Arial" w:hAnsi="Arial" w:cs="Arial"/>
                <w:sz w:val="13"/>
                <w:szCs w:val="13"/>
              </w:rPr>
              <w:t>200,000</w:t>
            </w:r>
          </w:p>
        </w:tc>
        <w:tc>
          <w:tcPr>
            <w:tcW w:w="840" w:type="dxa"/>
            <w:vAlign w:val="bottom"/>
          </w:tcPr>
          <w:p w:rsidR="00A621E3" w:rsidRDefault="00EC630E">
            <w:pPr>
              <w:ind w:left="700"/>
              <w:rPr>
                <w:sz w:val="20"/>
                <w:szCs w:val="20"/>
              </w:rPr>
            </w:pPr>
            <w:r>
              <w:rPr>
                <w:rFonts w:ascii="Arial" w:eastAsia="Arial" w:hAnsi="Arial" w:cs="Arial"/>
                <w:sz w:val="13"/>
                <w:szCs w:val="13"/>
              </w:rPr>
              <w:t>$</w:t>
            </w:r>
          </w:p>
        </w:tc>
        <w:tc>
          <w:tcPr>
            <w:tcW w:w="1800" w:type="dxa"/>
            <w:vAlign w:val="bottom"/>
          </w:tcPr>
          <w:p w:rsidR="00A621E3" w:rsidRDefault="00EC630E">
            <w:pPr>
              <w:ind w:right="31"/>
              <w:jc w:val="right"/>
              <w:rPr>
                <w:sz w:val="20"/>
                <w:szCs w:val="20"/>
              </w:rPr>
            </w:pPr>
            <w:r>
              <w:rPr>
                <w:rFonts w:ascii="Arial" w:eastAsia="Arial" w:hAnsi="Arial" w:cs="Arial"/>
                <w:sz w:val="13"/>
                <w:szCs w:val="13"/>
              </w:rPr>
              <w:t>202,000</w:t>
            </w:r>
          </w:p>
        </w:tc>
      </w:tr>
      <w:tr w:rsidR="00A621E3">
        <w:trPr>
          <w:trHeight w:val="189"/>
        </w:trPr>
        <w:tc>
          <w:tcPr>
            <w:tcW w:w="2560" w:type="dxa"/>
            <w:vAlign w:val="bottom"/>
          </w:tcPr>
          <w:p w:rsidR="00A621E3" w:rsidRDefault="00EC630E">
            <w:pPr>
              <w:rPr>
                <w:sz w:val="20"/>
                <w:szCs w:val="20"/>
              </w:rPr>
            </w:pPr>
            <w:r>
              <w:rPr>
                <w:rFonts w:ascii="Arial" w:eastAsia="Arial" w:hAnsi="Arial" w:cs="Arial"/>
                <w:b/>
                <w:bCs/>
                <w:color w:val="CF0A2C"/>
                <w:sz w:val="14"/>
                <w:szCs w:val="14"/>
              </w:rPr>
              <w:t>Mr. Huang</w:t>
            </w:r>
          </w:p>
        </w:tc>
        <w:tc>
          <w:tcPr>
            <w:tcW w:w="3020" w:type="dxa"/>
            <w:vAlign w:val="bottom"/>
          </w:tcPr>
          <w:p w:rsidR="00A621E3" w:rsidRDefault="00EC630E">
            <w:pPr>
              <w:ind w:right="331"/>
              <w:jc w:val="right"/>
              <w:rPr>
                <w:sz w:val="20"/>
                <w:szCs w:val="20"/>
              </w:rPr>
            </w:pPr>
            <w:r>
              <w:rPr>
                <w:rFonts w:ascii="Arial" w:eastAsia="Arial" w:hAnsi="Arial" w:cs="Arial"/>
                <w:sz w:val="13"/>
                <w:szCs w:val="13"/>
              </w:rPr>
              <w:t>2/10/2022</w:t>
            </w:r>
          </w:p>
        </w:tc>
        <w:tc>
          <w:tcPr>
            <w:tcW w:w="2800" w:type="dxa"/>
            <w:vAlign w:val="bottom"/>
          </w:tcPr>
          <w:p w:rsidR="00A621E3" w:rsidRDefault="00EC630E">
            <w:pPr>
              <w:ind w:right="630"/>
              <w:jc w:val="right"/>
              <w:rPr>
                <w:sz w:val="20"/>
                <w:szCs w:val="20"/>
              </w:rPr>
            </w:pPr>
            <w:r>
              <w:rPr>
                <w:rFonts w:ascii="Arial" w:eastAsia="Arial" w:hAnsi="Arial" w:cs="Arial"/>
                <w:sz w:val="13"/>
                <w:szCs w:val="13"/>
              </w:rPr>
              <w:t>200,000</w:t>
            </w:r>
          </w:p>
        </w:tc>
        <w:tc>
          <w:tcPr>
            <w:tcW w:w="840" w:type="dxa"/>
            <w:vAlign w:val="bottom"/>
          </w:tcPr>
          <w:p w:rsidR="00A621E3" w:rsidRDefault="00EC630E">
            <w:pPr>
              <w:ind w:left="700"/>
              <w:rPr>
                <w:sz w:val="20"/>
                <w:szCs w:val="20"/>
              </w:rPr>
            </w:pPr>
            <w:r>
              <w:rPr>
                <w:rFonts w:ascii="Arial" w:eastAsia="Arial" w:hAnsi="Arial" w:cs="Arial"/>
                <w:sz w:val="13"/>
                <w:szCs w:val="13"/>
              </w:rPr>
              <w:t>$</w:t>
            </w:r>
          </w:p>
        </w:tc>
        <w:tc>
          <w:tcPr>
            <w:tcW w:w="1800" w:type="dxa"/>
            <w:vAlign w:val="bottom"/>
          </w:tcPr>
          <w:p w:rsidR="00A621E3" w:rsidRDefault="00EC630E">
            <w:pPr>
              <w:ind w:right="31"/>
              <w:jc w:val="right"/>
              <w:rPr>
                <w:sz w:val="20"/>
                <w:szCs w:val="20"/>
              </w:rPr>
            </w:pPr>
            <w:r>
              <w:rPr>
                <w:rFonts w:ascii="Arial" w:eastAsia="Arial" w:hAnsi="Arial" w:cs="Arial"/>
                <w:sz w:val="13"/>
                <w:szCs w:val="13"/>
              </w:rPr>
              <w:t>202,000</w:t>
            </w:r>
          </w:p>
        </w:tc>
      </w:tr>
      <w:tr w:rsidR="00A621E3">
        <w:trPr>
          <w:trHeight w:val="175"/>
        </w:trPr>
        <w:tc>
          <w:tcPr>
            <w:tcW w:w="2560" w:type="dxa"/>
            <w:tcBorders>
              <w:bottom w:val="single" w:sz="8" w:space="0" w:color="CF0A2C"/>
            </w:tcBorders>
            <w:vAlign w:val="bottom"/>
          </w:tcPr>
          <w:p w:rsidR="00A621E3" w:rsidRDefault="00EC630E">
            <w:pPr>
              <w:rPr>
                <w:sz w:val="20"/>
                <w:szCs w:val="20"/>
              </w:rPr>
            </w:pPr>
            <w:r>
              <w:rPr>
                <w:rFonts w:ascii="Arial" w:eastAsia="Arial" w:hAnsi="Arial" w:cs="Arial"/>
                <w:b/>
                <w:bCs/>
                <w:color w:val="CF0A2C"/>
                <w:sz w:val="14"/>
                <w:szCs w:val="14"/>
              </w:rPr>
              <w:t>Mr. Yuen</w:t>
            </w:r>
          </w:p>
        </w:tc>
        <w:tc>
          <w:tcPr>
            <w:tcW w:w="3020" w:type="dxa"/>
            <w:tcBorders>
              <w:bottom w:val="single" w:sz="8" w:space="0" w:color="CF0A2C"/>
            </w:tcBorders>
            <w:vAlign w:val="bottom"/>
          </w:tcPr>
          <w:p w:rsidR="00A621E3" w:rsidRDefault="00EC630E">
            <w:pPr>
              <w:ind w:right="331"/>
              <w:jc w:val="right"/>
              <w:rPr>
                <w:sz w:val="20"/>
                <w:szCs w:val="20"/>
              </w:rPr>
            </w:pPr>
            <w:r>
              <w:rPr>
                <w:rFonts w:ascii="Arial" w:eastAsia="Arial" w:hAnsi="Arial" w:cs="Arial"/>
                <w:sz w:val="13"/>
                <w:szCs w:val="13"/>
              </w:rPr>
              <w:t>2/10/2022</w:t>
            </w:r>
          </w:p>
        </w:tc>
        <w:tc>
          <w:tcPr>
            <w:tcW w:w="2800" w:type="dxa"/>
            <w:tcBorders>
              <w:bottom w:val="single" w:sz="8" w:space="0" w:color="CF0A2C"/>
            </w:tcBorders>
            <w:vAlign w:val="bottom"/>
          </w:tcPr>
          <w:p w:rsidR="00A621E3" w:rsidRDefault="00EC630E">
            <w:pPr>
              <w:ind w:right="630"/>
              <w:jc w:val="right"/>
              <w:rPr>
                <w:sz w:val="20"/>
                <w:szCs w:val="20"/>
              </w:rPr>
            </w:pPr>
            <w:r>
              <w:rPr>
                <w:rFonts w:ascii="Arial" w:eastAsia="Arial" w:hAnsi="Arial" w:cs="Arial"/>
                <w:sz w:val="13"/>
                <w:szCs w:val="13"/>
              </w:rPr>
              <w:t>200,000</w:t>
            </w:r>
          </w:p>
        </w:tc>
        <w:tc>
          <w:tcPr>
            <w:tcW w:w="840" w:type="dxa"/>
            <w:tcBorders>
              <w:bottom w:val="single" w:sz="8" w:space="0" w:color="CF0A2C"/>
            </w:tcBorders>
            <w:vAlign w:val="bottom"/>
          </w:tcPr>
          <w:p w:rsidR="00A621E3" w:rsidRDefault="00EC630E">
            <w:pPr>
              <w:ind w:left="700"/>
              <w:rPr>
                <w:sz w:val="20"/>
                <w:szCs w:val="20"/>
              </w:rPr>
            </w:pPr>
            <w:r>
              <w:rPr>
                <w:rFonts w:ascii="Arial" w:eastAsia="Arial" w:hAnsi="Arial" w:cs="Arial"/>
                <w:sz w:val="13"/>
                <w:szCs w:val="13"/>
              </w:rPr>
              <w:t>$</w:t>
            </w:r>
          </w:p>
        </w:tc>
        <w:tc>
          <w:tcPr>
            <w:tcW w:w="1800" w:type="dxa"/>
            <w:tcBorders>
              <w:bottom w:val="single" w:sz="8" w:space="0" w:color="CF0A2C"/>
            </w:tcBorders>
            <w:vAlign w:val="bottom"/>
          </w:tcPr>
          <w:p w:rsidR="00A621E3" w:rsidRDefault="00EC630E">
            <w:pPr>
              <w:ind w:right="31"/>
              <w:jc w:val="right"/>
              <w:rPr>
                <w:sz w:val="20"/>
                <w:szCs w:val="20"/>
              </w:rPr>
            </w:pPr>
            <w:r>
              <w:rPr>
                <w:rFonts w:ascii="Arial" w:eastAsia="Arial" w:hAnsi="Arial" w:cs="Arial"/>
                <w:sz w:val="13"/>
                <w:szCs w:val="13"/>
              </w:rPr>
              <w:t>202,000</w:t>
            </w:r>
          </w:p>
        </w:tc>
      </w:tr>
    </w:tbl>
    <w:p w:rsidR="00A621E3" w:rsidRDefault="00A621E3">
      <w:pPr>
        <w:spacing w:line="280" w:lineRule="exact"/>
        <w:rPr>
          <w:sz w:val="20"/>
          <w:szCs w:val="20"/>
        </w:rPr>
      </w:pPr>
    </w:p>
    <w:p w:rsidR="00A621E3" w:rsidRDefault="00EC630E">
      <w:pPr>
        <w:numPr>
          <w:ilvl w:val="0"/>
          <w:numId w:val="110"/>
        </w:numPr>
        <w:tabs>
          <w:tab w:val="left" w:pos="760"/>
        </w:tabs>
        <w:spacing w:line="250" w:lineRule="auto"/>
        <w:ind w:left="760" w:right="20" w:hanging="644"/>
        <w:jc w:val="both"/>
        <w:rPr>
          <w:rFonts w:ascii="Arial" w:eastAsia="Arial" w:hAnsi="Arial" w:cs="Arial"/>
          <w:color w:val="CF0A2C"/>
          <w:sz w:val="20"/>
          <w:szCs w:val="20"/>
        </w:rPr>
      </w:pPr>
      <w:r>
        <w:rPr>
          <w:rFonts w:ascii="Arial" w:eastAsia="Arial" w:hAnsi="Arial" w:cs="Arial"/>
          <w:sz w:val="20"/>
          <w:szCs w:val="20"/>
        </w:rPr>
        <w:t xml:space="preserve">The 2022 Lavazza ESOP Grants granted to the NEOs are subject to both </w:t>
      </w:r>
      <w:r>
        <w:rPr>
          <w:rFonts w:ascii="Arial" w:eastAsia="Arial" w:hAnsi="Arial" w:cs="Arial"/>
          <w:sz w:val="20"/>
          <w:szCs w:val="20"/>
        </w:rPr>
        <w:t>performance-based vesting conditions and the occurrence of a liquidity event, including an initial public offering of the Lavazza Joint Venture which must occur within seven years of the grant date.</w:t>
      </w:r>
    </w:p>
    <w:p w:rsidR="00A621E3" w:rsidRDefault="00A621E3">
      <w:pPr>
        <w:spacing w:line="266" w:lineRule="exact"/>
        <w:rPr>
          <w:rFonts w:ascii="Arial" w:eastAsia="Arial" w:hAnsi="Arial" w:cs="Arial"/>
          <w:color w:val="CF0A2C"/>
          <w:sz w:val="20"/>
          <w:szCs w:val="20"/>
        </w:rPr>
      </w:pPr>
    </w:p>
    <w:p w:rsidR="00A621E3" w:rsidRDefault="00EC630E">
      <w:pPr>
        <w:numPr>
          <w:ilvl w:val="0"/>
          <w:numId w:val="110"/>
        </w:numPr>
        <w:tabs>
          <w:tab w:val="left" w:pos="760"/>
        </w:tabs>
        <w:spacing w:line="250" w:lineRule="auto"/>
        <w:ind w:left="760" w:right="20" w:hanging="644"/>
        <w:jc w:val="both"/>
        <w:rPr>
          <w:rFonts w:ascii="Arial" w:eastAsia="Arial" w:hAnsi="Arial" w:cs="Arial"/>
          <w:color w:val="CF0A2C"/>
          <w:sz w:val="20"/>
          <w:szCs w:val="20"/>
        </w:rPr>
      </w:pPr>
      <w:r>
        <w:rPr>
          <w:rFonts w:ascii="Arial" w:eastAsia="Arial" w:hAnsi="Arial" w:cs="Arial"/>
          <w:sz w:val="20"/>
          <w:szCs w:val="20"/>
        </w:rPr>
        <w:t>The per share fair value of the 2022 Lavazza ESOP Grants</w:t>
      </w:r>
      <w:r>
        <w:rPr>
          <w:rFonts w:ascii="Arial" w:eastAsia="Arial" w:hAnsi="Arial" w:cs="Arial"/>
          <w:sz w:val="20"/>
          <w:szCs w:val="20"/>
        </w:rPr>
        <w:t xml:space="preserve"> are based on an external valuation of the total enterprise value of Lavazza Joint Venture as at December 31, 2022 and determined on a diluted basis, taking into account of potential shares to be issued under the Lavazza Equity Plans.</w:t>
      </w:r>
    </w:p>
    <w:p w:rsidR="00A621E3" w:rsidRDefault="00A621E3">
      <w:pPr>
        <w:spacing w:line="126" w:lineRule="exact"/>
        <w:rPr>
          <w:sz w:val="20"/>
          <w:szCs w:val="20"/>
        </w:rPr>
      </w:pPr>
    </w:p>
    <w:p w:rsidR="00A621E3" w:rsidRDefault="00EC630E">
      <w:pPr>
        <w:numPr>
          <w:ilvl w:val="0"/>
          <w:numId w:val="111"/>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xml:space="preserve">– 2023 </w:t>
      </w:r>
      <w:r>
        <w:rPr>
          <w:rFonts w:ascii="Arial" w:eastAsia="Arial" w:hAnsi="Arial" w:cs="Arial"/>
          <w:i/>
          <w:iCs/>
          <w:color w:val="4C4C4C"/>
          <w:sz w:val="14"/>
          <w:szCs w:val="14"/>
        </w:rPr>
        <w:t>Proxy Statement</w:t>
      </w:r>
    </w:p>
    <w:p w:rsidR="00A621E3" w:rsidRDefault="00EC630E">
      <w:pPr>
        <w:spacing w:line="20" w:lineRule="exact"/>
        <w:rPr>
          <w:sz w:val="20"/>
          <w:szCs w:val="20"/>
        </w:rPr>
      </w:pPr>
      <w:r>
        <w:rPr>
          <w:noProof/>
          <w:sz w:val="20"/>
          <w:szCs w:val="20"/>
        </w:rPr>
        <w:drawing>
          <wp:anchor distT="0" distB="0" distL="114300" distR="114300" simplePos="0" relativeHeight="252000256"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88" w:name="page88"/>
      <w:bookmarkEnd w:id="88"/>
      <w:r>
        <w:rPr>
          <w:rFonts w:ascii="Arial" w:eastAsia="Arial" w:hAnsi="Arial" w:cs="Arial"/>
          <w:b/>
          <w:bCs/>
          <w:noProof/>
          <w:color w:val="0000EE"/>
          <w:sz w:val="18"/>
          <w:szCs w:val="18"/>
          <w:u w:val="single"/>
        </w:rPr>
        <w:drawing>
          <wp:anchor distT="0" distB="0" distL="114300" distR="114300" simplePos="0" relativeHeight="252001280"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02304"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680"/>
        <w:rPr>
          <w:sz w:val="20"/>
          <w:szCs w:val="20"/>
        </w:rPr>
      </w:pPr>
      <w:r>
        <w:rPr>
          <w:rFonts w:ascii="Arial" w:eastAsia="Arial" w:hAnsi="Arial" w:cs="Arial"/>
          <w:b/>
          <w:bCs/>
          <w:color w:val="FFFFFF"/>
          <w:sz w:val="16"/>
          <w:szCs w:val="16"/>
        </w:rPr>
        <w:t>EXECUTIVE COMPENSATION</w:t>
      </w:r>
    </w:p>
    <w:p w:rsidR="00A621E3" w:rsidRDefault="00A621E3">
      <w:pPr>
        <w:spacing w:line="189" w:lineRule="exact"/>
        <w:rPr>
          <w:sz w:val="20"/>
          <w:szCs w:val="20"/>
        </w:rPr>
      </w:pPr>
    </w:p>
    <w:p w:rsidR="00A621E3" w:rsidRDefault="00EC630E">
      <w:pPr>
        <w:ind w:left="120"/>
        <w:rPr>
          <w:sz w:val="20"/>
          <w:szCs w:val="20"/>
        </w:rPr>
      </w:pPr>
      <w:r>
        <w:rPr>
          <w:rFonts w:ascii="Arial" w:eastAsia="Arial" w:hAnsi="Arial" w:cs="Arial"/>
          <w:b/>
          <w:bCs/>
          <w:color w:val="CF0A2C"/>
          <w:sz w:val="32"/>
          <w:szCs w:val="32"/>
        </w:rPr>
        <w:t>2022 OPTION/SAR EXERCISES AND STOCK VESTED</w:t>
      </w:r>
    </w:p>
    <w:p w:rsidR="00A621E3" w:rsidRDefault="00EC630E">
      <w:pPr>
        <w:spacing w:line="20" w:lineRule="exact"/>
        <w:rPr>
          <w:sz w:val="20"/>
          <w:szCs w:val="20"/>
        </w:rPr>
      </w:pPr>
      <w:r>
        <w:rPr>
          <w:noProof/>
          <w:sz w:val="20"/>
          <w:szCs w:val="20"/>
        </w:rPr>
        <w:drawing>
          <wp:anchor distT="0" distB="0" distL="114300" distR="114300" simplePos="0" relativeHeight="252003328"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36" w:lineRule="exact"/>
        <w:rPr>
          <w:sz w:val="20"/>
          <w:szCs w:val="20"/>
        </w:rPr>
      </w:pPr>
    </w:p>
    <w:p w:rsidR="00A621E3" w:rsidRDefault="00EC630E">
      <w:pPr>
        <w:spacing w:line="250" w:lineRule="auto"/>
        <w:ind w:left="120" w:right="20"/>
        <w:jc w:val="both"/>
        <w:rPr>
          <w:sz w:val="20"/>
          <w:szCs w:val="20"/>
        </w:rPr>
      </w:pPr>
      <w:r>
        <w:rPr>
          <w:rFonts w:ascii="Arial" w:eastAsia="Arial" w:hAnsi="Arial" w:cs="Arial"/>
          <w:sz w:val="20"/>
          <w:szCs w:val="20"/>
        </w:rPr>
        <w:t xml:space="preserve">The table below shows the number of Company shares acquired during 2022 upon the exercise of Company SAR awards and the </w:t>
      </w:r>
      <w:r>
        <w:rPr>
          <w:rFonts w:ascii="Arial" w:eastAsia="Arial" w:hAnsi="Arial" w:cs="Arial"/>
          <w:sz w:val="20"/>
          <w:szCs w:val="20"/>
        </w:rPr>
        <w:t>vesting of Company stock awards and before payment of applicable withholding taxes and broker commissions. This table does not include any shares acquired upon the exercise or vesting of outstanding YUM equity awards.</w:t>
      </w:r>
    </w:p>
    <w:p w:rsidR="00A621E3" w:rsidRDefault="00A621E3">
      <w:pPr>
        <w:spacing w:line="26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920"/>
        <w:gridCol w:w="1740"/>
        <w:gridCol w:w="940"/>
        <w:gridCol w:w="500"/>
        <w:gridCol w:w="1660"/>
        <w:gridCol w:w="1260"/>
      </w:tblGrid>
      <w:tr w:rsidR="00A621E3">
        <w:trPr>
          <w:trHeight w:val="176"/>
        </w:trPr>
        <w:tc>
          <w:tcPr>
            <w:tcW w:w="4920" w:type="dxa"/>
            <w:tcBorders>
              <w:top w:val="single" w:sz="8" w:space="0" w:color="CF0A2C"/>
              <w:bottom w:val="single" w:sz="8" w:space="0" w:color="FAE6E9"/>
            </w:tcBorders>
            <w:shd w:val="clear" w:color="auto" w:fill="FAE6E9"/>
            <w:vAlign w:val="bottom"/>
          </w:tcPr>
          <w:p w:rsidR="00A621E3" w:rsidRDefault="00A621E3">
            <w:pPr>
              <w:rPr>
                <w:sz w:val="15"/>
                <w:szCs w:val="15"/>
              </w:rPr>
            </w:pPr>
          </w:p>
        </w:tc>
        <w:tc>
          <w:tcPr>
            <w:tcW w:w="2680" w:type="dxa"/>
            <w:gridSpan w:val="2"/>
            <w:tcBorders>
              <w:top w:val="single" w:sz="8" w:space="0" w:color="CF0A2C"/>
              <w:bottom w:val="single" w:sz="8" w:space="0" w:color="CF0A2C"/>
            </w:tcBorders>
            <w:shd w:val="clear" w:color="auto" w:fill="FAE6E9"/>
            <w:vAlign w:val="bottom"/>
          </w:tcPr>
          <w:p w:rsidR="00A621E3" w:rsidRDefault="00EC630E">
            <w:pPr>
              <w:ind w:right="310"/>
              <w:jc w:val="right"/>
              <w:rPr>
                <w:sz w:val="20"/>
                <w:szCs w:val="20"/>
              </w:rPr>
            </w:pPr>
            <w:r>
              <w:rPr>
                <w:rFonts w:ascii="Arial" w:eastAsia="Arial" w:hAnsi="Arial" w:cs="Arial"/>
                <w:b/>
                <w:bCs/>
                <w:color w:val="CF0A2C"/>
                <w:sz w:val="14"/>
                <w:szCs w:val="14"/>
              </w:rPr>
              <w:t>Option/SAR Awards</w:t>
            </w:r>
          </w:p>
        </w:tc>
        <w:tc>
          <w:tcPr>
            <w:tcW w:w="500" w:type="dxa"/>
            <w:tcBorders>
              <w:top w:val="single" w:sz="8" w:space="0" w:color="CF0A2C"/>
              <w:bottom w:val="single" w:sz="8" w:space="0" w:color="FAE6E9"/>
            </w:tcBorders>
            <w:shd w:val="clear" w:color="auto" w:fill="FAE6E9"/>
            <w:vAlign w:val="bottom"/>
          </w:tcPr>
          <w:p w:rsidR="00A621E3" w:rsidRDefault="00A621E3">
            <w:pPr>
              <w:rPr>
                <w:sz w:val="15"/>
                <w:szCs w:val="15"/>
              </w:rPr>
            </w:pPr>
          </w:p>
        </w:tc>
        <w:tc>
          <w:tcPr>
            <w:tcW w:w="2920" w:type="dxa"/>
            <w:gridSpan w:val="2"/>
            <w:tcBorders>
              <w:top w:val="single" w:sz="8" w:space="0" w:color="CF0A2C"/>
              <w:bottom w:val="single" w:sz="8" w:space="0" w:color="CF0A2C"/>
            </w:tcBorders>
            <w:shd w:val="clear" w:color="auto" w:fill="FAE6E9"/>
            <w:vAlign w:val="bottom"/>
          </w:tcPr>
          <w:p w:rsidR="00A621E3" w:rsidRDefault="00EC630E">
            <w:pPr>
              <w:ind w:right="730"/>
              <w:jc w:val="right"/>
              <w:rPr>
                <w:sz w:val="20"/>
                <w:szCs w:val="20"/>
              </w:rPr>
            </w:pPr>
            <w:r>
              <w:rPr>
                <w:rFonts w:ascii="Arial" w:eastAsia="Arial" w:hAnsi="Arial" w:cs="Arial"/>
                <w:b/>
                <w:bCs/>
                <w:color w:val="CF0A2C"/>
                <w:sz w:val="14"/>
                <w:szCs w:val="14"/>
              </w:rPr>
              <w:t>Stock Awards</w:t>
            </w:r>
          </w:p>
        </w:tc>
      </w:tr>
      <w:tr w:rsidR="00A621E3">
        <w:trPr>
          <w:trHeight w:val="142"/>
        </w:trPr>
        <w:tc>
          <w:tcPr>
            <w:tcW w:w="4920" w:type="dxa"/>
            <w:shd w:val="clear" w:color="auto" w:fill="FAE6E9"/>
            <w:vAlign w:val="bottom"/>
          </w:tcPr>
          <w:p w:rsidR="00A621E3" w:rsidRDefault="00A621E3">
            <w:pPr>
              <w:rPr>
                <w:sz w:val="12"/>
                <w:szCs w:val="12"/>
              </w:rPr>
            </w:pPr>
          </w:p>
        </w:tc>
        <w:tc>
          <w:tcPr>
            <w:tcW w:w="1740" w:type="dxa"/>
            <w:shd w:val="clear" w:color="auto" w:fill="FAE6E9"/>
            <w:vAlign w:val="bottom"/>
          </w:tcPr>
          <w:p w:rsidR="00A621E3" w:rsidRDefault="00EC630E">
            <w:pPr>
              <w:spacing w:line="143" w:lineRule="exact"/>
              <w:ind w:left="210"/>
              <w:jc w:val="center"/>
              <w:rPr>
                <w:sz w:val="20"/>
                <w:szCs w:val="20"/>
              </w:rPr>
            </w:pPr>
            <w:r>
              <w:rPr>
                <w:rFonts w:ascii="Arial" w:eastAsia="Arial" w:hAnsi="Arial" w:cs="Arial"/>
                <w:b/>
                <w:bCs/>
                <w:color w:val="CF0A2C"/>
                <w:sz w:val="14"/>
                <w:szCs w:val="14"/>
              </w:rPr>
              <w:t>Number</w:t>
            </w:r>
          </w:p>
        </w:tc>
        <w:tc>
          <w:tcPr>
            <w:tcW w:w="1440" w:type="dxa"/>
            <w:gridSpan w:val="2"/>
            <w:shd w:val="clear" w:color="auto" w:fill="FAE6E9"/>
            <w:vAlign w:val="bottom"/>
          </w:tcPr>
          <w:p w:rsidR="00A621E3" w:rsidRDefault="00EC630E">
            <w:pPr>
              <w:spacing w:line="143" w:lineRule="exact"/>
              <w:ind w:right="220"/>
              <w:jc w:val="center"/>
              <w:rPr>
                <w:sz w:val="20"/>
                <w:szCs w:val="20"/>
              </w:rPr>
            </w:pPr>
            <w:r>
              <w:rPr>
                <w:rFonts w:ascii="Arial" w:eastAsia="Arial" w:hAnsi="Arial" w:cs="Arial"/>
                <w:b/>
                <w:bCs/>
                <w:color w:val="CF0A2C"/>
                <w:sz w:val="14"/>
                <w:szCs w:val="14"/>
              </w:rPr>
              <w:t>Value</w:t>
            </w:r>
          </w:p>
        </w:tc>
        <w:tc>
          <w:tcPr>
            <w:tcW w:w="1660" w:type="dxa"/>
            <w:shd w:val="clear" w:color="auto" w:fill="FAE6E9"/>
            <w:vAlign w:val="bottom"/>
          </w:tcPr>
          <w:p w:rsidR="00A621E3" w:rsidRDefault="00EC630E">
            <w:pPr>
              <w:spacing w:line="143" w:lineRule="exact"/>
              <w:ind w:left="290"/>
              <w:jc w:val="center"/>
              <w:rPr>
                <w:sz w:val="20"/>
                <w:szCs w:val="20"/>
              </w:rPr>
            </w:pPr>
            <w:r>
              <w:rPr>
                <w:rFonts w:ascii="Arial" w:eastAsia="Arial" w:hAnsi="Arial" w:cs="Arial"/>
                <w:b/>
                <w:bCs/>
                <w:color w:val="CF0A2C"/>
                <w:sz w:val="14"/>
                <w:szCs w:val="14"/>
              </w:rPr>
              <w:t>Number</w:t>
            </w:r>
          </w:p>
        </w:tc>
        <w:tc>
          <w:tcPr>
            <w:tcW w:w="1260" w:type="dxa"/>
            <w:shd w:val="clear" w:color="auto" w:fill="FAE6E9"/>
            <w:vAlign w:val="bottom"/>
          </w:tcPr>
          <w:p w:rsidR="00A621E3" w:rsidRDefault="00A621E3">
            <w:pPr>
              <w:rPr>
                <w:sz w:val="12"/>
                <w:szCs w:val="12"/>
              </w:rPr>
            </w:pPr>
          </w:p>
        </w:tc>
      </w:tr>
      <w:tr w:rsidR="00A621E3">
        <w:trPr>
          <w:trHeight w:val="162"/>
        </w:trPr>
        <w:tc>
          <w:tcPr>
            <w:tcW w:w="4920" w:type="dxa"/>
            <w:shd w:val="clear" w:color="auto" w:fill="FAE6E9"/>
            <w:vAlign w:val="bottom"/>
          </w:tcPr>
          <w:p w:rsidR="00A621E3" w:rsidRDefault="00A621E3">
            <w:pPr>
              <w:rPr>
                <w:sz w:val="14"/>
                <w:szCs w:val="14"/>
              </w:rPr>
            </w:pPr>
          </w:p>
        </w:tc>
        <w:tc>
          <w:tcPr>
            <w:tcW w:w="1740" w:type="dxa"/>
            <w:shd w:val="clear" w:color="auto" w:fill="FAE6E9"/>
            <w:vAlign w:val="bottom"/>
          </w:tcPr>
          <w:p w:rsidR="00A621E3" w:rsidRDefault="00EC630E">
            <w:pPr>
              <w:ind w:left="210"/>
              <w:jc w:val="center"/>
              <w:rPr>
                <w:sz w:val="20"/>
                <w:szCs w:val="20"/>
              </w:rPr>
            </w:pPr>
            <w:r>
              <w:rPr>
                <w:rFonts w:ascii="Arial" w:eastAsia="Arial" w:hAnsi="Arial" w:cs="Arial"/>
                <w:b/>
                <w:bCs/>
                <w:color w:val="CF0A2C"/>
                <w:sz w:val="14"/>
                <w:szCs w:val="14"/>
              </w:rPr>
              <w:t>of Shares</w:t>
            </w:r>
          </w:p>
        </w:tc>
        <w:tc>
          <w:tcPr>
            <w:tcW w:w="1440" w:type="dxa"/>
            <w:gridSpan w:val="2"/>
            <w:shd w:val="clear" w:color="auto" w:fill="FAE6E9"/>
            <w:vAlign w:val="bottom"/>
          </w:tcPr>
          <w:p w:rsidR="00A621E3" w:rsidRDefault="00EC630E">
            <w:pPr>
              <w:ind w:right="220"/>
              <w:jc w:val="center"/>
              <w:rPr>
                <w:sz w:val="20"/>
                <w:szCs w:val="20"/>
              </w:rPr>
            </w:pPr>
            <w:r>
              <w:rPr>
                <w:rFonts w:ascii="Arial" w:eastAsia="Arial" w:hAnsi="Arial" w:cs="Arial"/>
                <w:b/>
                <w:bCs/>
                <w:color w:val="CF0A2C"/>
                <w:sz w:val="14"/>
                <w:szCs w:val="14"/>
              </w:rPr>
              <w:t>Realized</w:t>
            </w:r>
          </w:p>
        </w:tc>
        <w:tc>
          <w:tcPr>
            <w:tcW w:w="1660" w:type="dxa"/>
            <w:shd w:val="clear" w:color="auto" w:fill="FAE6E9"/>
            <w:vAlign w:val="bottom"/>
          </w:tcPr>
          <w:p w:rsidR="00A621E3" w:rsidRDefault="00EC630E">
            <w:pPr>
              <w:ind w:left="290"/>
              <w:jc w:val="center"/>
              <w:rPr>
                <w:sz w:val="20"/>
                <w:szCs w:val="20"/>
              </w:rPr>
            </w:pPr>
            <w:r>
              <w:rPr>
                <w:rFonts w:ascii="Arial" w:eastAsia="Arial" w:hAnsi="Arial" w:cs="Arial"/>
                <w:b/>
                <w:bCs/>
                <w:color w:val="CF0A2C"/>
                <w:sz w:val="14"/>
                <w:szCs w:val="14"/>
              </w:rPr>
              <w:t>of Shares</w:t>
            </w:r>
          </w:p>
        </w:tc>
        <w:tc>
          <w:tcPr>
            <w:tcW w:w="126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Value</w:t>
            </w:r>
          </w:p>
        </w:tc>
      </w:tr>
      <w:tr w:rsidR="00A621E3">
        <w:trPr>
          <w:trHeight w:val="162"/>
        </w:trPr>
        <w:tc>
          <w:tcPr>
            <w:tcW w:w="4920" w:type="dxa"/>
            <w:shd w:val="clear" w:color="auto" w:fill="FAE6E9"/>
            <w:vAlign w:val="bottom"/>
          </w:tcPr>
          <w:p w:rsidR="00A621E3" w:rsidRDefault="00A621E3">
            <w:pPr>
              <w:rPr>
                <w:sz w:val="14"/>
                <w:szCs w:val="14"/>
              </w:rPr>
            </w:pPr>
          </w:p>
        </w:tc>
        <w:tc>
          <w:tcPr>
            <w:tcW w:w="1740" w:type="dxa"/>
            <w:shd w:val="clear" w:color="auto" w:fill="FAE6E9"/>
            <w:vAlign w:val="bottom"/>
          </w:tcPr>
          <w:p w:rsidR="00A621E3" w:rsidRDefault="00EC630E">
            <w:pPr>
              <w:ind w:left="190"/>
              <w:jc w:val="center"/>
              <w:rPr>
                <w:sz w:val="20"/>
                <w:szCs w:val="20"/>
              </w:rPr>
            </w:pPr>
            <w:r>
              <w:rPr>
                <w:rFonts w:ascii="Arial" w:eastAsia="Arial" w:hAnsi="Arial" w:cs="Arial"/>
                <w:b/>
                <w:bCs/>
                <w:color w:val="CF0A2C"/>
                <w:sz w:val="14"/>
                <w:szCs w:val="14"/>
              </w:rPr>
              <w:t>Acquired on</w:t>
            </w:r>
          </w:p>
        </w:tc>
        <w:tc>
          <w:tcPr>
            <w:tcW w:w="1440" w:type="dxa"/>
            <w:gridSpan w:val="2"/>
            <w:shd w:val="clear" w:color="auto" w:fill="FAE6E9"/>
            <w:vAlign w:val="bottom"/>
          </w:tcPr>
          <w:p w:rsidR="00A621E3" w:rsidRDefault="00EC630E">
            <w:pPr>
              <w:ind w:right="220"/>
              <w:jc w:val="center"/>
              <w:rPr>
                <w:sz w:val="20"/>
                <w:szCs w:val="20"/>
              </w:rPr>
            </w:pPr>
            <w:r>
              <w:rPr>
                <w:rFonts w:ascii="Arial" w:eastAsia="Arial" w:hAnsi="Arial" w:cs="Arial"/>
                <w:b/>
                <w:bCs/>
                <w:color w:val="CF0A2C"/>
                <w:sz w:val="14"/>
                <w:szCs w:val="14"/>
              </w:rPr>
              <w:t>on</w:t>
            </w:r>
          </w:p>
        </w:tc>
        <w:tc>
          <w:tcPr>
            <w:tcW w:w="1660" w:type="dxa"/>
            <w:shd w:val="clear" w:color="auto" w:fill="FAE6E9"/>
            <w:vAlign w:val="bottom"/>
          </w:tcPr>
          <w:p w:rsidR="00A621E3" w:rsidRDefault="00EC630E">
            <w:pPr>
              <w:ind w:right="150"/>
              <w:jc w:val="right"/>
              <w:rPr>
                <w:sz w:val="20"/>
                <w:szCs w:val="20"/>
              </w:rPr>
            </w:pPr>
            <w:r>
              <w:rPr>
                <w:rFonts w:ascii="Arial" w:eastAsia="Arial" w:hAnsi="Arial" w:cs="Arial"/>
                <w:b/>
                <w:bCs/>
                <w:color w:val="CF0A2C"/>
                <w:sz w:val="14"/>
                <w:szCs w:val="14"/>
              </w:rPr>
              <w:t>Acquired on</w:t>
            </w:r>
          </w:p>
        </w:tc>
        <w:tc>
          <w:tcPr>
            <w:tcW w:w="126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Realized on</w:t>
            </w:r>
          </w:p>
        </w:tc>
      </w:tr>
      <w:tr w:rsidR="00A621E3">
        <w:trPr>
          <w:trHeight w:val="162"/>
        </w:trPr>
        <w:tc>
          <w:tcPr>
            <w:tcW w:w="4920" w:type="dxa"/>
            <w:shd w:val="clear" w:color="auto" w:fill="FAE6E9"/>
            <w:vAlign w:val="bottom"/>
          </w:tcPr>
          <w:p w:rsidR="00A621E3" w:rsidRDefault="00A621E3">
            <w:pPr>
              <w:rPr>
                <w:sz w:val="14"/>
                <w:szCs w:val="14"/>
              </w:rPr>
            </w:pPr>
          </w:p>
        </w:tc>
        <w:tc>
          <w:tcPr>
            <w:tcW w:w="1740" w:type="dxa"/>
            <w:shd w:val="clear" w:color="auto" w:fill="FAE6E9"/>
            <w:vAlign w:val="bottom"/>
          </w:tcPr>
          <w:p w:rsidR="00A621E3" w:rsidRDefault="00EC630E">
            <w:pPr>
              <w:ind w:left="210"/>
              <w:jc w:val="center"/>
              <w:rPr>
                <w:sz w:val="20"/>
                <w:szCs w:val="20"/>
              </w:rPr>
            </w:pPr>
            <w:r>
              <w:rPr>
                <w:rFonts w:ascii="Arial" w:eastAsia="Arial" w:hAnsi="Arial" w:cs="Arial"/>
                <w:b/>
                <w:bCs/>
                <w:color w:val="CF0A2C"/>
                <w:sz w:val="14"/>
                <w:szCs w:val="14"/>
              </w:rPr>
              <w:t>Exercise</w:t>
            </w:r>
          </w:p>
        </w:tc>
        <w:tc>
          <w:tcPr>
            <w:tcW w:w="1440" w:type="dxa"/>
            <w:gridSpan w:val="2"/>
            <w:shd w:val="clear" w:color="auto" w:fill="FAE6E9"/>
            <w:vAlign w:val="bottom"/>
          </w:tcPr>
          <w:p w:rsidR="00A621E3" w:rsidRDefault="00EC630E">
            <w:pPr>
              <w:ind w:right="220"/>
              <w:jc w:val="center"/>
              <w:rPr>
                <w:sz w:val="20"/>
                <w:szCs w:val="20"/>
              </w:rPr>
            </w:pPr>
            <w:r>
              <w:rPr>
                <w:rFonts w:ascii="Arial" w:eastAsia="Arial" w:hAnsi="Arial" w:cs="Arial"/>
                <w:b/>
                <w:bCs/>
                <w:color w:val="CF0A2C"/>
                <w:sz w:val="14"/>
                <w:szCs w:val="14"/>
              </w:rPr>
              <w:t>Exercise</w:t>
            </w:r>
          </w:p>
        </w:tc>
        <w:tc>
          <w:tcPr>
            <w:tcW w:w="1660" w:type="dxa"/>
            <w:shd w:val="clear" w:color="auto" w:fill="FAE6E9"/>
            <w:vAlign w:val="bottom"/>
          </w:tcPr>
          <w:p w:rsidR="00A621E3" w:rsidRDefault="00EC630E">
            <w:pPr>
              <w:ind w:left="310"/>
              <w:jc w:val="center"/>
              <w:rPr>
                <w:sz w:val="20"/>
                <w:szCs w:val="20"/>
              </w:rPr>
            </w:pPr>
            <w:r>
              <w:rPr>
                <w:rFonts w:ascii="Arial" w:eastAsia="Arial" w:hAnsi="Arial" w:cs="Arial"/>
                <w:b/>
                <w:bCs/>
                <w:color w:val="CF0A2C"/>
                <w:sz w:val="14"/>
                <w:szCs w:val="14"/>
              </w:rPr>
              <w:t>Vesting</w:t>
            </w:r>
          </w:p>
        </w:tc>
        <w:tc>
          <w:tcPr>
            <w:tcW w:w="1260" w:type="dxa"/>
            <w:shd w:val="clear" w:color="auto" w:fill="FAE6E9"/>
            <w:vAlign w:val="bottom"/>
          </w:tcPr>
          <w:p w:rsidR="00A621E3" w:rsidRDefault="00EC630E">
            <w:pPr>
              <w:jc w:val="center"/>
              <w:rPr>
                <w:sz w:val="20"/>
                <w:szCs w:val="20"/>
              </w:rPr>
            </w:pPr>
            <w:r>
              <w:rPr>
                <w:rFonts w:ascii="Arial" w:eastAsia="Arial" w:hAnsi="Arial" w:cs="Arial"/>
                <w:b/>
                <w:bCs/>
                <w:color w:val="CF0A2C"/>
                <w:w w:val="98"/>
                <w:sz w:val="14"/>
                <w:szCs w:val="14"/>
              </w:rPr>
              <w:t>Vesting</w:t>
            </w:r>
          </w:p>
        </w:tc>
      </w:tr>
      <w:tr w:rsidR="00A621E3">
        <w:trPr>
          <w:trHeight w:val="189"/>
        </w:trPr>
        <w:tc>
          <w:tcPr>
            <w:tcW w:w="4920" w:type="dxa"/>
            <w:tcBorders>
              <w:bottom w:val="single" w:sz="8" w:space="0" w:color="CF0A2C"/>
            </w:tcBorders>
            <w:shd w:val="clear" w:color="auto" w:fill="FAE6E9"/>
            <w:vAlign w:val="bottom"/>
          </w:tcPr>
          <w:p w:rsidR="00A621E3" w:rsidRDefault="00EC630E">
            <w:pPr>
              <w:ind w:left="60"/>
              <w:rPr>
                <w:sz w:val="20"/>
                <w:szCs w:val="20"/>
              </w:rPr>
            </w:pPr>
            <w:r>
              <w:rPr>
                <w:rFonts w:ascii="Arial" w:eastAsia="Arial" w:hAnsi="Arial" w:cs="Arial"/>
                <w:b/>
                <w:bCs/>
                <w:color w:val="CF0A2C"/>
                <w:sz w:val="14"/>
                <w:szCs w:val="14"/>
              </w:rPr>
              <w:t>Name</w:t>
            </w:r>
          </w:p>
        </w:tc>
        <w:tc>
          <w:tcPr>
            <w:tcW w:w="1740" w:type="dxa"/>
            <w:tcBorders>
              <w:bottom w:val="single" w:sz="8" w:space="0" w:color="CF0A2C"/>
            </w:tcBorders>
            <w:shd w:val="clear" w:color="auto" w:fill="FAE6E9"/>
            <w:vAlign w:val="bottom"/>
          </w:tcPr>
          <w:p w:rsidR="00A621E3" w:rsidRDefault="00EC630E">
            <w:pPr>
              <w:ind w:left="210"/>
              <w:jc w:val="center"/>
              <w:rPr>
                <w:sz w:val="20"/>
                <w:szCs w:val="20"/>
              </w:rPr>
            </w:pPr>
            <w:r>
              <w:rPr>
                <w:rFonts w:ascii="Arial" w:eastAsia="Arial" w:hAnsi="Arial" w:cs="Arial"/>
                <w:b/>
                <w:bCs/>
                <w:color w:val="CF0A2C"/>
                <w:sz w:val="14"/>
                <w:szCs w:val="14"/>
              </w:rPr>
              <w:t>(#)</w:t>
            </w:r>
          </w:p>
        </w:tc>
        <w:tc>
          <w:tcPr>
            <w:tcW w:w="940" w:type="dxa"/>
            <w:tcBorders>
              <w:bottom w:val="single" w:sz="8" w:space="0" w:color="CF0A2C"/>
            </w:tcBorders>
            <w:shd w:val="clear" w:color="auto" w:fill="FAE6E9"/>
            <w:vAlign w:val="bottom"/>
          </w:tcPr>
          <w:p w:rsidR="00A621E3" w:rsidRDefault="00EC630E">
            <w:pPr>
              <w:ind w:left="210"/>
              <w:jc w:val="center"/>
              <w:rPr>
                <w:sz w:val="20"/>
                <w:szCs w:val="20"/>
              </w:rPr>
            </w:pPr>
            <w:r>
              <w:rPr>
                <w:rFonts w:ascii="Arial" w:eastAsia="Arial" w:hAnsi="Arial" w:cs="Arial"/>
                <w:b/>
                <w:bCs/>
                <w:color w:val="CF0A2C"/>
                <w:sz w:val="14"/>
                <w:szCs w:val="14"/>
              </w:rPr>
              <w:t>($)</w:t>
            </w:r>
          </w:p>
        </w:tc>
        <w:tc>
          <w:tcPr>
            <w:tcW w:w="500" w:type="dxa"/>
            <w:tcBorders>
              <w:bottom w:val="single" w:sz="8" w:space="0" w:color="CF0A2C"/>
            </w:tcBorders>
            <w:shd w:val="clear" w:color="auto" w:fill="FAE6E9"/>
            <w:vAlign w:val="bottom"/>
          </w:tcPr>
          <w:p w:rsidR="00A621E3" w:rsidRDefault="00A621E3">
            <w:pPr>
              <w:rPr>
                <w:sz w:val="16"/>
                <w:szCs w:val="16"/>
              </w:rPr>
            </w:pPr>
          </w:p>
        </w:tc>
        <w:tc>
          <w:tcPr>
            <w:tcW w:w="1660" w:type="dxa"/>
            <w:tcBorders>
              <w:bottom w:val="single" w:sz="8" w:space="0" w:color="CF0A2C"/>
            </w:tcBorders>
            <w:shd w:val="clear" w:color="auto" w:fill="FAE6E9"/>
            <w:vAlign w:val="bottom"/>
          </w:tcPr>
          <w:p w:rsidR="00A621E3" w:rsidRDefault="00EC630E">
            <w:pPr>
              <w:ind w:left="290"/>
              <w:jc w:val="center"/>
              <w:rPr>
                <w:sz w:val="20"/>
                <w:szCs w:val="20"/>
              </w:rPr>
            </w:pPr>
            <w:r>
              <w:rPr>
                <w:rFonts w:ascii="Arial" w:eastAsia="Arial" w:hAnsi="Arial" w:cs="Arial"/>
                <w:b/>
                <w:bCs/>
                <w:color w:val="CF0A2C"/>
                <w:sz w:val="14"/>
                <w:szCs w:val="14"/>
              </w:rPr>
              <w:t>(#)</w:t>
            </w:r>
          </w:p>
        </w:tc>
        <w:tc>
          <w:tcPr>
            <w:tcW w:w="1260" w:type="dxa"/>
            <w:tcBorders>
              <w:bottom w:val="single" w:sz="8" w:space="0" w:color="CF0A2C"/>
            </w:tcBorders>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w:t>
            </w:r>
          </w:p>
        </w:tc>
      </w:tr>
      <w:tr w:rsidR="00A621E3">
        <w:trPr>
          <w:trHeight w:val="169"/>
        </w:trPr>
        <w:tc>
          <w:tcPr>
            <w:tcW w:w="4920" w:type="dxa"/>
            <w:vAlign w:val="bottom"/>
          </w:tcPr>
          <w:p w:rsidR="00A621E3" w:rsidRDefault="00EC630E">
            <w:pPr>
              <w:ind w:left="60"/>
              <w:rPr>
                <w:sz w:val="20"/>
                <w:szCs w:val="20"/>
              </w:rPr>
            </w:pPr>
            <w:r>
              <w:rPr>
                <w:rFonts w:ascii="Arial" w:eastAsia="Arial" w:hAnsi="Arial" w:cs="Arial"/>
                <w:b/>
                <w:bCs/>
                <w:color w:val="CF0A2C"/>
                <w:sz w:val="14"/>
                <w:szCs w:val="14"/>
              </w:rPr>
              <w:t>(a)</w:t>
            </w:r>
          </w:p>
        </w:tc>
        <w:tc>
          <w:tcPr>
            <w:tcW w:w="1740" w:type="dxa"/>
            <w:vAlign w:val="bottom"/>
          </w:tcPr>
          <w:p w:rsidR="00A621E3" w:rsidRDefault="00EC630E">
            <w:pPr>
              <w:ind w:left="210"/>
              <w:jc w:val="center"/>
              <w:rPr>
                <w:sz w:val="20"/>
                <w:szCs w:val="20"/>
              </w:rPr>
            </w:pPr>
            <w:r>
              <w:rPr>
                <w:rFonts w:ascii="Arial" w:eastAsia="Arial" w:hAnsi="Arial" w:cs="Arial"/>
                <w:b/>
                <w:bCs/>
                <w:color w:val="CF0A2C"/>
                <w:sz w:val="14"/>
                <w:szCs w:val="14"/>
              </w:rPr>
              <w:t>(b)</w:t>
            </w:r>
          </w:p>
        </w:tc>
        <w:tc>
          <w:tcPr>
            <w:tcW w:w="1440" w:type="dxa"/>
            <w:gridSpan w:val="2"/>
            <w:vAlign w:val="bottom"/>
          </w:tcPr>
          <w:p w:rsidR="00A621E3" w:rsidRDefault="00EC630E">
            <w:pPr>
              <w:ind w:right="220"/>
              <w:jc w:val="center"/>
              <w:rPr>
                <w:sz w:val="20"/>
                <w:szCs w:val="20"/>
              </w:rPr>
            </w:pPr>
            <w:r>
              <w:rPr>
                <w:rFonts w:ascii="Arial" w:eastAsia="Arial" w:hAnsi="Arial" w:cs="Arial"/>
                <w:b/>
                <w:bCs/>
                <w:color w:val="CF0A2C"/>
                <w:sz w:val="14"/>
                <w:szCs w:val="14"/>
              </w:rPr>
              <w:t>(c)</w:t>
            </w:r>
          </w:p>
        </w:tc>
        <w:tc>
          <w:tcPr>
            <w:tcW w:w="1660" w:type="dxa"/>
            <w:vAlign w:val="bottom"/>
          </w:tcPr>
          <w:p w:rsidR="00A621E3" w:rsidRDefault="00EC630E">
            <w:pPr>
              <w:ind w:left="290"/>
              <w:jc w:val="center"/>
              <w:rPr>
                <w:sz w:val="20"/>
                <w:szCs w:val="20"/>
              </w:rPr>
            </w:pPr>
            <w:r>
              <w:rPr>
                <w:rFonts w:ascii="Arial" w:eastAsia="Arial" w:hAnsi="Arial" w:cs="Arial"/>
                <w:b/>
                <w:bCs/>
                <w:color w:val="CF0A2C"/>
                <w:sz w:val="14"/>
                <w:szCs w:val="14"/>
              </w:rPr>
              <w:t>(d)</w:t>
            </w:r>
          </w:p>
        </w:tc>
        <w:tc>
          <w:tcPr>
            <w:tcW w:w="1260" w:type="dxa"/>
            <w:vAlign w:val="bottom"/>
          </w:tcPr>
          <w:p w:rsidR="00A621E3" w:rsidRDefault="00EC630E">
            <w:pPr>
              <w:jc w:val="center"/>
              <w:rPr>
                <w:sz w:val="20"/>
                <w:szCs w:val="20"/>
              </w:rPr>
            </w:pPr>
            <w:r>
              <w:rPr>
                <w:rFonts w:ascii="Arial" w:eastAsia="Arial" w:hAnsi="Arial" w:cs="Arial"/>
                <w:b/>
                <w:bCs/>
                <w:color w:val="CF0A2C"/>
                <w:sz w:val="14"/>
                <w:szCs w:val="14"/>
              </w:rPr>
              <w:t>(e)</w:t>
            </w:r>
          </w:p>
        </w:tc>
      </w:tr>
      <w:tr w:rsidR="00A621E3">
        <w:trPr>
          <w:trHeight w:val="189"/>
        </w:trPr>
        <w:tc>
          <w:tcPr>
            <w:tcW w:w="4920" w:type="dxa"/>
            <w:vAlign w:val="bottom"/>
          </w:tcPr>
          <w:p w:rsidR="00A621E3" w:rsidRDefault="00EC630E">
            <w:pPr>
              <w:rPr>
                <w:sz w:val="20"/>
                <w:szCs w:val="20"/>
              </w:rPr>
            </w:pPr>
            <w:r>
              <w:rPr>
                <w:rFonts w:ascii="Arial" w:eastAsia="Arial" w:hAnsi="Arial" w:cs="Arial"/>
                <w:b/>
                <w:bCs/>
                <w:color w:val="CF0A2C"/>
                <w:sz w:val="14"/>
                <w:szCs w:val="14"/>
              </w:rPr>
              <w:t>Ms. Wat</w:t>
            </w:r>
          </w:p>
        </w:tc>
        <w:tc>
          <w:tcPr>
            <w:tcW w:w="1740" w:type="dxa"/>
            <w:vAlign w:val="bottom"/>
          </w:tcPr>
          <w:p w:rsidR="00A621E3" w:rsidRDefault="00EC630E">
            <w:pPr>
              <w:ind w:right="230"/>
              <w:jc w:val="right"/>
              <w:rPr>
                <w:sz w:val="20"/>
                <w:szCs w:val="20"/>
              </w:rPr>
            </w:pPr>
            <w:r>
              <w:rPr>
                <w:rFonts w:ascii="Arial" w:eastAsia="Arial" w:hAnsi="Arial" w:cs="Arial"/>
                <w:sz w:val="13"/>
                <w:szCs w:val="13"/>
              </w:rPr>
              <w:t>—</w:t>
            </w:r>
          </w:p>
        </w:tc>
        <w:tc>
          <w:tcPr>
            <w:tcW w:w="1440" w:type="dxa"/>
            <w:gridSpan w:val="2"/>
            <w:vAlign w:val="bottom"/>
          </w:tcPr>
          <w:p w:rsidR="00A621E3" w:rsidRDefault="00EC630E">
            <w:pPr>
              <w:ind w:right="540"/>
              <w:jc w:val="right"/>
              <w:rPr>
                <w:sz w:val="20"/>
                <w:szCs w:val="20"/>
              </w:rPr>
            </w:pPr>
            <w:r>
              <w:rPr>
                <w:rFonts w:ascii="Arial" w:eastAsia="Arial" w:hAnsi="Arial" w:cs="Arial"/>
                <w:sz w:val="13"/>
                <w:szCs w:val="13"/>
              </w:rPr>
              <w:t>—</w:t>
            </w:r>
          </w:p>
        </w:tc>
        <w:tc>
          <w:tcPr>
            <w:tcW w:w="1660" w:type="dxa"/>
            <w:vAlign w:val="bottom"/>
          </w:tcPr>
          <w:p w:rsidR="00A621E3" w:rsidRDefault="00EC630E">
            <w:pPr>
              <w:ind w:right="150"/>
              <w:jc w:val="right"/>
              <w:rPr>
                <w:sz w:val="20"/>
                <w:szCs w:val="20"/>
              </w:rPr>
            </w:pPr>
            <w:r>
              <w:rPr>
                <w:rFonts w:ascii="Arial" w:eastAsia="Arial" w:hAnsi="Arial" w:cs="Arial"/>
                <w:sz w:val="13"/>
                <w:szCs w:val="13"/>
              </w:rPr>
              <w:t>52,166</w:t>
            </w:r>
          </w:p>
        </w:tc>
        <w:tc>
          <w:tcPr>
            <w:tcW w:w="1260" w:type="dxa"/>
            <w:vAlign w:val="bottom"/>
          </w:tcPr>
          <w:p w:rsidR="00A621E3" w:rsidRDefault="00EC630E">
            <w:pPr>
              <w:spacing w:line="189" w:lineRule="exact"/>
              <w:ind w:right="30"/>
              <w:jc w:val="right"/>
              <w:rPr>
                <w:sz w:val="20"/>
                <w:szCs w:val="20"/>
              </w:rPr>
            </w:pPr>
            <w:r>
              <w:rPr>
                <w:rFonts w:ascii="Arial" w:eastAsia="Arial" w:hAnsi="Arial" w:cs="Arial"/>
                <w:sz w:val="13"/>
                <w:szCs w:val="13"/>
              </w:rPr>
              <w:t>2,850,872</w:t>
            </w:r>
            <w:r>
              <w:rPr>
                <w:rFonts w:ascii="Arial" w:eastAsia="Arial" w:hAnsi="Arial" w:cs="Arial"/>
                <w:sz w:val="20"/>
                <w:szCs w:val="20"/>
                <w:vertAlign w:val="superscript"/>
              </w:rPr>
              <w:t>(1)</w:t>
            </w:r>
          </w:p>
        </w:tc>
      </w:tr>
      <w:tr w:rsidR="00A621E3">
        <w:trPr>
          <w:trHeight w:val="189"/>
        </w:trPr>
        <w:tc>
          <w:tcPr>
            <w:tcW w:w="4920" w:type="dxa"/>
            <w:vAlign w:val="bottom"/>
          </w:tcPr>
          <w:p w:rsidR="00A621E3" w:rsidRDefault="00EC630E">
            <w:pPr>
              <w:rPr>
                <w:sz w:val="20"/>
                <w:szCs w:val="20"/>
              </w:rPr>
            </w:pPr>
            <w:r>
              <w:rPr>
                <w:rFonts w:ascii="Arial" w:eastAsia="Arial" w:hAnsi="Arial" w:cs="Arial"/>
                <w:b/>
                <w:bCs/>
                <w:color w:val="CF0A2C"/>
                <w:sz w:val="14"/>
                <w:szCs w:val="14"/>
              </w:rPr>
              <w:t>Mr. Yeung</w:t>
            </w:r>
          </w:p>
        </w:tc>
        <w:tc>
          <w:tcPr>
            <w:tcW w:w="1740" w:type="dxa"/>
            <w:vAlign w:val="bottom"/>
          </w:tcPr>
          <w:p w:rsidR="00A621E3" w:rsidRDefault="00EC630E">
            <w:pPr>
              <w:ind w:right="230"/>
              <w:jc w:val="right"/>
              <w:rPr>
                <w:sz w:val="20"/>
                <w:szCs w:val="20"/>
              </w:rPr>
            </w:pPr>
            <w:r>
              <w:rPr>
                <w:rFonts w:ascii="Arial" w:eastAsia="Arial" w:hAnsi="Arial" w:cs="Arial"/>
                <w:sz w:val="13"/>
                <w:szCs w:val="13"/>
              </w:rPr>
              <w:t>—</w:t>
            </w:r>
          </w:p>
        </w:tc>
        <w:tc>
          <w:tcPr>
            <w:tcW w:w="1440" w:type="dxa"/>
            <w:gridSpan w:val="2"/>
            <w:vAlign w:val="bottom"/>
          </w:tcPr>
          <w:p w:rsidR="00A621E3" w:rsidRDefault="00EC630E">
            <w:pPr>
              <w:ind w:right="540"/>
              <w:jc w:val="right"/>
              <w:rPr>
                <w:sz w:val="20"/>
                <w:szCs w:val="20"/>
              </w:rPr>
            </w:pPr>
            <w:r>
              <w:rPr>
                <w:rFonts w:ascii="Arial" w:eastAsia="Arial" w:hAnsi="Arial" w:cs="Arial"/>
                <w:sz w:val="13"/>
                <w:szCs w:val="13"/>
              </w:rPr>
              <w:t>—</w:t>
            </w:r>
          </w:p>
        </w:tc>
        <w:tc>
          <w:tcPr>
            <w:tcW w:w="1660" w:type="dxa"/>
            <w:vAlign w:val="bottom"/>
          </w:tcPr>
          <w:p w:rsidR="00A621E3" w:rsidRDefault="00EC630E">
            <w:pPr>
              <w:ind w:right="150"/>
              <w:jc w:val="right"/>
              <w:rPr>
                <w:sz w:val="20"/>
                <w:szCs w:val="20"/>
              </w:rPr>
            </w:pPr>
            <w:r>
              <w:rPr>
                <w:rFonts w:ascii="Arial" w:eastAsia="Arial" w:hAnsi="Arial" w:cs="Arial"/>
                <w:sz w:val="13"/>
                <w:szCs w:val="13"/>
              </w:rPr>
              <w:t>20,922</w:t>
            </w:r>
          </w:p>
        </w:tc>
        <w:tc>
          <w:tcPr>
            <w:tcW w:w="1260" w:type="dxa"/>
            <w:vAlign w:val="bottom"/>
          </w:tcPr>
          <w:p w:rsidR="00A621E3" w:rsidRDefault="00EC630E">
            <w:pPr>
              <w:spacing w:line="189" w:lineRule="exact"/>
              <w:ind w:right="30"/>
              <w:jc w:val="right"/>
              <w:rPr>
                <w:sz w:val="20"/>
                <w:szCs w:val="20"/>
              </w:rPr>
            </w:pPr>
            <w:r>
              <w:rPr>
                <w:rFonts w:ascii="Arial" w:eastAsia="Arial" w:hAnsi="Arial" w:cs="Arial"/>
                <w:sz w:val="13"/>
                <w:szCs w:val="13"/>
              </w:rPr>
              <w:t>1,046,027</w:t>
            </w:r>
            <w:r>
              <w:rPr>
                <w:rFonts w:ascii="Arial" w:eastAsia="Arial" w:hAnsi="Arial" w:cs="Arial"/>
                <w:sz w:val="20"/>
                <w:szCs w:val="20"/>
                <w:vertAlign w:val="superscript"/>
              </w:rPr>
              <w:t>(1)</w:t>
            </w:r>
          </w:p>
        </w:tc>
      </w:tr>
      <w:tr w:rsidR="00A621E3">
        <w:trPr>
          <w:trHeight w:val="189"/>
        </w:trPr>
        <w:tc>
          <w:tcPr>
            <w:tcW w:w="4920" w:type="dxa"/>
            <w:vAlign w:val="bottom"/>
          </w:tcPr>
          <w:p w:rsidR="00A621E3" w:rsidRDefault="00EC630E">
            <w:pPr>
              <w:rPr>
                <w:sz w:val="20"/>
                <w:szCs w:val="20"/>
              </w:rPr>
            </w:pPr>
            <w:r>
              <w:rPr>
                <w:rFonts w:ascii="Arial" w:eastAsia="Arial" w:hAnsi="Arial" w:cs="Arial"/>
                <w:b/>
                <w:bCs/>
                <w:color w:val="CF0A2C"/>
                <w:sz w:val="14"/>
                <w:szCs w:val="14"/>
              </w:rPr>
              <w:t>Mr. Chan</w:t>
            </w:r>
          </w:p>
        </w:tc>
        <w:tc>
          <w:tcPr>
            <w:tcW w:w="1740" w:type="dxa"/>
            <w:vAlign w:val="bottom"/>
          </w:tcPr>
          <w:p w:rsidR="00A621E3" w:rsidRDefault="00EC630E">
            <w:pPr>
              <w:ind w:right="230"/>
              <w:jc w:val="right"/>
              <w:rPr>
                <w:sz w:val="20"/>
                <w:szCs w:val="20"/>
              </w:rPr>
            </w:pPr>
            <w:r>
              <w:rPr>
                <w:rFonts w:ascii="Arial" w:eastAsia="Arial" w:hAnsi="Arial" w:cs="Arial"/>
                <w:sz w:val="13"/>
                <w:szCs w:val="13"/>
              </w:rPr>
              <w:t>—</w:t>
            </w:r>
          </w:p>
        </w:tc>
        <w:tc>
          <w:tcPr>
            <w:tcW w:w="1440" w:type="dxa"/>
            <w:gridSpan w:val="2"/>
            <w:vAlign w:val="bottom"/>
          </w:tcPr>
          <w:p w:rsidR="00A621E3" w:rsidRDefault="00EC630E">
            <w:pPr>
              <w:ind w:right="540"/>
              <w:jc w:val="right"/>
              <w:rPr>
                <w:sz w:val="20"/>
                <w:szCs w:val="20"/>
              </w:rPr>
            </w:pPr>
            <w:r>
              <w:rPr>
                <w:rFonts w:ascii="Arial" w:eastAsia="Arial" w:hAnsi="Arial" w:cs="Arial"/>
                <w:sz w:val="13"/>
                <w:szCs w:val="13"/>
              </w:rPr>
              <w:t>—</w:t>
            </w:r>
          </w:p>
        </w:tc>
        <w:tc>
          <w:tcPr>
            <w:tcW w:w="1660" w:type="dxa"/>
            <w:vAlign w:val="bottom"/>
          </w:tcPr>
          <w:p w:rsidR="00A621E3" w:rsidRDefault="00EC630E">
            <w:pPr>
              <w:ind w:right="150"/>
              <w:jc w:val="right"/>
              <w:rPr>
                <w:sz w:val="20"/>
                <w:szCs w:val="20"/>
              </w:rPr>
            </w:pPr>
            <w:r>
              <w:rPr>
                <w:rFonts w:ascii="Arial" w:eastAsia="Arial" w:hAnsi="Arial" w:cs="Arial"/>
                <w:sz w:val="13"/>
                <w:szCs w:val="13"/>
              </w:rPr>
              <w:t>11,946</w:t>
            </w:r>
          </w:p>
        </w:tc>
        <w:tc>
          <w:tcPr>
            <w:tcW w:w="1260" w:type="dxa"/>
            <w:vAlign w:val="bottom"/>
          </w:tcPr>
          <w:p w:rsidR="00A621E3" w:rsidRDefault="00EC630E">
            <w:pPr>
              <w:spacing w:line="189" w:lineRule="exact"/>
              <w:ind w:right="30"/>
              <w:jc w:val="right"/>
              <w:rPr>
                <w:sz w:val="20"/>
                <w:szCs w:val="20"/>
              </w:rPr>
            </w:pPr>
            <w:r>
              <w:rPr>
                <w:rFonts w:ascii="Arial" w:eastAsia="Arial" w:hAnsi="Arial" w:cs="Arial"/>
                <w:sz w:val="13"/>
                <w:szCs w:val="13"/>
              </w:rPr>
              <w:t>628,244</w:t>
            </w:r>
            <w:r>
              <w:rPr>
                <w:rFonts w:ascii="Arial" w:eastAsia="Arial" w:hAnsi="Arial" w:cs="Arial"/>
                <w:sz w:val="20"/>
                <w:szCs w:val="20"/>
                <w:vertAlign w:val="superscript"/>
              </w:rPr>
              <w:t>(1)</w:t>
            </w:r>
          </w:p>
        </w:tc>
      </w:tr>
      <w:tr w:rsidR="00A621E3">
        <w:trPr>
          <w:trHeight w:val="189"/>
        </w:trPr>
        <w:tc>
          <w:tcPr>
            <w:tcW w:w="4920" w:type="dxa"/>
            <w:vAlign w:val="bottom"/>
          </w:tcPr>
          <w:p w:rsidR="00A621E3" w:rsidRDefault="00EC630E">
            <w:pPr>
              <w:rPr>
                <w:sz w:val="20"/>
                <w:szCs w:val="20"/>
              </w:rPr>
            </w:pPr>
            <w:r>
              <w:rPr>
                <w:rFonts w:ascii="Arial" w:eastAsia="Arial" w:hAnsi="Arial" w:cs="Arial"/>
                <w:b/>
                <w:bCs/>
                <w:color w:val="CF0A2C"/>
                <w:sz w:val="14"/>
                <w:szCs w:val="14"/>
              </w:rPr>
              <w:t>Mr. Huang</w:t>
            </w:r>
          </w:p>
        </w:tc>
        <w:tc>
          <w:tcPr>
            <w:tcW w:w="1740" w:type="dxa"/>
            <w:vAlign w:val="bottom"/>
          </w:tcPr>
          <w:p w:rsidR="00A621E3" w:rsidRDefault="00EC630E">
            <w:pPr>
              <w:ind w:right="230"/>
              <w:jc w:val="right"/>
              <w:rPr>
                <w:sz w:val="20"/>
                <w:szCs w:val="20"/>
              </w:rPr>
            </w:pPr>
            <w:r>
              <w:rPr>
                <w:rFonts w:ascii="Arial" w:eastAsia="Arial" w:hAnsi="Arial" w:cs="Arial"/>
                <w:sz w:val="13"/>
                <w:szCs w:val="13"/>
              </w:rPr>
              <w:t>6,317</w:t>
            </w:r>
          </w:p>
        </w:tc>
        <w:tc>
          <w:tcPr>
            <w:tcW w:w="940" w:type="dxa"/>
            <w:vAlign w:val="bottom"/>
          </w:tcPr>
          <w:p w:rsidR="00A621E3" w:rsidRDefault="00EC630E">
            <w:pPr>
              <w:jc w:val="right"/>
              <w:rPr>
                <w:sz w:val="20"/>
                <w:szCs w:val="20"/>
              </w:rPr>
            </w:pPr>
            <w:r>
              <w:rPr>
                <w:rFonts w:ascii="Arial" w:eastAsia="Arial" w:hAnsi="Arial" w:cs="Arial"/>
                <w:sz w:val="13"/>
                <w:szCs w:val="13"/>
              </w:rPr>
              <w:t>347,472</w:t>
            </w:r>
          </w:p>
        </w:tc>
        <w:tc>
          <w:tcPr>
            <w:tcW w:w="500" w:type="dxa"/>
            <w:vAlign w:val="bottom"/>
          </w:tcPr>
          <w:p w:rsidR="00A621E3" w:rsidRDefault="00A621E3">
            <w:pPr>
              <w:rPr>
                <w:sz w:val="16"/>
                <w:szCs w:val="16"/>
              </w:rPr>
            </w:pPr>
          </w:p>
        </w:tc>
        <w:tc>
          <w:tcPr>
            <w:tcW w:w="1660" w:type="dxa"/>
            <w:vAlign w:val="bottom"/>
          </w:tcPr>
          <w:p w:rsidR="00A621E3" w:rsidRDefault="00EC630E">
            <w:pPr>
              <w:ind w:right="150"/>
              <w:jc w:val="right"/>
              <w:rPr>
                <w:sz w:val="20"/>
                <w:szCs w:val="20"/>
              </w:rPr>
            </w:pPr>
            <w:r>
              <w:rPr>
                <w:rFonts w:ascii="Arial" w:eastAsia="Arial" w:hAnsi="Arial" w:cs="Arial"/>
                <w:sz w:val="13"/>
                <w:szCs w:val="13"/>
              </w:rPr>
              <w:t>23,338</w:t>
            </w:r>
          </w:p>
        </w:tc>
        <w:tc>
          <w:tcPr>
            <w:tcW w:w="1260" w:type="dxa"/>
            <w:vAlign w:val="bottom"/>
          </w:tcPr>
          <w:p w:rsidR="00A621E3" w:rsidRDefault="00EC630E">
            <w:pPr>
              <w:spacing w:line="189" w:lineRule="exact"/>
              <w:ind w:right="30"/>
              <w:jc w:val="right"/>
              <w:rPr>
                <w:sz w:val="20"/>
                <w:szCs w:val="20"/>
              </w:rPr>
            </w:pPr>
            <w:r>
              <w:rPr>
                <w:rFonts w:ascii="Arial" w:eastAsia="Arial" w:hAnsi="Arial" w:cs="Arial"/>
                <w:sz w:val="13"/>
                <w:szCs w:val="13"/>
              </w:rPr>
              <w:t>1,182,626</w:t>
            </w:r>
            <w:r>
              <w:rPr>
                <w:rFonts w:ascii="Arial" w:eastAsia="Arial" w:hAnsi="Arial" w:cs="Arial"/>
                <w:sz w:val="20"/>
                <w:szCs w:val="20"/>
                <w:vertAlign w:val="superscript"/>
              </w:rPr>
              <w:t>(1)</w:t>
            </w:r>
          </w:p>
        </w:tc>
      </w:tr>
      <w:tr w:rsidR="00A621E3">
        <w:trPr>
          <w:trHeight w:val="175"/>
        </w:trPr>
        <w:tc>
          <w:tcPr>
            <w:tcW w:w="4920" w:type="dxa"/>
            <w:tcBorders>
              <w:bottom w:val="single" w:sz="8" w:space="0" w:color="CF0A2C"/>
            </w:tcBorders>
            <w:vAlign w:val="bottom"/>
          </w:tcPr>
          <w:p w:rsidR="00A621E3" w:rsidRDefault="00EC630E">
            <w:pPr>
              <w:rPr>
                <w:sz w:val="20"/>
                <w:szCs w:val="20"/>
              </w:rPr>
            </w:pPr>
            <w:r>
              <w:rPr>
                <w:rFonts w:ascii="Arial" w:eastAsia="Arial" w:hAnsi="Arial" w:cs="Arial"/>
                <w:b/>
                <w:bCs/>
                <w:color w:val="CF0A2C"/>
                <w:sz w:val="14"/>
                <w:szCs w:val="14"/>
              </w:rPr>
              <w:t>Mr. Yuen</w:t>
            </w:r>
          </w:p>
        </w:tc>
        <w:tc>
          <w:tcPr>
            <w:tcW w:w="1740" w:type="dxa"/>
            <w:tcBorders>
              <w:bottom w:val="single" w:sz="8" w:space="0" w:color="CF0A2C"/>
            </w:tcBorders>
            <w:vAlign w:val="bottom"/>
          </w:tcPr>
          <w:p w:rsidR="00A621E3" w:rsidRDefault="00EC630E">
            <w:pPr>
              <w:ind w:right="230"/>
              <w:jc w:val="right"/>
              <w:rPr>
                <w:sz w:val="20"/>
                <w:szCs w:val="20"/>
              </w:rPr>
            </w:pPr>
            <w:r>
              <w:rPr>
                <w:rFonts w:ascii="Arial" w:eastAsia="Arial" w:hAnsi="Arial" w:cs="Arial"/>
                <w:sz w:val="13"/>
                <w:szCs w:val="13"/>
              </w:rPr>
              <w:t>2,298</w:t>
            </w:r>
          </w:p>
        </w:tc>
        <w:tc>
          <w:tcPr>
            <w:tcW w:w="94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121,376</w:t>
            </w:r>
          </w:p>
        </w:tc>
        <w:tc>
          <w:tcPr>
            <w:tcW w:w="500" w:type="dxa"/>
            <w:tcBorders>
              <w:bottom w:val="single" w:sz="8" w:space="0" w:color="CF0A2C"/>
            </w:tcBorders>
            <w:vAlign w:val="bottom"/>
          </w:tcPr>
          <w:p w:rsidR="00A621E3" w:rsidRDefault="00A621E3">
            <w:pPr>
              <w:rPr>
                <w:sz w:val="15"/>
                <w:szCs w:val="15"/>
              </w:rPr>
            </w:pPr>
          </w:p>
        </w:tc>
        <w:tc>
          <w:tcPr>
            <w:tcW w:w="1660" w:type="dxa"/>
            <w:tcBorders>
              <w:bottom w:val="single" w:sz="8" w:space="0" w:color="CF0A2C"/>
            </w:tcBorders>
            <w:vAlign w:val="bottom"/>
          </w:tcPr>
          <w:p w:rsidR="00A621E3" w:rsidRDefault="00EC630E">
            <w:pPr>
              <w:ind w:right="150"/>
              <w:jc w:val="right"/>
              <w:rPr>
                <w:sz w:val="20"/>
                <w:szCs w:val="20"/>
              </w:rPr>
            </w:pPr>
            <w:r>
              <w:rPr>
                <w:rFonts w:ascii="Arial" w:eastAsia="Arial" w:hAnsi="Arial" w:cs="Arial"/>
                <w:sz w:val="13"/>
                <w:szCs w:val="13"/>
              </w:rPr>
              <w:t>12,387</w:t>
            </w:r>
          </w:p>
        </w:tc>
        <w:tc>
          <w:tcPr>
            <w:tcW w:w="1260" w:type="dxa"/>
            <w:tcBorders>
              <w:bottom w:val="single" w:sz="8" w:space="0" w:color="CF0A2C"/>
            </w:tcBorders>
            <w:vAlign w:val="bottom"/>
          </w:tcPr>
          <w:p w:rsidR="00A621E3" w:rsidRDefault="00EC630E">
            <w:pPr>
              <w:spacing w:line="175" w:lineRule="exact"/>
              <w:ind w:right="30"/>
              <w:jc w:val="right"/>
              <w:rPr>
                <w:sz w:val="20"/>
                <w:szCs w:val="20"/>
              </w:rPr>
            </w:pPr>
            <w:r>
              <w:rPr>
                <w:rFonts w:ascii="Arial" w:eastAsia="Arial" w:hAnsi="Arial" w:cs="Arial"/>
                <w:sz w:val="13"/>
                <w:szCs w:val="13"/>
              </w:rPr>
              <w:t>628,900</w:t>
            </w:r>
            <w:r>
              <w:rPr>
                <w:rFonts w:ascii="Arial" w:eastAsia="Arial" w:hAnsi="Arial" w:cs="Arial"/>
                <w:sz w:val="20"/>
                <w:szCs w:val="20"/>
                <w:vertAlign w:val="superscript"/>
              </w:rPr>
              <w:t>(1)</w:t>
            </w:r>
          </w:p>
        </w:tc>
      </w:tr>
    </w:tbl>
    <w:p w:rsidR="00A621E3" w:rsidRDefault="00A621E3">
      <w:pPr>
        <w:spacing w:line="280" w:lineRule="exact"/>
        <w:rPr>
          <w:sz w:val="20"/>
          <w:szCs w:val="20"/>
        </w:rPr>
      </w:pPr>
    </w:p>
    <w:p w:rsidR="00A621E3" w:rsidRDefault="00EC630E">
      <w:pPr>
        <w:numPr>
          <w:ilvl w:val="0"/>
          <w:numId w:val="112"/>
        </w:numPr>
        <w:tabs>
          <w:tab w:val="left" w:pos="760"/>
        </w:tabs>
        <w:spacing w:line="244" w:lineRule="auto"/>
        <w:ind w:left="760" w:right="20" w:hanging="644"/>
        <w:jc w:val="both"/>
        <w:rPr>
          <w:rFonts w:ascii="Arial" w:eastAsia="Arial" w:hAnsi="Arial" w:cs="Arial"/>
          <w:color w:val="CF0A2C"/>
          <w:sz w:val="20"/>
          <w:szCs w:val="20"/>
        </w:rPr>
      </w:pPr>
      <w:r>
        <w:rPr>
          <w:rFonts w:ascii="Arial" w:eastAsia="Arial" w:hAnsi="Arial" w:cs="Arial"/>
          <w:sz w:val="20"/>
          <w:szCs w:val="20"/>
        </w:rPr>
        <w:t xml:space="preserve">This amount includes the number of shares acquired upon the vesting of the 2020 Annual PSUs based on performance during the 2020-2022 </w:t>
      </w:r>
      <w:r>
        <w:rPr>
          <w:rFonts w:ascii="Arial" w:eastAsia="Arial" w:hAnsi="Arial" w:cs="Arial"/>
          <w:sz w:val="20"/>
          <w:szCs w:val="20"/>
        </w:rPr>
        <w:t>performance period, with the value realized on vesting determined based on the closing price of our common stock on December 30, 2022. For all NEOs other than Ms. Wat, this amount also includes the number of shares acquired upon vesting of RSU awards, with</w:t>
      </w:r>
      <w:r>
        <w:rPr>
          <w:rFonts w:ascii="Arial" w:eastAsia="Arial" w:hAnsi="Arial" w:cs="Arial"/>
          <w:sz w:val="20"/>
          <w:szCs w:val="20"/>
        </w:rPr>
        <w:t xml:space="preserve"> the value realized on vesting determined based on the closing price of our common stock on the applicable vesting date.</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21" w:lineRule="exact"/>
        <w:rPr>
          <w:sz w:val="20"/>
          <w:szCs w:val="20"/>
        </w:rPr>
      </w:pPr>
    </w:p>
    <w:p w:rsidR="00A621E3" w:rsidRDefault="00EC630E">
      <w:pPr>
        <w:ind w:left="120"/>
        <w:rPr>
          <w:sz w:val="20"/>
          <w:szCs w:val="20"/>
        </w:rPr>
      </w:pPr>
      <w:r>
        <w:rPr>
          <w:rFonts w:ascii="Arial" w:eastAsia="Arial" w:hAnsi="Arial" w:cs="Arial"/>
          <w:b/>
          <w:bCs/>
          <w:color w:val="CF0A2C"/>
          <w:sz w:val="25"/>
          <w:szCs w:val="25"/>
        </w:rPr>
        <w:t>Nonqualified Deferred Compensation</w:t>
      </w:r>
    </w:p>
    <w:p w:rsidR="00A621E3" w:rsidRDefault="00A621E3">
      <w:pPr>
        <w:spacing w:line="374" w:lineRule="exact"/>
        <w:rPr>
          <w:sz w:val="20"/>
          <w:szCs w:val="20"/>
        </w:rPr>
      </w:pPr>
    </w:p>
    <w:p w:rsidR="00A621E3" w:rsidRDefault="00EC630E">
      <w:pPr>
        <w:spacing w:line="273" w:lineRule="auto"/>
        <w:ind w:left="120"/>
        <w:jc w:val="both"/>
        <w:rPr>
          <w:sz w:val="20"/>
          <w:szCs w:val="20"/>
        </w:rPr>
      </w:pPr>
      <w:r>
        <w:rPr>
          <w:rFonts w:ascii="Arial" w:eastAsia="Arial" w:hAnsi="Arial" w:cs="Arial"/>
          <w:sz w:val="18"/>
          <w:szCs w:val="18"/>
        </w:rPr>
        <w:t>The Company offers certain executives working in China retirement benefits und</w:t>
      </w:r>
      <w:r>
        <w:rPr>
          <w:rFonts w:ascii="Arial" w:eastAsia="Arial" w:hAnsi="Arial" w:cs="Arial"/>
          <w:sz w:val="18"/>
          <w:szCs w:val="18"/>
        </w:rPr>
        <w:t>er the BSRCHLRS. Under this program, executives may make personal contributions and the Company provides a company-funded contribution ranging from 5% to 10% of an executive’s base salary. The Company’s contribution for 2022 was equal to 5% of salary for M</w:t>
      </w:r>
      <w:r>
        <w:rPr>
          <w:rFonts w:ascii="Arial" w:eastAsia="Arial" w:hAnsi="Arial" w:cs="Arial"/>
          <w:sz w:val="18"/>
          <w:szCs w:val="18"/>
        </w:rPr>
        <w:t>essrs. Yeung and Chan, and 10% of salary for each of Ms. Wat and Messrs. Huang and Yuen. Participants may elect a variety of mutual funds in which</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63" w:lineRule="exact"/>
        <w:rPr>
          <w:sz w:val="20"/>
          <w:szCs w:val="20"/>
        </w:rPr>
      </w:pPr>
    </w:p>
    <w:p w:rsidR="00A621E3" w:rsidRDefault="00EC630E">
      <w:pPr>
        <w:spacing w:line="313" w:lineRule="auto"/>
        <w:jc w:val="both"/>
        <w:rPr>
          <w:sz w:val="20"/>
          <w:szCs w:val="20"/>
        </w:rPr>
      </w:pPr>
      <w:r>
        <w:rPr>
          <w:rFonts w:ascii="Arial" w:eastAsia="Arial" w:hAnsi="Arial" w:cs="Arial"/>
          <w:sz w:val="16"/>
          <w:szCs w:val="16"/>
        </w:rPr>
        <w:t>to invest their account balances under the plan. Additionally, upon termination, participants receive a</w:t>
      </w:r>
      <w:r>
        <w:rPr>
          <w:rFonts w:ascii="Arial" w:eastAsia="Arial" w:hAnsi="Arial" w:cs="Arial"/>
          <w:sz w:val="16"/>
          <w:szCs w:val="16"/>
        </w:rPr>
        <w:t xml:space="preserve"> lump sum equal to a percentage of the Company’s contributions, including investment returns. This percentage is based on a vesting schedule that provides participants with a vested 30% interest upon completion of a minimum of three years of service, and a</w:t>
      </w:r>
      <w:r>
        <w:rPr>
          <w:rFonts w:ascii="Arial" w:eastAsia="Arial" w:hAnsi="Arial" w:cs="Arial"/>
          <w:sz w:val="16"/>
          <w:szCs w:val="16"/>
        </w:rPr>
        <w:t>n additional 10% vested interest for each additional completed year, up to a maximum of 100%.</w:t>
      </w:r>
    </w:p>
    <w:p w:rsidR="00A621E3" w:rsidRDefault="00A621E3">
      <w:pPr>
        <w:spacing w:line="403"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40"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83</w:t>
      </w:r>
    </w:p>
    <w:p w:rsidR="00A621E3" w:rsidRDefault="00EC630E">
      <w:pPr>
        <w:spacing w:line="20" w:lineRule="exact"/>
        <w:rPr>
          <w:sz w:val="20"/>
          <w:szCs w:val="20"/>
        </w:rPr>
      </w:pPr>
      <w:r>
        <w:rPr>
          <w:noProof/>
          <w:sz w:val="20"/>
          <w:szCs w:val="20"/>
        </w:rPr>
        <w:drawing>
          <wp:anchor distT="0" distB="0" distL="114300" distR="114300" simplePos="0" relativeHeight="252004352"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89" w:name="page89"/>
      <w:bookmarkEnd w:id="89"/>
      <w:r>
        <w:rPr>
          <w:rFonts w:ascii="Arial" w:eastAsia="Arial" w:hAnsi="Arial" w:cs="Arial"/>
          <w:b/>
          <w:bCs/>
          <w:noProof/>
          <w:color w:val="0000EE"/>
          <w:sz w:val="18"/>
          <w:szCs w:val="18"/>
          <w:u w:val="single"/>
        </w:rPr>
        <w:drawing>
          <wp:anchor distT="0" distB="0" distL="114300" distR="114300" simplePos="0" relativeHeight="25200537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06400"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189" w:lineRule="exact"/>
        <w:rPr>
          <w:sz w:val="20"/>
          <w:szCs w:val="20"/>
        </w:rPr>
      </w:pPr>
    </w:p>
    <w:p w:rsidR="00A621E3" w:rsidRDefault="00EC630E">
      <w:pPr>
        <w:ind w:left="120"/>
        <w:rPr>
          <w:sz w:val="20"/>
          <w:szCs w:val="20"/>
        </w:rPr>
      </w:pPr>
      <w:r>
        <w:rPr>
          <w:rFonts w:ascii="Arial" w:eastAsia="Arial" w:hAnsi="Arial" w:cs="Arial"/>
          <w:b/>
          <w:bCs/>
          <w:color w:val="CF0A2C"/>
          <w:sz w:val="32"/>
          <w:szCs w:val="32"/>
        </w:rPr>
        <w:t xml:space="preserve">2022 NONQUALIFIED </w:t>
      </w:r>
      <w:r>
        <w:rPr>
          <w:rFonts w:ascii="Arial" w:eastAsia="Arial" w:hAnsi="Arial" w:cs="Arial"/>
          <w:b/>
          <w:bCs/>
          <w:color w:val="CF0A2C"/>
          <w:sz w:val="32"/>
          <w:szCs w:val="32"/>
        </w:rPr>
        <w:t>DEFERRED COMPENSATION TABLE</w:t>
      </w:r>
    </w:p>
    <w:p w:rsidR="00A621E3" w:rsidRDefault="00EC630E">
      <w:pPr>
        <w:spacing w:line="20" w:lineRule="exact"/>
        <w:rPr>
          <w:sz w:val="20"/>
          <w:szCs w:val="20"/>
        </w:rPr>
      </w:pPr>
      <w:r>
        <w:rPr>
          <w:noProof/>
          <w:sz w:val="20"/>
          <w:szCs w:val="20"/>
        </w:rPr>
        <w:drawing>
          <wp:anchor distT="0" distB="0" distL="114300" distR="114300" simplePos="0" relativeHeight="252007424"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380"/>
        <w:gridCol w:w="2940"/>
        <w:gridCol w:w="1600"/>
        <w:gridCol w:w="1440"/>
        <w:gridCol w:w="1400"/>
        <w:gridCol w:w="1260"/>
        <w:gridCol w:w="20"/>
      </w:tblGrid>
      <w:tr w:rsidR="00A621E3">
        <w:trPr>
          <w:trHeight w:val="162"/>
        </w:trPr>
        <w:tc>
          <w:tcPr>
            <w:tcW w:w="2380" w:type="dxa"/>
            <w:tcBorders>
              <w:top w:val="single" w:sz="8" w:space="0" w:color="CF0A2C"/>
            </w:tcBorders>
            <w:shd w:val="clear" w:color="auto" w:fill="FAE6E9"/>
            <w:vAlign w:val="bottom"/>
          </w:tcPr>
          <w:p w:rsidR="00A621E3" w:rsidRDefault="00A621E3">
            <w:pPr>
              <w:rPr>
                <w:sz w:val="14"/>
                <w:szCs w:val="14"/>
              </w:rPr>
            </w:pPr>
          </w:p>
        </w:tc>
        <w:tc>
          <w:tcPr>
            <w:tcW w:w="2940" w:type="dxa"/>
            <w:tcBorders>
              <w:top w:val="single" w:sz="8" w:space="0" w:color="CF0A2C"/>
            </w:tcBorders>
            <w:shd w:val="clear" w:color="auto" w:fill="FAE6E9"/>
            <w:vAlign w:val="bottom"/>
          </w:tcPr>
          <w:p w:rsidR="00A621E3" w:rsidRDefault="00A621E3">
            <w:pPr>
              <w:rPr>
                <w:sz w:val="14"/>
                <w:szCs w:val="14"/>
              </w:rPr>
            </w:pPr>
          </w:p>
        </w:tc>
        <w:tc>
          <w:tcPr>
            <w:tcW w:w="1600" w:type="dxa"/>
            <w:tcBorders>
              <w:top w:val="single" w:sz="8" w:space="0" w:color="CF0A2C"/>
            </w:tcBorders>
            <w:shd w:val="clear" w:color="auto" w:fill="FAE6E9"/>
            <w:vAlign w:val="bottom"/>
          </w:tcPr>
          <w:p w:rsidR="00A621E3" w:rsidRDefault="00A621E3">
            <w:pPr>
              <w:rPr>
                <w:sz w:val="14"/>
                <w:szCs w:val="14"/>
              </w:rPr>
            </w:pPr>
          </w:p>
        </w:tc>
        <w:tc>
          <w:tcPr>
            <w:tcW w:w="1440" w:type="dxa"/>
            <w:tcBorders>
              <w:top w:val="single" w:sz="8" w:space="0" w:color="CF0A2C"/>
            </w:tcBorders>
            <w:shd w:val="clear" w:color="auto" w:fill="FAE6E9"/>
            <w:vAlign w:val="bottom"/>
          </w:tcPr>
          <w:p w:rsidR="00A621E3" w:rsidRDefault="00A621E3">
            <w:pPr>
              <w:rPr>
                <w:sz w:val="14"/>
                <w:szCs w:val="14"/>
              </w:rPr>
            </w:pPr>
          </w:p>
        </w:tc>
        <w:tc>
          <w:tcPr>
            <w:tcW w:w="1400" w:type="dxa"/>
            <w:tcBorders>
              <w:top w:val="single" w:sz="8" w:space="0" w:color="CF0A2C"/>
            </w:tcBorders>
            <w:shd w:val="clear" w:color="auto" w:fill="FAE6E9"/>
            <w:vAlign w:val="bottom"/>
          </w:tcPr>
          <w:p w:rsidR="00A621E3" w:rsidRDefault="00A621E3">
            <w:pPr>
              <w:rPr>
                <w:sz w:val="14"/>
                <w:szCs w:val="14"/>
              </w:rPr>
            </w:pPr>
          </w:p>
        </w:tc>
        <w:tc>
          <w:tcPr>
            <w:tcW w:w="1260" w:type="dxa"/>
            <w:tcBorders>
              <w:top w:val="single" w:sz="8" w:space="0" w:color="CF0A2C"/>
            </w:tcBorders>
            <w:shd w:val="clear" w:color="auto" w:fill="FAE6E9"/>
            <w:vAlign w:val="bottom"/>
          </w:tcPr>
          <w:p w:rsidR="00A621E3" w:rsidRDefault="00EC630E">
            <w:pPr>
              <w:ind w:right="112"/>
              <w:jc w:val="center"/>
              <w:rPr>
                <w:sz w:val="20"/>
                <w:szCs w:val="20"/>
              </w:rPr>
            </w:pPr>
            <w:r>
              <w:rPr>
                <w:rFonts w:ascii="Arial" w:eastAsia="Arial" w:hAnsi="Arial" w:cs="Arial"/>
                <w:b/>
                <w:bCs/>
                <w:color w:val="CF0A2C"/>
                <w:sz w:val="14"/>
                <w:szCs w:val="14"/>
              </w:rPr>
              <w:t>Aggregate</w:t>
            </w:r>
          </w:p>
        </w:tc>
        <w:tc>
          <w:tcPr>
            <w:tcW w:w="0" w:type="dxa"/>
            <w:vAlign w:val="bottom"/>
          </w:tcPr>
          <w:p w:rsidR="00A621E3" w:rsidRDefault="00A621E3">
            <w:pPr>
              <w:rPr>
                <w:sz w:val="1"/>
                <w:szCs w:val="1"/>
              </w:rPr>
            </w:pPr>
          </w:p>
        </w:tc>
      </w:tr>
      <w:tr w:rsidR="00A621E3">
        <w:trPr>
          <w:trHeight w:val="162"/>
        </w:trPr>
        <w:tc>
          <w:tcPr>
            <w:tcW w:w="2380" w:type="dxa"/>
            <w:shd w:val="clear" w:color="auto" w:fill="FAE6E9"/>
            <w:vAlign w:val="bottom"/>
          </w:tcPr>
          <w:p w:rsidR="00A621E3" w:rsidRDefault="00A621E3">
            <w:pPr>
              <w:rPr>
                <w:sz w:val="14"/>
                <w:szCs w:val="14"/>
              </w:rPr>
            </w:pPr>
          </w:p>
        </w:tc>
        <w:tc>
          <w:tcPr>
            <w:tcW w:w="2940" w:type="dxa"/>
            <w:shd w:val="clear" w:color="auto" w:fill="FAE6E9"/>
            <w:vAlign w:val="bottom"/>
          </w:tcPr>
          <w:p w:rsidR="00A621E3" w:rsidRDefault="00EC630E">
            <w:pPr>
              <w:ind w:left="1290"/>
              <w:jc w:val="center"/>
              <w:rPr>
                <w:sz w:val="20"/>
                <w:szCs w:val="20"/>
              </w:rPr>
            </w:pPr>
            <w:r>
              <w:rPr>
                <w:rFonts w:ascii="Arial" w:eastAsia="Arial" w:hAnsi="Arial" w:cs="Arial"/>
                <w:b/>
                <w:bCs/>
                <w:color w:val="CF0A2C"/>
                <w:sz w:val="14"/>
                <w:szCs w:val="14"/>
              </w:rPr>
              <w:t>Executive</w:t>
            </w:r>
          </w:p>
        </w:tc>
        <w:tc>
          <w:tcPr>
            <w:tcW w:w="160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Registrant</w:t>
            </w:r>
          </w:p>
        </w:tc>
        <w:tc>
          <w:tcPr>
            <w:tcW w:w="144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Aggregate</w:t>
            </w:r>
          </w:p>
        </w:tc>
        <w:tc>
          <w:tcPr>
            <w:tcW w:w="1400" w:type="dxa"/>
            <w:shd w:val="clear" w:color="auto" w:fill="FAE6E9"/>
            <w:vAlign w:val="bottom"/>
          </w:tcPr>
          <w:p w:rsidR="00A621E3" w:rsidRDefault="00A621E3">
            <w:pPr>
              <w:rPr>
                <w:sz w:val="14"/>
                <w:szCs w:val="14"/>
              </w:rPr>
            </w:pPr>
          </w:p>
        </w:tc>
        <w:tc>
          <w:tcPr>
            <w:tcW w:w="1260" w:type="dxa"/>
            <w:shd w:val="clear" w:color="auto" w:fill="FAE6E9"/>
            <w:vAlign w:val="bottom"/>
          </w:tcPr>
          <w:p w:rsidR="00A621E3" w:rsidRDefault="00EC630E">
            <w:pPr>
              <w:ind w:right="112"/>
              <w:jc w:val="center"/>
              <w:rPr>
                <w:sz w:val="20"/>
                <w:szCs w:val="20"/>
              </w:rPr>
            </w:pPr>
            <w:r>
              <w:rPr>
                <w:rFonts w:ascii="Arial" w:eastAsia="Arial" w:hAnsi="Arial" w:cs="Arial"/>
                <w:b/>
                <w:bCs/>
                <w:color w:val="CF0A2C"/>
                <w:sz w:val="14"/>
                <w:szCs w:val="14"/>
              </w:rPr>
              <w:t>Balance at</w:t>
            </w:r>
          </w:p>
        </w:tc>
        <w:tc>
          <w:tcPr>
            <w:tcW w:w="0" w:type="dxa"/>
            <w:vAlign w:val="bottom"/>
          </w:tcPr>
          <w:p w:rsidR="00A621E3" w:rsidRDefault="00A621E3">
            <w:pPr>
              <w:rPr>
                <w:sz w:val="1"/>
                <w:szCs w:val="1"/>
              </w:rPr>
            </w:pPr>
          </w:p>
        </w:tc>
      </w:tr>
      <w:tr w:rsidR="00A621E3">
        <w:trPr>
          <w:trHeight w:val="162"/>
        </w:trPr>
        <w:tc>
          <w:tcPr>
            <w:tcW w:w="2380" w:type="dxa"/>
            <w:shd w:val="clear" w:color="auto" w:fill="FAE6E9"/>
            <w:vAlign w:val="bottom"/>
          </w:tcPr>
          <w:p w:rsidR="00A621E3" w:rsidRDefault="00A621E3">
            <w:pPr>
              <w:rPr>
                <w:sz w:val="14"/>
                <w:szCs w:val="14"/>
              </w:rPr>
            </w:pPr>
          </w:p>
        </w:tc>
        <w:tc>
          <w:tcPr>
            <w:tcW w:w="2940" w:type="dxa"/>
            <w:shd w:val="clear" w:color="auto" w:fill="FAE6E9"/>
            <w:vAlign w:val="bottom"/>
          </w:tcPr>
          <w:p w:rsidR="00A621E3" w:rsidRDefault="00EC630E">
            <w:pPr>
              <w:ind w:right="250"/>
              <w:jc w:val="right"/>
              <w:rPr>
                <w:sz w:val="20"/>
                <w:szCs w:val="20"/>
              </w:rPr>
            </w:pPr>
            <w:r>
              <w:rPr>
                <w:rFonts w:ascii="Arial" w:eastAsia="Arial" w:hAnsi="Arial" w:cs="Arial"/>
                <w:b/>
                <w:bCs/>
                <w:color w:val="CF0A2C"/>
                <w:sz w:val="14"/>
                <w:szCs w:val="14"/>
              </w:rPr>
              <w:t>Contributions</w:t>
            </w:r>
          </w:p>
        </w:tc>
        <w:tc>
          <w:tcPr>
            <w:tcW w:w="160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Contributions</w:t>
            </w:r>
          </w:p>
        </w:tc>
        <w:tc>
          <w:tcPr>
            <w:tcW w:w="1440" w:type="dxa"/>
            <w:shd w:val="clear" w:color="auto" w:fill="FAE6E9"/>
            <w:vAlign w:val="bottom"/>
          </w:tcPr>
          <w:p w:rsidR="00A621E3" w:rsidRDefault="00EC630E">
            <w:pPr>
              <w:ind w:right="252"/>
              <w:jc w:val="right"/>
              <w:rPr>
                <w:sz w:val="20"/>
                <w:szCs w:val="20"/>
              </w:rPr>
            </w:pPr>
            <w:r>
              <w:rPr>
                <w:rFonts w:ascii="Arial" w:eastAsia="Arial" w:hAnsi="Arial" w:cs="Arial"/>
                <w:b/>
                <w:bCs/>
                <w:color w:val="CF0A2C"/>
                <w:sz w:val="14"/>
                <w:szCs w:val="14"/>
              </w:rPr>
              <w:t>Earnings in</w:t>
            </w:r>
          </w:p>
        </w:tc>
        <w:tc>
          <w:tcPr>
            <w:tcW w:w="1400" w:type="dxa"/>
            <w:shd w:val="clear" w:color="auto" w:fill="FAE6E9"/>
            <w:vAlign w:val="bottom"/>
          </w:tcPr>
          <w:p w:rsidR="00A621E3" w:rsidRDefault="00EC630E">
            <w:pPr>
              <w:ind w:right="190"/>
              <w:jc w:val="right"/>
              <w:rPr>
                <w:sz w:val="20"/>
                <w:szCs w:val="20"/>
              </w:rPr>
            </w:pPr>
            <w:r>
              <w:rPr>
                <w:rFonts w:ascii="Arial" w:eastAsia="Arial" w:hAnsi="Arial" w:cs="Arial"/>
                <w:b/>
                <w:bCs/>
                <w:color w:val="CF0A2C"/>
                <w:sz w:val="14"/>
                <w:szCs w:val="14"/>
              </w:rPr>
              <w:t>Aggregate</w:t>
            </w:r>
          </w:p>
        </w:tc>
        <w:tc>
          <w:tcPr>
            <w:tcW w:w="1260" w:type="dxa"/>
            <w:shd w:val="clear" w:color="auto" w:fill="FAE6E9"/>
            <w:vAlign w:val="bottom"/>
          </w:tcPr>
          <w:p w:rsidR="00A621E3" w:rsidRDefault="00EC630E">
            <w:pPr>
              <w:ind w:right="132"/>
              <w:jc w:val="center"/>
              <w:rPr>
                <w:sz w:val="20"/>
                <w:szCs w:val="20"/>
              </w:rPr>
            </w:pPr>
            <w:r>
              <w:rPr>
                <w:rFonts w:ascii="Arial" w:eastAsia="Arial" w:hAnsi="Arial" w:cs="Arial"/>
                <w:b/>
                <w:bCs/>
                <w:color w:val="CF0A2C"/>
                <w:sz w:val="14"/>
                <w:szCs w:val="14"/>
              </w:rPr>
              <w:t>Last</w:t>
            </w:r>
          </w:p>
        </w:tc>
        <w:tc>
          <w:tcPr>
            <w:tcW w:w="0" w:type="dxa"/>
            <w:vAlign w:val="bottom"/>
          </w:tcPr>
          <w:p w:rsidR="00A621E3" w:rsidRDefault="00A621E3">
            <w:pPr>
              <w:rPr>
                <w:sz w:val="1"/>
                <w:szCs w:val="1"/>
              </w:rPr>
            </w:pPr>
          </w:p>
        </w:tc>
      </w:tr>
      <w:tr w:rsidR="00A621E3">
        <w:trPr>
          <w:trHeight w:val="162"/>
        </w:trPr>
        <w:tc>
          <w:tcPr>
            <w:tcW w:w="2380" w:type="dxa"/>
            <w:shd w:val="clear" w:color="auto" w:fill="FAE6E9"/>
            <w:vAlign w:val="bottom"/>
          </w:tcPr>
          <w:p w:rsidR="00A621E3" w:rsidRDefault="00A621E3">
            <w:pPr>
              <w:rPr>
                <w:sz w:val="14"/>
                <w:szCs w:val="14"/>
              </w:rPr>
            </w:pPr>
          </w:p>
        </w:tc>
        <w:tc>
          <w:tcPr>
            <w:tcW w:w="2940" w:type="dxa"/>
            <w:shd w:val="clear" w:color="auto" w:fill="FAE6E9"/>
            <w:vAlign w:val="bottom"/>
          </w:tcPr>
          <w:p w:rsidR="00A621E3" w:rsidRDefault="00EC630E">
            <w:pPr>
              <w:ind w:right="270"/>
              <w:jc w:val="right"/>
              <w:rPr>
                <w:sz w:val="20"/>
                <w:szCs w:val="20"/>
              </w:rPr>
            </w:pPr>
            <w:r>
              <w:rPr>
                <w:rFonts w:ascii="Arial" w:eastAsia="Arial" w:hAnsi="Arial" w:cs="Arial"/>
                <w:b/>
                <w:bCs/>
                <w:color w:val="CF0A2C"/>
                <w:sz w:val="14"/>
                <w:szCs w:val="14"/>
              </w:rPr>
              <w:t>in Last Fiscal</w:t>
            </w:r>
          </w:p>
        </w:tc>
        <w:tc>
          <w:tcPr>
            <w:tcW w:w="160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in Last Fiscal</w:t>
            </w:r>
          </w:p>
        </w:tc>
        <w:tc>
          <w:tcPr>
            <w:tcW w:w="1440" w:type="dxa"/>
            <w:shd w:val="clear" w:color="auto" w:fill="FAE6E9"/>
            <w:vAlign w:val="bottom"/>
          </w:tcPr>
          <w:p w:rsidR="00A621E3" w:rsidRDefault="00EC630E">
            <w:pPr>
              <w:ind w:right="272"/>
              <w:jc w:val="right"/>
              <w:rPr>
                <w:sz w:val="20"/>
                <w:szCs w:val="20"/>
              </w:rPr>
            </w:pPr>
            <w:r>
              <w:rPr>
                <w:rFonts w:ascii="Arial" w:eastAsia="Arial" w:hAnsi="Arial" w:cs="Arial"/>
                <w:b/>
                <w:bCs/>
                <w:color w:val="CF0A2C"/>
                <w:sz w:val="14"/>
                <w:szCs w:val="14"/>
              </w:rPr>
              <w:t>Last Fiscal</w:t>
            </w:r>
          </w:p>
        </w:tc>
        <w:tc>
          <w:tcPr>
            <w:tcW w:w="1400" w:type="dxa"/>
            <w:shd w:val="clear" w:color="auto" w:fill="FAE6E9"/>
            <w:vAlign w:val="bottom"/>
          </w:tcPr>
          <w:p w:rsidR="00A621E3" w:rsidRDefault="00EC630E">
            <w:pPr>
              <w:ind w:right="110"/>
              <w:jc w:val="right"/>
              <w:rPr>
                <w:sz w:val="20"/>
                <w:szCs w:val="20"/>
              </w:rPr>
            </w:pPr>
            <w:r>
              <w:rPr>
                <w:rFonts w:ascii="Arial" w:eastAsia="Arial" w:hAnsi="Arial" w:cs="Arial"/>
                <w:b/>
                <w:bCs/>
                <w:color w:val="CF0A2C"/>
                <w:sz w:val="14"/>
                <w:szCs w:val="14"/>
              </w:rPr>
              <w:t>Withdrawals/</w:t>
            </w:r>
          </w:p>
        </w:tc>
        <w:tc>
          <w:tcPr>
            <w:tcW w:w="1260" w:type="dxa"/>
            <w:shd w:val="clear" w:color="auto" w:fill="FAE6E9"/>
            <w:vAlign w:val="bottom"/>
          </w:tcPr>
          <w:p w:rsidR="00A621E3" w:rsidRDefault="00EC630E">
            <w:pPr>
              <w:ind w:right="112"/>
              <w:jc w:val="center"/>
              <w:rPr>
                <w:sz w:val="20"/>
                <w:szCs w:val="20"/>
              </w:rPr>
            </w:pPr>
            <w:r>
              <w:rPr>
                <w:rFonts w:ascii="Arial" w:eastAsia="Arial" w:hAnsi="Arial" w:cs="Arial"/>
                <w:b/>
                <w:bCs/>
                <w:color w:val="CF0A2C"/>
                <w:sz w:val="14"/>
                <w:szCs w:val="14"/>
              </w:rPr>
              <w:t>Fiscal</w:t>
            </w:r>
          </w:p>
        </w:tc>
        <w:tc>
          <w:tcPr>
            <w:tcW w:w="0" w:type="dxa"/>
            <w:vAlign w:val="bottom"/>
          </w:tcPr>
          <w:p w:rsidR="00A621E3" w:rsidRDefault="00A621E3">
            <w:pPr>
              <w:rPr>
                <w:sz w:val="1"/>
                <w:szCs w:val="1"/>
              </w:rPr>
            </w:pPr>
          </w:p>
        </w:tc>
      </w:tr>
      <w:tr w:rsidR="00A621E3">
        <w:trPr>
          <w:trHeight w:val="160"/>
        </w:trPr>
        <w:tc>
          <w:tcPr>
            <w:tcW w:w="2380" w:type="dxa"/>
            <w:shd w:val="clear" w:color="auto" w:fill="FAE6E9"/>
            <w:vAlign w:val="bottom"/>
          </w:tcPr>
          <w:p w:rsidR="00A621E3" w:rsidRDefault="00A621E3">
            <w:pPr>
              <w:rPr>
                <w:sz w:val="13"/>
                <w:szCs w:val="13"/>
              </w:rPr>
            </w:pPr>
          </w:p>
        </w:tc>
        <w:tc>
          <w:tcPr>
            <w:tcW w:w="2940" w:type="dxa"/>
            <w:shd w:val="clear" w:color="auto" w:fill="FAE6E9"/>
            <w:vAlign w:val="bottom"/>
          </w:tcPr>
          <w:p w:rsidR="00A621E3" w:rsidRDefault="00EC630E">
            <w:pPr>
              <w:ind w:left="1290"/>
              <w:jc w:val="center"/>
              <w:rPr>
                <w:sz w:val="20"/>
                <w:szCs w:val="20"/>
              </w:rPr>
            </w:pPr>
            <w:r>
              <w:rPr>
                <w:rFonts w:ascii="Arial" w:eastAsia="Arial" w:hAnsi="Arial" w:cs="Arial"/>
                <w:b/>
                <w:bCs/>
                <w:color w:val="CF0A2C"/>
                <w:w w:val="98"/>
                <w:sz w:val="14"/>
                <w:szCs w:val="14"/>
              </w:rPr>
              <w:t>Year</w:t>
            </w:r>
          </w:p>
        </w:tc>
        <w:tc>
          <w:tcPr>
            <w:tcW w:w="1600" w:type="dxa"/>
            <w:shd w:val="clear" w:color="auto" w:fill="FAE6E9"/>
            <w:vAlign w:val="bottom"/>
          </w:tcPr>
          <w:p w:rsidR="00A621E3" w:rsidRDefault="00EC630E">
            <w:pPr>
              <w:jc w:val="center"/>
              <w:rPr>
                <w:sz w:val="20"/>
                <w:szCs w:val="20"/>
              </w:rPr>
            </w:pPr>
            <w:r>
              <w:rPr>
                <w:rFonts w:ascii="Arial" w:eastAsia="Arial" w:hAnsi="Arial" w:cs="Arial"/>
                <w:b/>
                <w:bCs/>
                <w:color w:val="CF0A2C"/>
                <w:w w:val="98"/>
                <w:sz w:val="14"/>
                <w:szCs w:val="14"/>
              </w:rPr>
              <w:t>Year</w:t>
            </w:r>
          </w:p>
        </w:tc>
        <w:tc>
          <w:tcPr>
            <w:tcW w:w="1440" w:type="dxa"/>
            <w:shd w:val="clear" w:color="auto" w:fill="FAE6E9"/>
            <w:vAlign w:val="bottom"/>
          </w:tcPr>
          <w:p w:rsidR="00A621E3" w:rsidRDefault="00EC630E">
            <w:pPr>
              <w:jc w:val="center"/>
              <w:rPr>
                <w:sz w:val="20"/>
                <w:szCs w:val="20"/>
              </w:rPr>
            </w:pPr>
            <w:r>
              <w:rPr>
                <w:rFonts w:ascii="Arial" w:eastAsia="Arial" w:hAnsi="Arial" w:cs="Arial"/>
                <w:b/>
                <w:bCs/>
                <w:color w:val="CF0A2C"/>
                <w:w w:val="98"/>
                <w:sz w:val="14"/>
                <w:szCs w:val="14"/>
              </w:rPr>
              <w:t>Year</w:t>
            </w:r>
          </w:p>
        </w:tc>
        <w:tc>
          <w:tcPr>
            <w:tcW w:w="1400" w:type="dxa"/>
            <w:shd w:val="clear" w:color="auto" w:fill="FAE6E9"/>
            <w:vAlign w:val="bottom"/>
          </w:tcPr>
          <w:p w:rsidR="00A621E3" w:rsidRDefault="00EC630E">
            <w:pPr>
              <w:ind w:right="110"/>
              <w:jc w:val="right"/>
              <w:rPr>
                <w:sz w:val="20"/>
                <w:szCs w:val="20"/>
              </w:rPr>
            </w:pPr>
            <w:r>
              <w:rPr>
                <w:rFonts w:ascii="Arial" w:eastAsia="Arial" w:hAnsi="Arial" w:cs="Arial"/>
                <w:b/>
                <w:bCs/>
                <w:color w:val="CF0A2C"/>
                <w:sz w:val="14"/>
                <w:szCs w:val="14"/>
              </w:rPr>
              <w:t>Distributions</w:t>
            </w:r>
          </w:p>
        </w:tc>
        <w:tc>
          <w:tcPr>
            <w:tcW w:w="1260" w:type="dxa"/>
            <w:shd w:val="clear" w:color="auto" w:fill="FAE6E9"/>
            <w:vAlign w:val="bottom"/>
          </w:tcPr>
          <w:p w:rsidR="00A621E3" w:rsidRDefault="00EC630E">
            <w:pPr>
              <w:ind w:right="132"/>
              <w:jc w:val="center"/>
              <w:rPr>
                <w:sz w:val="20"/>
                <w:szCs w:val="20"/>
              </w:rPr>
            </w:pPr>
            <w:r>
              <w:rPr>
                <w:rFonts w:ascii="Arial" w:eastAsia="Arial" w:hAnsi="Arial" w:cs="Arial"/>
                <w:b/>
                <w:bCs/>
                <w:color w:val="CF0A2C"/>
                <w:sz w:val="14"/>
                <w:szCs w:val="14"/>
              </w:rPr>
              <w:t xml:space="preserve">Year </w:t>
            </w:r>
            <w:r>
              <w:rPr>
                <w:rFonts w:ascii="Arial" w:eastAsia="Arial" w:hAnsi="Arial" w:cs="Arial"/>
                <w:b/>
                <w:bCs/>
                <w:color w:val="CF0A2C"/>
                <w:sz w:val="14"/>
                <w:szCs w:val="14"/>
              </w:rPr>
              <w:t>End</w:t>
            </w:r>
          </w:p>
        </w:tc>
        <w:tc>
          <w:tcPr>
            <w:tcW w:w="0" w:type="dxa"/>
            <w:vAlign w:val="bottom"/>
          </w:tcPr>
          <w:p w:rsidR="00A621E3" w:rsidRDefault="00A621E3">
            <w:pPr>
              <w:rPr>
                <w:sz w:val="1"/>
                <w:szCs w:val="1"/>
              </w:rPr>
            </w:pPr>
          </w:p>
        </w:tc>
      </w:tr>
      <w:tr w:rsidR="00A621E3">
        <w:trPr>
          <w:trHeight w:val="191"/>
        </w:trPr>
        <w:tc>
          <w:tcPr>
            <w:tcW w:w="2380" w:type="dxa"/>
            <w:tcBorders>
              <w:bottom w:val="single" w:sz="8" w:space="0" w:color="CF0A2C"/>
            </w:tcBorders>
            <w:shd w:val="clear" w:color="auto" w:fill="FAE6E9"/>
            <w:vAlign w:val="bottom"/>
          </w:tcPr>
          <w:p w:rsidR="00A621E3" w:rsidRDefault="00EC630E">
            <w:pPr>
              <w:ind w:left="60"/>
              <w:rPr>
                <w:sz w:val="20"/>
                <w:szCs w:val="20"/>
              </w:rPr>
            </w:pPr>
            <w:r>
              <w:rPr>
                <w:rFonts w:ascii="Arial" w:eastAsia="Arial" w:hAnsi="Arial" w:cs="Arial"/>
                <w:b/>
                <w:bCs/>
                <w:color w:val="CF0A2C"/>
                <w:sz w:val="14"/>
                <w:szCs w:val="14"/>
              </w:rPr>
              <w:t>Name</w:t>
            </w:r>
          </w:p>
        </w:tc>
        <w:tc>
          <w:tcPr>
            <w:tcW w:w="2940" w:type="dxa"/>
            <w:tcBorders>
              <w:bottom w:val="single" w:sz="8" w:space="0" w:color="CF0A2C"/>
            </w:tcBorders>
            <w:shd w:val="clear" w:color="auto" w:fill="FAE6E9"/>
            <w:vAlign w:val="bottom"/>
          </w:tcPr>
          <w:p w:rsidR="00A621E3" w:rsidRDefault="00EC630E">
            <w:pPr>
              <w:ind w:left="1290"/>
              <w:jc w:val="center"/>
              <w:rPr>
                <w:sz w:val="20"/>
                <w:szCs w:val="20"/>
              </w:rPr>
            </w:pPr>
            <w:r>
              <w:rPr>
                <w:rFonts w:ascii="Arial" w:eastAsia="Arial" w:hAnsi="Arial" w:cs="Arial"/>
                <w:b/>
                <w:bCs/>
                <w:color w:val="CF0A2C"/>
                <w:sz w:val="14"/>
                <w:szCs w:val="14"/>
              </w:rPr>
              <w:t>($)</w:t>
            </w:r>
          </w:p>
        </w:tc>
        <w:tc>
          <w:tcPr>
            <w:tcW w:w="1600" w:type="dxa"/>
            <w:tcBorders>
              <w:bottom w:val="single" w:sz="8" w:space="0" w:color="CF0A2C"/>
            </w:tcBorders>
            <w:shd w:val="clear" w:color="auto" w:fill="FAE6E9"/>
            <w:vAlign w:val="bottom"/>
          </w:tcPr>
          <w:p w:rsidR="00A621E3" w:rsidRDefault="00EC630E">
            <w:pPr>
              <w:spacing w:line="190" w:lineRule="exact"/>
              <w:jc w:val="center"/>
              <w:rPr>
                <w:sz w:val="20"/>
                <w:szCs w:val="20"/>
              </w:rPr>
            </w:pPr>
            <w:r>
              <w:rPr>
                <w:rFonts w:ascii="Arial" w:eastAsia="Arial" w:hAnsi="Arial" w:cs="Arial"/>
                <w:b/>
                <w:bCs/>
                <w:color w:val="CF0A2C"/>
                <w:vertAlign w:val="subscript"/>
              </w:rPr>
              <w:t>($)</w:t>
            </w:r>
            <w:r>
              <w:rPr>
                <w:rFonts w:ascii="Arial" w:eastAsia="Arial" w:hAnsi="Arial" w:cs="Arial"/>
                <w:b/>
                <w:bCs/>
                <w:color w:val="CF0A2C"/>
                <w:sz w:val="9"/>
                <w:szCs w:val="9"/>
              </w:rPr>
              <w:t>(1)</w:t>
            </w:r>
          </w:p>
        </w:tc>
        <w:tc>
          <w:tcPr>
            <w:tcW w:w="1440" w:type="dxa"/>
            <w:tcBorders>
              <w:bottom w:val="single" w:sz="8" w:space="0" w:color="CF0A2C"/>
            </w:tcBorders>
            <w:shd w:val="clear" w:color="auto" w:fill="FAE6E9"/>
            <w:vAlign w:val="bottom"/>
          </w:tcPr>
          <w:p w:rsidR="00A621E3" w:rsidRDefault="00EC630E">
            <w:pPr>
              <w:spacing w:line="190" w:lineRule="exact"/>
              <w:jc w:val="center"/>
              <w:rPr>
                <w:sz w:val="20"/>
                <w:szCs w:val="20"/>
              </w:rPr>
            </w:pPr>
            <w:r>
              <w:rPr>
                <w:rFonts w:ascii="Arial" w:eastAsia="Arial" w:hAnsi="Arial" w:cs="Arial"/>
                <w:b/>
                <w:bCs/>
                <w:color w:val="CF0A2C"/>
                <w:vertAlign w:val="subscript"/>
              </w:rPr>
              <w:t>($)</w:t>
            </w:r>
            <w:r>
              <w:rPr>
                <w:rFonts w:ascii="Arial" w:eastAsia="Arial" w:hAnsi="Arial" w:cs="Arial"/>
                <w:b/>
                <w:bCs/>
                <w:color w:val="CF0A2C"/>
                <w:sz w:val="9"/>
                <w:szCs w:val="9"/>
              </w:rPr>
              <w:t>(2)</w:t>
            </w:r>
          </w:p>
        </w:tc>
        <w:tc>
          <w:tcPr>
            <w:tcW w:w="1400" w:type="dxa"/>
            <w:tcBorders>
              <w:bottom w:val="single" w:sz="8" w:space="0" w:color="CF0A2C"/>
            </w:tcBorders>
            <w:shd w:val="clear" w:color="auto" w:fill="FAE6E9"/>
            <w:vAlign w:val="bottom"/>
          </w:tcPr>
          <w:p w:rsidR="00A621E3" w:rsidRDefault="00EC630E">
            <w:pPr>
              <w:ind w:right="470"/>
              <w:jc w:val="right"/>
              <w:rPr>
                <w:sz w:val="20"/>
                <w:szCs w:val="20"/>
              </w:rPr>
            </w:pPr>
            <w:r>
              <w:rPr>
                <w:rFonts w:ascii="Arial" w:eastAsia="Arial" w:hAnsi="Arial" w:cs="Arial"/>
                <w:b/>
                <w:bCs/>
                <w:color w:val="CF0A2C"/>
                <w:sz w:val="14"/>
                <w:szCs w:val="14"/>
              </w:rPr>
              <w:t>($)</w:t>
            </w:r>
          </w:p>
        </w:tc>
        <w:tc>
          <w:tcPr>
            <w:tcW w:w="1260" w:type="dxa"/>
            <w:tcBorders>
              <w:bottom w:val="single" w:sz="8" w:space="0" w:color="CF0A2C"/>
            </w:tcBorders>
            <w:shd w:val="clear" w:color="auto" w:fill="FAE6E9"/>
            <w:vAlign w:val="bottom"/>
          </w:tcPr>
          <w:p w:rsidR="00A621E3" w:rsidRDefault="00EC630E">
            <w:pPr>
              <w:spacing w:line="190" w:lineRule="exact"/>
              <w:ind w:right="112"/>
              <w:jc w:val="center"/>
              <w:rPr>
                <w:sz w:val="20"/>
                <w:szCs w:val="20"/>
              </w:rPr>
            </w:pPr>
            <w:r>
              <w:rPr>
                <w:rFonts w:ascii="Arial" w:eastAsia="Arial" w:hAnsi="Arial" w:cs="Arial"/>
                <w:b/>
                <w:bCs/>
                <w:color w:val="CF0A2C"/>
                <w:vertAlign w:val="subscript"/>
              </w:rPr>
              <w:t>($)</w:t>
            </w:r>
            <w:r>
              <w:rPr>
                <w:rFonts w:ascii="Arial" w:eastAsia="Arial" w:hAnsi="Arial" w:cs="Arial"/>
                <w:b/>
                <w:bCs/>
                <w:color w:val="CF0A2C"/>
                <w:sz w:val="9"/>
                <w:szCs w:val="9"/>
              </w:rPr>
              <w:t>(3)</w:t>
            </w:r>
          </w:p>
        </w:tc>
        <w:tc>
          <w:tcPr>
            <w:tcW w:w="0" w:type="dxa"/>
            <w:vAlign w:val="bottom"/>
          </w:tcPr>
          <w:p w:rsidR="00A621E3" w:rsidRDefault="00A621E3">
            <w:pPr>
              <w:rPr>
                <w:sz w:val="1"/>
                <w:szCs w:val="1"/>
              </w:rPr>
            </w:pPr>
          </w:p>
        </w:tc>
      </w:tr>
      <w:tr w:rsidR="00A621E3">
        <w:trPr>
          <w:trHeight w:val="184"/>
        </w:trPr>
        <w:tc>
          <w:tcPr>
            <w:tcW w:w="2380" w:type="dxa"/>
            <w:vMerge w:val="restart"/>
            <w:vAlign w:val="bottom"/>
          </w:tcPr>
          <w:p w:rsidR="00A621E3" w:rsidRDefault="00EC630E">
            <w:pPr>
              <w:rPr>
                <w:sz w:val="20"/>
                <w:szCs w:val="20"/>
              </w:rPr>
            </w:pPr>
            <w:r>
              <w:rPr>
                <w:rFonts w:ascii="Arial" w:eastAsia="Arial" w:hAnsi="Arial" w:cs="Arial"/>
                <w:b/>
                <w:bCs/>
                <w:color w:val="CF0A2C"/>
                <w:sz w:val="14"/>
                <w:szCs w:val="14"/>
              </w:rPr>
              <w:t>Ms. Wat</w:t>
            </w:r>
          </w:p>
        </w:tc>
        <w:tc>
          <w:tcPr>
            <w:tcW w:w="2940" w:type="dxa"/>
            <w:vAlign w:val="bottom"/>
          </w:tcPr>
          <w:p w:rsidR="00A621E3" w:rsidRDefault="00EC630E">
            <w:pPr>
              <w:ind w:left="1290"/>
              <w:jc w:val="center"/>
              <w:rPr>
                <w:sz w:val="20"/>
                <w:szCs w:val="20"/>
              </w:rPr>
            </w:pPr>
            <w:r>
              <w:rPr>
                <w:rFonts w:ascii="Arial" w:eastAsia="Arial" w:hAnsi="Arial" w:cs="Arial"/>
                <w:b/>
                <w:bCs/>
                <w:color w:val="CF0A2C"/>
                <w:sz w:val="14"/>
                <w:szCs w:val="14"/>
              </w:rPr>
              <w:t>(a)</w:t>
            </w:r>
          </w:p>
        </w:tc>
        <w:tc>
          <w:tcPr>
            <w:tcW w:w="1600" w:type="dxa"/>
            <w:vAlign w:val="bottom"/>
          </w:tcPr>
          <w:p w:rsidR="00A621E3" w:rsidRDefault="00EC630E">
            <w:pPr>
              <w:jc w:val="center"/>
              <w:rPr>
                <w:sz w:val="20"/>
                <w:szCs w:val="20"/>
              </w:rPr>
            </w:pPr>
            <w:r>
              <w:rPr>
                <w:rFonts w:ascii="Arial" w:eastAsia="Arial" w:hAnsi="Arial" w:cs="Arial"/>
                <w:b/>
                <w:bCs/>
                <w:color w:val="CF0A2C"/>
                <w:sz w:val="14"/>
                <w:szCs w:val="14"/>
              </w:rPr>
              <w:t>(b)</w:t>
            </w:r>
          </w:p>
        </w:tc>
        <w:tc>
          <w:tcPr>
            <w:tcW w:w="1440" w:type="dxa"/>
            <w:vAlign w:val="bottom"/>
          </w:tcPr>
          <w:p w:rsidR="00A621E3" w:rsidRDefault="00EC630E">
            <w:pPr>
              <w:jc w:val="center"/>
              <w:rPr>
                <w:sz w:val="20"/>
                <w:szCs w:val="20"/>
              </w:rPr>
            </w:pPr>
            <w:r>
              <w:rPr>
                <w:rFonts w:ascii="Arial" w:eastAsia="Arial" w:hAnsi="Arial" w:cs="Arial"/>
                <w:b/>
                <w:bCs/>
                <w:color w:val="CF0A2C"/>
                <w:sz w:val="14"/>
                <w:szCs w:val="14"/>
              </w:rPr>
              <w:t>(c)</w:t>
            </w:r>
          </w:p>
        </w:tc>
        <w:tc>
          <w:tcPr>
            <w:tcW w:w="1400" w:type="dxa"/>
            <w:vAlign w:val="bottom"/>
          </w:tcPr>
          <w:p w:rsidR="00A621E3" w:rsidRDefault="00EC630E">
            <w:pPr>
              <w:ind w:right="470"/>
              <w:jc w:val="right"/>
              <w:rPr>
                <w:sz w:val="20"/>
                <w:szCs w:val="20"/>
              </w:rPr>
            </w:pPr>
            <w:r>
              <w:rPr>
                <w:rFonts w:ascii="Arial" w:eastAsia="Arial" w:hAnsi="Arial" w:cs="Arial"/>
                <w:b/>
                <w:bCs/>
                <w:color w:val="CF0A2C"/>
                <w:sz w:val="14"/>
                <w:szCs w:val="14"/>
              </w:rPr>
              <w:t>(d)</w:t>
            </w:r>
          </w:p>
        </w:tc>
        <w:tc>
          <w:tcPr>
            <w:tcW w:w="1260" w:type="dxa"/>
            <w:vAlign w:val="bottom"/>
          </w:tcPr>
          <w:p w:rsidR="00A621E3" w:rsidRDefault="00EC630E">
            <w:pPr>
              <w:ind w:right="132"/>
              <w:jc w:val="center"/>
              <w:rPr>
                <w:sz w:val="20"/>
                <w:szCs w:val="20"/>
              </w:rPr>
            </w:pPr>
            <w:r>
              <w:rPr>
                <w:rFonts w:ascii="Arial" w:eastAsia="Arial" w:hAnsi="Arial" w:cs="Arial"/>
                <w:b/>
                <w:bCs/>
                <w:color w:val="CF0A2C"/>
                <w:sz w:val="14"/>
                <w:szCs w:val="14"/>
              </w:rPr>
              <w:t>(e)</w:t>
            </w:r>
          </w:p>
        </w:tc>
        <w:tc>
          <w:tcPr>
            <w:tcW w:w="0" w:type="dxa"/>
            <w:vAlign w:val="bottom"/>
          </w:tcPr>
          <w:p w:rsidR="00A621E3" w:rsidRDefault="00A621E3">
            <w:pPr>
              <w:rPr>
                <w:sz w:val="1"/>
                <w:szCs w:val="1"/>
              </w:rPr>
            </w:pPr>
          </w:p>
        </w:tc>
      </w:tr>
      <w:tr w:rsidR="00A621E3">
        <w:trPr>
          <w:trHeight w:val="175"/>
        </w:trPr>
        <w:tc>
          <w:tcPr>
            <w:tcW w:w="2380" w:type="dxa"/>
            <w:vMerge/>
            <w:vAlign w:val="bottom"/>
          </w:tcPr>
          <w:p w:rsidR="00A621E3" w:rsidRDefault="00A621E3">
            <w:pPr>
              <w:rPr>
                <w:sz w:val="15"/>
                <w:szCs w:val="15"/>
              </w:rPr>
            </w:pPr>
          </w:p>
        </w:tc>
        <w:tc>
          <w:tcPr>
            <w:tcW w:w="2940" w:type="dxa"/>
            <w:vAlign w:val="bottom"/>
          </w:tcPr>
          <w:p w:rsidR="00A621E3" w:rsidRDefault="00EC630E">
            <w:pPr>
              <w:ind w:right="250"/>
              <w:jc w:val="right"/>
              <w:rPr>
                <w:sz w:val="20"/>
                <w:szCs w:val="20"/>
              </w:rPr>
            </w:pPr>
            <w:r>
              <w:rPr>
                <w:rFonts w:ascii="Arial" w:eastAsia="Arial" w:hAnsi="Arial" w:cs="Arial"/>
                <w:sz w:val="13"/>
                <w:szCs w:val="13"/>
              </w:rPr>
              <w:t>—</w:t>
            </w:r>
          </w:p>
        </w:tc>
        <w:tc>
          <w:tcPr>
            <w:tcW w:w="1600" w:type="dxa"/>
            <w:vAlign w:val="bottom"/>
          </w:tcPr>
          <w:p w:rsidR="00A621E3" w:rsidRDefault="00EC630E">
            <w:pPr>
              <w:ind w:right="252"/>
              <w:jc w:val="right"/>
              <w:rPr>
                <w:sz w:val="20"/>
                <w:szCs w:val="20"/>
              </w:rPr>
            </w:pPr>
            <w:r>
              <w:rPr>
                <w:rFonts w:ascii="Arial" w:eastAsia="Arial" w:hAnsi="Arial" w:cs="Arial"/>
                <w:sz w:val="13"/>
                <w:szCs w:val="13"/>
              </w:rPr>
              <w:t>141,897</w:t>
            </w:r>
          </w:p>
        </w:tc>
        <w:tc>
          <w:tcPr>
            <w:tcW w:w="1440" w:type="dxa"/>
            <w:vAlign w:val="bottom"/>
          </w:tcPr>
          <w:p w:rsidR="00A621E3" w:rsidRDefault="00EC630E">
            <w:pPr>
              <w:ind w:right="252"/>
              <w:jc w:val="right"/>
              <w:rPr>
                <w:sz w:val="20"/>
                <w:szCs w:val="20"/>
              </w:rPr>
            </w:pPr>
            <w:r>
              <w:rPr>
                <w:rFonts w:ascii="Arial" w:eastAsia="Arial" w:hAnsi="Arial" w:cs="Arial"/>
                <w:sz w:val="13"/>
                <w:szCs w:val="13"/>
              </w:rPr>
              <w:t>—</w:t>
            </w:r>
          </w:p>
        </w:tc>
        <w:tc>
          <w:tcPr>
            <w:tcW w:w="1400" w:type="dxa"/>
            <w:vAlign w:val="bottom"/>
          </w:tcPr>
          <w:p w:rsidR="00A621E3" w:rsidRDefault="00EC630E">
            <w:pPr>
              <w:ind w:right="110"/>
              <w:jc w:val="right"/>
              <w:rPr>
                <w:sz w:val="20"/>
                <w:szCs w:val="20"/>
              </w:rPr>
            </w:pPr>
            <w:r>
              <w:rPr>
                <w:rFonts w:ascii="Arial" w:eastAsia="Arial" w:hAnsi="Arial" w:cs="Arial"/>
                <w:sz w:val="13"/>
                <w:szCs w:val="13"/>
              </w:rPr>
              <w:t>—</w:t>
            </w:r>
          </w:p>
        </w:tc>
        <w:tc>
          <w:tcPr>
            <w:tcW w:w="1260" w:type="dxa"/>
            <w:vAlign w:val="bottom"/>
          </w:tcPr>
          <w:p w:rsidR="00A621E3" w:rsidRDefault="00EC630E">
            <w:pPr>
              <w:spacing w:line="175" w:lineRule="exact"/>
              <w:ind w:right="172"/>
              <w:jc w:val="right"/>
              <w:rPr>
                <w:sz w:val="20"/>
                <w:szCs w:val="20"/>
              </w:rPr>
            </w:pPr>
            <w:r>
              <w:rPr>
                <w:rFonts w:ascii="Arial" w:eastAsia="Arial" w:hAnsi="Arial" w:cs="Arial"/>
                <w:sz w:val="13"/>
                <w:szCs w:val="13"/>
              </w:rPr>
              <w:t>720,206</w:t>
            </w:r>
            <w:r>
              <w:rPr>
                <w:rFonts w:ascii="Arial" w:eastAsia="Arial" w:hAnsi="Arial" w:cs="Arial"/>
                <w:sz w:val="20"/>
                <w:szCs w:val="20"/>
                <w:vertAlign w:val="superscript"/>
              </w:rPr>
              <w:t>(4)</w:t>
            </w:r>
          </w:p>
        </w:tc>
        <w:tc>
          <w:tcPr>
            <w:tcW w:w="0" w:type="dxa"/>
            <w:vAlign w:val="bottom"/>
          </w:tcPr>
          <w:p w:rsidR="00A621E3" w:rsidRDefault="00A621E3">
            <w:pPr>
              <w:rPr>
                <w:sz w:val="1"/>
                <w:szCs w:val="1"/>
              </w:rPr>
            </w:pPr>
          </w:p>
        </w:tc>
      </w:tr>
      <w:tr w:rsidR="00A621E3">
        <w:trPr>
          <w:trHeight w:val="189"/>
        </w:trPr>
        <w:tc>
          <w:tcPr>
            <w:tcW w:w="2380" w:type="dxa"/>
            <w:vAlign w:val="bottom"/>
          </w:tcPr>
          <w:p w:rsidR="00A621E3" w:rsidRDefault="00EC630E">
            <w:pPr>
              <w:rPr>
                <w:sz w:val="20"/>
                <w:szCs w:val="20"/>
              </w:rPr>
            </w:pPr>
            <w:r>
              <w:rPr>
                <w:rFonts w:ascii="Arial" w:eastAsia="Arial" w:hAnsi="Arial" w:cs="Arial"/>
                <w:b/>
                <w:bCs/>
                <w:color w:val="CF0A2C"/>
                <w:sz w:val="14"/>
                <w:szCs w:val="14"/>
              </w:rPr>
              <w:t>Mr. Yeung</w:t>
            </w:r>
          </w:p>
        </w:tc>
        <w:tc>
          <w:tcPr>
            <w:tcW w:w="2940" w:type="dxa"/>
            <w:vAlign w:val="bottom"/>
          </w:tcPr>
          <w:p w:rsidR="00A621E3" w:rsidRDefault="00EC630E">
            <w:pPr>
              <w:ind w:right="250"/>
              <w:jc w:val="right"/>
              <w:rPr>
                <w:sz w:val="20"/>
                <w:szCs w:val="20"/>
              </w:rPr>
            </w:pPr>
            <w:r>
              <w:rPr>
                <w:rFonts w:ascii="Arial" w:eastAsia="Arial" w:hAnsi="Arial" w:cs="Arial"/>
                <w:sz w:val="13"/>
                <w:szCs w:val="13"/>
              </w:rPr>
              <w:t>—</w:t>
            </w:r>
          </w:p>
        </w:tc>
        <w:tc>
          <w:tcPr>
            <w:tcW w:w="1600" w:type="dxa"/>
            <w:vAlign w:val="bottom"/>
          </w:tcPr>
          <w:p w:rsidR="00A621E3" w:rsidRDefault="00EC630E">
            <w:pPr>
              <w:ind w:right="252"/>
              <w:jc w:val="right"/>
              <w:rPr>
                <w:sz w:val="20"/>
                <w:szCs w:val="20"/>
              </w:rPr>
            </w:pPr>
            <w:r>
              <w:rPr>
                <w:rFonts w:ascii="Arial" w:eastAsia="Arial" w:hAnsi="Arial" w:cs="Arial"/>
                <w:sz w:val="13"/>
                <w:szCs w:val="13"/>
              </w:rPr>
              <w:t>41,840</w:t>
            </w:r>
          </w:p>
        </w:tc>
        <w:tc>
          <w:tcPr>
            <w:tcW w:w="1440" w:type="dxa"/>
            <w:vAlign w:val="bottom"/>
          </w:tcPr>
          <w:p w:rsidR="00A621E3" w:rsidRDefault="00EC630E">
            <w:pPr>
              <w:ind w:right="252"/>
              <w:jc w:val="right"/>
              <w:rPr>
                <w:sz w:val="20"/>
                <w:szCs w:val="20"/>
              </w:rPr>
            </w:pPr>
            <w:r>
              <w:rPr>
                <w:rFonts w:ascii="Arial" w:eastAsia="Arial" w:hAnsi="Arial" w:cs="Arial"/>
                <w:sz w:val="13"/>
                <w:szCs w:val="13"/>
              </w:rPr>
              <w:t>—</w:t>
            </w:r>
          </w:p>
        </w:tc>
        <w:tc>
          <w:tcPr>
            <w:tcW w:w="1400" w:type="dxa"/>
            <w:vAlign w:val="bottom"/>
          </w:tcPr>
          <w:p w:rsidR="00A621E3" w:rsidRDefault="00EC630E">
            <w:pPr>
              <w:ind w:right="110"/>
              <w:jc w:val="right"/>
              <w:rPr>
                <w:sz w:val="20"/>
                <w:szCs w:val="20"/>
              </w:rPr>
            </w:pPr>
            <w:r>
              <w:rPr>
                <w:rFonts w:ascii="Arial" w:eastAsia="Arial" w:hAnsi="Arial" w:cs="Arial"/>
                <w:sz w:val="13"/>
                <w:szCs w:val="13"/>
              </w:rPr>
              <w:t>—</w:t>
            </w:r>
          </w:p>
        </w:tc>
        <w:tc>
          <w:tcPr>
            <w:tcW w:w="1260" w:type="dxa"/>
            <w:vAlign w:val="bottom"/>
          </w:tcPr>
          <w:p w:rsidR="00A621E3" w:rsidRDefault="00EC630E">
            <w:pPr>
              <w:spacing w:line="189" w:lineRule="exact"/>
              <w:ind w:right="172"/>
              <w:jc w:val="right"/>
              <w:rPr>
                <w:sz w:val="20"/>
                <w:szCs w:val="20"/>
              </w:rPr>
            </w:pPr>
            <w:r>
              <w:rPr>
                <w:rFonts w:ascii="Arial" w:eastAsia="Arial" w:hAnsi="Arial" w:cs="Arial"/>
                <w:sz w:val="13"/>
                <w:szCs w:val="13"/>
              </w:rPr>
              <w:t>125,114</w:t>
            </w:r>
            <w:r>
              <w:rPr>
                <w:rFonts w:ascii="Arial" w:eastAsia="Arial" w:hAnsi="Arial" w:cs="Arial"/>
                <w:sz w:val="20"/>
                <w:szCs w:val="20"/>
                <w:vertAlign w:val="superscript"/>
              </w:rPr>
              <w:t>(4)</w:t>
            </w:r>
          </w:p>
        </w:tc>
        <w:tc>
          <w:tcPr>
            <w:tcW w:w="0" w:type="dxa"/>
            <w:vAlign w:val="bottom"/>
          </w:tcPr>
          <w:p w:rsidR="00A621E3" w:rsidRDefault="00A621E3">
            <w:pPr>
              <w:rPr>
                <w:sz w:val="1"/>
                <w:szCs w:val="1"/>
              </w:rPr>
            </w:pPr>
          </w:p>
        </w:tc>
      </w:tr>
      <w:tr w:rsidR="00A621E3">
        <w:trPr>
          <w:trHeight w:val="189"/>
        </w:trPr>
        <w:tc>
          <w:tcPr>
            <w:tcW w:w="2380" w:type="dxa"/>
            <w:vAlign w:val="bottom"/>
          </w:tcPr>
          <w:p w:rsidR="00A621E3" w:rsidRDefault="00EC630E">
            <w:pPr>
              <w:rPr>
                <w:sz w:val="20"/>
                <w:szCs w:val="20"/>
              </w:rPr>
            </w:pPr>
            <w:r>
              <w:rPr>
                <w:rFonts w:ascii="Arial" w:eastAsia="Arial" w:hAnsi="Arial" w:cs="Arial"/>
                <w:b/>
                <w:bCs/>
                <w:color w:val="CF0A2C"/>
                <w:sz w:val="14"/>
                <w:szCs w:val="14"/>
              </w:rPr>
              <w:t>Mr. Chan</w:t>
            </w:r>
          </w:p>
        </w:tc>
        <w:tc>
          <w:tcPr>
            <w:tcW w:w="2940" w:type="dxa"/>
            <w:vAlign w:val="bottom"/>
          </w:tcPr>
          <w:p w:rsidR="00A621E3" w:rsidRDefault="00EC630E">
            <w:pPr>
              <w:ind w:right="250"/>
              <w:jc w:val="right"/>
              <w:rPr>
                <w:sz w:val="20"/>
                <w:szCs w:val="20"/>
              </w:rPr>
            </w:pPr>
            <w:r>
              <w:rPr>
                <w:rFonts w:ascii="Arial" w:eastAsia="Arial" w:hAnsi="Arial" w:cs="Arial"/>
                <w:sz w:val="13"/>
                <w:szCs w:val="13"/>
              </w:rPr>
              <w:t>—</w:t>
            </w:r>
          </w:p>
        </w:tc>
        <w:tc>
          <w:tcPr>
            <w:tcW w:w="1600" w:type="dxa"/>
            <w:vAlign w:val="bottom"/>
          </w:tcPr>
          <w:p w:rsidR="00A621E3" w:rsidRDefault="00EC630E">
            <w:pPr>
              <w:ind w:right="252"/>
              <w:jc w:val="right"/>
              <w:rPr>
                <w:sz w:val="20"/>
                <w:szCs w:val="20"/>
              </w:rPr>
            </w:pPr>
            <w:r>
              <w:rPr>
                <w:rFonts w:ascii="Arial" w:eastAsia="Arial" w:hAnsi="Arial" w:cs="Arial"/>
                <w:sz w:val="13"/>
                <w:szCs w:val="13"/>
              </w:rPr>
              <w:t>31,380</w:t>
            </w:r>
          </w:p>
        </w:tc>
        <w:tc>
          <w:tcPr>
            <w:tcW w:w="1440" w:type="dxa"/>
            <w:vAlign w:val="bottom"/>
          </w:tcPr>
          <w:p w:rsidR="00A621E3" w:rsidRDefault="00EC630E">
            <w:pPr>
              <w:ind w:right="252"/>
              <w:jc w:val="right"/>
              <w:rPr>
                <w:sz w:val="20"/>
                <w:szCs w:val="20"/>
              </w:rPr>
            </w:pPr>
            <w:r>
              <w:rPr>
                <w:rFonts w:ascii="Arial" w:eastAsia="Arial" w:hAnsi="Arial" w:cs="Arial"/>
                <w:sz w:val="13"/>
                <w:szCs w:val="13"/>
              </w:rPr>
              <w:t>—</w:t>
            </w:r>
          </w:p>
        </w:tc>
        <w:tc>
          <w:tcPr>
            <w:tcW w:w="1400" w:type="dxa"/>
            <w:vAlign w:val="bottom"/>
          </w:tcPr>
          <w:p w:rsidR="00A621E3" w:rsidRDefault="00EC630E">
            <w:pPr>
              <w:ind w:right="110"/>
              <w:jc w:val="right"/>
              <w:rPr>
                <w:sz w:val="20"/>
                <w:szCs w:val="20"/>
              </w:rPr>
            </w:pPr>
            <w:r>
              <w:rPr>
                <w:rFonts w:ascii="Arial" w:eastAsia="Arial" w:hAnsi="Arial" w:cs="Arial"/>
                <w:sz w:val="13"/>
                <w:szCs w:val="13"/>
              </w:rPr>
              <w:t>—</w:t>
            </w:r>
          </w:p>
        </w:tc>
        <w:tc>
          <w:tcPr>
            <w:tcW w:w="1260" w:type="dxa"/>
            <w:vAlign w:val="bottom"/>
          </w:tcPr>
          <w:p w:rsidR="00A621E3" w:rsidRDefault="00EC630E">
            <w:pPr>
              <w:spacing w:line="189" w:lineRule="exact"/>
              <w:ind w:right="172"/>
              <w:jc w:val="right"/>
              <w:rPr>
                <w:sz w:val="20"/>
                <w:szCs w:val="20"/>
              </w:rPr>
            </w:pPr>
            <w:r>
              <w:rPr>
                <w:rFonts w:ascii="Arial" w:eastAsia="Arial" w:hAnsi="Arial" w:cs="Arial"/>
                <w:sz w:val="13"/>
                <w:szCs w:val="13"/>
              </w:rPr>
              <w:t>102,094</w:t>
            </w:r>
            <w:r>
              <w:rPr>
                <w:rFonts w:ascii="Arial" w:eastAsia="Arial" w:hAnsi="Arial" w:cs="Arial"/>
                <w:sz w:val="20"/>
                <w:szCs w:val="20"/>
                <w:vertAlign w:val="superscript"/>
              </w:rPr>
              <w:t>(4)</w:t>
            </w:r>
          </w:p>
        </w:tc>
        <w:tc>
          <w:tcPr>
            <w:tcW w:w="0" w:type="dxa"/>
            <w:vAlign w:val="bottom"/>
          </w:tcPr>
          <w:p w:rsidR="00A621E3" w:rsidRDefault="00A621E3">
            <w:pPr>
              <w:rPr>
                <w:sz w:val="1"/>
                <w:szCs w:val="1"/>
              </w:rPr>
            </w:pPr>
          </w:p>
        </w:tc>
      </w:tr>
      <w:tr w:rsidR="00A621E3">
        <w:trPr>
          <w:trHeight w:val="189"/>
        </w:trPr>
        <w:tc>
          <w:tcPr>
            <w:tcW w:w="2380" w:type="dxa"/>
            <w:vAlign w:val="bottom"/>
          </w:tcPr>
          <w:p w:rsidR="00A621E3" w:rsidRDefault="00EC630E">
            <w:pPr>
              <w:rPr>
                <w:sz w:val="20"/>
                <w:szCs w:val="20"/>
              </w:rPr>
            </w:pPr>
            <w:r>
              <w:rPr>
                <w:rFonts w:ascii="Arial" w:eastAsia="Arial" w:hAnsi="Arial" w:cs="Arial"/>
                <w:b/>
                <w:bCs/>
                <w:color w:val="CF0A2C"/>
                <w:sz w:val="14"/>
                <w:szCs w:val="14"/>
              </w:rPr>
              <w:t>Mr. Huang</w:t>
            </w:r>
          </w:p>
        </w:tc>
        <w:tc>
          <w:tcPr>
            <w:tcW w:w="2940" w:type="dxa"/>
            <w:vAlign w:val="bottom"/>
          </w:tcPr>
          <w:p w:rsidR="00A621E3" w:rsidRDefault="00EC630E">
            <w:pPr>
              <w:ind w:right="250"/>
              <w:jc w:val="right"/>
              <w:rPr>
                <w:sz w:val="20"/>
                <w:szCs w:val="20"/>
              </w:rPr>
            </w:pPr>
            <w:r>
              <w:rPr>
                <w:rFonts w:ascii="Arial" w:eastAsia="Arial" w:hAnsi="Arial" w:cs="Arial"/>
                <w:sz w:val="13"/>
                <w:szCs w:val="13"/>
              </w:rPr>
              <w:t>—</w:t>
            </w:r>
          </w:p>
        </w:tc>
        <w:tc>
          <w:tcPr>
            <w:tcW w:w="1600" w:type="dxa"/>
            <w:vAlign w:val="bottom"/>
          </w:tcPr>
          <w:p w:rsidR="00A621E3" w:rsidRDefault="00EC630E">
            <w:pPr>
              <w:ind w:right="252"/>
              <w:jc w:val="right"/>
              <w:rPr>
                <w:sz w:val="20"/>
                <w:szCs w:val="20"/>
              </w:rPr>
            </w:pPr>
            <w:r>
              <w:rPr>
                <w:rFonts w:ascii="Arial" w:eastAsia="Arial" w:hAnsi="Arial" w:cs="Arial"/>
                <w:sz w:val="13"/>
                <w:szCs w:val="13"/>
              </w:rPr>
              <w:t>76,046</w:t>
            </w:r>
          </w:p>
        </w:tc>
        <w:tc>
          <w:tcPr>
            <w:tcW w:w="1440" w:type="dxa"/>
            <w:vAlign w:val="bottom"/>
          </w:tcPr>
          <w:p w:rsidR="00A621E3" w:rsidRDefault="00EC630E">
            <w:pPr>
              <w:ind w:right="252"/>
              <w:jc w:val="right"/>
              <w:rPr>
                <w:sz w:val="20"/>
                <w:szCs w:val="20"/>
              </w:rPr>
            </w:pPr>
            <w:r>
              <w:rPr>
                <w:rFonts w:ascii="Arial" w:eastAsia="Arial" w:hAnsi="Arial" w:cs="Arial"/>
                <w:sz w:val="13"/>
                <w:szCs w:val="13"/>
              </w:rPr>
              <w:t>—</w:t>
            </w:r>
          </w:p>
        </w:tc>
        <w:tc>
          <w:tcPr>
            <w:tcW w:w="1400" w:type="dxa"/>
            <w:vAlign w:val="bottom"/>
          </w:tcPr>
          <w:p w:rsidR="00A621E3" w:rsidRDefault="00EC630E">
            <w:pPr>
              <w:ind w:right="110"/>
              <w:jc w:val="right"/>
              <w:rPr>
                <w:sz w:val="20"/>
                <w:szCs w:val="20"/>
              </w:rPr>
            </w:pPr>
            <w:r>
              <w:rPr>
                <w:rFonts w:ascii="Arial" w:eastAsia="Arial" w:hAnsi="Arial" w:cs="Arial"/>
                <w:sz w:val="13"/>
                <w:szCs w:val="13"/>
              </w:rPr>
              <w:t>—</w:t>
            </w:r>
          </w:p>
        </w:tc>
        <w:tc>
          <w:tcPr>
            <w:tcW w:w="1260" w:type="dxa"/>
            <w:vAlign w:val="bottom"/>
          </w:tcPr>
          <w:p w:rsidR="00A621E3" w:rsidRDefault="00EC630E">
            <w:pPr>
              <w:spacing w:line="189" w:lineRule="exact"/>
              <w:ind w:right="172"/>
              <w:jc w:val="right"/>
              <w:rPr>
                <w:sz w:val="20"/>
                <w:szCs w:val="20"/>
              </w:rPr>
            </w:pPr>
            <w:r>
              <w:rPr>
                <w:rFonts w:ascii="Arial" w:eastAsia="Arial" w:hAnsi="Arial" w:cs="Arial"/>
                <w:sz w:val="13"/>
                <w:szCs w:val="13"/>
              </w:rPr>
              <w:t>571,977</w:t>
            </w:r>
            <w:r>
              <w:rPr>
                <w:rFonts w:ascii="Arial" w:eastAsia="Arial" w:hAnsi="Arial" w:cs="Arial"/>
                <w:sz w:val="20"/>
                <w:szCs w:val="20"/>
                <w:vertAlign w:val="superscript"/>
              </w:rPr>
              <w:t>(4)</w:t>
            </w:r>
          </w:p>
        </w:tc>
        <w:tc>
          <w:tcPr>
            <w:tcW w:w="0" w:type="dxa"/>
            <w:vAlign w:val="bottom"/>
          </w:tcPr>
          <w:p w:rsidR="00A621E3" w:rsidRDefault="00A621E3">
            <w:pPr>
              <w:rPr>
                <w:sz w:val="1"/>
                <w:szCs w:val="1"/>
              </w:rPr>
            </w:pPr>
          </w:p>
        </w:tc>
      </w:tr>
      <w:tr w:rsidR="00A621E3">
        <w:trPr>
          <w:trHeight w:val="175"/>
        </w:trPr>
        <w:tc>
          <w:tcPr>
            <w:tcW w:w="2380" w:type="dxa"/>
            <w:tcBorders>
              <w:bottom w:val="single" w:sz="8" w:space="0" w:color="CF0A2C"/>
            </w:tcBorders>
            <w:vAlign w:val="bottom"/>
          </w:tcPr>
          <w:p w:rsidR="00A621E3" w:rsidRDefault="00EC630E">
            <w:pPr>
              <w:rPr>
                <w:sz w:val="20"/>
                <w:szCs w:val="20"/>
              </w:rPr>
            </w:pPr>
            <w:r>
              <w:rPr>
                <w:rFonts w:ascii="Arial" w:eastAsia="Arial" w:hAnsi="Arial" w:cs="Arial"/>
                <w:b/>
                <w:bCs/>
                <w:color w:val="CF0A2C"/>
                <w:sz w:val="14"/>
                <w:szCs w:val="14"/>
              </w:rPr>
              <w:t>Mr. Yuen</w:t>
            </w:r>
          </w:p>
        </w:tc>
        <w:tc>
          <w:tcPr>
            <w:tcW w:w="2940" w:type="dxa"/>
            <w:tcBorders>
              <w:bottom w:val="single" w:sz="8" w:space="0" w:color="CF0A2C"/>
            </w:tcBorders>
            <w:vAlign w:val="bottom"/>
          </w:tcPr>
          <w:p w:rsidR="00A621E3" w:rsidRDefault="00EC630E">
            <w:pPr>
              <w:ind w:right="250"/>
              <w:jc w:val="right"/>
              <w:rPr>
                <w:sz w:val="20"/>
                <w:szCs w:val="20"/>
              </w:rPr>
            </w:pPr>
            <w:r>
              <w:rPr>
                <w:rFonts w:ascii="Arial" w:eastAsia="Arial" w:hAnsi="Arial" w:cs="Arial"/>
                <w:sz w:val="13"/>
                <w:szCs w:val="13"/>
              </w:rPr>
              <w:t>—</w:t>
            </w:r>
          </w:p>
        </w:tc>
        <w:tc>
          <w:tcPr>
            <w:tcW w:w="1600" w:type="dxa"/>
            <w:tcBorders>
              <w:bottom w:val="single" w:sz="8" w:space="0" w:color="CF0A2C"/>
            </w:tcBorders>
            <w:vAlign w:val="bottom"/>
          </w:tcPr>
          <w:p w:rsidR="00A621E3" w:rsidRDefault="00EC630E">
            <w:pPr>
              <w:ind w:right="252"/>
              <w:jc w:val="right"/>
              <w:rPr>
                <w:sz w:val="20"/>
                <w:szCs w:val="20"/>
              </w:rPr>
            </w:pPr>
            <w:r>
              <w:rPr>
                <w:rFonts w:ascii="Arial" w:eastAsia="Arial" w:hAnsi="Arial" w:cs="Arial"/>
                <w:sz w:val="13"/>
                <w:szCs w:val="13"/>
              </w:rPr>
              <w:t>62,107</w:t>
            </w:r>
          </w:p>
        </w:tc>
        <w:tc>
          <w:tcPr>
            <w:tcW w:w="1440" w:type="dxa"/>
            <w:tcBorders>
              <w:bottom w:val="single" w:sz="8" w:space="0" w:color="CF0A2C"/>
            </w:tcBorders>
            <w:vAlign w:val="bottom"/>
          </w:tcPr>
          <w:p w:rsidR="00A621E3" w:rsidRDefault="00EC630E">
            <w:pPr>
              <w:ind w:right="252"/>
              <w:jc w:val="right"/>
              <w:rPr>
                <w:sz w:val="20"/>
                <w:szCs w:val="20"/>
              </w:rPr>
            </w:pPr>
            <w:r>
              <w:rPr>
                <w:rFonts w:ascii="Arial" w:eastAsia="Arial" w:hAnsi="Arial" w:cs="Arial"/>
                <w:sz w:val="13"/>
                <w:szCs w:val="13"/>
              </w:rPr>
              <w:t>—</w:t>
            </w:r>
          </w:p>
        </w:tc>
        <w:tc>
          <w:tcPr>
            <w:tcW w:w="1400" w:type="dxa"/>
            <w:tcBorders>
              <w:bottom w:val="single" w:sz="8" w:space="0" w:color="CF0A2C"/>
            </w:tcBorders>
            <w:vAlign w:val="bottom"/>
          </w:tcPr>
          <w:p w:rsidR="00A621E3" w:rsidRDefault="00EC630E">
            <w:pPr>
              <w:ind w:right="110"/>
              <w:jc w:val="right"/>
              <w:rPr>
                <w:sz w:val="20"/>
                <w:szCs w:val="20"/>
              </w:rPr>
            </w:pPr>
            <w:r>
              <w:rPr>
                <w:rFonts w:ascii="Arial" w:eastAsia="Arial" w:hAnsi="Arial" w:cs="Arial"/>
                <w:sz w:val="13"/>
                <w:szCs w:val="13"/>
              </w:rPr>
              <w:t>—</w:t>
            </w:r>
          </w:p>
        </w:tc>
        <w:tc>
          <w:tcPr>
            <w:tcW w:w="1260" w:type="dxa"/>
            <w:tcBorders>
              <w:bottom w:val="single" w:sz="8" w:space="0" w:color="CF0A2C"/>
            </w:tcBorders>
            <w:vAlign w:val="bottom"/>
          </w:tcPr>
          <w:p w:rsidR="00A621E3" w:rsidRDefault="00EC630E">
            <w:pPr>
              <w:spacing w:line="175" w:lineRule="exact"/>
              <w:ind w:right="172"/>
              <w:jc w:val="right"/>
              <w:rPr>
                <w:sz w:val="20"/>
                <w:szCs w:val="20"/>
              </w:rPr>
            </w:pPr>
            <w:r>
              <w:rPr>
                <w:rFonts w:ascii="Arial" w:eastAsia="Arial" w:hAnsi="Arial" w:cs="Arial"/>
                <w:sz w:val="13"/>
                <w:szCs w:val="13"/>
              </w:rPr>
              <w:t>407,461</w:t>
            </w:r>
            <w:r>
              <w:rPr>
                <w:rFonts w:ascii="Arial" w:eastAsia="Arial" w:hAnsi="Arial" w:cs="Arial"/>
                <w:sz w:val="20"/>
                <w:szCs w:val="20"/>
                <w:vertAlign w:val="superscript"/>
              </w:rPr>
              <w:t>(4)</w:t>
            </w:r>
          </w:p>
        </w:tc>
        <w:tc>
          <w:tcPr>
            <w:tcW w:w="0" w:type="dxa"/>
            <w:vAlign w:val="bottom"/>
          </w:tcPr>
          <w:p w:rsidR="00A621E3" w:rsidRDefault="00A621E3">
            <w:pPr>
              <w:rPr>
                <w:sz w:val="1"/>
                <w:szCs w:val="1"/>
              </w:rPr>
            </w:pPr>
          </w:p>
        </w:tc>
      </w:tr>
    </w:tbl>
    <w:p w:rsidR="00A621E3" w:rsidRDefault="00A621E3">
      <w:pPr>
        <w:spacing w:line="280" w:lineRule="exact"/>
        <w:rPr>
          <w:sz w:val="20"/>
          <w:szCs w:val="20"/>
        </w:rPr>
      </w:pPr>
    </w:p>
    <w:p w:rsidR="00A621E3" w:rsidRDefault="00EC630E">
      <w:pPr>
        <w:numPr>
          <w:ilvl w:val="0"/>
          <w:numId w:val="113"/>
        </w:numPr>
        <w:tabs>
          <w:tab w:val="left" w:pos="760"/>
        </w:tabs>
        <w:spacing w:line="260" w:lineRule="auto"/>
        <w:ind w:left="760" w:right="20" w:hanging="644"/>
        <w:rPr>
          <w:rFonts w:ascii="Arial" w:eastAsia="Arial" w:hAnsi="Arial" w:cs="Arial"/>
          <w:color w:val="CF0A2C"/>
          <w:sz w:val="20"/>
          <w:szCs w:val="20"/>
        </w:rPr>
      </w:pPr>
      <w:r>
        <w:rPr>
          <w:rFonts w:ascii="Arial" w:eastAsia="Arial" w:hAnsi="Arial" w:cs="Arial"/>
          <w:sz w:val="20"/>
          <w:szCs w:val="20"/>
        </w:rPr>
        <w:t xml:space="preserve">Amounts in </w:t>
      </w:r>
      <w:r>
        <w:rPr>
          <w:rFonts w:ascii="Arial" w:eastAsia="Arial" w:hAnsi="Arial" w:cs="Arial"/>
          <w:sz w:val="20"/>
          <w:szCs w:val="20"/>
        </w:rPr>
        <w:t>this column reflect registrant contributions to the BSRCHLRS for the NEOs and which are reflected in the 2022 Summary Compensation Table.</w:t>
      </w:r>
    </w:p>
    <w:p w:rsidR="00A621E3" w:rsidRDefault="00A621E3">
      <w:pPr>
        <w:spacing w:line="257" w:lineRule="exact"/>
        <w:rPr>
          <w:rFonts w:ascii="Arial" w:eastAsia="Arial" w:hAnsi="Arial" w:cs="Arial"/>
          <w:color w:val="CF0A2C"/>
          <w:sz w:val="20"/>
          <w:szCs w:val="20"/>
        </w:rPr>
      </w:pPr>
    </w:p>
    <w:p w:rsidR="00A621E3" w:rsidRDefault="00EC630E">
      <w:pPr>
        <w:numPr>
          <w:ilvl w:val="0"/>
          <w:numId w:val="113"/>
        </w:numPr>
        <w:tabs>
          <w:tab w:val="left" w:pos="760"/>
        </w:tabs>
        <w:spacing w:line="246" w:lineRule="auto"/>
        <w:ind w:left="760" w:right="20" w:hanging="644"/>
        <w:jc w:val="both"/>
        <w:rPr>
          <w:rFonts w:ascii="Arial" w:eastAsia="Arial" w:hAnsi="Arial" w:cs="Arial"/>
          <w:color w:val="CF0A2C"/>
          <w:sz w:val="20"/>
          <w:szCs w:val="20"/>
        </w:rPr>
      </w:pPr>
      <w:r>
        <w:rPr>
          <w:rFonts w:ascii="Arial" w:eastAsia="Arial" w:hAnsi="Arial" w:cs="Arial"/>
          <w:sz w:val="20"/>
          <w:szCs w:val="20"/>
        </w:rPr>
        <w:t>Under the Hong Kong Data Privacy Act, the administrator of the BSRCHLRS is restricted from disclosing individual acco</w:t>
      </w:r>
      <w:r>
        <w:rPr>
          <w:rFonts w:ascii="Arial" w:eastAsia="Arial" w:hAnsi="Arial" w:cs="Arial"/>
          <w:sz w:val="20"/>
          <w:szCs w:val="20"/>
        </w:rPr>
        <w:t>unt balances under the BSRCHLRS, and accordingly, the Company is unable to compile earnings information with respect to the BSRCHLRS. Under the terms of the BSRCHLRS, participants may elect a variety of mutual funds in which to invest their account balance</w:t>
      </w:r>
      <w:r>
        <w:rPr>
          <w:rFonts w:ascii="Arial" w:eastAsia="Arial" w:hAnsi="Arial" w:cs="Arial"/>
          <w:sz w:val="20"/>
          <w:szCs w:val="20"/>
        </w:rPr>
        <w:t>s under the BSRCHLRS.</w:t>
      </w:r>
    </w:p>
    <w:p w:rsidR="00A621E3" w:rsidRDefault="00A621E3">
      <w:pPr>
        <w:spacing w:line="272" w:lineRule="exact"/>
        <w:rPr>
          <w:rFonts w:ascii="Arial" w:eastAsia="Arial" w:hAnsi="Arial" w:cs="Arial"/>
          <w:color w:val="CF0A2C"/>
          <w:sz w:val="20"/>
          <w:szCs w:val="20"/>
        </w:rPr>
      </w:pPr>
    </w:p>
    <w:p w:rsidR="00A621E3" w:rsidRDefault="00EC630E">
      <w:pPr>
        <w:numPr>
          <w:ilvl w:val="0"/>
          <w:numId w:val="113"/>
        </w:numPr>
        <w:tabs>
          <w:tab w:val="left" w:pos="760"/>
        </w:tabs>
        <w:spacing w:line="263" w:lineRule="auto"/>
        <w:ind w:left="760" w:right="20" w:hanging="644"/>
        <w:jc w:val="both"/>
        <w:rPr>
          <w:rFonts w:ascii="Arial" w:eastAsia="Arial" w:hAnsi="Arial" w:cs="Arial"/>
          <w:color w:val="CF0A2C"/>
          <w:sz w:val="19"/>
          <w:szCs w:val="19"/>
        </w:rPr>
      </w:pPr>
      <w:r>
        <w:rPr>
          <w:rFonts w:ascii="Arial" w:eastAsia="Arial" w:hAnsi="Arial" w:cs="Arial"/>
          <w:sz w:val="19"/>
          <w:szCs w:val="19"/>
        </w:rPr>
        <w:t xml:space="preserve">The amounts reflected in this column are the estimated year-end balances for the NEOs under the BSRCHLRS. Amounts in this column include the following amounts that were previously reported in the Summary Compensation Table in 2021 </w:t>
      </w:r>
      <w:r>
        <w:rPr>
          <w:rFonts w:ascii="Arial" w:eastAsia="Arial" w:hAnsi="Arial" w:cs="Arial"/>
          <w:sz w:val="19"/>
          <w:szCs w:val="19"/>
        </w:rPr>
        <w:t>and 2020: Ms. Wat, $582,608 in 2021, $444,920 in 2020; Mr. Yeung, $83,893 in 2021, $43,972 in 2020; Mr. Chan, $71,240 in 2021; Mr. Huang, $499,617 in 2021, $422,252 in 2020; and Mr. Yuen, $347,921 in 2021, $286,095 in 2020.</w:t>
      </w:r>
    </w:p>
    <w:p w:rsidR="00A621E3" w:rsidRDefault="00A621E3">
      <w:pPr>
        <w:spacing w:line="257" w:lineRule="exact"/>
        <w:rPr>
          <w:rFonts w:ascii="Arial" w:eastAsia="Arial" w:hAnsi="Arial" w:cs="Arial"/>
          <w:color w:val="CF0A2C"/>
          <w:sz w:val="19"/>
          <w:szCs w:val="19"/>
        </w:rPr>
      </w:pPr>
    </w:p>
    <w:p w:rsidR="00A621E3" w:rsidRDefault="00EC630E">
      <w:pPr>
        <w:numPr>
          <w:ilvl w:val="0"/>
          <w:numId w:val="113"/>
        </w:numPr>
        <w:tabs>
          <w:tab w:val="left" w:pos="760"/>
        </w:tabs>
        <w:spacing w:line="246" w:lineRule="auto"/>
        <w:ind w:left="760" w:hanging="644"/>
        <w:jc w:val="both"/>
        <w:rPr>
          <w:rFonts w:ascii="Arial" w:eastAsia="Arial" w:hAnsi="Arial" w:cs="Arial"/>
          <w:color w:val="CF0A2C"/>
          <w:sz w:val="20"/>
          <w:szCs w:val="20"/>
        </w:rPr>
      </w:pPr>
      <w:r>
        <w:rPr>
          <w:rFonts w:ascii="Arial" w:eastAsia="Arial" w:hAnsi="Arial" w:cs="Arial"/>
          <w:sz w:val="20"/>
          <w:szCs w:val="20"/>
        </w:rPr>
        <w:t>This amount represents the aggr</w:t>
      </w:r>
      <w:r>
        <w:rPr>
          <w:rFonts w:ascii="Arial" w:eastAsia="Arial" w:hAnsi="Arial" w:cs="Arial"/>
          <w:sz w:val="20"/>
          <w:szCs w:val="20"/>
        </w:rPr>
        <w:t>egate amount of Company contributions, excluding investment returns. See note (3) to this table for further information regarding investment returns with respect to the BSRCHLRS. This amount was denominated in Hong Kong dollars and was converted to U.S. do</w:t>
      </w:r>
      <w:r>
        <w:rPr>
          <w:rFonts w:ascii="Arial" w:eastAsia="Arial" w:hAnsi="Arial" w:cs="Arial"/>
          <w:sz w:val="20"/>
          <w:szCs w:val="20"/>
        </w:rPr>
        <w:t>llars using an exchange rate of 7.83 Hong Kong dollars to U.S. dollars for disclosure purposes.</w:t>
      </w:r>
    </w:p>
    <w:p w:rsidR="00A621E3" w:rsidRDefault="00A621E3">
      <w:pPr>
        <w:spacing w:line="218" w:lineRule="exact"/>
        <w:rPr>
          <w:sz w:val="20"/>
          <w:szCs w:val="20"/>
        </w:rPr>
      </w:pPr>
    </w:p>
    <w:p w:rsidR="00A621E3" w:rsidRDefault="00EC630E">
      <w:pPr>
        <w:ind w:left="120"/>
        <w:rPr>
          <w:sz w:val="20"/>
          <w:szCs w:val="20"/>
        </w:rPr>
      </w:pPr>
      <w:r>
        <w:rPr>
          <w:rFonts w:ascii="Arial" w:eastAsia="Arial" w:hAnsi="Arial" w:cs="Arial"/>
          <w:b/>
          <w:bCs/>
          <w:color w:val="CF0A2C"/>
          <w:sz w:val="25"/>
          <w:szCs w:val="25"/>
        </w:rPr>
        <w:t>Potential Payments upon a Termination or a Change in Control</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374" w:lineRule="exact"/>
        <w:rPr>
          <w:sz w:val="20"/>
          <w:szCs w:val="20"/>
        </w:rPr>
      </w:pPr>
    </w:p>
    <w:p w:rsidR="00A621E3" w:rsidRDefault="00EC630E">
      <w:pPr>
        <w:spacing w:line="271" w:lineRule="auto"/>
        <w:ind w:left="120"/>
        <w:jc w:val="both"/>
        <w:rPr>
          <w:sz w:val="20"/>
          <w:szCs w:val="20"/>
        </w:rPr>
      </w:pPr>
      <w:r>
        <w:rPr>
          <w:rFonts w:ascii="Arial" w:eastAsia="Arial" w:hAnsi="Arial" w:cs="Arial"/>
          <w:b/>
          <w:bCs/>
          <w:i/>
          <w:iCs/>
          <w:color w:val="CF0A2C"/>
          <w:sz w:val="18"/>
          <w:szCs w:val="18"/>
        </w:rPr>
        <w:t xml:space="preserve">Termination of Employment without a Change in Control. </w:t>
      </w:r>
      <w:r>
        <w:rPr>
          <w:rFonts w:ascii="Arial" w:eastAsia="Arial" w:hAnsi="Arial" w:cs="Arial"/>
          <w:color w:val="000000"/>
          <w:sz w:val="18"/>
          <w:szCs w:val="18"/>
        </w:rPr>
        <w:t>As</w:t>
      </w:r>
      <w:r>
        <w:rPr>
          <w:rFonts w:ascii="Arial" w:eastAsia="Arial" w:hAnsi="Arial" w:cs="Arial"/>
          <w:b/>
          <w:bCs/>
          <w:i/>
          <w:iCs/>
          <w:color w:val="CF0A2C"/>
          <w:sz w:val="18"/>
          <w:szCs w:val="18"/>
        </w:rPr>
        <w:t xml:space="preserve"> </w:t>
      </w:r>
      <w:r>
        <w:rPr>
          <w:rFonts w:ascii="Arial" w:eastAsia="Arial" w:hAnsi="Arial" w:cs="Arial"/>
          <w:color w:val="000000"/>
          <w:sz w:val="18"/>
          <w:szCs w:val="18"/>
        </w:rPr>
        <w:t xml:space="preserve">noted in the CD&amp;A, </w:t>
      </w:r>
      <w:r>
        <w:rPr>
          <w:rFonts w:ascii="Arial" w:eastAsia="Arial" w:hAnsi="Arial" w:cs="Arial"/>
          <w:color w:val="000000"/>
          <w:sz w:val="18"/>
          <w:szCs w:val="18"/>
        </w:rPr>
        <w:t>the Company maintains the Executive Severance Plan, which provides severance benefits to our NEOs upon termination of employment by the Company without cause or, for participants subject to PRC law, termination for any statutory reason and subject to sever</w:t>
      </w:r>
      <w:r>
        <w:rPr>
          <w:rFonts w:ascii="Arial" w:eastAsia="Arial" w:hAnsi="Arial" w:cs="Arial"/>
          <w:color w:val="000000"/>
          <w:sz w:val="18"/>
          <w:szCs w:val="18"/>
        </w:rPr>
        <w:t>ance pay under PRC law (each, an “</w:t>
      </w:r>
      <w:r>
        <w:rPr>
          <w:rFonts w:ascii="Arial" w:eastAsia="Arial" w:hAnsi="Arial" w:cs="Arial"/>
          <w:b/>
          <w:bCs/>
          <w:i/>
          <w:iCs/>
          <w:color w:val="000000"/>
          <w:sz w:val="18"/>
          <w:szCs w:val="18"/>
        </w:rPr>
        <w:t>Executive Severance Plan Qualifying Termination</w:t>
      </w:r>
      <w:r>
        <w:rPr>
          <w:rFonts w:ascii="Arial" w:eastAsia="Arial" w:hAnsi="Arial" w:cs="Arial"/>
          <w:color w:val="000000"/>
          <w:sz w:val="18"/>
          <w:szCs w:val="18"/>
        </w:rPr>
        <w:t>”). In the event of an Executive Severance Plan Qualifying Termination, the NEO would receive, in lieu of any severance benefits under any other arrangement with the participa</w:t>
      </w:r>
      <w:r>
        <w:rPr>
          <w:rFonts w:ascii="Arial" w:eastAsia="Arial" w:hAnsi="Arial" w:cs="Arial"/>
          <w:color w:val="000000"/>
          <w:sz w:val="18"/>
          <w:szCs w:val="18"/>
        </w:rPr>
        <w:t>nt (including, without limitation, the Restrictive Covenant Letter</w:t>
      </w:r>
    </w:p>
    <w:p w:rsidR="00A621E3" w:rsidRDefault="00EC630E">
      <w:pPr>
        <w:spacing w:line="20" w:lineRule="exact"/>
        <w:rPr>
          <w:sz w:val="20"/>
          <w:szCs w:val="20"/>
        </w:rPr>
      </w:pPr>
      <w:r>
        <w:rPr>
          <w:sz w:val="20"/>
          <w:szCs w:val="20"/>
        </w:rPr>
        <w:br w:type="column"/>
      </w:r>
    </w:p>
    <w:p w:rsidR="00A621E3" w:rsidRDefault="00A621E3">
      <w:pPr>
        <w:spacing w:line="354" w:lineRule="exact"/>
        <w:rPr>
          <w:sz w:val="20"/>
          <w:szCs w:val="20"/>
        </w:rPr>
      </w:pPr>
    </w:p>
    <w:p w:rsidR="00A621E3" w:rsidRDefault="00EC630E">
      <w:pPr>
        <w:spacing w:line="328" w:lineRule="auto"/>
        <w:ind w:right="20"/>
        <w:jc w:val="both"/>
        <w:rPr>
          <w:sz w:val="20"/>
          <w:szCs w:val="20"/>
        </w:rPr>
      </w:pPr>
      <w:r>
        <w:rPr>
          <w:rFonts w:ascii="Arial" w:eastAsia="Arial" w:hAnsi="Arial" w:cs="Arial"/>
          <w:sz w:val="16"/>
          <w:szCs w:val="16"/>
        </w:rPr>
        <w:t xml:space="preserve">Agreements and the Company’s change in control severance plan, provided that in the event of a qualifying termination under the change in control severance plan, the terms of the change </w:t>
      </w:r>
      <w:r>
        <w:rPr>
          <w:rFonts w:ascii="Arial" w:eastAsia="Arial" w:hAnsi="Arial" w:cs="Arial"/>
          <w:sz w:val="16"/>
          <w:szCs w:val="16"/>
        </w:rPr>
        <w:t>in control severance plan will govern), the following severance benefits:</w:t>
      </w:r>
    </w:p>
    <w:p w:rsidR="00A621E3" w:rsidRDefault="00A621E3">
      <w:pPr>
        <w:spacing w:line="209" w:lineRule="exact"/>
        <w:rPr>
          <w:sz w:val="20"/>
          <w:szCs w:val="20"/>
        </w:rPr>
      </w:pPr>
    </w:p>
    <w:p w:rsidR="00A621E3" w:rsidRDefault="00EC630E">
      <w:pPr>
        <w:numPr>
          <w:ilvl w:val="0"/>
          <w:numId w:val="114"/>
        </w:numPr>
        <w:tabs>
          <w:tab w:val="left" w:pos="240"/>
        </w:tabs>
        <w:spacing w:line="243" w:lineRule="auto"/>
        <w:ind w:left="240" w:right="20" w:hanging="192"/>
        <w:jc w:val="both"/>
        <w:rPr>
          <w:rFonts w:ascii="Arial" w:eastAsia="Arial" w:hAnsi="Arial" w:cs="Arial"/>
          <w:color w:val="CF0A2C"/>
          <w:sz w:val="20"/>
          <w:szCs w:val="20"/>
        </w:rPr>
      </w:pPr>
      <w:r>
        <w:rPr>
          <w:rFonts w:ascii="Arial" w:eastAsia="Arial" w:hAnsi="Arial" w:cs="Arial"/>
          <w:sz w:val="20"/>
          <w:szCs w:val="20"/>
        </w:rPr>
        <w:t>Cash severance benefits consisting of the greater of (i) the sum of statutory severance payable under PRC law and an amount equal to five times the participant’s average monthly sal</w:t>
      </w:r>
      <w:r>
        <w:rPr>
          <w:rFonts w:ascii="Arial" w:eastAsia="Arial" w:hAnsi="Arial" w:cs="Arial"/>
          <w:sz w:val="20"/>
          <w:szCs w:val="20"/>
        </w:rPr>
        <w:t>ary in the 12 months prior to the Executive Severance Plan Qualifying Termination as consideration for compliance with certain restrictive</w:t>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71" w:lineRule="exact"/>
        <w:rPr>
          <w:sz w:val="20"/>
          <w:szCs w:val="20"/>
        </w:rPr>
      </w:pPr>
    </w:p>
    <w:p w:rsidR="00A621E3" w:rsidRDefault="00EC630E">
      <w:pPr>
        <w:numPr>
          <w:ilvl w:val="0"/>
          <w:numId w:val="115"/>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200844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90" w:name="page90"/>
      <w:bookmarkEnd w:id="90"/>
      <w:r>
        <w:rPr>
          <w:rFonts w:ascii="Arial" w:eastAsia="Arial" w:hAnsi="Arial" w:cs="Arial"/>
          <w:b/>
          <w:bCs/>
          <w:color w:val="0000EE"/>
          <w:sz w:val="18"/>
          <w:szCs w:val="18"/>
          <w:u w:val="single"/>
        </w:rPr>
        <w:t>Table of Contents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3" w:lineRule="exact"/>
        <w:rPr>
          <w:sz w:val="20"/>
          <w:szCs w:val="20"/>
        </w:rPr>
      </w:pPr>
    </w:p>
    <w:p w:rsidR="00A621E3" w:rsidRDefault="00EC630E">
      <w:pPr>
        <w:spacing w:line="278" w:lineRule="auto"/>
        <w:ind w:left="320"/>
        <w:jc w:val="both"/>
        <w:rPr>
          <w:sz w:val="20"/>
          <w:szCs w:val="20"/>
        </w:rPr>
      </w:pPr>
      <w:r>
        <w:rPr>
          <w:rFonts w:ascii="Arial" w:eastAsia="Arial" w:hAnsi="Arial" w:cs="Arial"/>
          <w:sz w:val="18"/>
          <w:szCs w:val="18"/>
        </w:rPr>
        <w:t>covenants, including covenants relating to non-competition as further described below and (ii) the sum of the participant’s monthly base salary plus 1/12 of the participant’s target annual bonus, multiplied by a severance multiple of 24, in the case of the</w:t>
      </w:r>
      <w:r>
        <w:rPr>
          <w:rFonts w:ascii="Arial" w:eastAsia="Arial" w:hAnsi="Arial" w:cs="Arial"/>
          <w:sz w:val="18"/>
          <w:szCs w:val="18"/>
        </w:rPr>
        <w:t xml:space="preserve"> CEO, and 12 for all other participants;</w:t>
      </w:r>
    </w:p>
    <w:p w:rsidR="00A621E3" w:rsidRDefault="00A621E3">
      <w:pPr>
        <w:spacing w:line="246" w:lineRule="exact"/>
        <w:rPr>
          <w:sz w:val="20"/>
          <w:szCs w:val="20"/>
        </w:rPr>
      </w:pPr>
    </w:p>
    <w:p w:rsidR="00A621E3" w:rsidRDefault="00EC630E">
      <w:pPr>
        <w:numPr>
          <w:ilvl w:val="0"/>
          <w:numId w:val="116"/>
        </w:numPr>
        <w:tabs>
          <w:tab w:val="left" w:pos="360"/>
        </w:tabs>
        <w:spacing w:line="246" w:lineRule="auto"/>
        <w:ind w:left="360" w:hanging="190"/>
        <w:jc w:val="both"/>
        <w:rPr>
          <w:rFonts w:ascii="Arial" w:eastAsia="Arial" w:hAnsi="Arial" w:cs="Arial"/>
          <w:color w:val="CF0A2C"/>
          <w:sz w:val="20"/>
          <w:szCs w:val="20"/>
        </w:rPr>
      </w:pPr>
      <w:r>
        <w:rPr>
          <w:rFonts w:ascii="Arial" w:eastAsia="Arial" w:hAnsi="Arial" w:cs="Arial"/>
          <w:sz w:val="20"/>
          <w:szCs w:val="20"/>
        </w:rPr>
        <w:t>Any accrued, but unpaid as of the date of the Executive Severance Plan Qualifying Termination, annual cash bonus for any completed fiscal year preceding an Executive Severance Plan Qualifying Termination; and</w:t>
      </w:r>
    </w:p>
    <w:p w:rsidR="00A621E3" w:rsidRDefault="00A621E3">
      <w:pPr>
        <w:spacing w:line="272" w:lineRule="exact"/>
        <w:rPr>
          <w:rFonts w:ascii="Arial" w:eastAsia="Arial" w:hAnsi="Arial" w:cs="Arial"/>
          <w:color w:val="CF0A2C"/>
          <w:sz w:val="20"/>
          <w:szCs w:val="20"/>
        </w:rPr>
      </w:pPr>
    </w:p>
    <w:p w:rsidR="00A621E3" w:rsidRDefault="00EC630E">
      <w:pPr>
        <w:numPr>
          <w:ilvl w:val="0"/>
          <w:numId w:val="116"/>
        </w:numPr>
        <w:tabs>
          <w:tab w:val="left" w:pos="360"/>
        </w:tabs>
        <w:spacing w:line="244" w:lineRule="auto"/>
        <w:ind w:left="360" w:hanging="190"/>
        <w:jc w:val="both"/>
        <w:rPr>
          <w:rFonts w:ascii="Arial" w:eastAsia="Arial" w:hAnsi="Arial" w:cs="Arial"/>
          <w:color w:val="CF0A2C"/>
          <w:sz w:val="20"/>
          <w:szCs w:val="20"/>
        </w:rPr>
      </w:pPr>
      <w:r>
        <w:rPr>
          <w:rFonts w:ascii="Arial" w:eastAsia="Arial" w:hAnsi="Arial" w:cs="Arial"/>
          <w:sz w:val="20"/>
          <w:szCs w:val="20"/>
        </w:rPr>
        <w:t>If t</w:t>
      </w:r>
      <w:r>
        <w:rPr>
          <w:rFonts w:ascii="Arial" w:eastAsia="Arial" w:hAnsi="Arial" w:cs="Arial"/>
          <w:sz w:val="20"/>
          <w:szCs w:val="20"/>
        </w:rPr>
        <w:t>he Executive Severance Plan Qualifying Termination occurs on or after June 30, a pro-rated annual bonus for the year of the Executive Severance Plan Qualifying Termination based on actual performance and pro-rated for the employment period during the year.</w:t>
      </w:r>
    </w:p>
    <w:p w:rsidR="00A621E3" w:rsidRDefault="00A621E3">
      <w:pPr>
        <w:spacing w:line="235" w:lineRule="exact"/>
        <w:rPr>
          <w:sz w:val="20"/>
          <w:szCs w:val="20"/>
        </w:rPr>
      </w:pPr>
    </w:p>
    <w:p w:rsidR="00A621E3" w:rsidRDefault="00EC630E">
      <w:pPr>
        <w:spacing w:line="269" w:lineRule="auto"/>
        <w:ind w:left="120"/>
        <w:jc w:val="both"/>
        <w:rPr>
          <w:sz w:val="20"/>
          <w:szCs w:val="20"/>
        </w:rPr>
      </w:pPr>
      <w:r>
        <w:rPr>
          <w:rFonts w:ascii="Arial" w:eastAsia="Arial" w:hAnsi="Arial" w:cs="Arial"/>
          <w:sz w:val="18"/>
          <w:szCs w:val="18"/>
        </w:rPr>
        <w:t xml:space="preserve">In the event of a participant’s material breach of a material obligation to the Company pursuant to any award or agreement between the participant and the Company, including a material breach of the restrictive covenants set forth in any offer letter, </w:t>
      </w:r>
      <w:r>
        <w:rPr>
          <w:rFonts w:ascii="Arial" w:eastAsia="Arial" w:hAnsi="Arial" w:cs="Arial"/>
          <w:sz w:val="18"/>
          <w:szCs w:val="18"/>
        </w:rPr>
        <w:t>restrictive covenant or other agreement entered into by the participant with the Company or a determination that an event constituting “cause” has occurred, then the Compensation Committee may (i) terminate the participant’s right to receive payments under</w:t>
      </w:r>
      <w:r>
        <w:rPr>
          <w:rFonts w:ascii="Arial" w:eastAsia="Arial" w:hAnsi="Arial" w:cs="Arial"/>
          <w:sz w:val="18"/>
          <w:szCs w:val="18"/>
        </w:rPr>
        <w:t xml:space="preserve"> the Executive Severance Plan and (ii) seek the recoupment of any payments previously made to the participant under the Executive Severance Plan, including through exercising rights of set-off, forfeiture or cancellation, to the full extent permitted by la</w:t>
      </w:r>
      <w:r>
        <w:rPr>
          <w:rFonts w:ascii="Arial" w:eastAsia="Arial" w:hAnsi="Arial" w:cs="Arial"/>
          <w:sz w:val="18"/>
          <w:szCs w:val="18"/>
        </w:rPr>
        <w:t>w, with respect to any other awards, benefits or payments otherwise due to the participant from the Company or any of its affiliates.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4" w:lineRule="exact"/>
        <w:rPr>
          <w:sz w:val="20"/>
          <w:szCs w:val="20"/>
        </w:rPr>
      </w:pPr>
    </w:p>
    <w:p w:rsidR="00A621E3" w:rsidRDefault="00EC630E">
      <w:pPr>
        <w:ind w:left="2940"/>
        <w:rPr>
          <w:sz w:val="20"/>
          <w:szCs w:val="20"/>
        </w:rPr>
      </w:pPr>
      <w:r>
        <w:rPr>
          <w:rFonts w:ascii="Arial" w:eastAsia="Arial" w:hAnsi="Arial" w:cs="Arial"/>
          <w:b/>
          <w:bCs/>
          <w:color w:val="FFFFFF"/>
          <w:sz w:val="16"/>
          <w:szCs w:val="16"/>
        </w:rPr>
        <w:t>EXECUTIVE COMPENSATION</w:t>
      </w:r>
    </w:p>
    <w:p w:rsidR="00A621E3" w:rsidRDefault="00EC630E">
      <w:pPr>
        <w:spacing w:line="20" w:lineRule="exact"/>
        <w:rPr>
          <w:sz w:val="20"/>
          <w:szCs w:val="20"/>
        </w:rPr>
      </w:pPr>
      <w:r>
        <w:rPr>
          <w:noProof/>
          <w:sz w:val="20"/>
          <w:szCs w:val="20"/>
        </w:rPr>
        <w:drawing>
          <wp:anchor distT="0" distB="0" distL="114300" distR="114300" simplePos="0" relativeHeight="252009472" behindDoc="1" locked="0" layoutInCell="0" allowOverlap="1">
            <wp:simplePos x="0" y="0"/>
            <wp:positionH relativeFrom="column">
              <wp:posOffset>-3651885</wp:posOffset>
            </wp:positionH>
            <wp:positionV relativeFrom="paragraph">
              <wp:posOffset>-713105</wp:posOffset>
            </wp:positionV>
            <wp:extent cx="7174865" cy="55880"/>
            <wp:effectExtent l="0" t="0" r="0" b="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noProof/>
          <w:sz w:val="20"/>
          <w:szCs w:val="20"/>
        </w:rPr>
        <w:drawing>
          <wp:anchor distT="0" distB="0" distL="114300" distR="114300" simplePos="0" relativeHeight="252010496" behindDoc="1" locked="0" layoutInCell="0" allowOverlap="1">
            <wp:simplePos x="0" y="0"/>
            <wp:positionH relativeFrom="column">
              <wp:posOffset>1717675</wp:posOffset>
            </wp:positionH>
            <wp:positionV relativeFrom="paragraph">
              <wp:posOffset>-156210</wp:posOffset>
            </wp:positionV>
            <wp:extent cx="1705610" cy="205740"/>
            <wp:effectExtent l="0" t="0" r="0" b="0"/>
            <wp:wrapNone/>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243" w:lineRule="exact"/>
        <w:rPr>
          <w:sz w:val="20"/>
          <w:szCs w:val="20"/>
        </w:rPr>
      </w:pPr>
    </w:p>
    <w:p w:rsidR="00A621E3" w:rsidRDefault="00EC630E">
      <w:pPr>
        <w:spacing w:line="270" w:lineRule="auto"/>
        <w:jc w:val="both"/>
        <w:rPr>
          <w:sz w:val="20"/>
          <w:szCs w:val="20"/>
        </w:rPr>
      </w:pPr>
      <w:r>
        <w:rPr>
          <w:rFonts w:ascii="Arial" w:eastAsia="Arial" w:hAnsi="Arial" w:cs="Arial"/>
          <w:sz w:val="18"/>
          <w:szCs w:val="18"/>
        </w:rPr>
        <w:t>The Company is party to Restrictive Covenant Letter Agreements with each NEO. The Restricti</w:t>
      </w:r>
      <w:r>
        <w:rPr>
          <w:rFonts w:ascii="Arial" w:eastAsia="Arial" w:hAnsi="Arial" w:cs="Arial"/>
          <w:sz w:val="18"/>
          <w:szCs w:val="18"/>
        </w:rPr>
        <w:t>ve Covenant Letter Agreements include restrictive covenants relating to non-disclosure, non-competition, non-solicitation and non-disparagement, as well as cooperation in investigations and litigation clauses. As consideration for the restrictive covenants</w:t>
      </w:r>
      <w:r>
        <w:rPr>
          <w:rFonts w:ascii="Arial" w:eastAsia="Arial" w:hAnsi="Arial" w:cs="Arial"/>
          <w:sz w:val="18"/>
          <w:szCs w:val="18"/>
        </w:rPr>
        <w:t>, the Company is obligated to pay an amount equivalent to five times the NEO’s average monthly salary upon a termination of employment, other than in the case of a change-in-control-related termination or the NEO’s death. Such amount would be offset by amo</w:t>
      </w:r>
      <w:r>
        <w:rPr>
          <w:rFonts w:ascii="Arial" w:eastAsia="Arial" w:hAnsi="Arial" w:cs="Arial"/>
          <w:sz w:val="18"/>
          <w:szCs w:val="18"/>
        </w:rPr>
        <w:t>unts otherwise owed under any other termination-related agreement between the employee and the Company (including the Executive Severance Plan) so that there is no duplication of payments.</w:t>
      </w:r>
    </w:p>
    <w:p w:rsidR="00A621E3" w:rsidRDefault="00A621E3">
      <w:pPr>
        <w:spacing w:line="172" w:lineRule="exact"/>
        <w:rPr>
          <w:sz w:val="20"/>
          <w:szCs w:val="20"/>
        </w:rPr>
      </w:pPr>
    </w:p>
    <w:p w:rsidR="00A621E3" w:rsidRDefault="00EC630E">
      <w:pPr>
        <w:spacing w:line="254" w:lineRule="auto"/>
        <w:jc w:val="both"/>
        <w:rPr>
          <w:sz w:val="20"/>
          <w:szCs w:val="20"/>
        </w:rPr>
      </w:pPr>
      <w:r>
        <w:rPr>
          <w:rFonts w:ascii="Arial" w:eastAsia="Arial" w:hAnsi="Arial" w:cs="Arial"/>
          <w:sz w:val="19"/>
          <w:szCs w:val="19"/>
        </w:rPr>
        <w:t>The Company’s equity awards provide for pro-rata vesting for termi</w:t>
      </w:r>
      <w:r>
        <w:rPr>
          <w:rFonts w:ascii="Arial" w:eastAsia="Arial" w:hAnsi="Arial" w:cs="Arial"/>
          <w:sz w:val="19"/>
          <w:szCs w:val="19"/>
        </w:rPr>
        <w:t>nations due to death, retirement (age 55 and ten years of service or age 65 and five years of service) or involuntary termination by the Company without cause, with PSUs determined based on actual performance. Outstanding equity awards are forfeited upon a</w:t>
      </w:r>
      <w:r>
        <w:rPr>
          <w:rFonts w:ascii="Arial" w:eastAsia="Arial" w:hAnsi="Arial" w:cs="Arial"/>
          <w:sz w:val="19"/>
          <w:szCs w:val="19"/>
        </w:rPr>
        <w:t xml:space="preserve"> termination for cause. If the NEOs’ employment had terminated as of December 31, 2022 without cause or due to death or retirement, they would have been entitled to pro-rata vesting of their outstanding RSUs, SARs and PSUs as follows: Ms. Wat, $18,533,042;</w:t>
      </w:r>
      <w:r>
        <w:rPr>
          <w:rFonts w:ascii="Arial" w:eastAsia="Arial" w:hAnsi="Arial" w:cs="Arial"/>
          <w:sz w:val="19"/>
          <w:szCs w:val="19"/>
        </w:rPr>
        <w:t xml:space="preserve"> Mr. Yeung, $3,993,474; Mr. Chan, $3,173,260; Mr. Huang, $2,986,041 and Mr. Yuen, $2,082,191, assuming target performance for purposes of this disclosure. As of December 31, 2022, Messrs. Huang and Yuen were retirement eligible.</w:t>
      </w:r>
    </w:p>
    <w:p w:rsidR="00A621E3" w:rsidRDefault="00A621E3">
      <w:pPr>
        <w:spacing w:line="1306" w:lineRule="exact"/>
        <w:rPr>
          <w:sz w:val="20"/>
          <w:szCs w:val="20"/>
        </w:rPr>
      </w:pP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A621E3">
      <w:pPr>
        <w:spacing w:line="154" w:lineRule="exact"/>
        <w:rPr>
          <w:sz w:val="20"/>
          <w:szCs w:val="20"/>
        </w:rPr>
      </w:pPr>
    </w:p>
    <w:p w:rsidR="00A621E3" w:rsidRDefault="00EC630E">
      <w:pPr>
        <w:spacing w:line="269" w:lineRule="auto"/>
        <w:ind w:left="120" w:right="20"/>
        <w:jc w:val="both"/>
        <w:rPr>
          <w:sz w:val="20"/>
          <w:szCs w:val="20"/>
        </w:rPr>
      </w:pPr>
      <w:r>
        <w:rPr>
          <w:rFonts w:ascii="Arial" w:eastAsia="Arial" w:hAnsi="Arial" w:cs="Arial"/>
          <w:sz w:val="19"/>
          <w:szCs w:val="19"/>
        </w:rPr>
        <w:t xml:space="preserve">The below table shows the maximum amount of payments and other benefits that each NEO would have received upon a qualifying termination under the Executive Severance Plan on December 31, 2022 and the Company’s equity award agreements, excluding the 2022 </w:t>
      </w:r>
      <w:r>
        <w:rPr>
          <w:rFonts w:ascii="Arial" w:eastAsia="Arial" w:hAnsi="Arial" w:cs="Arial"/>
          <w:sz w:val="19"/>
          <w:szCs w:val="19"/>
        </w:rPr>
        <w:t>Lavazza ESOP Grants, assuming target performance of the PSUs for purposes of this disclosure.</w:t>
      </w:r>
    </w:p>
    <w:p w:rsidR="00A621E3" w:rsidRDefault="00A621E3">
      <w:pPr>
        <w:spacing w:line="19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480"/>
        <w:gridCol w:w="120"/>
        <w:gridCol w:w="920"/>
        <w:gridCol w:w="880"/>
        <w:gridCol w:w="880"/>
        <w:gridCol w:w="900"/>
        <w:gridCol w:w="760"/>
        <w:gridCol w:w="80"/>
      </w:tblGrid>
      <w:tr w:rsidR="00A621E3">
        <w:trPr>
          <w:trHeight w:val="184"/>
        </w:trPr>
        <w:tc>
          <w:tcPr>
            <w:tcW w:w="6480" w:type="dxa"/>
            <w:vAlign w:val="bottom"/>
          </w:tcPr>
          <w:p w:rsidR="00A621E3" w:rsidRDefault="00A621E3">
            <w:pPr>
              <w:rPr>
                <w:sz w:val="16"/>
                <w:szCs w:val="16"/>
              </w:rPr>
            </w:pPr>
          </w:p>
        </w:tc>
        <w:tc>
          <w:tcPr>
            <w:tcW w:w="120" w:type="dxa"/>
            <w:tcBorders>
              <w:top w:val="single" w:sz="8" w:space="0" w:color="CF0A2C"/>
            </w:tcBorders>
            <w:shd w:val="clear" w:color="auto" w:fill="FAE6E9"/>
            <w:vAlign w:val="bottom"/>
          </w:tcPr>
          <w:p w:rsidR="00A621E3" w:rsidRDefault="00A621E3">
            <w:pPr>
              <w:rPr>
                <w:sz w:val="16"/>
                <w:szCs w:val="16"/>
              </w:rPr>
            </w:pPr>
          </w:p>
        </w:tc>
        <w:tc>
          <w:tcPr>
            <w:tcW w:w="920" w:type="dxa"/>
            <w:tcBorders>
              <w:top w:val="single" w:sz="8" w:space="0" w:color="CF0A2C"/>
            </w:tcBorders>
            <w:shd w:val="clear" w:color="auto" w:fill="FAE6E9"/>
            <w:vAlign w:val="bottom"/>
          </w:tcPr>
          <w:p w:rsidR="00A621E3" w:rsidRDefault="00EC630E">
            <w:pPr>
              <w:ind w:right="284"/>
              <w:jc w:val="right"/>
              <w:rPr>
                <w:sz w:val="20"/>
                <w:szCs w:val="20"/>
              </w:rPr>
            </w:pPr>
            <w:r>
              <w:rPr>
                <w:rFonts w:ascii="Arial" w:eastAsia="Arial" w:hAnsi="Arial" w:cs="Arial"/>
                <w:b/>
                <w:bCs/>
                <w:color w:val="CF0A2C"/>
                <w:sz w:val="16"/>
                <w:szCs w:val="16"/>
              </w:rPr>
              <w:t>Wat</w:t>
            </w:r>
          </w:p>
        </w:tc>
        <w:tc>
          <w:tcPr>
            <w:tcW w:w="880" w:type="dxa"/>
            <w:tcBorders>
              <w:top w:val="single" w:sz="8" w:space="0" w:color="CF0A2C"/>
            </w:tcBorders>
            <w:shd w:val="clear" w:color="auto" w:fill="FAE6E9"/>
            <w:vAlign w:val="bottom"/>
          </w:tcPr>
          <w:p w:rsidR="00A621E3" w:rsidRDefault="00EC630E">
            <w:pPr>
              <w:ind w:right="146"/>
              <w:jc w:val="right"/>
              <w:rPr>
                <w:sz w:val="20"/>
                <w:szCs w:val="20"/>
              </w:rPr>
            </w:pPr>
            <w:r>
              <w:rPr>
                <w:rFonts w:ascii="Arial" w:eastAsia="Arial" w:hAnsi="Arial" w:cs="Arial"/>
                <w:b/>
                <w:bCs/>
                <w:color w:val="CF0A2C"/>
                <w:sz w:val="16"/>
                <w:szCs w:val="16"/>
              </w:rPr>
              <w:t>Yeung</w:t>
            </w:r>
          </w:p>
        </w:tc>
        <w:tc>
          <w:tcPr>
            <w:tcW w:w="880" w:type="dxa"/>
            <w:tcBorders>
              <w:top w:val="single" w:sz="8" w:space="0" w:color="CF0A2C"/>
            </w:tcBorders>
            <w:shd w:val="clear" w:color="auto" w:fill="FAE6E9"/>
            <w:vAlign w:val="bottom"/>
          </w:tcPr>
          <w:p w:rsidR="00A621E3" w:rsidRDefault="00EC630E">
            <w:pPr>
              <w:ind w:right="186"/>
              <w:jc w:val="right"/>
              <w:rPr>
                <w:sz w:val="20"/>
                <w:szCs w:val="20"/>
              </w:rPr>
            </w:pPr>
            <w:r>
              <w:rPr>
                <w:rFonts w:ascii="Arial" w:eastAsia="Arial" w:hAnsi="Arial" w:cs="Arial"/>
                <w:b/>
                <w:bCs/>
                <w:color w:val="CF0A2C"/>
                <w:sz w:val="16"/>
                <w:szCs w:val="16"/>
              </w:rPr>
              <w:t>Chan</w:t>
            </w:r>
          </w:p>
        </w:tc>
        <w:tc>
          <w:tcPr>
            <w:tcW w:w="900" w:type="dxa"/>
            <w:tcBorders>
              <w:top w:val="single" w:sz="8" w:space="0" w:color="CF0A2C"/>
            </w:tcBorders>
            <w:shd w:val="clear" w:color="auto" w:fill="FAE6E9"/>
            <w:vAlign w:val="bottom"/>
          </w:tcPr>
          <w:p w:rsidR="00A621E3" w:rsidRDefault="00EC630E">
            <w:pPr>
              <w:ind w:right="146"/>
              <w:jc w:val="right"/>
              <w:rPr>
                <w:sz w:val="20"/>
                <w:szCs w:val="20"/>
              </w:rPr>
            </w:pPr>
            <w:r>
              <w:rPr>
                <w:rFonts w:ascii="Arial" w:eastAsia="Arial" w:hAnsi="Arial" w:cs="Arial"/>
                <w:b/>
                <w:bCs/>
                <w:color w:val="CF0A2C"/>
                <w:sz w:val="16"/>
                <w:szCs w:val="16"/>
              </w:rPr>
              <w:t>Huang</w:t>
            </w:r>
          </w:p>
        </w:tc>
        <w:tc>
          <w:tcPr>
            <w:tcW w:w="840" w:type="dxa"/>
            <w:gridSpan w:val="2"/>
            <w:tcBorders>
              <w:top w:val="single" w:sz="8" w:space="0" w:color="CF0A2C"/>
            </w:tcBorders>
            <w:shd w:val="clear" w:color="auto" w:fill="FAE6E9"/>
            <w:vAlign w:val="bottom"/>
          </w:tcPr>
          <w:p w:rsidR="00A621E3" w:rsidRDefault="00EC630E">
            <w:pPr>
              <w:ind w:right="220"/>
              <w:jc w:val="right"/>
              <w:rPr>
                <w:sz w:val="20"/>
                <w:szCs w:val="20"/>
              </w:rPr>
            </w:pPr>
            <w:r>
              <w:rPr>
                <w:rFonts w:ascii="Arial" w:eastAsia="Arial" w:hAnsi="Arial" w:cs="Arial"/>
                <w:b/>
                <w:bCs/>
                <w:color w:val="CF0A2C"/>
                <w:sz w:val="16"/>
                <w:szCs w:val="16"/>
              </w:rPr>
              <w:t>Yuen</w:t>
            </w:r>
          </w:p>
        </w:tc>
      </w:tr>
      <w:tr w:rsidR="00A621E3">
        <w:trPr>
          <w:trHeight w:val="215"/>
        </w:trPr>
        <w:tc>
          <w:tcPr>
            <w:tcW w:w="6480" w:type="dxa"/>
            <w:vAlign w:val="bottom"/>
          </w:tcPr>
          <w:p w:rsidR="00A621E3" w:rsidRDefault="00A621E3">
            <w:pPr>
              <w:rPr>
                <w:sz w:val="18"/>
                <w:szCs w:val="18"/>
              </w:rPr>
            </w:pPr>
          </w:p>
        </w:tc>
        <w:tc>
          <w:tcPr>
            <w:tcW w:w="1040" w:type="dxa"/>
            <w:gridSpan w:val="2"/>
            <w:tcBorders>
              <w:bottom w:val="single" w:sz="8" w:space="0" w:color="CF0A2C"/>
            </w:tcBorders>
            <w:shd w:val="clear" w:color="auto" w:fill="FAE6E9"/>
            <w:vAlign w:val="bottom"/>
          </w:tcPr>
          <w:p w:rsidR="00A621E3" w:rsidRDefault="00EC630E">
            <w:pPr>
              <w:ind w:right="384"/>
              <w:jc w:val="right"/>
              <w:rPr>
                <w:sz w:val="20"/>
                <w:szCs w:val="20"/>
              </w:rPr>
            </w:pPr>
            <w:r>
              <w:rPr>
                <w:rFonts w:ascii="Arial" w:eastAsia="Arial" w:hAnsi="Arial" w:cs="Arial"/>
                <w:b/>
                <w:bCs/>
                <w:color w:val="CF0A2C"/>
                <w:sz w:val="16"/>
                <w:szCs w:val="16"/>
              </w:rPr>
              <w:t>$</w:t>
            </w:r>
          </w:p>
        </w:tc>
        <w:tc>
          <w:tcPr>
            <w:tcW w:w="880" w:type="dxa"/>
            <w:tcBorders>
              <w:bottom w:val="single" w:sz="8" w:space="0" w:color="CF0A2C"/>
            </w:tcBorders>
            <w:shd w:val="clear" w:color="auto" w:fill="FAE6E9"/>
            <w:vAlign w:val="bottom"/>
          </w:tcPr>
          <w:p w:rsidR="00A621E3" w:rsidRDefault="00EC630E">
            <w:pPr>
              <w:ind w:right="346"/>
              <w:jc w:val="right"/>
              <w:rPr>
                <w:sz w:val="20"/>
                <w:szCs w:val="20"/>
              </w:rPr>
            </w:pPr>
            <w:r>
              <w:rPr>
                <w:rFonts w:ascii="Arial" w:eastAsia="Arial" w:hAnsi="Arial" w:cs="Arial"/>
                <w:b/>
                <w:bCs/>
                <w:color w:val="CF0A2C"/>
                <w:sz w:val="16"/>
                <w:szCs w:val="16"/>
              </w:rPr>
              <w:t>$</w:t>
            </w:r>
          </w:p>
        </w:tc>
        <w:tc>
          <w:tcPr>
            <w:tcW w:w="880" w:type="dxa"/>
            <w:tcBorders>
              <w:bottom w:val="single" w:sz="8" w:space="0" w:color="CF0A2C"/>
            </w:tcBorders>
            <w:shd w:val="clear" w:color="auto" w:fill="FAE6E9"/>
            <w:vAlign w:val="bottom"/>
          </w:tcPr>
          <w:p w:rsidR="00A621E3" w:rsidRDefault="00EC630E">
            <w:pPr>
              <w:ind w:right="326"/>
              <w:jc w:val="right"/>
              <w:rPr>
                <w:sz w:val="20"/>
                <w:szCs w:val="20"/>
              </w:rPr>
            </w:pPr>
            <w:r>
              <w:rPr>
                <w:rFonts w:ascii="Arial" w:eastAsia="Arial" w:hAnsi="Arial" w:cs="Arial"/>
                <w:b/>
                <w:bCs/>
                <w:color w:val="CF0A2C"/>
                <w:sz w:val="16"/>
                <w:szCs w:val="16"/>
              </w:rPr>
              <w:t>$</w:t>
            </w:r>
          </w:p>
        </w:tc>
        <w:tc>
          <w:tcPr>
            <w:tcW w:w="900" w:type="dxa"/>
            <w:tcBorders>
              <w:bottom w:val="single" w:sz="8" w:space="0" w:color="CF0A2C"/>
            </w:tcBorders>
            <w:shd w:val="clear" w:color="auto" w:fill="FAE6E9"/>
            <w:vAlign w:val="bottom"/>
          </w:tcPr>
          <w:p w:rsidR="00A621E3" w:rsidRDefault="00EC630E">
            <w:pPr>
              <w:ind w:right="346"/>
              <w:jc w:val="right"/>
              <w:rPr>
                <w:sz w:val="20"/>
                <w:szCs w:val="20"/>
              </w:rPr>
            </w:pPr>
            <w:r>
              <w:rPr>
                <w:rFonts w:ascii="Arial" w:eastAsia="Arial" w:hAnsi="Arial" w:cs="Arial"/>
                <w:b/>
                <w:bCs/>
                <w:color w:val="CF0A2C"/>
                <w:sz w:val="16"/>
                <w:szCs w:val="16"/>
              </w:rPr>
              <w:t>$</w:t>
            </w:r>
          </w:p>
        </w:tc>
        <w:tc>
          <w:tcPr>
            <w:tcW w:w="760" w:type="dxa"/>
            <w:tcBorders>
              <w:bottom w:val="single" w:sz="8" w:space="0" w:color="CF0A2C"/>
            </w:tcBorders>
            <w:shd w:val="clear" w:color="auto" w:fill="FAE6E9"/>
            <w:vAlign w:val="bottom"/>
          </w:tcPr>
          <w:p w:rsidR="00A621E3" w:rsidRDefault="00EC630E">
            <w:pPr>
              <w:ind w:right="206"/>
              <w:jc w:val="right"/>
              <w:rPr>
                <w:sz w:val="20"/>
                <w:szCs w:val="20"/>
              </w:rPr>
            </w:pPr>
            <w:r>
              <w:rPr>
                <w:rFonts w:ascii="Arial" w:eastAsia="Arial" w:hAnsi="Arial" w:cs="Arial"/>
                <w:b/>
                <w:bCs/>
                <w:color w:val="CF0A2C"/>
                <w:sz w:val="16"/>
                <w:szCs w:val="16"/>
              </w:rPr>
              <w:t>$</w:t>
            </w:r>
          </w:p>
        </w:tc>
        <w:tc>
          <w:tcPr>
            <w:tcW w:w="80" w:type="dxa"/>
            <w:tcBorders>
              <w:bottom w:val="single" w:sz="8" w:space="0" w:color="CF0A2C"/>
            </w:tcBorders>
            <w:shd w:val="clear" w:color="auto" w:fill="FAE6E9"/>
            <w:vAlign w:val="bottom"/>
          </w:tcPr>
          <w:p w:rsidR="00A621E3" w:rsidRDefault="00A621E3">
            <w:pPr>
              <w:rPr>
                <w:sz w:val="18"/>
                <w:szCs w:val="18"/>
              </w:rPr>
            </w:pPr>
          </w:p>
        </w:tc>
      </w:tr>
      <w:tr w:rsidR="00A621E3">
        <w:trPr>
          <w:trHeight w:val="166"/>
        </w:trPr>
        <w:tc>
          <w:tcPr>
            <w:tcW w:w="6480" w:type="dxa"/>
            <w:vAlign w:val="bottom"/>
          </w:tcPr>
          <w:p w:rsidR="00A621E3" w:rsidRDefault="00EC630E">
            <w:pPr>
              <w:rPr>
                <w:sz w:val="20"/>
                <w:szCs w:val="20"/>
              </w:rPr>
            </w:pPr>
            <w:r>
              <w:rPr>
                <w:rFonts w:ascii="Arial" w:eastAsia="Arial" w:hAnsi="Arial" w:cs="Arial"/>
                <w:color w:val="CF0A2C"/>
                <w:sz w:val="14"/>
                <w:szCs w:val="14"/>
              </w:rPr>
              <w:t>Cash Severance</w:t>
            </w:r>
          </w:p>
        </w:tc>
        <w:tc>
          <w:tcPr>
            <w:tcW w:w="1040" w:type="dxa"/>
            <w:gridSpan w:val="2"/>
            <w:vAlign w:val="bottom"/>
          </w:tcPr>
          <w:p w:rsidR="00A621E3" w:rsidRDefault="00EC630E">
            <w:pPr>
              <w:ind w:right="44"/>
              <w:jc w:val="right"/>
              <w:rPr>
                <w:sz w:val="20"/>
                <w:szCs w:val="20"/>
              </w:rPr>
            </w:pPr>
            <w:r>
              <w:rPr>
                <w:rFonts w:ascii="Arial" w:eastAsia="Arial" w:hAnsi="Arial" w:cs="Arial"/>
                <w:sz w:val="14"/>
                <w:szCs w:val="14"/>
              </w:rPr>
              <w:t>8,550,000</w:t>
            </w:r>
          </w:p>
        </w:tc>
        <w:tc>
          <w:tcPr>
            <w:tcW w:w="880" w:type="dxa"/>
            <w:vAlign w:val="bottom"/>
          </w:tcPr>
          <w:p w:rsidR="00A621E3" w:rsidRDefault="00EC630E">
            <w:pPr>
              <w:ind w:right="46"/>
              <w:jc w:val="right"/>
              <w:rPr>
                <w:sz w:val="20"/>
                <w:szCs w:val="20"/>
              </w:rPr>
            </w:pPr>
            <w:r>
              <w:rPr>
                <w:rFonts w:ascii="Arial" w:eastAsia="Arial" w:hAnsi="Arial" w:cs="Arial"/>
                <w:sz w:val="14"/>
                <w:szCs w:val="14"/>
              </w:rPr>
              <w:t>1,680,000</w:t>
            </w:r>
          </w:p>
        </w:tc>
        <w:tc>
          <w:tcPr>
            <w:tcW w:w="880" w:type="dxa"/>
            <w:vAlign w:val="bottom"/>
          </w:tcPr>
          <w:p w:rsidR="00A621E3" w:rsidRDefault="00EC630E">
            <w:pPr>
              <w:ind w:right="46"/>
              <w:jc w:val="right"/>
              <w:rPr>
                <w:sz w:val="20"/>
                <w:szCs w:val="20"/>
              </w:rPr>
            </w:pPr>
            <w:r>
              <w:rPr>
                <w:rFonts w:ascii="Arial" w:eastAsia="Arial" w:hAnsi="Arial" w:cs="Arial"/>
                <w:sz w:val="14"/>
                <w:szCs w:val="14"/>
              </w:rPr>
              <w:t>1,134,000</w:t>
            </w:r>
          </w:p>
        </w:tc>
        <w:tc>
          <w:tcPr>
            <w:tcW w:w="900" w:type="dxa"/>
            <w:vAlign w:val="bottom"/>
          </w:tcPr>
          <w:p w:rsidR="00A621E3" w:rsidRDefault="00EC630E">
            <w:pPr>
              <w:ind w:right="46"/>
              <w:jc w:val="right"/>
              <w:rPr>
                <w:sz w:val="20"/>
                <w:szCs w:val="20"/>
              </w:rPr>
            </w:pPr>
            <w:r>
              <w:rPr>
                <w:rFonts w:ascii="Arial" w:eastAsia="Arial" w:hAnsi="Arial" w:cs="Arial"/>
                <w:sz w:val="14"/>
                <w:szCs w:val="14"/>
              </w:rPr>
              <w:t>1,524,400</w:t>
            </w:r>
          </w:p>
        </w:tc>
        <w:tc>
          <w:tcPr>
            <w:tcW w:w="760" w:type="dxa"/>
            <w:vAlign w:val="bottom"/>
          </w:tcPr>
          <w:p w:rsidR="00A621E3" w:rsidRDefault="00EC630E">
            <w:pPr>
              <w:jc w:val="right"/>
              <w:rPr>
                <w:sz w:val="20"/>
                <w:szCs w:val="20"/>
              </w:rPr>
            </w:pPr>
            <w:r>
              <w:rPr>
                <w:rFonts w:ascii="Arial" w:eastAsia="Arial" w:hAnsi="Arial" w:cs="Arial"/>
                <w:sz w:val="14"/>
                <w:szCs w:val="14"/>
              </w:rPr>
              <w:t>1,071,000</w:t>
            </w:r>
          </w:p>
        </w:tc>
        <w:tc>
          <w:tcPr>
            <w:tcW w:w="80" w:type="dxa"/>
            <w:vAlign w:val="bottom"/>
          </w:tcPr>
          <w:p w:rsidR="00A621E3" w:rsidRDefault="00A621E3">
            <w:pPr>
              <w:rPr>
                <w:sz w:val="14"/>
                <w:szCs w:val="14"/>
              </w:rPr>
            </w:pPr>
          </w:p>
        </w:tc>
      </w:tr>
      <w:tr w:rsidR="00A621E3">
        <w:trPr>
          <w:trHeight w:val="162"/>
        </w:trPr>
        <w:tc>
          <w:tcPr>
            <w:tcW w:w="6480" w:type="dxa"/>
            <w:vAlign w:val="bottom"/>
          </w:tcPr>
          <w:p w:rsidR="00A621E3" w:rsidRDefault="00EC630E">
            <w:pPr>
              <w:rPr>
                <w:sz w:val="20"/>
                <w:szCs w:val="20"/>
              </w:rPr>
            </w:pPr>
            <w:r>
              <w:rPr>
                <w:rFonts w:ascii="Arial" w:eastAsia="Arial" w:hAnsi="Arial" w:cs="Arial"/>
                <w:color w:val="CF0A2C"/>
                <w:sz w:val="14"/>
                <w:szCs w:val="14"/>
              </w:rPr>
              <w:t>Release Payment</w:t>
            </w:r>
          </w:p>
        </w:tc>
        <w:tc>
          <w:tcPr>
            <w:tcW w:w="1040" w:type="dxa"/>
            <w:gridSpan w:val="2"/>
            <w:vAlign w:val="bottom"/>
          </w:tcPr>
          <w:p w:rsidR="00A621E3" w:rsidRDefault="00EC630E">
            <w:pPr>
              <w:ind w:right="44"/>
              <w:jc w:val="right"/>
              <w:rPr>
                <w:sz w:val="20"/>
                <w:szCs w:val="20"/>
              </w:rPr>
            </w:pPr>
            <w:r>
              <w:rPr>
                <w:rFonts w:ascii="Arial" w:eastAsia="Arial" w:hAnsi="Arial" w:cs="Arial"/>
                <w:sz w:val="14"/>
                <w:szCs w:val="14"/>
              </w:rPr>
              <w:t>1,488</w:t>
            </w:r>
          </w:p>
        </w:tc>
        <w:tc>
          <w:tcPr>
            <w:tcW w:w="880" w:type="dxa"/>
            <w:vAlign w:val="bottom"/>
          </w:tcPr>
          <w:p w:rsidR="00A621E3" w:rsidRDefault="00EC630E">
            <w:pPr>
              <w:ind w:right="46"/>
              <w:jc w:val="right"/>
              <w:rPr>
                <w:sz w:val="20"/>
                <w:szCs w:val="20"/>
              </w:rPr>
            </w:pPr>
            <w:r>
              <w:rPr>
                <w:rFonts w:ascii="Arial" w:eastAsia="Arial" w:hAnsi="Arial" w:cs="Arial"/>
                <w:sz w:val="14"/>
                <w:szCs w:val="14"/>
              </w:rPr>
              <w:t>1,488</w:t>
            </w:r>
          </w:p>
        </w:tc>
        <w:tc>
          <w:tcPr>
            <w:tcW w:w="880" w:type="dxa"/>
            <w:vAlign w:val="bottom"/>
          </w:tcPr>
          <w:p w:rsidR="00A621E3" w:rsidRDefault="00EC630E">
            <w:pPr>
              <w:ind w:right="46"/>
              <w:jc w:val="right"/>
              <w:rPr>
                <w:sz w:val="20"/>
                <w:szCs w:val="20"/>
              </w:rPr>
            </w:pPr>
            <w:r>
              <w:rPr>
                <w:rFonts w:ascii="Arial" w:eastAsia="Arial" w:hAnsi="Arial" w:cs="Arial"/>
                <w:sz w:val="14"/>
                <w:szCs w:val="14"/>
              </w:rPr>
              <w:t>1,488</w:t>
            </w:r>
          </w:p>
        </w:tc>
        <w:tc>
          <w:tcPr>
            <w:tcW w:w="900" w:type="dxa"/>
            <w:vAlign w:val="bottom"/>
          </w:tcPr>
          <w:p w:rsidR="00A621E3" w:rsidRDefault="00EC630E">
            <w:pPr>
              <w:ind w:right="46"/>
              <w:jc w:val="right"/>
              <w:rPr>
                <w:sz w:val="20"/>
                <w:szCs w:val="20"/>
              </w:rPr>
            </w:pPr>
            <w:r>
              <w:rPr>
                <w:rFonts w:ascii="Arial" w:eastAsia="Arial" w:hAnsi="Arial" w:cs="Arial"/>
                <w:sz w:val="14"/>
                <w:szCs w:val="14"/>
              </w:rPr>
              <w:t>1,488</w:t>
            </w:r>
          </w:p>
        </w:tc>
        <w:tc>
          <w:tcPr>
            <w:tcW w:w="760" w:type="dxa"/>
            <w:vAlign w:val="bottom"/>
          </w:tcPr>
          <w:p w:rsidR="00A621E3" w:rsidRDefault="00EC630E">
            <w:pPr>
              <w:jc w:val="right"/>
              <w:rPr>
                <w:sz w:val="20"/>
                <w:szCs w:val="20"/>
              </w:rPr>
            </w:pPr>
            <w:r>
              <w:rPr>
                <w:rFonts w:ascii="Arial" w:eastAsia="Arial" w:hAnsi="Arial" w:cs="Arial"/>
                <w:sz w:val="14"/>
                <w:szCs w:val="14"/>
              </w:rPr>
              <w:t>1,488</w:t>
            </w:r>
          </w:p>
        </w:tc>
        <w:tc>
          <w:tcPr>
            <w:tcW w:w="80" w:type="dxa"/>
            <w:vAlign w:val="bottom"/>
          </w:tcPr>
          <w:p w:rsidR="00A621E3" w:rsidRDefault="00A621E3">
            <w:pPr>
              <w:rPr>
                <w:sz w:val="14"/>
                <w:szCs w:val="14"/>
              </w:rPr>
            </w:pPr>
          </w:p>
        </w:tc>
      </w:tr>
      <w:tr w:rsidR="00A621E3">
        <w:trPr>
          <w:trHeight w:val="162"/>
        </w:trPr>
        <w:tc>
          <w:tcPr>
            <w:tcW w:w="6480" w:type="dxa"/>
            <w:vAlign w:val="bottom"/>
          </w:tcPr>
          <w:p w:rsidR="00A621E3" w:rsidRDefault="00EC630E">
            <w:pPr>
              <w:rPr>
                <w:sz w:val="20"/>
                <w:szCs w:val="20"/>
              </w:rPr>
            </w:pPr>
            <w:r>
              <w:rPr>
                <w:rFonts w:ascii="Arial" w:eastAsia="Arial" w:hAnsi="Arial" w:cs="Arial"/>
                <w:color w:val="CF0A2C"/>
                <w:sz w:val="14"/>
                <w:szCs w:val="14"/>
              </w:rPr>
              <w:t>Pro-rata Vesting of SARs</w:t>
            </w:r>
          </w:p>
        </w:tc>
        <w:tc>
          <w:tcPr>
            <w:tcW w:w="1040" w:type="dxa"/>
            <w:gridSpan w:val="2"/>
            <w:vAlign w:val="bottom"/>
          </w:tcPr>
          <w:p w:rsidR="00A621E3" w:rsidRDefault="00EC630E">
            <w:pPr>
              <w:ind w:right="44"/>
              <w:jc w:val="right"/>
              <w:rPr>
                <w:sz w:val="20"/>
                <w:szCs w:val="20"/>
              </w:rPr>
            </w:pPr>
            <w:r>
              <w:rPr>
                <w:rFonts w:ascii="Arial" w:eastAsia="Arial" w:hAnsi="Arial" w:cs="Arial"/>
                <w:sz w:val="14"/>
                <w:szCs w:val="14"/>
              </w:rPr>
              <w:t>1,280,870</w:t>
            </w:r>
          </w:p>
        </w:tc>
        <w:tc>
          <w:tcPr>
            <w:tcW w:w="880" w:type="dxa"/>
            <w:vAlign w:val="bottom"/>
          </w:tcPr>
          <w:p w:rsidR="00A621E3" w:rsidRDefault="00EC630E">
            <w:pPr>
              <w:ind w:right="46"/>
              <w:jc w:val="right"/>
              <w:rPr>
                <w:sz w:val="20"/>
                <w:szCs w:val="20"/>
              </w:rPr>
            </w:pPr>
            <w:r>
              <w:rPr>
                <w:rFonts w:ascii="Arial" w:eastAsia="Arial" w:hAnsi="Arial" w:cs="Arial"/>
                <w:sz w:val="14"/>
                <w:szCs w:val="14"/>
              </w:rPr>
              <w:t>175,114</w:t>
            </w:r>
          </w:p>
        </w:tc>
        <w:tc>
          <w:tcPr>
            <w:tcW w:w="880" w:type="dxa"/>
            <w:vAlign w:val="bottom"/>
          </w:tcPr>
          <w:p w:rsidR="00A621E3" w:rsidRDefault="00EC630E">
            <w:pPr>
              <w:ind w:right="46"/>
              <w:jc w:val="right"/>
              <w:rPr>
                <w:sz w:val="20"/>
                <w:szCs w:val="20"/>
              </w:rPr>
            </w:pPr>
            <w:r>
              <w:rPr>
                <w:rFonts w:ascii="Arial" w:eastAsia="Arial" w:hAnsi="Arial" w:cs="Arial"/>
                <w:sz w:val="14"/>
                <w:szCs w:val="14"/>
              </w:rPr>
              <w:t>121,595</w:t>
            </w:r>
          </w:p>
        </w:tc>
        <w:tc>
          <w:tcPr>
            <w:tcW w:w="900" w:type="dxa"/>
            <w:vAlign w:val="bottom"/>
          </w:tcPr>
          <w:p w:rsidR="00A621E3" w:rsidRDefault="00EC630E">
            <w:pPr>
              <w:ind w:right="46"/>
              <w:jc w:val="right"/>
              <w:rPr>
                <w:sz w:val="20"/>
                <w:szCs w:val="20"/>
              </w:rPr>
            </w:pPr>
            <w:r>
              <w:rPr>
                <w:rFonts w:ascii="Arial" w:eastAsia="Arial" w:hAnsi="Arial" w:cs="Arial"/>
                <w:sz w:val="14"/>
                <w:szCs w:val="14"/>
              </w:rPr>
              <w:t>264,351</w:t>
            </w:r>
          </w:p>
        </w:tc>
        <w:tc>
          <w:tcPr>
            <w:tcW w:w="760" w:type="dxa"/>
            <w:vAlign w:val="bottom"/>
          </w:tcPr>
          <w:p w:rsidR="00A621E3" w:rsidRDefault="00EC630E">
            <w:pPr>
              <w:jc w:val="right"/>
              <w:rPr>
                <w:sz w:val="20"/>
                <w:szCs w:val="20"/>
              </w:rPr>
            </w:pPr>
            <w:r>
              <w:rPr>
                <w:rFonts w:ascii="Arial" w:eastAsia="Arial" w:hAnsi="Arial" w:cs="Arial"/>
                <w:sz w:val="14"/>
                <w:szCs w:val="14"/>
              </w:rPr>
              <w:t>141,891</w:t>
            </w:r>
          </w:p>
        </w:tc>
        <w:tc>
          <w:tcPr>
            <w:tcW w:w="80" w:type="dxa"/>
            <w:vAlign w:val="bottom"/>
          </w:tcPr>
          <w:p w:rsidR="00A621E3" w:rsidRDefault="00A621E3">
            <w:pPr>
              <w:rPr>
                <w:sz w:val="14"/>
                <w:szCs w:val="14"/>
              </w:rPr>
            </w:pPr>
          </w:p>
        </w:tc>
      </w:tr>
      <w:tr w:rsidR="00A621E3">
        <w:trPr>
          <w:trHeight w:val="162"/>
        </w:trPr>
        <w:tc>
          <w:tcPr>
            <w:tcW w:w="6480" w:type="dxa"/>
            <w:vAlign w:val="bottom"/>
          </w:tcPr>
          <w:p w:rsidR="00A621E3" w:rsidRDefault="00EC630E">
            <w:pPr>
              <w:rPr>
                <w:sz w:val="20"/>
                <w:szCs w:val="20"/>
              </w:rPr>
            </w:pPr>
            <w:r>
              <w:rPr>
                <w:rFonts w:ascii="Arial" w:eastAsia="Arial" w:hAnsi="Arial" w:cs="Arial"/>
                <w:color w:val="CF0A2C"/>
                <w:sz w:val="14"/>
                <w:szCs w:val="14"/>
              </w:rPr>
              <w:t>Pro-rata Vesting of RSUs</w:t>
            </w:r>
          </w:p>
        </w:tc>
        <w:tc>
          <w:tcPr>
            <w:tcW w:w="1040" w:type="dxa"/>
            <w:gridSpan w:val="2"/>
            <w:vAlign w:val="bottom"/>
          </w:tcPr>
          <w:p w:rsidR="00A621E3" w:rsidRDefault="00EC630E">
            <w:pPr>
              <w:ind w:right="44"/>
              <w:jc w:val="right"/>
              <w:rPr>
                <w:sz w:val="20"/>
                <w:szCs w:val="20"/>
              </w:rPr>
            </w:pPr>
            <w:r>
              <w:rPr>
                <w:rFonts w:ascii="Arial" w:eastAsia="Arial" w:hAnsi="Arial" w:cs="Arial"/>
                <w:sz w:val="14"/>
                <w:szCs w:val="14"/>
              </w:rPr>
              <w:t>1,877,460</w:t>
            </w:r>
          </w:p>
        </w:tc>
        <w:tc>
          <w:tcPr>
            <w:tcW w:w="880" w:type="dxa"/>
            <w:vAlign w:val="bottom"/>
          </w:tcPr>
          <w:p w:rsidR="00A621E3" w:rsidRDefault="00EC630E">
            <w:pPr>
              <w:ind w:right="46"/>
              <w:jc w:val="right"/>
              <w:rPr>
                <w:sz w:val="20"/>
                <w:szCs w:val="20"/>
              </w:rPr>
            </w:pPr>
            <w:r>
              <w:rPr>
                <w:rFonts w:ascii="Arial" w:eastAsia="Arial" w:hAnsi="Arial" w:cs="Arial"/>
                <w:sz w:val="14"/>
                <w:szCs w:val="14"/>
              </w:rPr>
              <w:t>1,071,440</w:t>
            </w:r>
          </w:p>
        </w:tc>
        <w:tc>
          <w:tcPr>
            <w:tcW w:w="880" w:type="dxa"/>
            <w:vAlign w:val="bottom"/>
          </w:tcPr>
          <w:p w:rsidR="00A621E3" w:rsidRDefault="00EC630E">
            <w:pPr>
              <w:ind w:right="46"/>
              <w:jc w:val="right"/>
              <w:rPr>
                <w:sz w:val="20"/>
                <w:szCs w:val="20"/>
              </w:rPr>
            </w:pPr>
            <w:r>
              <w:rPr>
                <w:rFonts w:ascii="Arial" w:eastAsia="Arial" w:hAnsi="Arial" w:cs="Arial"/>
                <w:sz w:val="14"/>
                <w:szCs w:val="14"/>
              </w:rPr>
              <w:t>990,280</w:t>
            </w:r>
          </w:p>
        </w:tc>
        <w:tc>
          <w:tcPr>
            <w:tcW w:w="900" w:type="dxa"/>
            <w:vAlign w:val="bottom"/>
          </w:tcPr>
          <w:p w:rsidR="00A621E3" w:rsidRDefault="00EC630E">
            <w:pPr>
              <w:ind w:right="46"/>
              <w:jc w:val="right"/>
              <w:rPr>
                <w:sz w:val="20"/>
                <w:szCs w:val="20"/>
              </w:rPr>
            </w:pPr>
            <w:r>
              <w:rPr>
                <w:rFonts w:ascii="Arial" w:eastAsia="Arial" w:hAnsi="Arial" w:cs="Arial"/>
                <w:sz w:val="14"/>
                <w:szCs w:val="14"/>
              </w:rPr>
              <w:t>67,088</w:t>
            </w:r>
          </w:p>
        </w:tc>
        <w:tc>
          <w:tcPr>
            <w:tcW w:w="840" w:type="dxa"/>
            <w:gridSpan w:val="2"/>
            <w:vAlign w:val="bottom"/>
          </w:tcPr>
          <w:p w:rsidR="00A621E3" w:rsidRDefault="00EC630E">
            <w:pPr>
              <w:ind w:right="80"/>
              <w:jc w:val="right"/>
              <w:rPr>
                <w:sz w:val="20"/>
                <w:szCs w:val="20"/>
              </w:rPr>
            </w:pPr>
            <w:r>
              <w:rPr>
                <w:rFonts w:ascii="Arial" w:eastAsia="Arial" w:hAnsi="Arial" w:cs="Arial"/>
                <w:sz w:val="14"/>
                <w:szCs w:val="14"/>
              </w:rPr>
              <w:t>37,850</w:t>
            </w:r>
          </w:p>
        </w:tc>
      </w:tr>
      <w:tr w:rsidR="00A621E3">
        <w:trPr>
          <w:trHeight w:val="157"/>
        </w:trPr>
        <w:tc>
          <w:tcPr>
            <w:tcW w:w="6480" w:type="dxa"/>
            <w:vAlign w:val="bottom"/>
          </w:tcPr>
          <w:p w:rsidR="00A621E3" w:rsidRDefault="00EC630E">
            <w:pPr>
              <w:spacing w:line="157" w:lineRule="exact"/>
              <w:rPr>
                <w:sz w:val="20"/>
                <w:szCs w:val="20"/>
              </w:rPr>
            </w:pPr>
            <w:r>
              <w:rPr>
                <w:rFonts w:ascii="Arial" w:eastAsia="Arial" w:hAnsi="Arial" w:cs="Arial"/>
                <w:color w:val="CF0A2C"/>
                <w:sz w:val="14"/>
                <w:szCs w:val="14"/>
              </w:rPr>
              <w:t>Pro-rata Vesting of PSUs</w:t>
            </w:r>
          </w:p>
        </w:tc>
        <w:tc>
          <w:tcPr>
            <w:tcW w:w="120" w:type="dxa"/>
            <w:vAlign w:val="bottom"/>
          </w:tcPr>
          <w:p w:rsidR="00A621E3" w:rsidRDefault="00A621E3">
            <w:pPr>
              <w:rPr>
                <w:sz w:val="13"/>
                <w:szCs w:val="13"/>
              </w:rPr>
            </w:pPr>
          </w:p>
        </w:tc>
        <w:tc>
          <w:tcPr>
            <w:tcW w:w="920" w:type="dxa"/>
            <w:tcBorders>
              <w:bottom w:val="single" w:sz="8" w:space="0" w:color="CF0A2C"/>
            </w:tcBorders>
            <w:vAlign w:val="bottom"/>
          </w:tcPr>
          <w:p w:rsidR="00A621E3" w:rsidRDefault="00EC630E">
            <w:pPr>
              <w:spacing w:line="157" w:lineRule="exact"/>
              <w:ind w:right="44"/>
              <w:jc w:val="right"/>
              <w:rPr>
                <w:sz w:val="20"/>
                <w:szCs w:val="20"/>
              </w:rPr>
            </w:pPr>
            <w:r>
              <w:rPr>
                <w:rFonts w:ascii="Arial" w:eastAsia="Arial" w:hAnsi="Arial" w:cs="Arial"/>
                <w:sz w:val="14"/>
                <w:szCs w:val="14"/>
              </w:rPr>
              <w:t>15,374,712</w:t>
            </w:r>
          </w:p>
        </w:tc>
        <w:tc>
          <w:tcPr>
            <w:tcW w:w="880" w:type="dxa"/>
            <w:tcBorders>
              <w:bottom w:val="single" w:sz="8" w:space="0" w:color="CF0A2C"/>
            </w:tcBorders>
            <w:vAlign w:val="bottom"/>
          </w:tcPr>
          <w:p w:rsidR="00A621E3" w:rsidRDefault="00EC630E">
            <w:pPr>
              <w:spacing w:line="157" w:lineRule="exact"/>
              <w:ind w:right="46"/>
              <w:jc w:val="right"/>
              <w:rPr>
                <w:sz w:val="20"/>
                <w:szCs w:val="20"/>
              </w:rPr>
            </w:pPr>
            <w:r>
              <w:rPr>
                <w:rFonts w:ascii="Arial" w:eastAsia="Arial" w:hAnsi="Arial" w:cs="Arial"/>
                <w:sz w:val="14"/>
                <w:szCs w:val="14"/>
              </w:rPr>
              <w:t>2,746,920</w:t>
            </w:r>
          </w:p>
        </w:tc>
        <w:tc>
          <w:tcPr>
            <w:tcW w:w="880" w:type="dxa"/>
            <w:tcBorders>
              <w:bottom w:val="single" w:sz="8" w:space="0" w:color="CF0A2C"/>
            </w:tcBorders>
            <w:vAlign w:val="bottom"/>
          </w:tcPr>
          <w:p w:rsidR="00A621E3" w:rsidRDefault="00EC630E">
            <w:pPr>
              <w:spacing w:line="157" w:lineRule="exact"/>
              <w:ind w:right="46"/>
              <w:jc w:val="right"/>
              <w:rPr>
                <w:sz w:val="20"/>
                <w:szCs w:val="20"/>
              </w:rPr>
            </w:pPr>
            <w:r>
              <w:rPr>
                <w:rFonts w:ascii="Arial" w:eastAsia="Arial" w:hAnsi="Arial" w:cs="Arial"/>
                <w:sz w:val="14"/>
                <w:szCs w:val="14"/>
              </w:rPr>
              <w:t>2,061,386</w:t>
            </w:r>
          </w:p>
        </w:tc>
        <w:tc>
          <w:tcPr>
            <w:tcW w:w="900" w:type="dxa"/>
            <w:tcBorders>
              <w:bottom w:val="single" w:sz="8" w:space="0" w:color="CF0A2C"/>
            </w:tcBorders>
            <w:vAlign w:val="bottom"/>
          </w:tcPr>
          <w:p w:rsidR="00A621E3" w:rsidRDefault="00EC630E">
            <w:pPr>
              <w:spacing w:line="157" w:lineRule="exact"/>
              <w:ind w:right="46"/>
              <w:jc w:val="right"/>
              <w:rPr>
                <w:sz w:val="20"/>
                <w:szCs w:val="20"/>
              </w:rPr>
            </w:pPr>
            <w:r>
              <w:rPr>
                <w:rFonts w:ascii="Arial" w:eastAsia="Arial" w:hAnsi="Arial" w:cs="Arial"/>
                <w:sz w:val="14"/>
                <w:szCs w:val="14"/>
              </w:rPr>
              <w:t>2,654,602</w:t>
            </w:r>
          </w:p>
        </w:tc>
        <w:tc>
          <w:tcPr>
            <w:tcW w:w="760" w:type="dxa"/>
            <w:tcBorders>
              <w:bottom w:val="single" w:sz="8" w:space="0" w:color="CF0A2C"/>
            </w:tcBorders>
            <w:vAlign w:val="bottom"/>
          </w:tcPr>
          <w:p w:rsidR="00A621E3" w:rsidRDefault="00EC630E">
            <w:pPr>
              <w:spacing w:line="157" w:lineRule="exact"/>
              <w:jc w:val="right"/>
              <w:rPr>
                <w:sz w:val="20"/>
                <w:szCs w:val="20"/>
              </w:rPr>
            </w:pPr>
            <w:r>
              <w:rPr>
                <w:rFonts w:ascii="Arial" w:eastAsia="Arial" w:hAnsi="Arial" w:cs="Arial"/>
                <w:sz w:val="14"/>
                <w:szCs w:val="14"/>
              </w:rPr>
              <w:t>1,902,449</w:t>
            </w:r>
          </w:p>
        </w:tc>
        <w:tc>
          <w:tcPr>
            <w:tcW w:w="80" w:type="dxa"/>
            <w:vAlign w:val="bottom"/>
          </w:tcPr>
          <w:p w:rsidR="00A621E3" w:rsidRDefault="00A621E3">
            <w:pPr>
              <w:rPr>
                <w:sz w:val="13"/>
                <w:szCs w:val="13"/>
              </w:rPr>
            </w:pPr>
          </w:p>
        </w:tc>
      </w:tr>
      <w:tr w:rsidR="00A621E3">
        <w:trPr>
          <w:trHeight w:val="169"/>
        </w:trPr>
        <w:tc>
          <w:tcPr>
            <w:tcW w:w="6480" w:type="dxa"/>
            <w:vAlign w:val="bottom"/>
          </w:tcPr>
          <w:p w:rsidR="00A621E3" w:rsidRDefault="00EC630E">
            <w:pPr>
              <w:rPr>
                <w:sz w:val="20"/>
                <w:szCs w:val="20"/>
              </w:rPr>
            </w:pPr>
            <w:r>
              <w:rPr>
                <w:rFonts w:ascii="Arial" w:eastAsia="Arial" w:hAnsi="Arial" w:cs="Arial"/>
                <w:b/>
                <w:bCs/>
                <w:color w:val="CF0A2C"/>
                <w:sz w:val="14"/>
                <w:szCs w:val="14"/>
              </w:rPr>
              <w:t>TOTAL</w:t>
            </w:r>
          </w:p>
        </w:tc>
        <w:tc>
          <w:tcPr>
            <w:tcW w:w="1040" w:type="dxa"/>
            <w:gridSpan w:val="2"/>
            <w:vAlign w:val="bottom"/>
          </w:tcPr>
          <w:p w:rsidR="00A621E3" w:rsidRDefault="00EC630E">
            <w:pPr>
              <w:ind w:right="44"/>
              <w:jc w:val="right"/>
              <w:rPr>
                <w:sz w:val="20"/>
                <w:szCs w:val="20"/>
              </w:rPr>
            </w:pPr>
            <w:r>
              <w:rPr>
                <w:rFonts w:ascii="Arial" w:eastAsia="Arial" w:hAnsi="Arial" w:cs="Arial"/>
                <w:sz w:val="14"/>
                <w:szCs w:val="14"/>
              </w:rPr>
              <w:t>27,084,530</w:t>
            </w:r>
          </w:p>
        </w:tc>
        <w:tc>
          <w:tcPr>
            <w:tcW w:w="880" w:type="dxa"/>
            <w:vAlign w:val="bottom"/>
          </w:tcPr>
          <w:p w:rsidR="00A621E3" w:rsidRDefault="00EC630E">
            <w:pPr>
              <w:ind w:right="46"/>
              <w:jc w:val="right"/>
              <w:rPr>
                <w:sz w:val="20"/>
                <w:szCs w:val="20"/>
              </w:rPr>
            </w:pPr>
            <w:r>
              <w:rPr>
                <w:rFonts w:ascii="Arial" w:eastAsia="Arial" w:hAnsi="Arial" w:cs="Arial"/>
                <w:sz w:val="14"/>
                <w:szCs w:val="14"/>
              </w:rPr>
              <w:t>5,674,962</w:t>
            </w:r>
          </w:p>
        </w:tc>
        <w:tc>
          <w:tcPr>
            <w:tcW w:w="880" w:type="dxa"/>
            <w:vAlign w:val="bottom"/>
          </w:tcPr>
          <w:p w:rsidR="00A621E3" w:rsidRDefault="00EC630E">
            <w:pPr>
              <w:ind w:right="46"/>
              <w:jc w:val="right"/>
              <w:rPr>
                <w:sz w:val="20"/>
                <w:szCs w:val="20"/>
              </w:rPr>
            </w:pPr>
            <w:r>
              <w:rPr>
                <w:rFonts w:ascii="Arial" w:eastAsia="Arial" w:hAnsi="Arial" w:cs="Arial"/>
                <w:sz w:val="14"/>
                <w:szCs w:val="14"/>
              </w:rPr>
              <w:t>4,308,749</w:t>
            </w:r>
          </w:p>
        </w:tc>
        <w:tc>
          <w:tcPr>
            <w:tcW w:w="900" w:type="dxa"/>
            <w:vAlign w:val="bottom"/>
          </w:tcPr>
          <w:p w:rsidR="00A621E3" w:rsidRDefault="00EC630E">
            <w:pPr>
              <w:ind w:right="46"/>
              <w:jc w:val="right"/>
              <w:rPr>
                <w:sz w:val="20"/>
                <w:szCs w:val="20"/>
              </w:rPr>
            </w:pPr>
            <w:r>
              <w:rPr>
                <w:rFonts w:ascii="Arial" w:eastAsia="Arial" w:hAnsi="Arial" w:cs="Arial"/>
                <w:sz w:val="14"/>
                <w:szCs w:val="14"/>
              </w:rPr>
              <w:t>4,511,929</w:t>
            </w:r>
          </w:p>
        </w:tc>
        <w:tc>
          <w:tcPr>
            <w:tcW w:w="760" w:type="dxa"/>
            <w:vAlign w:val="bottom"/>
          </w:tcPr>
          <w:p w:rsidR="00A621E3" w:rsidRDefault="00EC630E">
            <w:pPr>
              <w:jc w:val="right"/>
              <w:rPr>
                <w:sz w:val="20"/>
                <w:szCs w:val="20"/>
              </w:rPr>
            </w:pPr>
            <w:r>
              <w:rPr>
                <w:rFonts w:ascii="Arial" w:eastAsia="Arial" w:hAnsi="Arial" w:cs="Arial"/>
                <w:sz w:val="14"/>
                <w:szCs w:val="14"/>
              </w:rPr>
              <w:t>3,154,678</w:t>
            </w:r>
          </w:p>
        </w:tc>
        <w:tc>
          <w:tcPr>
            <w:tcW w:w="80" w:type="dxa"/>
            <w:vAlign w:val="bottom"/>
          </w:tcPr>
          <w:p w:rsidR="00A621E3" w:rsidRDefault="00A621E3">
            <w:pPr>
              <w:rPr>
                <w:sz w:val="14"/>
                <w:szCs w:val="14"/>
              </w:rPr>
            </w:pPr>
          </w:p>
        </w:tc>
      </w:tr>
      <w:tr w:rsidR="00A621E3">
        <w:trPr>
          <w:trHeight w:val="20"/>
        </w:trPr>
        <w:tc>
          <w:tcPr>
            <w:tcW w:w="6480" w:type="dxa"/>
            <w:vAlign w:val="bottom"/>
          </w:tcPr>
          <w:p w:rsidR="00A621E3" w:rsidRDefault="00A621E3">
            <w:pPr>
              <w:spacing w:line="20" w:lineRule="exact"/>
              <w:rPr>
                <w:sz w:val="1"/>
                <w:szCs w:val="1"/>
              </w:rPr>
            </w:pPr>
          </w:p>
        </w:tc>
        <w:tc>
          <w:tcPr>
            <w:tcW w:w="120" w:type="dxa"/>
            <w:vAlign w:val="bottom"/>
          </w:tcPr>
          <w:p w:rsidR="00A621E3" w:rsidRDefault="00A621E3">
            <w:pPr>
              <w:spacing w:line="20" w:lineRule="exact"/>
              <w:rPr>
                <w:sz w:val="1"/>
                <w:szCs w:val="1"/>
              </w:rPr>
            </w:pPr>
          </w:p>
        </w:tc>
        <w:tc>
          <w:tcPr>
            <w:tcW w:w="92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88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88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90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76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80" w:type="dxa"/>
            <w:vAlign w:val="bottom"/>
          </w:tcPr>
          <w:p w:rsidR="00A621E3" w:rsidRDefault="00A621E3">
            <w:pPr>
              <w:spacing w:line="20" w:lineRule="exact"/>
              <w:rPr>
                <w:sz w:val="1"/>
                <w:szCs w:val="1"/>
              </w:rPr>
            </w:pPr>
          </w:p>
        </w:tc>
      </w:tr>
    </w:tbl>
    <w:p w:rsidR="00A621E3" w:rsidRDefault="00A621E3">
      <w:pPr>
        <w:spacing w:line="149"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85</w:t>
      </w:r>
    </w:p>
    <w:p w:rsidR="00A621E3" w:rsidRDefault="00EC630E">
      <w:pPr>
        <w:spacing w:line="20" w:lineRule="exact"/>
        <w:rPr>
          <w:sz w:val="20"/>
          <w:szCs w:val="20"/>
        </w:rPr>
      </w:pPr>
      <w:r>
        <w:rPr>
          <w:noProof/>
          <w:sz w:val="20"/>
          <w:szCs w:val="20"/>
        </w:rPr>
        <w:drawing>
          <wp:anchor distT="0" distB="0" distL="114300" distR="114300" simplePos="0" relativeHeight="252011520"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91" w:name="page91"/>
      <w:bookmarkEnd w:id="91"/>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12544"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263" w:lineRule="exact"/>
        <w:rPr>
          <w:sz w:val="20"/>
          <w:szCs w:val="20"/>
        </w:rPr>
      </w:pPr>
    </w:p>
    <w:p w:rsidR="00A621E3" w:rsidRDefault="00EC630E">
      <w:pPr>
        <w:spacing w:line="269" w:lineRule="auto"/>
        <w:ind w:left="120"/>
        <w:jc w:val="both"/>
        <w:rPr>
          <w:sz w:val="20"/>
          <w:szCs w:val="20"/>
        </w:rPr>
      </w:pPr>
      <w:r>
        <w:rPr>
          <w:rFonts w:ascii="Arial" w:eastAsia="Arial" w:hAnsi="Arial" w:cs="Arial"/>
          <w:b/>
          <w:bCs/>
          <w:i/>
          <w:iCs/>
          <w:color w:val="CF0A2C"/>
          <w:sz w:val="18"/>
          <w:szCs w:val="18"/>
        </w:rPr>
        <w:t>Termination of Employment Following a Change in Control</w:t>
      </w:r>
      <w:r>
        <w:rPr>
          <w:rFonts w:ascii="Arial" w:eastAsia="Arial" w:hAnsi="Arial" w:cs="Arial"/>
          <w:b/>
          <w:bCs/>
          <w:i/>
          <w:iCs/>
          <w:color w:val="000000"/>
          <w:sz w:val="18"/>
          <w:szCs w:val="18"/>
        </w:rPr>
        <w:t>.</w:t>
      </w:r>
      <w:r>
        <w:rPr>
          <w:rFonts w:ascii="Arial" w:eastAsia="Arial" w:hAnsi="Arial" w:cs="Arial"/>
          <w:b/>
          <w:bCs/>
          <w:i/>
          <w:iCs/>
          <w:color w:val="CF0A2C"/>
          <w:sz w:val="18"/>
          <w:szCs w:val="18"/>
        </w:rPr>
        <w:t xml:space="preserve"> </w:t>
      </w:r>
      <w:r>
        <w:rPr>
          <w:rFonts w:ascii="Arial" w:eastAsia="Arial" w:hAnsi="Arial" w:cs="Arial"/>
          <w:color w:val="000000"/>
          <w:sz w:val="18"/>
          <w:szCs w:val="18"/>
        </w:rPr>
        <w:t>As</w:t>
      </w:r>
      <w:r>
        <w:rPr>
          <w:rFonts w:ascii="Arial" w:eastAsia="Arial" w:hAnsi="Arial" w:cs="Arial"/>
          <w:b/>
          <w:bCs/>
          <w:i/>
          <w:iCs/>
          <w:color w:val="CF0A2C"/>
          <w:sz w:val="18"/>
          <w:szCs w:val="18"/>
        </w:rPr>
        <w:t xml:space="preserve"> </w:t>
      </w:r>
      <w:r>
        <w:rPr>
          <w:rFonts w:ascii="Arial" w:eastAsia="Arial" w:hAnsi="Arial" w:cs="Arial"/>
          <w:color w:val="000000"/>
          <w:sz w:val="18"/>
          <w:szCs w:val="18"/>
        </w:rPr>
        <w:t xml:space="preserve">noted in the CD&amp;A, the Company maintains a change in </w:t>
      </w:r>
      <w:r>
        <w:rPr>
          <w:rFonts w:ascii="Arial" w:eastAsia="Arial" w:hAnsi="Arial" w:cs="Arial"/>
          <w:color w:val="000000"/>
          <w:sz w:val="18"/>
          <w:szCs w:val="18"/>
        </w:rPr>
        <w:t>control severance plan, which provides severance benefits to our NEOs in the event of a termination of employment by the Company without “cause” or by the NEO due to “good reason,” in each case within 24 months following a change in control (a “</w:t>
      </w:r>
      <w:r>
        <w:rPr>
          <w:rFonts w:ascii="Arial" w:eastAsia="Arial" w:hAnsi="Arial" w:cs="Arial"/>
          <w:b/>
          <w:bCs/>
          <w:i/>
          <w:iCs/>
          <w:color w:val="000000"/>
          <w:sz w:val="18"/>
          <w:szCs w:val="18"/>
        </w:rPr>
        <w:t>CIC</w:t>
      </w:r>
      <w:r>
        <w:rPr>
          <w:rFonts w:ascii="Arial" w:eastAsia="Arial" w:hAnsi="Arial" w:cs="Arial"/>
          <w:color w:val="000000"/>
          <w:sz w:val="18"/>
          <w:szCs w:val="18"/>
        </w:rPr>
        <w:t xml:space="preserve"> </w:t>
      </w:r>
      <w:r>
        <w:rPr>
          <w:rFonts w:ascii="Arial" w:eastAsia="Arial" w:hAnsi="Arial" w:cs="Arial"/>
          <w:b/>
          <w:bCs/>
          <w:i/>
          <w:iCs/>
          <w:color w:val="000000"/>
          <w:sz w:val="18"/>
          <w:szCs w:val="18"/>
        </w:rPr>
        <w:t>Qualify</w:t>
      </w:r>
      <w:r>
        <w:rPr>
          <w:rFonts w:ascii="Arial" w:eastAsia="Arial" w:hAnsi="Arial" w:cs="Arial"/>
          <w:b/>
          <w:bCs/>
          <w:i/>
          <w:iCs/>
          <w:color w:val="000000"/>
          <w:sz w:val="18"/>
          <w:szCs w:val="18"/>
        </w:rPr>
        <w:t>ing Termination</w:t>
      </w:r>
      <w:r>
        <w:rPr>
          <w:rFonts w:ascii="Arial" w:eastAsia="Arial" w:hAnsi="Arial" w:cs="Arial"/>
          <w:color w:val="000000"/>
          <w:sz w:val="18"/>
          <w:szCs w:val="18"/>
        </w:rPr>
        <w:t>”). Each NEO has executed a</w:t>
      </w:r>
      <w:r>
        <w:rPr>
          <w:rFonts w:ascii="Arial" w:eastAsia="Arial" w:hAnsi="Arial" w:cs="Arial"/>
          <w:b/>
          <w:bCs/>
          <w:i/>
          <w:iCs/>
          <w:color w:val="000000"/>
          <w:sz w:val="18"/>
          <w:szCs w:val="18"/>
        </w:rPr>
        <w:t xml:space="preserve"> </w:t>
      </w:r>
      <w:r>
        <w:rPr>
          <w:rFonts w:ascii="Arial" w:eastAsia="Arial" w:hAnsi="Arial" w:cs="Arial"/>
          <w:color w:val="000000"/>
          <w:sz w:val="18"/>
          <w:szCs w:val="18"/>
        </w:rPr>
        <w:t xml:space="preserve">participation and restrictive covenant agreement to participate in the Change in Control Severance Plan, which contains restrictive covenants in favor of the Company relating to non-competition, non-solicitation, </w:t>
      </w:r>
      <w:r>
        <w:rPr>
          <w:rFonts w:ascii="Arial" w:eastAsia="Arial" w:hAnsi="Arial" w:cs="Arial"/>
          <w:color w:val="000000"/>
          <w:sz w:val="18"/>
          <w:szCs w:val="18"/>
        </w:rPr>
        <w:t>non-disclosure, and non-disparagement. In the event of a CIC Qualifying Termination under the Change in Control Severance Plan, the NEO would receive, in lieu of any severance benefits under any other arrangement with the participant, the following severan</w:t>
      </w:r>
      <w:r>
        <w:rPr>
          <w:rFonts w:ascii="Arial" w:eastAsia="Arial" w:hAnsi="Arial" w:cs="Arial"/>
          <w:color w:val="000000"/>
          <w:sz w:val="18"/>
          <w:szCs w:val="18"/>
        </w:rPr>
        <w:t>ce benefits:</w:t>
      </w:r>
    </w:p>
    <w:p w:rsidR="00A621E3" w:rsidRDefault="00A621E3">
      <w:pPr>
        <w:spacing w:line="260" w:lineRule="exact"/>
        <w:rPr>
          <w:sz w:val="20"/>
          <w:szCs w:val="20"/>
        </w:rPr>
      </w:pPr>
    </w:p>
    <w:p w:rsidR="00A621E3" w:rsidRDefault="00EC630E">
      <w:pPr>
        <w:numPr>
          <w:ilvl w:val="0"/>
          <w:numId w:val="117"/>
        </w:numPr>
        <w:tabs>
          <w:tab w:val="left" w:pos="360"/>
        </w:tabs>
        <w:spacing w:line="255" w:lineRule="auto"/>
        <w:ind w:left="360" w:hanging="190"/>
        <w:jc w:val="both"/>
        <w:rPr>
          <w:rFonts w:ascii="Arial" w:eastAsia="Arial" w:hAnsi="Arial" w:cs="Arial"/>
          <w:color w:val="CF0A2C"/>
          <w:sz w:val="19"/>
          <w:szCs w:val="19"/>
        </w:rPr>
      </w:pPr>
      <w:r>
        <w:rPr>
          <w:rFonts w:ascii="Arial" w:eastAsia="Arial" w:hAnsi="Arial" w:cs="Arial"/>
          <w:sz w:val="19"/>
          <w:szCs w:val="19"/>
        </w:rPr>
        <w:t>An amount equal to the “</w:t>
      </w:r>
      <w:r>
        <w:rPr>
          <w:rFonts w:ascii="Arial" w:eastAsia="Arial" w:hAnsi="Arial" w:cs="Arial"/>
          <w:b/>
          <w:bCs/>
          <w:i/>
          <w:iCs/>
          <w:sz w:val="19"/>
          <w:szCs w:val="19"/>
        </w:rPr>
        <w:t>Severance Multiple</w:t>
      </w:r>
      <w:r>
        <w:rPr>
          <w:rFonts w:ascii="Arial" w:eastAsia="Arial" w:hAnsi="Arial" w:cs="Arial"/>
          <w:sz w:val="19"/>
          <w:szCs w:val="19"/>
        </w:rPr>
        <w:t xml:space="preserve">” multiplied by the sum of (x) such NEO’s monthly base salary in effect immediately prior to a CIC Qualifying Termination (or prior to any reduction for purposes of good reason) and (y) 1/12 of the </w:t>
      </w:r>
      <w:r>
        <w:rPr>
          <w:rFonts w:ascii="Arial" w:eastAsia="Arial" w:hAnsi="Arial" w:cs="Arial"/>
          <w:sz w:val="19"/>
          <w:szCs w:val="19"/>
        </w:rPr>
        <w:t>greater of such NEO’s annual target cash bonus for the calendar year in which the CIC Qualifying Termination occurs and the most recent annual cash bonus paid to the NEO, with such amounts payable over the 12-month period following the NEO’s termination of</w:t>
      </w:r>
      <w:r>
        <w:rPr>
          <w:rFonts w:ascii="Arial" w:eastAsia="Arial" w:hAnsi="Arial" w:cs="Arial"/>
          <w:sz w:val="19"/>
          <w:szCs w:val="19"/>
        </w:rPr>
        <w:t xml:space="preserve"> employment. The Severance Multiple is 30 for the CEO and 24 for each of the other participating NEOs.</w:t>
      </w:r>
    </w:p>
    <w:p w:rsidR="00A621E3" w:rsidRDefault="00A621E3">
      <w:pPr>
        <w:spacing w:line="267" w:lineRule="exact"/>
        <w:rPr>
          <w:rFonts w:ascii="Arial" w:eastAsia="Arial" w:hAnsi="Arial" w:cs="Arial"/>
          <w:color w:val="CF0A2C"/>
          <w:sz w:val="19"/>
          <w:szCs w:val="19"/>
        </w:rPr>
      </w:pPr>
    </w:p>
    <w:p w:rsidR="00A621E3" w:rsidRDefault="00EC630E">
      <w:pPr>
        <w:numPr>
          <w:ilvl w:val="0"/>
          <w:numId w:val="117"/>
        </w:numPr>
        <w:tabs>
          <w:tab w:val="left" w:pos="360"/>
        </w:tabs>
        <w:spacing w:line="282" w:lineRule="auto"/>
        <w:ind w:left="360" w:hanging="190"/>
        <w:jc w:val="both"/>
        <w:rPr>
          <w:rFonts w:ascii="Arial" w:eastAsia="Arial" w:hAnsi="Arial" w:cs="Arial"/>
          <w:color w:val="CF0A2C"/>
          <w:sz w:val="18"/>
          <w:szCs w:val="18"/>
        </w:rPr>
      </w:pPr>
      <w:r>
        <w:rPr>
          <w:rFonts w:ascii="Arial" w:eastAsia="Arial" w:hAnsi="Arial" w:cs="Arial"/>
          <w:sz w:val="18"/>
          <w:szCs w:val="18"/>
        </w:rPr>
        <w:t>Any accrued, but unpaid as of the date of the CIC Qualifying Termination, annual cash bonus for any completed fiscal year preceding a CIC Qualifying Ter</w:t>
      </w:r>
      <w:r>
        <w:rPr>
          <w:rFonts w:ascii="Arial" w:eastAsia="Arial" w:hAnsi="Arial" w:cs="Arial"/>
          <w:sz w:val="18"/>
          <w:szCs w:val="18"/>
        </w:rPr>
        <w:t>mination, to be paid within 60 days of the CIC Qualifying Termination.</w:t>
      </w:r>
    </w:p>
    <w:p w:rsidR="00A621E3" w:rsidRDefault="00A621E3">
      <w:pPr>
        <w:spacing w:line="242" w:lineRule="exact"/>
        <w:rPr>
          <w:rFonts w:ascii="Arial" w:eastAsia="Arial" w:hAnsi="Arial" w:cs="Arial"/>
          <w:color w:val="CF0A2C"/>
          <w:sz w:val="18"/>
          <w:szCs w:val="18"/>
        </w:rPr>
      </w:pPr>
    </w:p>
    <w:p w:rsidR="00A621E3" w:rsidRDefault="00EC630E">
      <w:pPr>
        <w:numPr>
          <w:ilvl w:val="0"/>
          <w:numId w:val="117"/>
        </w:numPr>
        <w:tabs>
          <w:tab w:val="left" w:pos="360"/>
        </w:tabs>
        <w:spacing w:line="260" w:lineRule="auto"/>
        <w:ind w:left="360" w:right="20" w:hanging="190"/>
        <w:rPr>
          <w:rFonts w:ascii="Arial" w:eastAsia="Arial" w:hAnsi="Arial" w:cs="Arial"/>
          <w:color w:val="CF0A2C"/>
          <w:sz w:val="20"/>
          <w:szCs w:val="20"/>
        </w:rPr>
      </w:pPr>
      <w:r>
        <w:rPr>
          <w:rFonts w:ascii="Arial" w:eastAsia="Arial" w:hAnsi="Arial" w:cs="Arial"/>
          <w:sz w:val="20"/>
          <w:szCs w:val="20"/>
        </w:rPr>
        <w:t>Accrued benefits under any retirement plan or health or welfare plan.</w:t>
      </w:r>
    </w:p>
    <w:p w:rsidR="00A621E3" w:rsidRDefault="00A621E3">
      <w:pPr>
        <w:spacing w:line="257" w:lineRule="exact"/>
        <w:rPr>
          <w:rFonts w:ascii="Arial" w:eastAsia="Arial" w:hAnsi="Arial" w:cs="Arial"/>
          <w:color w:val="CF0A2C"/>
          <w:sz w:val="20"/>
          <w:szCs w:val="20"/>
        </w:rPr>
      </w:pPr>
    </w:p>
    <w:p w:rsidR="00A621E3" w:rsidRDefault="00EC630E">
      <w:pPr>
        <w:numPr>
          <w:ilvl w:val="0"/>
          <w:numId w:val="117"/>
        </w:numPr>
        <w:tabs>
          <w:tab w:val="left" w:pos="360"/>
        </w:tabs>
        <w:spacing w:line="260" w:lineRule="auto"/>
        <w:ind w:left="360" w:hanging="190"/>
        <w:rPr>
          <w:rFonts w:ascii="Arial" w:eastAsia="Arial" w:hAnsi="Arial" w:cs="Arial"/>
          <w:color w:val="CF0A2C"/>
          <w:sz w:val="20"/>
          <w:szCs w:val="20"/>
        </w:rPr>
      </w:pPr>
      <w:r>
        <w:rPr>
          <w:rFonts w:ascii="Arial" w:eastAsia="Arial" w:hAnsi="Arial" w:cs="Arial"/>
          <w:sz w:val="20"/>
          <w:szCs w:val="20"/>
        </w:rPr>
        <w:t>If permitted by the terms of the Company’s health plan and applicable law, continued health insurance cover-</w:t>
      </w:r>
    </w:p>
    <w:p w:rsidR="00A621E3" w:rsidRDefault="00A621E3">
      <w:pPr>
        <w:spacing w:line="265" w:lineRule="exact"/>
        <w:rPr>
          <w:sz w:val="20"/>
          <w:szCs w:val="20"/>
        </w:rPr>
      </w:pPr>
    </w:p>
    <w:p w:rsidR="00A621E3" w:rsidRDefault="00EC630E">
      <w:pPr>
        <w:numPr>
          <w:ilvl w:val="0"/>
          <w:numId w:val="118"/>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201356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0" w:lineRule="exact"/>
        <w:rPr>
          <w:sz w:val="20"/>
          <w:szCs w:val="20"/>
        </w:rPr>
      </w:pPr>
    </w:p>
    <w:p w:rsidR="00A621E3" w:rsidRDefault="00EC630E">
      <w:pPr>
        <w:spacing w:line="244" w:lineRule="auto"/>
        <w:ind w:left="200" w:right="20"/>
        <w:jc w:val="both"/>
        <w:rPr>
          <w:sz w:val="20"/>
          <w:szCs w:val="20"/>
        </w:rPr>
      </w:pPr>
      <w:r>
        <w:rPr>
          <w:rFonts w:ascii="Arial" w:eastAsia="Arial" w:hAnsi="Arial" w:cs="Arial"/>
          <w:sz w:val="20"/>
          <w:szCs w:val="20"/>
        </w:rPr>
        <w:t xml:space="preserve">age, subsidized by the Company at active employee rates, through the earlier of the one-year anniversary of the participant’s termination of employment and the participant becoming eligible for health insurance </w:t>
      </w:r>
      <w:r>
        <w:rPr>
          <w:rFonts w:ascii="Arial" w:eastAsia="Arial" w:hAnsi="Arial" w:cs="Arial"/>
          <w:sz w:val="20"/>
          <w:szCs w:val="20"/>
        </w:rPr>
        <w:t>coverage under another employer’s plan.</w:t>
      </w:r>
    </w:p>
    <w:p w:rsidR="00A621E3" w:rsidRDefault="00EC630E">
      <w:pPr>
        <w:spacing w:line="20" w:lineRule="exact"/>
        <w:rPr>
          <w:sz w:val="20"/>
          <w:szCs w:val="20"/>
        </w:rPr>
      </w:pPr>
      <w:r>
        <w:rPr>
          <w:noProof/>
          <w:sz w:val="20"/>
          <w:szCs w:val="20"/>
        </w:rPr>
        <w:drawing>
          <wp:anchor distT="0" distB="0" distL="114300" distR="114300" simplePos="0" relativeHeight="252014592" behindDoc="1" locked="0" layoutInCell="0" allowOverlap="1">
            <wp:simplePos x="0" y="0"/>
            <wp:positionH relativeFrom="column">
              <wp:posOffset>-3651885</wp:posOffset>
            </wp:positionH>
            <wp:positionV relativeFrom="paragraph">
              <wp:posOffset>-1622425</wp:posOffset>
            </wp:positionV>
            <wp:extent cx="7174865" cy="55880"/>
            <wp:effectExtent l="0" t="0" r="0" b="0"/>
            <wp:wrapNone/>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p>
    <w:p w:rsidR="00A621E3" w:rsidRDefault="00A621E3">
      <w:pPr>
        <w:spacing w:line="255" w:lineRule="exact"/>
        <w:rPr>
          <w:sz w:val="20"/>
          <w:szCs w:val="20"/>
        </w:rPr>
      </w:pPr>
    </w:p>
    <w:p w:rsidR="00A621E3" w:rsidRDefault="00EC630E">
      <w:pPr>
        <w:numPr>
          <w:ilvl w:val="0"/>
          <w:numId w:val="119"/>
        </w:numPr>
        <w:tabs>
          <w:tab w:val="left" w:pos="240"/>
        </w:tabs>
        <w:spacing w:line="269" w:lineRule="auto"/>
        <w:ind w:left="240" w:right="20" w:hanging="192"/>
        <w:jc w:val="both"/>
        <w:rPr>
          <w:rFonts w:ascii="Arial" w:eastAsia="Arial" w:hAnsi="Arial" w:cs="Arial"/>
          <w:color w:val="CF0A2C"/>
          <w:sz w:val="19"/>
          <w:szCs w:val="19"/>
        </w:rPr>
      </w:pPr>
      <w:r>
        <w:rPr>
          <w:rFonts w:ascii="Arial" w:eastAsia="Arial" w:hAnsi="Arial" w:cs="Arial"/>
          <w:sz w:val="19"/>
          <w:szCs w:val="19"/>
        </w:rPr>
        <w:t>Outplacement services, in an aggregate cost to the Company not to exceed $25,000, for a one-year period (or, if earlier, until the NEO accepts an offer of employment).</w:t>
      </w:r>
    </w:p>
    <w:p w:rsidR="00A621E3" w:rsidRDefault="00A621E3">
      <w:pPr>
        <w:spacing w:line="210" w:lineRule="exact"/>
        <w:rPr>
          <w:sz w:val="20"/>
          <w:szCs w:val="20"/>
        </w:rPr>
      </w:pPr>
    </w:p>
    <w:p w:rsidR="00A621E3" w:rsidRDefault="00EC630E">
      <w:pPr>
        <w:spacing w:line="268" w:lineRule="auto"/>
        <w:jc w:val="both"/>
        <w:rPr>
          <w:sz w:val="20"/>
          <w:szCs w:val="20"/>
        </w:rPr>
      </w:pPr>
      <w:r>
        <w:rPr>
          <w:rFonts w:ascii="Arial" w:eastAsia="Arial" w:hAnsi="Arial" w:cs="Arial"/>
          <w:sz w:val="18"/>
          <w:szCs w:val="18"/>
        </w:rPr>
        <w:t xml:space="preserve">Under the terms of our equity agreements, </w:t>
      </w:r>
      <w:r>
        <w:rPr>
          <w:rFonts w:ascii="Arial" w:eastAsia="Arial" w:hAnsi="Arial" w:cs="Arial"/>
          <w:sz w:val="18"/>
          <w:szCs w:val="18"/>
        </w:rPr>
        <w:t xml:space="preserve">all outstanding SARs and RSUs would fully and immediately vest following a change in control of the Company if the NEO is employed on the date of the change in control and is involuntarily terminated (other than for cause) on or within two years following </w:t>
      </w:r>
      <w:r>
        <w:rPr>
          <w:rFonts w:ascii="Arial" w:eastAsia="Arial" w:hAnsi="Arial" w:cs="Arial"/>
          <w:sz w:val="18"/>
          <w:szCs w:val="18"/>
        </w:rPr>
        <w:t>the change in control. Under the terms of the outstanding PSU awards, if the NEO is employed on the date of the change in control and resigns for good reason or is involuntarily terminated other than for cause within two years following a change in control</w:t>
      </w:r>
      <w:r>
        <w:rPr>
          <w:rFonts w:ascii="Arial" w:eastAsia="Arial" w:hAnsi="Arial" w:cs="Arial"/>
          <w:sz w:val="18"/>
          <w:szCs w:val="18"/>
        </w:rPr>
        <w:t>, then vesting shall be measured based on the greater of (i) actual performance for the performance period through the date of termination of employment and (ii) target performance (provided, however, that if the change in control and termination of employ</w:t>
      </w:r>
      <w:r>
        <w:rPr>
          <w:rFonts w:ascii="Arial" w:eastAsia="Arial" w:hAnsi="Arial" w:cs="Arial"/>
          <w:sz w:val="18"/>
          <w:szCs w:val="18"/>
        </w:rPr>
        <w:t>ment occur during the first year of the performance period, then performance will be measured based on target performance). In addition, beginning with the 2020 equity awards, if awards are not effectively assumed in a change in control of the Company, the</w:t>
      </w:r>
      <w:r>
        <w:rPr>
          <w:rFonts w:ascii="Arial" w:eastAsia="Arial" w:hAnsi="Arial" w:cs="Arial"/>
          <w:sz w:val="18"/>
          <w:szCs w:val="18"/>
        </w:rPr>
        <w:t>n the awards will vest in full upon such change in control with any stock price performance goal vesting based on the per share transaction price in such change in control and the other performance goals vesting at the greater of actual performance through</w:t>
      </w:r>
      <w:r>
        <w:rPr>
          <w:rFonts w:ascii="Arial" w:eastAsia="Arial" w:hAnsi="Arial" w:cs="Arial"/>
          <w:sz w:val="18"/>
          <w:szCs w:val="18"/>
        </w:rPr>
        <w:t xml:space="preserve"> the date of the change in control and target performance (provided, however, if the change in control occurs during the first year of the performance period, then performance will be measured based on target performance).</w:t>
      </w: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92" w:name="page92"/>
      <w:bookmarkEnd w:id="92"/>
      <w:r>
        <w:rPr>
          <w:rFonts w:ascii="Arial" w:eastAsia="Arial" w:hAnsi="Arial" w:cs="Arial"/>
          <w:b/>
          <w:bCs/>
          <w:noProof/>
          <w:color w:val="0000EE"/>
          <w:sz w:val="18"/>
          <w:szCs w:val="18"/>
          <w:u w:val="single"/>
        </w:rPr>
        <w:drawing>
          <wp:anchor distT="0" distB="0" distL="114300" distR="114300" simplePos="0" relativeHeight="25201561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w:t>
      </w:r>
      <w:r>
        <w:rPr>
          <w:rFonts w:ascii="Arial" w:eastAsia="Arial" w:hAnsi="Arial" w:cs="Arial"/>
          <w:b/>
          <w:bCs/>
          <w:color w:val="0000EE"/>
          <w:sz w:val="18"/>
          <w:szCs w:val="18"/>
          <w:u w:val="single"/>
        </w:rPr>
        <w:t xml:space="preserve"> of Contents</w:t>
      </w:r>
    </w:p>
    <w:p w:rsidR="00A621E3" w:rsidRDefault="00EC630E">
      <w:pPr>
        <w:spacing w:line="20" w:lineRule="exact"/>
        <w:rPr>
          <w:sz w:val="20"/>
          <w:szCs w:val="20"/>
        </w:rPr>
      </w:pPr>
      <w:r>
        <w:rPr>
          <w:noProof/>
          <w:sz w:val="20"/>
          <w:szCs w:val="20"/>
        </w:rPr>
        <w:drawing>
          <wp:anchor distT="0" distB="0" distL="114300" distR="114300" simplePos="0" relativeHeight="252016640"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680"/>
        <w:rPr>
          <w:sz w:val="20"/>
          <w:szCs w:val="20"/>
        </w:rPr>
      </w:pPr>
      <w:r>
        <w:rPr>
          <w:rFonts w:ascii="Arial" w:eastAsia="Arial" w:hAnsi="Arial" w:cs="Arial"/>
          <w:b/>
          <w:bCs/>
          <w:color w:val="FFFFFF"/>
          <w:sz w:val="16"/>
          <w:szCs w:val="16"/>
        </w:rPr>
        <w:t>EXECUTIVE COMPENSATION</w:t>
      </w:r>
    </w:p>
    <w:p w:rsidR="00A621E3" w:rsidRDefault="00A621E3">
      <w:pPr>
        <w:spacing w:line="209" w:lineRule="exact"/>
        <w:rPr>
          <w:sz w:val="20"/>
          <w:szCs w:val="20"/>
        </w:rPr>
      </w:pPr>
    </w:p>
    <w:p w:rsidR="00A621E3" w:rsidRDefault="00EC630E">
      <w:pPr>
        <w:spacing w:line="291" w:lineRule="auto"/>
        <w:ind w:left="120" w:right="20"/>
        <w:jc w:val="both"/>
        <w:rPr>
          <w:sz w:val="20"/>
          <w:szCs w:val="20"/>
        </w:rPr>
      </w:pPr>
      <w:r>
        <w:rPr>
          <w:rFonts w:ascii="Arial" w:eastAsia="Arial" w:hAnsi="Arial" w:cs="Arial"/>
          <w:sz w:val="18"/>
          <w:szCs w:val="18"/>
        </w:rPr>
        <w:t>The below table shows the maximum amount of payments and other benefits that each NEO would have received upon a change in control and qualifying termination on December 31, 2022 under the terms of the change in cont</w:t>
      </w:r>
      <w:r>
        <w:rPr>
          <w:rFonts w:ascii="Arial" w:eastAsia="Arial" w:hAnsi="Arial" w:cs="Arial"/>
          <w:sz w:val="18"/>
          <w:szCs w:val="18"/>
        </w:rPr>
        <w:t>rol severance plan and the Company’s equity award agreements, excluding the Lavazza ESOP Grants, assuming target performance of the PSUs for purposes of this disclosure.</w:t>
      </w:r>
    </w:p>
    <w:p w:rsidR="00A621E3" w:rsidRDefault="00A621E3">
      <w:pPr>
        <w:spacing w:line="22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380"/>
        <w:gridCol w:w="100"/>
        <w:gridCol w:w="940"/>
        <w:gridCol w:w="980"/>
        <w:gridCol w:w="880"/>
        <w:gridCol w:w="900"/>
        <w:gridCol w:w="760"/>
        <w:gridCol w:w="80"/>
      </w:tblGrid>
      <w:tr w:rsidR="00A621E3">
        <w:trPr>
          <w:trHeight w:val="184"/>
        </w:trPr>
        <w:tc>
          <w:tcPr>
            <w:tcW w:w="6380" w:type="dxa"/>
            <w:vAlign w:val="bottom"/>
          </w:tcPr>
          <w:p w:rsidR="00A621E3" w:rsidRDefault="00A621E3">
            <w:pPr>
              <w:rPr>
                <w:sz w:val="16"/>
                <w:szCs w:val="16"/>
              </w:rPr>
            </w:pPr>
          </w:p>
        </w:tc>
        <w:tc>
          <w:tcPr>
            <w:tcW w:w="100" w:type="dxa"/>
            <w:tcBorders>
              <w:top w:val="single" w:sz="8" w:space="0" w:color="CF0A2C"/>
            </w:tcBorders>
            <w:shd w:val="clear" w:color="auto" w:fill="FAE6E9"/>
            <w:vAlign w:val="bottom"/>
          </w:tcPr>
          <w:p w:rsidR="00A621E3" w:rsidRDefault="00A621E3">
            <w:pPr>
              <w:rPr>
                <w:sz w:val="16"/>
                <w:szCs w:val="16"/>
              </w:rPr>
            </w:pPr>
          </w:p>
        </w:tc>
        <w:tc>
          <w:tcPr>
            <w:tcW w:w="940" w:type="dxa"/>
            <w:tcBorders>
              <w:top w:val="single" w:sz="8" w:space="0" w:color="CF0A2C"/>
            </w:tcBorders>
            <w:shd w:val="clear" w:color="auto" w:fill="FAE6E9"/>
            <w:vAlign w:val="bottom"/>
          </w:tcPr>
          <w:p w:rsidR="00A621E3" w:rsidRDefault="00EC630E">
            <w:pPr>
              <w:ind w:right="284"/>
              <w:jc w:val="right"/>
              <w:rPr>
                <w:sz w:val="20"/>
                <w:szCs w:val="20"/>
              </w:rPr>
            </w:pPr>
            <w:r>
              <w:rPr>
                <w:rFonts w:ascii="Arial" w:eastAsia="Arial" w:hAnsi="Arial" w:cs="Arial"/>
                <w:b/>
                <w:bCs/>
                <w:color w:val="CF0A2C"/>
                <w:sz w:val="16"/>
                <w:szCs w:val="16"/>
              </w:rPr>
              <w:t>Wat</w:t>
            </w:r>
          </w:p>
        </w:tc>
        <w:tc>
          <w:tcPr>
            <w:tcW w:w="980" w:type="dxa"/>
            <w:tcBorders>
              <w:top w:val="single" w:sz="8" w:space="0" w:color="CF0A2C"/>
            </w:tcBorders>
            <w:shd w:val="clear" w:color="auto" w:fill="FAE6E9"/>
            <w:vAlign w:val="bottom"/>
          </w:tcPr>
          <w:p w:rsidR="00A621E3" w:rsidRDefault="00EC630E">
            <w:pPr>
              <w:ind w:right="186"/>
              <w:jc w:val="right"/>
              <w:rPr>
                <w:sz w:val="20"/>
                <w:szCs w:val="20"/>
              </w:rPr>
            </w:pPr>
            <w:r>
              <w:rPr>
                <w:rFonts w:ascii="Arial" w:eastAsia="Arial" w:hAnsi="Arial" w:cs="Arial"/>
                <w:b/>
                <w:bCs/>
                <w:color w:val="CF0A2C"/>
                <w:sz w:val="16"/>
                <w:szCs w:val="16"/>
              </w:rPr>
              <w:t>Yeung</w:t>
            </w:r>
          </w:p>
        </w:tc>
        <w:tc>
          <w:tcPr>
            <w:tcW w:w="880" w:type="dxa"/>
            <w:tcBorders>
              <w:top w:val="single" w:sz="8" w:space="0" w:color="CF0A2C"/>
            </w:tcBorders>
            <w:shd w:val="clear" w:color="auto" w:fill="FAE6E9"/>
            <w:vAlign w:val="bottom"/>
          </w:tcPr>
          <w:p w:rsidR="00A621E3" w:rsidRDefault="00EC630E">
            <w:pPr>
              <w:ind w:right="186"/>
              <w:jc w:val="right"/>
              <w:rPr>
                <w:sz w:val="20"/>
                <w:szCs w:val="20"/>
              </w:rPr>
            </w:pPr>
            <w:r>
              <w:rPr>
                <w:rFonts w:ascii="Arial" w:eastAsia="Arial" w:hAnsi="Arial" w:cs="Arial"/>
                <w:b/>
                <w:bCs/>
                <w:color w:val="CF0A2C"/>
                <w:sz w:val="16"/>
                <w:szCs w:val="16"/>
              </w:rPr>
              <w:t>Chan</w:t>
            </w:r>
          </w:p>
        </w:tc>
        <w:tc>
          <w:tcPr>
            <w:tcW w:w="900" w:type="dxa"/>
            <w:tcBorders>
              <w:top w:val="single" w:sz="8" w:space="0" w:color="CF0A2C"/>
            </w:tcBorders>
            <w:shd w:val="clear" w:color="auto" w:fill="FAE6E9"/>
            <w:vAlign w:val="bottom"/>
          </w:tcPr>
          <w:p w:rsidR="00A621E3" w:rsidRDefault="00EC630E">
            <w:pPr>
              <w:ind w:right="146"/>
              <w:jc w:val="right"/>
              <w:rPr>
                <w:sz w:val="20"/>
                <w:szCs w:val="20"/>
              </w:rPr>
            </w:pPr>
            <w:r>
              <w:rPr>
                <w:rFonts w:ascii="Arial" w:eastAsia="Arial" w:hAnsi="Arial" w:cs="Arial"/>
                <w:b/>
                <w:bCs/>
                <w:color w:val="CF0A2C"/>
                <w:sz w:val="16"/>
                <w:szCs w:val="16"/>
              </w:rPr>
              <w:t>Huang</w:t>
            </w:r>
          </w:p>
        </w:tc>
        <w:tc>
          <w:tcPr>
            <w:tcW w:w="840" w:type="dxa"/>
            <w:gridSpan w:val="2"/>
            <w:tcBorders>
              <w:top w:val="single" w:sz="8" w:space="0" w:color="CF0A2C"/>
            </w:tcBorders>
            <w:shd w:val="clear" w:color="auto" w:fill="FAE6E9"/>
            <w:vAlign w:val="bottom"/>
          </w:tcPr>
          <w:p w:rsidR="00A621E3" w:rsidRDefault="00EC630E">
            <w:pPr>
              <w:ind w:right="220"/>
              <w:jc w:val="right"/>
              <w:rPr>
                <w:sz w:val="20"/>
                <w:szCs w:val="20"/>
              </w:rPr>
            </w:pPr>
            <w:r>
              <w:rPr>
                <w:rFonts w:ascii="Arial" w:eastAsia="Arial" w:hAnsi="Arial" w:cs="Arial"/>
                <w:b/>
                <w:bCs/>
                <w:color w:val="CF0A2C"/>
                <w:sz w:val="16"/>
                <w:szCs w:val="16"/>
              </w:rPr>
              <w:t>Yuen</w:t>
            </w:r>
          </w:p>
        </w:tc>
      </w:tr>
      <w:tr w:rsidR="00A621E3">
        <w:trPr>
          <w:trHeight w:val="215"/>
        </w:trPr>
        <w:tc>
          <w:tcPr>
            <w:tcW w:w="6380" w:type="dxa"/>
            <w:vAlign w:val="bottom"/>
          </w:tcPr>
          <w:p w:rsidR="00A621E3" w:rsidRDefault="00A621E3">
            <w:pPr>
              <w:rPr>
                <w:sz w:val="18"/>
                <w:szCs w:val="18"/>
              </w:rPr>
            </w:pPr>
          </w:p>
        </w:tc>
        <w:tc>
          <w:tcPr>
            <w:tcW w:w="1040" w:type="dxa"/>
            <w:gridSpan w:val="2"/>
            <w:tcBorders>
              <w:bottom w:val="single" w:sz="8" w:space="0" w:color="CF0A2C"/>
            </w:tcBorders>
            <w:shd w:val="clear" w:color="auto" w:fill="FAE6E9"/>
            <w:vAlign w:val="bottom"/>
          </w:tcPr>
          <w:p w:rsidR="00A621E3" w:rsidRDefault="00EC630E">
            <w:pPr>
              <w:ind w:right="384"/>
              <w:jc w:val="right"/>
              <w:rPr>
                <w:sz w:val="20"/>
                <w:szCs w:val="20"/>
              </w:rPr>
            </w:pPr>
            <w:r>
              <w:rPr>
                <w:rFonts w:ascii="Arial" w:eastAsia="Arial" w:hAnsi="Arial" w:cs="Arial"/>
                <w:b/>
                <w:bCs/>
                <w:color w:val="CF0A2C"/>
                <w:sz w:val="16"/>
                <w:szCs w:val="16"/>
              </w:rPr>
              <w:t>$</w:t>
            </w:r>
          </w:p>
        </w:tc>
        <w:tc>
          <w:tcPr>
            <w:tcW w:w="980" w:type="dxa"/>
            <w:tcBorders>
              <w:bottom w:val="single" w:sz="8" w:space="0" w:color="CF0A2C"/>
            </w:tcBorders>
            <w:shd w:val="clear" w:color="auto" w:fill="FAE6E9"/>
            <w:vAlign w:val="bottom"/>
          </w:tcPr>
          <w:p w:rsidR="00A621E3" w:rsidRDefault="00EC630E">
            <w:pPr>
              <w:ind w:right="386"/>
              <w:jc w:val="right"/>
              <w:rPr>
                <w:sz w:val="20"/>
                <w:szCs w:val="20"/>
              </w:rPr>
            </w:pPr>
            <w:r>
              <w:rPr>
                <w:rFonts w:ascii="Arial" w:eastAsia="Arial" w:hAnsi="Arial" w:cs="Arial"/>
                <w:b/>
                <w:bCs/>
                <w:color w:val="CF0A2C"/>
                <w:sz w:val="16"/>
                <w:szCs w:val="16"/>
              </w:rPr>
              <w:t>$</w:t>
            </w:r>
          </w:p>
        </w:tc>
        <w:tc>
          <w:tcPr>
            <w:tcW w:w="880" w:type="dxa"/>
            <w:tcBorders>
              <w:bottom w:val="single" w:sz="8" w:space="0" w:color="CF0A2C"/>
            </w:tcBorders>
            <w:shd w:val="clear" w:color="auto" w:fill="FAE6E9"/>
            <w:vAlign w:val="bottom"/>
          </w:tcPr>
          <w:p w:rsidR="00A621E3" w:rsidRDefault="00EC630E">
            <w:pPr>
              <w:ind w:right="326"/>
              <w:jc w:val="right"/>
              <w:rPr>
                <w:sz w:val="20"/>
                <w:szCs w:val="20"/>
              </w:rPr>
            </w:pPr>
            <w:r>
              <w:rPr>
                <w:rFonts w:ascii="Arial" w:eastAsia="Arial" w:hAnsi="Arial" w:cs="Arial"/>
                <w:b/>
                <w:bCs/>
                <w:color w:val="CF0A2C"/>
                <w:sz w:val="16"/>
                <w:szCs w:val="16"/>
              </w:rPr>
              <w:t>$</w:t>
            </w:r>
          </w:p>
        </w:tc>
        <w:tc>
          <w:tcPr>
            <w:tcW w:w="900" w:type="dxa"/>
            <w:tcBorders>
              <w:bottom w:val="single" w:sz="8" w:space="0" w:color="CF0A2C"/>
            </w:tcBorders>
            <w:shd w:val="clear" w:color="auto" w:fill="FAE6E9"/>
            <w:vAlign w:val="bottom"/>
          </w:tcPr>
          <w:p w:rsidR="00A621E3" w:rsidRDefault="00EC630E">
            <w:pPr>
              <w:ind w:right="346"/>
              <w:jc w:val="right"/>
              <w:rPr>
                <w:sz w:val="20"/>
                <w:szCs w:val="20"/>
              </w:rPr>
            </w:pPr>
            <w:r>
              <w:rPr>
                <w:rFonts w:ascii="Arial" w:eastAsia="Arial" w:hAnsi="Arial" w:cs="Arial"/>
                <w:b/>
                <w:bCs/>
                <w:color w:val="CF0A2C"/>
                <w:sz w:val="16"/>
                <w:szCs w:val="16"/>
              </w:rPr>
              <w:t>$</w:t>
            </w:r>
          </w:p>
        </w:tc>
        <w:tc>
          <w:tcPr>
            <w:tcW w:w="760" w:type="dxa"/>
            <w:tcBorders>
              <w:bottom w:val="single" w:sz="8" w:space="0" w:color="CF0A2C"/>
            </w:tcBorders>
            <w:shd w:val="clear" w:color="auto" w:fill="FAE6E9"/>
            <w:vAlign w:val="bottom"/>
          </w:tcPr>
          <w:p w:rsidR="00A621E3" w:rsidRDefault="00EC630E">
            <w:pPr>
              <w:ind w:right="206"/>
              <w:jc w:val="right"/>
              <w:rPr>
                <w:sz w:val="20"/>
                <w:szCs w:val="20"/>
              </w:rPr>
            </w:pPr>
            <w:r>
              <w:rPr>
                <w:rFonts w:ascii="Arial" w:eastAsia="Arial" w:hAnsi="Arial" w:cs="Arial"/>
                <w:b/>
                <w:bCs/>
                <w:color w:val="CF0A2C"/>
                <w:sz w:val="16"/>
                <w:szCs w:val="16"/>
              </w:rPr>
              <w:t>$</w:t>
            </w:r>
          </w:p>
        </w:tc>
        <w:tc>
          <w:tcPr>
            <w:tcW w:w="80" w:type="dxa"/>
            <w:tcBorders>
              <w:bottom w:val="single" w:sz="8" w:space="0" w:color="CF0A2C"/>
            </w:tcBorders>
            <w:shd w:val="clear" w:color="auto" w:fill="FAE6E9"/>
            <w:vAlign w:val="bottom"/>
          </w:tcPr>
          <w:p w:rsidR="00A621E3" w:rsidRDefault="00A621E3">
            <w:pPr>
              <w:rPr>
                <w:sz w:val="18"/>
                <w:szCs w:val="18"/>
              </w:rPr>
            </w:pPr>
          </w:p>
        </w:tc>
      </w:tr>
      <w:tr w:rsidR="00A621E3">
        <w:trPr>
          <w:trHeight w:val="166"/>
        </w:trPr>
        <w:tc>
          <w:tcPr>
            <w:tcW w:w="6380" w:type="dxa"/>
            <w:vAlign w:val="bottom"/>
          </w:tcPr>
          <w:p w:rsidR="00A621E3" w:rsidRDefault="00EC630E">
            <w:pPr>
              <w:rPr>
                <w:sz w:val="20"/>
                <w:szCs w:val="20"/>
              </w:rPr>
            </w:pPr>
            <w:r>
              <w:rPr>
                <w:rFonts w:ascii="Arial" w:eastAsia="Arial" w:hAnsi="Arial" w:cs="Arial"/>
                <w:color w:val="CF0A2C"/>
                <w:sz w:val="14"/>
                <w:szCs w:val="14"/>
              </w:rPr>
              <w:t>Cash Severance</w:t>
            </w:r>
          </w:p>
        </w:tc>
        <w:tc>
          <w:tcPr>
            <w:tcW w:w="1040" w:type="dxa"/>
            <w:gridSpan w:val="2"/>
            <w:vAlign w:val="bottom"/>
          </w:tcPr>
          <w:p w:rsidR="00A621E3" w:rsidRDefault="00EC630E">
            <w:pPr>
              <w:ind w:right="44"/>
              <w:jc w:val="right"/>
              <w:rPr>
                <w:sz w:val="20"/>
                <w:szCs w:val="20"/>
              </w:rPr>
            </w:pPr>
            <w:r>
              <w:rPr>
                <w:rFonts w:ascii="Arial" w:eastAsia="Arial" w:hAnsi="Arial" w:cs="Arial"/>
                <w:sz w:val="14"/>
                <w:szCs w:val="14"/>
              </w:rPr>
              <w:t>12,580,615</w:t>
            </w:r>
          </w:p>
        </w:tc>
        <w:tc>
          <w:tcPr>
            <w:tcW w:w="980" w:type="dxa"/>
            <w:vAlign w:val="bottom"/>
          </w:tcPr>
          <w:p w:rsidR="00A621E3" w:rsidRDefault="00EC630E">
            <w:pPr>
              <w:ind w:right="46"/>
              <w:jc w:val="right"/>
              <w:rPr>
                <w:sz w:val="20"/>
                <w:szCs w:val="20"/>
              </w:rPr>
            </w:pPr>
            <w:r>
              <w:rPr>
                <w:rFonts w:ascii="Arial" w:eastAsia="Arial" w:hAnsi="Arial" w:cs="Arial"/>
                <w:sz w:val="14"/>
                <w:szCs w:val="14"/>
              </w:rPr>
              <w:t>3,744,328</w:t>
            </w:r>
          </w:p>
        </w:tc>
        <w:tc>
          <w:tcPr>
            <w:tcW w:w="880" w:type="dxa"/>
            <w:vAlign w:val="bottom"/>
          </w:tcPr>
          <w:p w:rsidR="00A621E3" w:rsidRDefault="00EC630E">
            <w:pPr>
              <w:ind w:right="46"/>
              <w:jc w:val="right"/>
              <w:rPr>
                <w:sz w:val="20"/>
                <w:szCs w:val="20"/>
              </w:rPr>
            </w:pPr>
            <w:r>
              <w:rPr>
                <w:rFonts w:ascii="Arial" w:eastAsia="Arial" w:hAnsi="Arial" w:cs="Arial"/>
                <w:sz w:val="14"/>
                <w:szCs w:val="14"/>
              </w:rPr>
              <w:t>2,499,934</w:t>
            </w:r>
          </w:p>
        </w:tc>
        <w:tc>
          <w:tcPr>
            <w:tcW w:w="900" w:type="dxa"/>
            <w:vAlign w:val="bottom"/>
          </w:tcPr>
          <w:p w:rsidR="00A621E3" w:rsidRDefault="00EC630E">
            <w:pPr>
              <w:ind w:right="46"/>
              <w:jc w:val="right"/>
              <w:rPr>
                <w:sz w:val="20"/>
                <w:szCs w:val="20"/>
              </w:rPr>
            </w:pPr>
            <w:r>
              <w:rPr>
                <w:rFonts w:ascii="Arial" w:eastAsia="Arial" w:hAnsi="Arial" w:cs="Arial"/>
                <w:sz w:val="14"/>
                <w:szCs w:val="14"/>
              </w:rPr>
              <w:t>3,219,282</w:t>
            </w:r>
          </w:p>
        </w:tc>
        <w:tc>
          <w:tcPr>
            <w:tcW w:w="760" w:type="dxa"/>
            <w:vAlign w:val="bottom"/>
          </w:tcPr>
          <w:p w:rsidR="00A621E3" w:rsidRDefault="00EC630E">
            <w:pPr>
              <w:jc w:val="right"/>
              <w:rPr>
                <w:sz w:val="20"/>
                <w:szCs w:val="20"/>
              </w:rPr>
            </w:pPr>
            <w:r>
              <w:rPr>
                <w:rFonts w:ascii="Arial" w:eastAsia="Arial" w:hAnsi="Arial" w:cs="Arial"/>
                <w:sz w:val="14"/>
                <w:szCs w:val="14"/>
              </w:rPr>
              <w:t>2,355,812</w:t>
            </w:r>
          </w:p>
        </w:tc>
        <w:tc>
          <w:tcPr>
            <w:tcW w:w="80" w:type="dxa"/>
            <w:vAlign w:val="bottom"/>
          </w:tcPr>
          <w:p w:rsidR="00A621E3" w:rsidRDefault="00A621E3">
            <w:pPr>
              <w:rPr>
                <w:sz w:val="14"/>
                <w:szCs w:val="14"/>
              </w:rPr>
            </w:pPr>
          </w:p>
        </w:tc>
      </w:tr>
      <w:tr w:rsidR="00A621E3">
        <w:trPr>
          <w:trHeight w:val="162"/>
        </w:trPr>
        <w:tc>
          <w:tcPr>
            <w:tcW w:w="6380" w:type="dxa"/>
            <w:vAlign w:val="bottom"/>
          </w:tcPr>
          <w:p w:rsidR="00A621E3" w:rsidRDefault="00EC630E">
            <w:pPr>
              <w:rPr>
                <w:sz w:val="20"/>
                <w:szCs w:val="20"/>
              </w:rPr>
            </w:pPr>
            <w:r>
              <w:rPr>
                <w:rFonts w:ascii="Arial" w:eastAsia="Arial" w:hAnsi="Arial" w:cs="Arial"/>
                <w:color w:val="CF0A2C"/>
                <w:sz w:val="14"/>
                <w:szCs w:val="14"/>
              </w:rPr>
              <w:t>Continued Health Insurance Coverage</w:t>
            </w:r>
          </w:p>
        </w:tc>
        <w:tc>
          <w:tcPr>
            <w:tcW w:w="1040" w:type="dxa"/>
            <w:gridSpan w:val="2"/>
            <w:vAlign w:val="bottom"/>
          </w:tcPr>
          <w:p w:rsidR="00A621E3" w:rsidRDefault="00EC630E">
            <w:pPr>
              <w:ind w:right="44"/>
              <w:jc w:val="right"/>
              <w:rPr>
                <w:sz w:val="20"/>
                <w:szCs w:val="20"/>
              </w:rPr>
            </w:pPr>
            <w:r>
              <w:rPr>
                <w:rFonts w:ascii="Arial" w:eastAsia="Arial" w:hAnsi="Arial" w:cs="Arial"/>
                <w:sz w:val="14"/>
                <w:szCs w:val="14"/>
              </w:rPr>
              <w:t>18,123</w:t>
            </w:r>
          </w:p>
        </w:tc>
        <w:tc>
          <w:tcPr>
            <w:tcW w:w="980" w:type="dxa"/>
            <w:vAlign w:val="bottom"/>
          </w:tcPr>
          <w:p w:rsidR="00A621E3" w:rsidRDefault="00EC630E">
            <w:pPr>
              <w:ind w:right="46"/>
              <w:jc w:val="right"/>
              <w:rPr>
                <w:sz w:val="20"/>
                <w:szCs w:val="20"/>
              </w:rPr>
            </w:pPr>
            <w:r>
              <w:rPr>
                <w:rFonts w:ascii="Arial" w:eastAsia="Arial" w:hAnsi="Arial" w:cs="Arial"/>
                <w:sz w:val="14"/>
                <w:szCs w:val="14"/>
              </w:rPr>
              <w:t>11,053</w:t>
            </w:r>
          </w:p>
        </w:tc>
        <w:tc>
          <w:tcPr>
            <w:tcW w:w="880" w:type="dxa"/>
            <w:vAlign w:val="bottom"/>
          </w:tcPr>
          <w:p w:rsidR="00A621E3" w:rsidRDefault="00EC630E">
            <w:pPr>
              <w:ind w:right="46"/>
              <w:jc w:val="right"/>
              <w:rPr>
                <w:sz w:val="20"/>
                <w:szCs w:val="20"/>
              </w:rPr>
            </w:pPr>
            <w:r>
              <w:rPr>
                <w:rFonts w:ascii="Arial" w:eastAsia="Arial" w:hAnsi="Arial" w:cs="Arial"/>
                <w:sz w:val="14"/>
                <w:szCs w:val="14"/>
              </w:rPr>
              <w:t>17,053</w:t>
            </w:r>
          </w:p>
        </w:tc>
        <w:tc>
          <w:tcPr>
            <w:tcW w:w="900" w:type="dxa"/>
            <w:vAlign w:val="bottom"/>
          </w:tcPr>
          <w:p w:rsidR="00A621E3" w:rsidRDefault="00EC630E">
            <w:pPr>
              <w:ind w:right="46"/>
              <w:jc w:val="right"/>
              <w:rPr>
                <w:sz w:val="20"/>
                <w:szCs w:val="20"/>
              </w:rPr>
            </w:pPr>
            <w:r>
              <w:rPr>
                <w:rFonts w:ascii="Arial" w:eastAsia="Arial" w:hAnsi="Arial" w:cs="Arial"/>
                <w:sz w:val="14"/>
                <w:szCs w:val="14"/>
              </w:rPr>
              <w:t>11,053</w:t>
            </w:r>
          </w:p>
        </w:tc>
        <w:tc>
          <w:tcPr>
            <w:tcW w:w="840" w:type="dxa"/>
            <w:gridSpan w:val="2"/>
            <w:vAlign w:val="bottom"/>
          </w:tcPr>
          <w:p w:rsidR="00A621E3" w:rsidRDefault="00EC630E">
            <w:pPr>
              <w:ind w:right="80"/>
              <w:jc w:val="right"/>
              <w:rPr>
                <w:sz w:val="20"/>
                <w:szCs w:val="20"/>
              </w:rPr>
            </w:pPr>
            <w:r>
              <w:rPr>
                <w:rFonts w:ascii="Arial" w:eastAsia="Arial" w:hAnsi="Arial" w:cs="Arial"/>
                <w:sz w:val="14"/>
                <w:szCs w:val="14"/>
              </w:rPr>
              <w:t>12,943</w:t>
            </w:r>
          </w:p>
        </w:tc>
      </w:tr>
      <w:tr w:rsidR="00A621E3">
        <w:trPr>
          <w:trHeight w:val="162"/>
        </w:trPr>
        <w:tc>
          <w:tcPr>
            <w:tcW w:w="6380" w:type="dxa"/>
            <w:vAlign w:val="bottom"/>
          </w:tcPr>
          <w:p w:rsidR="00A621E3" w:rsidRDefault="00EC630E">
            <w:pPr>
              <w:rPr>
                <w:sz w:val="20"/>
                <w:szCs w:val="20"/>
              </w:rPr>
            </w:pPr>
            <w:r>
              <w:rPr>
                <w:rFonts w:ascii="Arial" w:eastAsia="Arial" w:hAnsi="Arial" w:cs="Arial"/>
                <w:color w:val="CF0A2C"/>
                <w:sz w:val="14"/>
                <w:szCs w:val="14"/>
              </w:rPr>
              <w:t>Outplacement Services</w:t>
            </w:r>
          </w:p>
        </w:tc>
        <w:tc>
          <w:tcPr>
            <w:tcW w:w="1040" w:type="dxa"/>
            <w:gridSpan w:val="2"/>
            <w:vAlign w:val="bottom"/>
          </w:tcPr>
          <w:p w:rsidR="00A621E3" w:rsidRDefault="00EC630E">
            <w:pPr>
              <w:ind w:right="44"/>
              <w:jc w:val="right"/>
              <w:rPr>
                <w:sz w:val="20"/>
                <w:szCs w:val="20"/>
              </w:rPr>
            </w:pPr>
            <w:r>
              <w:rPr>
                <w:rFonts w:ascii="Arial" w:eastAsia="Arial" w:hAnsi="Arial" w:cs="Arial"/>
                <w:sz w:val="14"/>
                <w:szCs w:val="14"/>
              </w:rPr>
              <w:t>25,000</w:t>
            </w:r>
          </w:p>
        </w:tc>
        <w:tc>
          <w:tcPr>
            <w:tcW w:w="980" w:type="dxa"/>
            <w:vAlign w:val="bottom"/>
          </w:tcPr>
          <w:p w:rsidR="00A621E3" w:rsidRDefault="00EC630E">
            <w:pPr>
              <w:ind w:right="46"/>
              <w:jc w:val="right"/>
              <w:rPr>
                <w:sz w:val="20"/>
                <w:szCs w:val="20"/>
              </w:rPr>
            </w:pPr>
            <w:r>
              <w:rPr>
                <w:rFonts w:ascii="Arial" w:eastAsia="Arial" w:hAnsi="Arial" w:cs="Arial"/>
                <w:sz w:val="14"/>
                <w:szCs w:val="14"/>
              </w:rPr>
              <w:t>25,000</w:t>
            </w:r>
          </w:p>
        </w:tc>
        <w:tc>
          <w:tcPr>
            <w:tcW w:w="880" w:type="dxa"/>
            <w:vAlign w:val="bottom"/>
          </w:tcPr>
          <w:p w:rsidR="00A621E3" w:rsidRDefault="00EC630E">
            <w:pPr>
              <w:ind w:right="46"/>
              <w:jc w:val="right"/>
              <w:rPr>
                <w:sz w:val="20"/>
                <w:szCs w:val="20"/>
              </w:rPr>
            </w:pPr>
            <w:r>
              <w:rPr>
                <w:rFonts w:ascii="Arial" w:eastAsia="Arial" w:hAnsi="Arial" w:cs="Arial"/>
                <w:sz w:val="14"/>
                <w:szCs w:val="14"/>
              </w:rPr>
              <w:t>25,000</w:t>
            </w:r>
          </w:p>
        </w:tc>
        <w:tc>
          <w:tcPr>
            <w:tcW w:w="900" w:type="dxa"/>
            <w:vAlign w:val="bottom"/>
          </w:tcPr>
          <w:p w:rsidR="00A621E3" w:rsidRDefault="00EC630E">
            <w:pPr>
              <w:ind w:right="46"/>
              <w:jc w:val="right"/>
              <w:rPr>
                <w:sz w:val="20"/>
                <w:szCs w:val="20"/>
              </w:rPr>
            </w:pPr>
            <w:r>
              <w:rPr>
                <w:rFonts w:ascii="Arial" w:eastAsia="Arial" w:hAnsi="Arial" w:cs="Arial"/>
                <w:sz w:val="14"/>
                <w:szCs w:val="14"/>
              </w:rPr>
              <w:t>25,000</w:t>
            </w:r>
          </w:p>
        </w:tc>
        <w:tc>
          <w:tcPr>
            <w:tcW w:w="840" w:type="dxa"/>
            <w:gridSpan w:val="2"/>
            <w:vAlign w:val="bottom"/>
          </w:tcPr>
          <w:p w:rsidR="00A621E3" w:rsidRDefault="00EC630E">
            <w:pPr>
              <w:ind w:right="80"/>
              <w:jc w:val="right"/>
              <w:rPr>
                <w:sz w:val="20"/>
                <w:szCs w:val="20"/>
              </w:rPr>
            </w:pPr>
            <w:r>
              <w:rPr>
                <w:rFonts w:ascii="Arial" w:eastAsia="Arial" w:hAnsi="Arial" w:cs="Arial"/>
                <w:sz w:val="14"/>
                <w:szCs w:val="14"/>
              </w:rPr>
              <w:t>25,000</w:t>
            </w:r>
          </w:p>
        </w:tc>
      </w:tr>
      <w:tr w:rsidR="00A621E3">
        <w:trPr>
          <w:trHeight w:val="162"/>
        </w:trPr>
        <w:tc>
          <w:tcPr>
            <w:tcW w:w="6380" w:type="dxa"/>
            <w:vAlign w:val="bottom"/>
          </w:tcPr>
          <w:p w:rsidR="00A621E3" w:rsidRDefault="00EC630E">
            <w:pPr>
              <w:rPr>
                <w:sz w:val="20"/>
                <w:szCs w:val="20"/>
              </w:rPr>
            </w:pPr>
            <w:r>
              <w:rPr>
                <w:rFonts w:ascii="Arial" w:eastAsia="Arial" w:hAnsi="Arial" w:cs="Arial"/>
                <w:color w:val="CF0A2C"/>
                <w:sz w:val="14"/>
                <w:szCs w:val="14"/>
              </w:rPr>
              <w:t>Accelerated Vesting of SARs</w:t>
            </w:r>
          </w:p>
        </w:tc>
        <w:tc>
          <w:tcPr>
            <w:tcW w:w="1040" w:type="dxa"/>
            <w:gridSpan w:val="2"/>
            <w:vAlign w:val="bottom"/>
          </w:tcPr>
          <w:p w:rsidR="00A621E3" w:rsidRDefault="00EC630E">
            <w:pPr>
              <w:ind w:right="44"/>
              <w:jc w:val="right"/>
              <w:rPr>
                <w:sz w:val="20"/>
                <w:szCs w:val="20"/>
              </w:rPr>
            </w:pPr>
            <w:r>
              <w:rPr>
                <w:rFonts w:ascii="Arial" w:eastAsia="Arial" w:hAnsi="Arial" w:cs="Arial"/>
                <w:sz w:val="14"/>
                <w:szCs w:val="14"/>
              </w:rPr>
              <w:t>2,659,403</w:t>
            </w:r>
          </w:p>
        </w:tc>
        <w:tc>
          <w:tcPr>
            <w:tcW w:w="980" w:type="dxa"/>
            <w:vAlign w:val="bottom"/>
          </w:tcPr>
          <w:p w:rsidR="00A621E3" w:rsidRDefault="00EC630E">
            <w:pPr>
              <w:ind w:right="46"/>
              <w:jc w:val="right"/>
              <w:rPr>
                <w:sz w:val="20"/>
                <w:szCs w:val="20"/>
              </w:rPr>
            </w:pPr>
            <w:r>
              <w:rPr>
                <w:rFonts w:ascii="Arial" w:eastAsia="Arial" w:hAnsi="Arial" w:cs="Arial"/>
                <w:sz w:val="14"/>
                <w:szCs w:val="14"/>
              </w:rPr>
              <w:t>496,103</w:t>
            </w:r>
          </w:p>
        </w:tc>
        <w:tc>
          <w:tcPr>
            <w:tcW w:w="880" w:type="dxa"/>
            <w:vAlign w:val="bottom"/>
          </w:tcPr>
          <w:p w:rsidR="00A621E3" w:rsidRDefault="00EC630E">
            <w:pPr>
              <w:ind w:right="46"/>
              <w:jc w:val="right"/>
              <w:rPr>
                <w:sz w:val="20"/>
                <w:szCs w:val="20"/>
              </w:rPr>
            </w:pPr>
            <w:r>
              <w:rPr>
                <w:rFonts w:ascii="Arial" w:eastAsia="Arial" w:hAnsi="Arial" w:cs="Arial"/>
                <w:sz w:val="14"/>
                <w:szCs w:val="14"/>
              </w:rPr>
              <w:t>351,914</w:t>
            </w:r>
          </w:p>
        </w:tc>
        <w:tc>
          <w:tcPr>
            <w:tcW w:w="900" w:type="dxa"/>
            <w:vAlign w:val="bottom"/>
          </w:tcPr>
          <w:p w:rsidR="00A621E3" w:rsidRDefault="00EC630E">
            <w:pPr>
              <w:ind w:right="46"/>
              <w:jc w:val="right"/>
              <w:rPr>
                <w:sz w:val="20"/>
                <w:szCs w:val="20"/>
              </w:rPr>
            </w:pPr>
            <w:r>
              <w:rPr>
                <w:rFonts w:ascii="Arial" w:eastAsia="Arial" w:hAnsi="Arial" w:cs="Arial"/>
                <w:sz w:val="14"/>
                <w:szCs w:val="14"/>
              </w:rPr>
              <w:t>566,392</w:t>
            </w:r>
          </w:p>
        </w:tc>
        <w:tc>
          <w:tcPr>
            <w:tcW w:w="760" w:type="dxa"/>
            <w:vAlign w:val="bottom"/>
          </w:tcPr>
          <w:p w:rsidR="00A621E3" w:rsidRDefault="00EC630E">
            <w:pPr>
              <w:jc w:val="right"/>
              <w:rPr>
                <w:sz w:val="20"/>
                <w:szCs w:val="20"/>
              </w:rPr>
            </w:pPr>
            <w:r>
              <w:rPr>
                <w:rFonts w:ascii="Arial" w:eastAsia="Arial" w:hAnsi="Arial" w:cs="Arial"/>
                <w:sz w:val="14"/>
                <w:szCs w:val="14"/>
              </w:rPr>
              <w:t>308,583</w:t>
            </w:r>
          </w:p>
        </w:tc>
        <w:tc>
          <w:tcPr>
            <w:tcW w:w="80" w:type="dxa"/>
            <w:vAlign w:val="bottom"/>
          </w:tcPr>
          <w:p w:rsidR="00A621E3" w:rsidRDefault="00A621E3">
            <w:pPr>
              <w:rPr>
                <w:sz w:val="14"/>
                <w:szCs w:val="14"/>
              </w:rPr>
            </w:pPr>
          </w:p>
        </w:tc>
      </w:tr>
      <w:tr w:rsidR="00A621E3">
        <w:trPr>
          <w:trHeight w:val="162"/>
        </w:trPr>
        <w:tc>
          <w:tcPr>
            <w:tcW w:w="6380" w:type="dxa"/>
            <w:vAlign w:val="bottom"/>
          </w:tcPr>
          <w:p w:rsidR="00A621E3" w:rsidRDefault="00EC630E">
            <w:pPr>
              <w:rPr>
                <w:sz w:val="20"/>
                <w:szCs w:val="20"/>
              </w:rPr>
            </w:pPr>
            <w:r>
              <w:rPr>
                <w:rFonts w:ascii="Arial" w:eastAsia="Arial" w:hAnsi="Arial" w:cs="Arial"/>
                <w:color w:val="CF0A2C"/>
                <w:sz w:val="14"/>
                <w:szCs w:val="14"/>
              </w:rPr>
              <w:t>Accelerated Vesting of</w:t>
            </w:r>
            <w:r>
              <w:rPr>
                <w:rFonts w:ascii="Arial" w:eastAsia="Arial" w:hAnsi="Arial" w:cs="Arial"/>
                <w:color w:val="CF0A2C"/>
                <w:sz w:val="14"/>
                <w:szCs w:val="14"/>
              </w:rPr>
              <w:t xml:space="preserve"> RSUs</w:t>
            </w:r>
          </w:p>
        </w:tc>
        <w:tc>
          <w:tcPr>
            <w:tcW w:w="1040" w:type="dxa"/>
            <w:gridSpan w:val="2"/>
            <w:vAlign w:val="bottom"/>
          </w:tcPr>
          <w:p w:rsidR="00A621E3" w:rsidRDefault="00EC630E">
            <w:pPr>
              <w:ind w:right="44"/>
              <w:jc w:val="right"/>
              <w:rPr>
                <w:sz w:val="20"/>
                <w:szCs w:val="20"/>
              </w:rPr>
            </w:pPr>
            <w:r>
              <w:rPr>
                <w:rFonts w:ascii="Arial" w:eastAsia="Arial" w:hAnsi="Arial" w:cs="Arial"/>
                <w:sz w:val="14"/>
                <w:szCs w:val="14"/>
              </w:rPr>
              <w:t>3,856,262</w:t>
            </w:r>
          </w:p>
        </w:tc>
        <w:tc>
          <w:tcPr>
            <w:tcW w:w="980" w:type="dxa"/>
            <w:vAlign w:val="bottom"/>
          </w:tcPr>
          <w:p w:rsidR="00A621E3" w:rsidRDefault="00EC630E">
            <w:pPr>
              <w:ind w:right="46"/>
              <w:jc w:val="right"/>
              <w:rPr>
                <w:sz w:val="20"/>
                <w:szCs w:val="20"/>
              </w:rPr>
            </w:pPr>
            <w:r>
              <w:rPr>
                <w:rFonts w:ascii="Arial" w:eastAsia="Arial" w:hAnsi="Arial" w:cs="Arial"/>
                <w:sz w:val="14"/>
                <w:szCs w:val="14"/>
              </w:rPr>
              <w:t>1,900,069</w:t>
            </w:r>
          </w:p>
        </w:tc>
        <w:tc>
          <w:tcPr>
            <w:tcW w:w="880" w:type="dxa"/>
            <w:vAlign w:val="bottom"/>
          </w:tcPr>
          <w:p w:rsidR="00A621E3" w:rsidRDefault="00EC630E">
            <w:pPr>
              <w:ind w:right="46"/>
              <w:jc w:val="right"/>
              <w:rPr>
                <w:sz w:val="20"/>
                <w:szCs w:val="20"/>
              </w:rPr>
            </w:pPr>
            <w:r>
              <w:rPr>
                <w:rFonts w:ascii="Arial" w:eastAsia="Arial" w:hAnsi="Arial" w:cs="Arial"/>
                <w:sz w:val="14"/>
                <w:szCs w:val="14"/>
              </w:rPr>
              <w:t>1,719,385</w:t>
            </w:r>
          </w:p>
        </w:tc>
        <w:tc>
          <w:tcPr>
            <w:tcW w:w="900" w:type="dxa"/>
            <w:vAlign w:val="bottom"/>
          </w:tcPr>
          <w:p w:rsidR="00A621E3" w:rsidRDefault="00EC630E">
            <w:pPr>
              <w:ind w:right="46"/>
              <w:jc w:val="right"/>
              <w:rPr>
                <w:sz w:val="20"/>
                <w:szCs w:val="20"/>
              </w:rPr>
            </w:pPr>
            <w:r>
              <w:rPr>
                <w:rFonts w:ascii="Arial" w:eastAsia="Arial" w:hAnsi="Arial" w:cs="Arial"/>
                <w:sz w:val="14"/>
                <w:szCs w:val="14"/>
              </w:rPr>
              <w:t>292,825</w:t>
            </w:r>
          </w:p>
        </w:tc>
        <w:tc>
          <w:tcPr>
            <w:tcW w:w="760" w:type="dxa"/>
            <w:vAlign w:val="bottom"/>
          </w:tcPr>
          <w:p w:rsidR="00A621E3" w:rsidRDefault="00EC630E">
            <w:pPr>
              <w:jc w:val="right"/>
              <w:rPr>
                <w:sz w:val="20"/>
                <w:szCs w:val="20"/>
              </w:rPr>
            </w:pPr>
            <w:r>
              <w:rPr>
                <w:rFonts w:ascii="Arial" w:eastAsia="Arial" w:hAnsi="Arial" w:cs="Arial"/>
                <w:sz w:val="14"/>
                <w:szCs w:val="14"/>
              </w:rPr>
              <w:t>165,128</w:t>
            </w:r>
          </w:p>
        </w:tc>
        <w:tc>
          <w:tcPr>
            <w:tcW w:w="80" w:type="dxa"/>
            <w:vAlign w:val="bottom"/>
          </w:tcPr>
          <w:p w:rsidR="00A621E3" w:rsidRDefault="00A621E3">
            <w:pPr>
              <w:rPr>
                <w:sz w:val="14"/>
                <w:szCs w:val="14"/>
              </w:rPr>
            </w:pPr>
          </w:p>
        </w:tc>
      </w:tr>
      <w:tr w:rsidR="00A621E3">
        <w:trPr>
          <w:trHeight w:val="157"/>
        </w:trPr>
        <w:tc>
          <w:tcPr>
            <w:tcW w:w="6380" w:type="dxa"/>
            <w:vAlign w:val="bottom"/>
          </w:tcPr>
          <w:p w:rsidR="00A621E3" w:rsidRDefault="00EC630E">
            <w:pPr>
              <w:spacing w:line="157" w:lineRule="exact"/>
              <w:rPr>
                <w:sz w:val="20"/>
                <w:szCs w:val="20"/>
              </w:rPr>
            </w:pPr>
            <w:r>
              <w:rPr>
                <w:rFonts w:ascii="Arial" w:eastAsia="Arial" w:hAnsi="Arial" w:cs="Arial"/>
                <w:color w:val="CF0A2C"/>
                <w:sz w:val="14"/>
                <w:szCs w:val="14"/>
              </w:rPr>
              <w:t>Accelerated Vesting of PSUs</w:t>
            </w:r>
          </w:p>
        </w:tc>
        <w:tc>
          <w:tcPr>
            <w:tcW w:w="100" w:type="dxa"/>
            <w:vAlign w:val="bottom"/>
          </w:tcPr>
          <w:p w:rsidR="00A621E3" w:rsidRDefault="00A621E3">
            <w:pPr>
              <w:rPr>
                <w:sz w:val="13"/>
                <w:szCs w:val="13"/>
              </w:rPr>
            </w:pPr>
          </w:p>
        </w:tc>
        <w:tc>
          <w:tcPr>
            <w:tcW w:w="940" w:type="dxa"/>
            <w:tcBorders>
              <w:bottom w:val="single" w:sz="8" w:space="0" w:color="CF0A2C"/>
            </w:tcBorders>
            <w:vAlign w:val="bottom"/>
          </w:tcPr>
          <w:p w:rsidR="00A621E3" w:rsidRDefault="00EC630E">
            <w:pPr>
              <w:spacing w:line="157" w:lineRule="exact"/>
              <w:ind w:right="44"/>
              <w:jc w:val="right"/>
              <w:rPr>
                <w:sz w:val="20"/>
                <w:szCs w:val="20"/>
              </w:rPr>
            </w:pPr>
            <w:r>
              <w:rPr>
                <w:rFonts w:ascii="Arial" w:eastAsia="Arial" w:hAnsi="Arial" w:cs="Arial"/>
                <w:sz w:val="14"/>
                <w:szCs w:val="14"/>
              </w:rPr>
              <w:t>21,665,049</w:t>
            </w:r>
          </w:p>
        </w:tc>
        <w:tc>
          <w:tcPr>
            <w:tcW w:w="980" w:type="dxa"/>
            <w:tcBorders>
              <w:bottom w:val="single" w:sz="8" w:space="0" w:color="CF0A2C"/>
            </w:tcBorders>
            <w:vAlign w:val="bottom"/>
          </w:tcPr>
          <w:p w:rsidR="00A621E3" w:rsidRDefault="00EC630E">
            <w:pPr>
              <w:spacing w:line="157" w:lineRule="exact"/>
              <w:ind w:right="46"/>
              <w:jc w:val="right"/>
              <w:rPr>
                <w:sz w:val="20"/>
                <w:szCs w:val="20"/>
              </w:rPr>
            </w:pPr>
            <w:r>
              <w:rPr>
                <w:rFonts w:ascii="Arial" w:eastAsia="Arial" w:hAnsi="Arial" w:cs="Arial"/>
                <w:sz w:val="14"/>
                <w:szCs w:val="14"/>
              </w:rPr>
              <w:t>3,947,875</w:t>
            </w:r>
          </w:p>
        </w:tc>
        <w:tc>
          <w:tcPr>
            <w:tcW w:w="880" w:type="dxa"/>
            <w:tcBorders>
              <w:bottom w:val="single" w:sz="8" w:space="0" w:color="CF0A2C"/>
            </w:tcBorders>
            <w:vAlign w:val="bottom"/>
          </w:tcPr>
          <w:p w:rsidR="00A621E3" w:rsidRDefault="00EC630E">
            <w:pPr>
              <w:spacing w:line="157" w:lineRule="exact"/>
              <w:ind w:right="46"/>
              <w:jc w:val="right"/>
              <w:rPr>
                <w:sz w:val="20"/>
                <w:szCs w:val="20"/>
              </w:rPr>
            </w:pPr>
            <w:r>
              <w:rPr>
                <w:rFonts w:ascii="Arial" w:eastAsia="Arial" w:hAnsi="Arial" w:cs="Arial"/>
                <w:sz w:val="14"/>
                <w:szCs w:val="14"/>
              </w:rPr>
              <w:t>2,964,522</w:t>
            </w:r>
          </w:p>
        </w:tc>
        <w:tc>
          <w:tcPr>
            <w:tcW w:w="900" w:type="dxa"/>
            <w:tcBorders>
              <w:bottom w:val="single" w:sz="8" w:space="0" w:color="CF0A2C"/>
            </w:tcBorders>
            <w:vAlign w:val="bottom"/>
          </w:tcPr>
          <w:p w:rsidR="00A621E3" w:rsidRDefault="00EC630E">
            <w:pPr>
              <w:spacing w:line="157" w:lineRule="exact"/>
              <w:ind w:right="46"/>
              <w:jc w:val="right"/>
              <w:rPr>
                <w:sz w:val="20"/>
                <w:szCs w:val="20"/>
              </w:rPr>
            </w:pPr>
            <w:r>
              <w:rPr>
                <w:rFonts w:ascii="Arial" w:eastAsia="Arial" w:hAnsi="Arial" w:cs="Arial"/>
                <w:sz w:val="14"/>
                <w:szCs w:val="14"/>
              </w:rPr>
              <w:t>3,779,033</w:t>
            </w:r>
          </w:p>
        </w:tc>
        <w:tc>
          <w:tcPr>
            <w:tcW w:w="760" w:type="dxa"/>
            <w:tcBorders>
              <w:bottom w:val="single" w:sz="8" w:space="0" w:color="CF0A2C"/>
            </w:tcBorders>
            <w:vAlign w:val="bottom"/>
          </w:tcPr>
          <w:p w:rsidR="00A621E3" w:rsidRDefault="00EC630E">
            <w:pPr>
              <w:spacing w:line="157" w:lineRule="exact"/>
              <w:jc w:val="right"/>
              <w:rPr>
                <w:sz w:val="20"/>
                <w:szCs w:val="20"/>
              </w:rPr>
            </w:pPr>
            <w:r>
              <w:rPr>
                <w:rFonts w:ascii="Arial" w:eastAsia="Arial" w:hAnsi="Arial" w:cs="Arial"/>
                <w:sz w:val="14"/>
                <w:szCs w:val="14"/>
              </w:rPr>
              <w:t>2,671,460</w:t>
            </w:r>
          </w:p>
        </w:tc>
        <w:tc>
          <w:tcPr>
            <w:tcW w:w="80" w:type="dxa"/>
            <w:vAlign w:val="bottom"/>
          </w:tcPr>
          <w:p w:rsidR="00A621E3" w:rsidRDefault="00A621E3">
            <w:pPr>
              <w:rPr>
                <w:sz w:val="13"/>
                <w:szCs w:val="13"/>
              </w:rPr>
            </w:pPr>
          </w:p>
        </w:tc>
      </w:tr>
      <w:tr w:rsidR="00A621E3">
        <w:trPr>
          <w:trHeight w:val="169"/>
        </w:trPr>
        <w:tc>
          <w:tcPr>
            <w:tcW w:w="6380" w:type="dxa"/>
            <w:vAlign w:val="bottom"/>
          </w:tcPr>
          <w:p w:rsidR="00A621E3" w:rsidRDefault="00EC630E">
            <w:pPr>
              <w:rPr>
                <w:sz w:val="20"/>
                <w:szCs w:val="20"/>
              </w:rPr>
            </w:pPr>
            <w:r>
              <w:rPr>
                <w:rFonts w:ascii="Arial" w:eastAsia="Arial" w:hAnsi="Arial" w:cs="Arial"/>
                <w:b/>
                <w:bCs/>
                <w:color w:val="CF0A2C"/>
                <w:sz w:val="14"/>
                <w:szCs w:val="14"/>
              </w:rPr>
              <w:t>TOTAL</w:t>
            </w:r>
          </w:p>
        </w:tc>
        <w:tc>
          <w:tcPr>
            <w:tcW w:w="1040" w:type="dxa"/>
            <w:gridSpan w:val="2"/>
            <w:vAlign w:val="bottom"/>
          </w:tcPr>
          <w:p w:rsidR="00A621E3" w:rsidRDefault="00EC630E">
            <w:pPr>
              <w:ind w:right="44"/>
              <w:jc w:val="right"/>
              <w:rPr>
                <w:sz w:val="20"/>
                <w:szCs w:val="20"/>
              </w:rPr>
            </w:pPr>
            <w:r>
              <w:rPr>
                <w:rFonts w:ascii="Arial" w:eastAsia="Arial" w:hAnsi="Arial" w:cs="Arial"/>
                <w:sz w:val="14"/>
                <w:szCs w:val="14"/>
              </w:rPr>
              <w:t>40,804,452</w:t>
            </w:r>
          </w:p>
        </w:tc>
        <w:tc>
          <w:tcPr>
            <w:tcW w:w="980" w:type="dxa"/>
            <w:vAlign w:val="bottom"/>
          </w:tcPr>
          <w:p w:rsidR="00A621E3" w:rsidRDefault="00EC630E">
            <w:pPr>
              <w:ind w:right="46"/>
              <w:jc w:val="right"/>
              <w:rPr>
                <w:sz w:val="20"/>
                <w:szCs w:val="20"/>
              </w:rPr>
            </w:pPr>
            <w:r>
              <w:rPr>
                <w:rFonts w:ascii="Arial" w:eastAsia="Arial" w:hAnsi="Arial" w:cs="Arial"/>
                <w:sz w:val="14"/>
                <w:szCs w:val="14"/>
              </w:rPr>
              <w:t>10,124,428</w:t>
            </w:r>
          </w:p>
        </w:tc>
        <w:tc>
          <w:tcPr>
            <w:tcW w:w="880" w:type="dxa"/>
            <w:vAlign w:val="bottom"/>
          </w:tcPr>
          <w:p w:rsidR="00A621E3" w:rsidRDefault="00EC630E">
            <w:pPr>
              <w:ind w:right="46"/>
              <w:jc w:val="right"/>
              <w:rPr>
                <w:sz w:val="20"/>
                <w:szCs w:val="20"/>
              </w:rPr>
            </w:pPr>
            <w:r>
              <w:rPr>
                <w:rFonts w:ascii="Arial" w:eastAsia="Arial" w:hAnsi="Arial" w:cs="Arial"/>
                <w:sz w:val="14"/>
                <w:szCs w:val="14"/>
              </w:rPr>
              <w:t>7,577,808</w:t>
            </w:r>
          </w:p>
        </w:tc>
        <w:tc>
          <w:tcPr>
            <w:tcW w:w="900" w:type="dxa"/>
            <w:vAlign w:val="bottom"/>
          </w:tcPr>
          <w:p w:rsidR="00A621E3" w:rsidRDefault="00EC630E">
            <w:pPr>
              <w:ind w:right="46"/>
              <w:jc w:val="right"/>
              <w:rPr>
                <w:sz w:val="20"/>
                <w:szCs w:val="20"/>
              </w:rPr>
            </w:pPr>
            <w:r>
              <w:rPr>
                <w:rFonts w:ascii="Arial" w:eastAsia="Arial" w:hAnsi="Arial" w:cs="Arial"/>
                <w:sz w:val="14"/>
                <w:szCs w:val="14"/>
              </w:rPr>
              <w:t>7,893,585</w:t>
            </w:r>
          </w:p>
        </w:tc>
        <w:tc>
          <w:tcPr>
            <w:tcW w:w="760" w:type="dxa"/>
            <w:vAlign w:val="bottom"/>
          </w:tcPr>
          <w:p w:rsidR="00A621E3" w:rsidRDefault="00EC630E">
            <w:pPr>
              <w:jc w:val="right"/>
              <w:rPr>
                <w:sz w:val="20"/>
                <w:szCs w:val="20"/>
              </w:rPr>
            </w:pPr>
            <w:r>
              <w:rPr>
                <w:rFonts w:ascii="Arial" w:eastAsia="Arial" w:hAnsi="Arial" w:cs="Arial"/>
                <w:sz w:val="14"/>
                <w:szCs w:val="14"/>
              </w:rPr>
              <w:t>5,538,926</w:t>
            </w:r>
          </w:p>
        </w:tc>
        <w:tc>
          <w:tcPr>
            <w:tcW w:w="80" w:type="dxa"/>
            <w:vAlign w:val="bottom"/>
          </w:tcPr>
          <w:p w:rsidR="00A621E3" w:rsidRDefault="00A621E3">
            <w:pPr>
              <w:rPr>
                <w:sz w:val="14"/>
                <w:szCs w:val="14"/>
              </w:rPr>
            </w:pPr>
          </w:p>
        </w:tc>
      </w:tr>
      <w:tr w:rsidR="00A621E3">
        <w:trPr>
          <w:trHeight w:val="20"/>
        </w:trPr>
        <w:tc>
          <w:tcPr>
            <w:tcW w:w="6380" w:type="dxa"/>
            <w:vAlign w:val="bottom"/>
          </w:tcPr>
          <w:p w:rsidR="00A621E3" w:rsidRDefault="00A621E3">
            <w:pPr>
              <w:spacing w:line="20" w:lineRule="exact"/>
              <w:rPr>
                <w:sz w:val="1"/>
                <w:szCs w:val="1"/>
              </w:rPr>
            </w:pPr>
          </w:p>
        </w:tc>
        <w:tc>
          <w:tcPr>
            <w:tcW w:w="100" w:type="dxa"/>
            <w:vAlign w:val="bottom"/>
          </w:tcPr>
          <w:p w:rsidR="00A621E3" w:rsidRDefault="00A621E3">
            <w:pPr>
              <w:spacing w:line="20" w:lineRule="exact"/>
              <w:rPr>
                <w:sz w:val="1"/>
                <w:szCs w:val="1"/>
              </w:rPr>
            </w:pPr>
          </w:p>
        </w:tc>
        <w:tc>
          <w:tcPr>
            <w:tcW w:w="94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98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88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90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760" w:type="dxa"/>
            <w:tcBorders>
              <w:top w:val="single" w:sz="8" w:space="0" w:color="CF0A2C"/>
              <w:bottom w:val="single" w:sz="8" w:space="0" w:color="CF0A2C"/>
            </w:tcBorders>
            <w:vAlign w:val="bottom"/>
          </w:tcPr>
          <w:p w:rsidR="00A621E3" w:rsidRDefault="00A621E3">
            <w:pPr>
              <w:spacing w:line="20" w:lineRule="exact"/>
              <w:rPr>
                <w:sz w:val="1"/>
                <w:szCs w:val="1"/>
              </w:rPr>
            </w:pPr>
          </w:p>
        </w:tc>
        <w:tc>
          <w:tcPr>
            <w:tcW w:w="80" w:type="dxa"/>
            <w:vAlign w:val="bottom"/>
          </w:tcPr>
          <w:p w:rsidR="00A621E3" w:rsidRDefault="00A621E3">
            <w:pPr>
              <w:spacing w:line="20" w:lineRule="exact"/>
              <w:rPr>
                <w:sz w:val="1"/>
                <w:szCs w:val="1"/>
              </w:rPr>
            </w:pPr>
          </w:p>
        </w:tc>
      </w:tr>
    </w:tbl>
    <w:p w:rsidR="00A621E3" w:rsidRDefault="00A621E3">
      <w:pPr>
        <w:spacing w:line="200" w:lineRule="exact"/>
        <w:rPr>
          <w:sz w:val="20"/>
          <w:szCs w:val="20"/>
        </w:rPr>
      </w:pP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142" w:lineRule="exact"/>
        <w:rPr>
          <w:sz w:val="20"/>
          <w:szCs w:val="20"/>
        </w:rPr>
      </w:pPr>
    </w:p>
    <w:p w:rsidR="00A621E3" w:rsidRDefault="00EC630E">
      <w:pPr>
        <w:ind w:left="120"/>
        <w:rPr>
          <w:sz w:val="20"/>
          <w:szCs w:val="20"/>
        </w:rPr>
      </w:pPr>
      <w:r>
        <w:rPr>
          <w:rFonts w:ascii="Arial" w:eastAsia="Arial" w:hAnsi="Arial" w:cs="Arial"/>
          <w:b/>
          <w:bCs/>
          <w:color w:val="CF0A2C"/>
          <w:sz w:val="20"/>
          <w:szCs w:val="20"/>
        </w:rPr>
        <w:t>2022 Lavazza ESOP Grants</w:t>
      </w:r>
    </w:p>
    <w:p w:rsidR="00A621E3" w:rsidRDefault="00A621E3">
      <w:pPr>
        <w:spacing w:line="262" w:lineRule="exact"/>
        <w:rPr>
          <w:sz w:val="20"/>
          <w:szCs w:val="20"/>
        </w:rPr>
      </w:pPr>
    </w:p>
    <w:p w:rsidR="00A621E3" w:rsidRDefault="00EC630E">
      <w:pPr>
        <w:spacing w:line="242" w:lineRule="auto"/>
        <w:ind w:left="120"/>
        <w:jc w:val="both"/>
        <w:rPr>
          <w:sz w:val="20"/>
          <w:szCs w:val="20"/>
        </w:rPr>
      </w:pPr>
      <w:r>
        <w:rPr>
          <w:rFonts w:ascii="Arial" w:eastAsia="Arial" w:hAnsi="Arial" w:cs="Arial"/>
          <w:sz w:val="20"/>
          <w:szCs w:val="20"/>
        </w:rPr>
        <w:t xml:space="preserve">As </w:t>
      </w:r>
      <w:r>
        <w:rPr>
          <w:rFonts w:ascii="Arial" w:eastAsia="Arial" w:hAnsi="Arial" w:cs="Arial"/>
          <w:sz w:val="20"/>
          <w:szCs w:val="20"/>
        </w:rPr>
        <w:t>noted in the CD&amp;A, during 2022, the NEOs received one-time PSUs under the Lavazza JV Equity Plan. Under the terms of the award agreements, in the event the NEO’s employment is terminated following the achievement of the underlying performance goals but pri</w:t>
      </w:r>
      <w:r>
        <w:rPr>
          <w:rFonts w:ascii="Arial" w:eastAsia="Arial" w:hAnsi="Arial" w:cs="Arial"/>
          <w:sz w:val="20"/>
          <w:szCs w:val="20"/>
        </w:rPr>
        <w:t>or to the occurrence of a liquidity event, which includes the occurrence of an initial public offering, with respect to the Lavazza Joint Venture by reason of death, disability, retirement, or termination without cause, then the portion of the award</w:t>
      </w:r>
    </w:p>
    <w:p w:rsidR="00A621E3" w:rsidRDefault="00EC630E">
      <w:pPr>
        <w:spacing w:line="20" w:lineRule="exact"/>
        <w:rPr>
          <w:sz w:val="20"/>
          <w:szCs w:val="20"/>
        </w:rPr>
      </w:pPr>
      <w:r>
        <w:rPr>
          <w:sz w:val="20"/>
          <w:szCs w:val="20"/>
        </w:rPr>
        <w:br w:type="column"/>
      </w:r>
    </w:p>
    <w:p w:rsidR="00A621E3" w:rsidRDefault="00A621E3">
      <w:pPr>
        <w:spacing w:line="128" w:lineRule="exact"/>
        <w:rPr>
          <w:sz w:val="20"/>
          <w:szCs w:val="20"/>
        </w:rPr>
      </w:pPr>
    </w:p>
    <w:p w:rsidR="00A621E3" w:rsidRDefault="00EC630E">
      <w:pPr>
        <w:spacing w:line="255" w:lineRule="auto"/>
        <w:jc w:val="both"/>
        <w:rPr>
          <w:sz w:val="20"/>
          <w:szCs w:val="20"/>
        </w:rPr>
      </w:pPr>
      <w:r>
        <w:rPr>
          <w:rFonts w:ascii="Arial" w:eastAsia="Arial" w:hAnsi="Arial" w:cs="Arial"/>
          <w:sz w:val="19"/>
          <w:szCs w:val="19"/>
        </w:rPr>
        <w:t>ass</w:t>
      </w:r>
      <w:r>
        <w:rPr>
          <w:rFonts w:ascii="Arial" w:eastAsia="Arial" w:hAnsi="Arial" w:cs="Arial"/>
          <w:sz w:val="19"/>
          <w:szCs w:val="19"/>
        </w:rPr>
        <w:t>ociated with the achieved performance goals would remain outstanding and would vest in the event a liquidity event, which includes the occurrence of an initial public offering, with respect to the Lavazza Joint Venture occurs within seven years of the gran</w:t>
      </w:r>
      <w:r>
        <w:rPr>
          <w:rFonts w:ascii="Arial" w:eastAsia="Arial" w:hAnsi="Arial" w:cs="Arial"/>
          <w:sz w:val="19"/>
          <w:szCs w:val="19"/>
        </w:rPr>
        <w:t>t date. Assuming that the underlying performance goals and a liquidity event with respect to the Lavazza Joint Venture occurred as of December 31, 2022, the estimated value of the 2022 Lavazza ESOP Grants was as follows: Ms. Wat, $1,010,000; Mr. Yeung, $20</w:t>
      </w:r>
      <w:r>
        <w:rPr>
          <w:rFonts w:ascii="Arial" w:eastAsia="Arial" w:hAnsi="Arial" w:cs="Arial"/>
          <w:sz w:val="19"/>
          <w:szCs w:val="19"/>
        </w:rPr>
        <w:t>2,000; Mr. Chan, $202,000; Mr. Huang, $202,000; and Mr. Yuen, $202,000.</w:t>
      </w:r>
    </w:p>
    <w:p w:rsidR="00A621E3" w:rsidRDefault="00A621E3">
      <w:pPr>
        <w:spacing w:line="451"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05" w:lineRule="exact"/>
        <w:rPr>
          <w:sz w:val="20"/>
          <w:szCs w:val="20"/>
        </w:rPr>
      </w:pPr>
    </w:p>
    <w:p w:rsidR="00A621E3" w:rsidRDefault="00EC630E">
      <w:pPr>
        <w:ind w:left="120"/>
        <w:rPr>
          <w:sz w:val="20"/>
          <w:szCs w:val="20"/>
        </w:rPr>
      </w:pPr>
      <w:r>
        <w:rPr>
          <w:rFonts w:ascii="Arial" w:eastAsia="Arial" w:hAnsi="Arial" w:cs="Arial"/>
          <w:b/>
          <w:bCs/>
          <w:color w:val="CF0A2C"/>
          <w:sz w:val="31"/>
          <w:szCs w:val="31"/>
        </w:rPr>
        <w:t>PAY RATIO DISCLOSURE</w:t>
      </w:r>
    </w:p>
    <w:p w:rsidR="00A621E3" w:rsidRDefault="00EC630E">
      <w:pPr>
        <w:spacing w:line="20" w:lineRule="exact"/>
        <w:rPr>
          <w:sz w:val="20"/>
          <w:szCs w:val="20"/>
        </w:rPr>
      </w:pPr>
      <w:r>
        <w:rPr>
          <w:noProof/>
          <w:sz w:val="20"/>
          <w:szCs w:val="20"/>
        </w:rPr>
        <w:drawing>
          <wp:anchor distT="0" distB="0" distL="114300" distR="114300" simplePos="0" relativeHeight="252017664" behindDoc="1" locked="0" layoutInCell="0" allowOverlap="1">
            <wp:simplePos x="0" y="0"/>
            <wp:positionH relativeFrom="column">
              <wp:posOffset>73660</wp:posOffset>
            </wp:positionH>
            <wp:positionV relativeFrom="paragraph">
              <wp:posOffset>199390</wp:posOffset>
            </wp:positionV>
            <wp:extent cx="6995160" cy="8255"/>
            <wp:effectExtent l="0" t="0" r="0" b="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89" w:lineRule="exact"/>
        <w:rPr>
          <w:sz w:val="20"/>
          <w:szCs w:val="20"/>
        </w:rPr>
      </w:pPr>
    </w:p>
    <w:p w:rsidR="00A621E3" w:rsidRDefault="00EC630E">
      <w:pPr>
        <w:spacing w:line="244" w:lineRule="auto"/>
        <w:ind w:left="120"/>
        <w:jc w:val="both"/>
        <w:rPr>
          <w:sz w:val="20"/>
          <w:szCs w:val="20"/>
        </w:rPr>
      </w:pPr>
      <w:r>
        <w:rPr>
          <w:rFonts w:ascii="Arial" w:eastAsia="Arial" w:hAnsi="Arial" w:cs="Arial"/>
          <w:sz w:val="20"/>
          <w:szCs w:val="20"/>
        </w:rPr>
        <w:t xml:space="preserve">As required by Section 953(b) of the Dodd-Frank Wall Street Reform and Consumer Protection Act, the </w:t>
      </w:r>
      <w:r>
        <w:rPr>
          <w:rFonts w:ascii="Arial" w:eastAsia="Arial" w:hAnsi="Arial" w:cs="Arial"/>
          <w:sz w:val="20"/>
          <w:szCs w:val="20"/>
        </w:rPr>
        <w:t>Company is providing the following disclosure about the relationship of the annual total compensation of our employees to the annual total compensation of Ms. Wat.</w:t>
      </w:r>
    </w:p>
    <w:p w:rsidR="00A621E3" w:rsidRDefault="00A621E3">
      <w:pPr>
        <w:spacing w:line="235" w:lineRule="exact"/>
        <w:rPr>
          <w:sz w:val="20"/>
          <w:szCs w:val="20"/>
        </w:rPr>
      </w:pPr>
    </w:p>
    <w:p w:rsidR="00A621E3" w:rsidRDefault="00EC630E">
      <w:pPr>
        <w:ind w:left="120"/>
        <w:rPr>
          <w:sz w:val="20"/>
          <w:szCs w:val="20"/>
        </w:rPr>
      </w:pPr>
      <w:r>
        <w:rPr>
          <w:rFonts w:ascii="Arial" w:eastAsia="Arial" w:hAnsi="Arial" w:cs="Arial"/>
          <w:i/>
          <w:iCs/>
          <w:color w:val="CF0A2C"/>
          <w:sz w:val="20"/>
          <w:szCs w:val="20"/>
        </w:rPr>
        <w:t>Identification of Median Pay Employee</w:t>
      </w:r>
    </w:p>
    <w:p w:rsidR="00A621E3" w:rsidRDefault="00A621E3">
      <w:pPr>
        <w:spacing w:line="256" w:lineRule="exact"/>
        <w:rPr>
          <w:sz w:val="20"/>
          <w:szCs w:val="20"/>
        </w:rPr>
      </w:pPr>
    </w:p>
    <w:p w:rsidR="00A621E3" w:rsidRDefault="00EC630E">
      <w:pPr>
        <w:spacing w:line="272" w:lineRule="auto"/>
        <w:ind w:left="120"/>
        <w:jc w:val="both"/>
        <w:rPr>
          <w:sz w:val="20"/>
          <w:szCs w:val="20"/>
        </w:rPr>
      </w:pPr>
      <w:r>
        <w:rPr>
          <w:rFonts w:ascii="Arial" w:eastAsia="Arial" w:hAnsi="Arial" w:cs="Arial"/>
          <w:sz w:val="18"/>
          <w:szCs w:val="18"/>
        </w:rPr>
        <w:t>The Company had more than 400,000 employees as of ye</w:t>
      </w:r>
      <w:r>
        <w:rPr>
          <w:rFonts w:ascii="Arial" w:eastAsia="Arial" w:hAnsi="Arial" w:cs="Arial"/>
          <w:sz w:val="18"/>
          <w:szCs w:val="18"/>
        </w:rPr>
        <w:t>ar-end 2022, and substantially all of them are based in China. Given the nature of its operations, approximately 89% of the Company’s employees were restaurant crewmembers. Approximately 72% of the 364,000 crewmembers worked part-time, approximately 37% of</w:t>
      </w:r>
      <w:r>
        <w:rPr>
          <w:rFonts w:ascii="Arial" w:eastAsia="Arial" w:hAnsi="Arial" w:cs="Arial"/>
          <w:sz w:val="18"/>
          <w:szCs w:val="18"/>
        </w:rPr>
        <w:t xml:space="preserve"> whom attended university at the same time, and were paid on an hourly basis. Our wage rates for crewmembers are determined based on a number of factors, including but not limited to cost of living, labor supply and demand, and</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69" w:lineRule="exact"/>
        <w:rPr>
          <w:sz w:val="20"/>
          <w:szCs w:val="20"/>
        </w:rPr>
      </w:pPr>
    </w:p>
    <w:p w:rsidR="00A621E3" w:rsidRDefault="00EC630E">
      <w:pPr>
        <w:spacing w:line="260" w:lineRule="auto"/>
        <w:ind w:right="20"/>
        <w:jc w:val="both"/>
        <w:rPr>
          <w:sz w:val="20"/>
          <w:szCs w:val="20"/>
        </w:rPr>
      </w:pPr>
      <w:r>
        <w:rPr>
          <w:rFonts w:ascii="Arial" w:eastAsia="Arial" w:hAnsi="Arial" w:cs="Arial"/>
          <w:sz w:val="20"/>
          <w:szCs w:val="20"/>
        </w:rPr>
        <w:t xml:space="preserve">competitive market pay </w:t>
      </w:r>
      <w:r>
        <w:rPr>
          <w:rFonts w:ascii="Arial" w:eastAsia="Arial" w:hAnsi="Arial" w:cs="Arial"/>
          <w:sz w:val="20"/>
          <w:szCs w:val="20"/>
        </w:rPr>
        <w:t>rates in the city in which the crewmember works.</w:t>
      </w:r>
    </w:p>
    <w:p w:rsidR="00A621E3" w:rsidRDefault="00A621E3">
      <w:pPr>
        <w:spacing w:line="217" w:lineRule="exact"/>
        <w:rPr>
          <w:sz w:val="20"/>
          <w:szCs w:val="20"/>
        </w:rPr>
      </w:pPr>
    </w:p>
    <w:p w:rsidR="00A621E3" w:rsidRDefault="00EC630E">
      <w:pPr>
        <w:spacing w:line="272" w:lineRule="auto"/>
        <w:jc w:val="both"/>
        <w:rPr>
          <w:sz w:val="20"/>
          <w:szCs w:val="20"/>
        </w:rPr>
      </w:pPr>
      <w:r>
        <w:rPr>
          <w:rFonts w:ascii="Arial" w:eastAsia="Arial" w:hAnsi="Arial" w:cs="Arial"/>
          <w:sz w:val="18"/>
          <w:szCs w:val="18"/>
        </w:rPr>
        <w:t>We selected December 31, 2022, as the date on which to determine our median employee. For purposes of identifying the median employee from the employee population base (excluding Ms. Wat), we considered the</w:t>
      </w:r>
      <w:r>
        <w:rPr>
          <w:rFonts w:ascii="Arial" w:eastAsia="Arial" w:hAnsi="Arial" w:cs="Arial"/>
          <w:sz w:val="18"/>
          <w:szCs w:val="18"/>
        </w:rPr>
        <w:t xml:space="preserve"> total compensation of all of our employees, as compiled from our payroll records. In addition, we measured compensation for purposes of determining the median employee using December 2022 payroll records. Compensation paid in foreign currencies was conver</w:t>
      </w:r>
      <w:r>
        <w:rPr>
          <w:rFonts w:ascii="Arial" w:eastAsia="Arial" w:hAnsi="Arial" w:cs="Arial"/>
          <w:sz w:val="18"/>
          <w:szCs w:val="18"/>
        </w:rPr>
        <w:t>ted to U.S. dollars based on a weighted average exchange rate for the relevant period.</w:t>
      </w:r>
    </w:p>
    <w:p w:rsidR="00A621E3" w:rsidRDefault="00A621E3">
      <w:pPr>
        <w:spacing w:line="211" w:lineRule="exact"/>
        <w:rPr>
          <w:sz w:val="20"/>
          <w:szCs w:val="20"/>
        </w:rPr>
      </w:pPr>
    </w:p>
    <w:p w:rsidR="00A621E3" w:rsidRDefault="00EC630E">
      <w:pPr>
        <w:spacing w:line="287" w:lineRule="auto"/>
        <w:ind w:right="20"/>
        <w:jc w:val="both"/>
        <w:rPr>
          <w:sz w:val="20"/>
          <w:szCs w:val="20"/>
        </w:rPr>
      </w:pPr>
      <w:r>
        <w:rPr>
          <w:rFonts w:ascii="Arial" w:eastAsia="Arial" w:hAnsi="Arial" w:cs="Arial"/>
          <w:sz w:val="19"/>
          <w:szCs w:val="19"/>
        </w:rPr>
        <w:t>Using this methodology, our median employee was identified as a part-time crewmember located in a second-tier city in China.</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83" w:lineRule="exact"/>
        <w:rPr>
          <w:sz w:val="20"/>
          <w:szCs w:val="20"/>
        </w:rPr>
      </w:pPr>
    </w:p>
    <w:p w:rsidR="00A621E3" w:rsidRDefault="00EC630E">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87</w:t>
      </w:r>
    </w:p>
    <w:p w:rsidR="00A621E3" w:rsidRDefault="00EC630E">
      <w:pPr>
        <w:spacing w:line="20" w:lineRule="exact"/>
        <w:rPr>
          <w:sz w:val="20"/>
          <w:szCs w:val="20"/>
        </w:rPr>
      </w:pPr>
      <w:r>
        <w:rPr>
          <w:noProof/>
          <w:sz w:val="20"/>
          <w:szCs w:val="20"/>
        </w:rPr>
        <w:drawing>
          <wp:anchor distT="0" distB="0" distL="114300" distR="114300" simplePos="0" relativeHeight="252018688" behindDoc="1" locked="0" layoutInCell="0" allowOverlap="1">
            <wp:simplePos x="0" y="0"/>
            <wp:positionH relativeFrom="column">
              <wp:posOffset>3149600</wp:posOffset>
            </wp:positionH>
            <wp:positionV relativeFrom="paragraph">
              <wp:posOffset>-93345</wp:posOffset>
            </wp:positionV>
            <wp:extent cx="8255" cy="102870"/>
            <wp:effectExtent l="0" t="0" r="0" b="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93" w:name="page93"/>
      <w:bookmarkEnd w:id="93"/>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19712"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263" w:lineRule="exact"/>
        <w:rPr>
          <w:sz w:val="20"/>
          <w:szCs w:val="20"/>
        </w:rPr>
      </w:pPr>
    </w:p>
    <w:p w:rsidR="00A621E3" w:rsidRDefault="00EC630E">
      <w:pPr>
        <w:ind w:left="120"/>
        <w:rPr>
          <w:sz w:val="20"/>
          <w:szCs w:val="20"/>
        </w:rPr>
      </w:pPr>
      <w:r>
        <w:rPr>
          <w:rFonts w:ascii="Arial" w:eastAsia="Arial" w:hAnsi="Arial" w:cs="Arial"/>
          <w:i/>
          <w:iCs/>
          <w:color w:val="CF0A2C"/>
          <w:sz w:val="20"/>
          <w:szCs w:val="20"/>
        </w:rPr>
        <w:t>Ratio</w:t>
      </w:r>
    </w:p>
    <w:p w:rsidR="00A621E3" w:rsidRDefault="00A621E3">
      <w:pPr>
        <w:spacing w:line="256" w:lineRule="exact"/>
        <w:rPr>
          <w:sz w:val="20"/>
          <w:szCs w:val="20"/>
        </w:rPr>
      </w:pPr>
    </w:p>
    <w:p w:rsidR="00A621E3" w:rsidRDefault="00EC630E">
      <w:pPr>
        <w:ind w:left="120"/>
        <w:rPr>
          <w:sz w:val="20"/>
          <w:szCs w:val="20"/>
        </w:rPr>
      </w:pPr>
      <w:r>
        <w:rPr>
          <w:rFonts w:ascii="Arial" w:eastAsia="Arial" w:hAnsi="Arial" w:cs="Arial"/>
          <w:sz w:val="20"/>
          <w:szCs w:val="20"/>
        </w:rPr>
        <w:t>For 2022:</w:t>
      </w:r>
    </w:p>
    <w:p w:rsidR="00A621E3" w:rsidRDefault="00A621E3">
      <w:pPr>
        <w:spacing w:line="297" w:lineRule="exact"/>
        <w:rPr>
          <w:sz w:val="20"/>
          <w:szCs w:val="20"/>
        </w:rPr>
      </w:pPr>
    </w:p>
    <w:p w:rsidR="00A621E3" w:rsidRDefault="00EC630E">
      <w:pPr>
        <w:numPr>
          <w:ilvl w:val="0"/>
          <w:numId w:val="120"/>
        </w:numPr>
        <w:tabs>
          <w:tab w:val="left" w:pos="360"/>
        </w:tabs>
        <w:spacing w:line="260" w:lineRule="auto"/>
        <w:ind w:left="360" w:hanging="190"/>
        <w:rPr>
          <w:rFonts w:ascii="Arial" w:eastAsia="Arial" w:hAnsi="Arial" w:cs="Arial"/>
          <w:color w:val="CF0A2C"/>
          <w:sz w:val="20"/>
          <w:szCs w:val="20"/>
        </w:rPr>
      </w:pPr>
      <w:r>
        <w:rPr>
          <w:rFonts w:ascii="Arial" w:eastAsia="Arial" w:hAnsi="Arial" w:cs="Arial"/>
          <w:sz w:val="20"/>
          <w:szCs w:val="20"/>
        </w:rPr>
        <w:t>The annual total compensation of the median employee, as identified above, was $6,359.</w:t>
      </w:r>
    </w:p>
    <w:p w:rsidR="00A621E3" w:rsidRDefault="00A621E3">
      <w:pPr>
        <w:spacing w:line="257" w:lineRule="exact"/>
        <w:rPr>
          <w:rFonts w:ascii="Arial" w:eastAsia="Arial" w:hAnsi="Arial" w:cs="Arial"/>
          <w:color w:val="CF0A2C"/>
          <w:sz w:val="20"/>
          <w:szCs w:val="20"/>
        </w:rPr>
      </w:pPr>
    </w:p>
    <w:p w:rsidR="00A621E3" w:rsidRDefault="00EC630E">
      <w:pPr>
        <w:numPr>
          <w:ilvl w:val="0"/>
          <w:numId w:val="120"/>
        </w:numPr>
        <w:tabs>
          <w:tab w:val="left" w:pos="360"/>
        </w:tabs>
        <w:spacing w:line="250" w:lineRule="auto"/>
        <w:ind w:left="360" w:right="20" w:hanging="190"/>
        <w:jc w:val="both"/>
        <w:rPr>
          <w:rFonts w:ascii="Arial" w:eastAsia="Arial" w:hAnsi="Arial" w:cs="Arial"/>
          <w:color w:val="CF0A2C"/>
          <w:sz w:val="20"/>
          <w:szCs w:val="20"/>
        </w:rPr>
      </w:pPr>
      <w:r>
        <w:rPr>
          <w:rFonts w:ascii="Arial" w:eastAsia="Arial" w:hAnsi="Arial" w:cs="Arial"/>
          <w:sz w:val="20"/>
          <w:szCs w:val="20"/>
        </w:rPr>
        <w:t>Ms. Wat’s annual total compensation, as reported in the Total column of the</w:t>
      </w:r>
      <w:r>
        <w:rPr>
          <w:rFonts w:ascii="Arial" w:eastAsia="Arial" w:hAnsi="Arial" w:cs="Arial"/>
          <w:sz w:val="20"/>
          <w:szCs w:val="20"/>
        </w:rPr>
        <w:t xml:space="preserve"> 2022 Summary Compensation Table, was $15,892,879.</w:t>
      </w:r>
    </w:p>
    <w:p w:rsidR="00A621E3" w:rsidRDefault="00A621E3">
      <w:pPr>
        <w:spacing w:line="266" w:lineRule="exact"/>
        <w:rPr>
          <w:rFonts w:ascii="Arial" w:eastAsia="Arial" w:hAnsi="Arial" w:cs="Arial"/>
          <w:color w:val="CF0A2C"/>
          <w:sz w:val="20"/>
          <w:szCs w:val="20"/>
        </w:rPr>
      </w:pPr>
    </w:p>
    <w:p w:rsidR="00A621E3" w:rsidRDefault="00EC630E">
      <w:pPr>
        <w:numPr>
          <w:ilvl w:val="0"/>
          <w:numId w:val="120"/>
        </w:numPr>
        <w:tabs>
          <w:tab w:val="left" w:pos="360"/>
        </w:tabs>
        <w:spacing w:line="269" w:lineRule="auto"/>
        <w:ind w:left="360" w:right="20" w:hanging="190"/>
        <w:jc w:val="both"/>
        <w:rPr>
          <w:rFonts w:ascii="Arial" w:eastAsia="Arial" w:hAnsi="Arial" w:cs="Arial"/>
          <w:color w:val="CF0A2C"/>
          <w:sz w:val="19"/>
          <w:szCs w:val="19"/>
        </w:rPr>
      </w:pPr>
      <w:r>
        <w:rPr>
          <w:rFonts w:ascii="Arial" w:eastAsia="Arial" w:hAnsi="Arial" w:cs="Arial"/>
          <w:sz w:val="19"/>
          <w:szCs w:val="19"/>
        </w:rPr>
        <w:t>Based on this information, the ratio of the annual total compensation of Ms. Wat to the median of the annual total compensation of all employees is approximately 2,499 to 1.</w:t>
      </w:r>
    </w:p>
    <w:p w:rsidR="00A621E3" w:rsidRDefault="00A621E3">
      <w:pPr>
        <w:spacing w:line="210" w:lineRule="exact"/>
        <w:rPr>
          <w:sz w:val="20"/>
          <w:szCs w:val="20"/>
        </w:rPr>
      </w:pPr>
    </w:p>
    <w:p w:rsidR="00A621E3" w:rsidRDefault="00EC630E">
      <w:pPr>
        <w:spacing w:line="278" w:lineRule="auto"/>
        <w:ind w:left="120"/>
        <w:jc w:val="both"/>
        <w:rPr>
          <w:sz w:val="20"/>
          <w:szCs w:val="20"/>
        </w:rPr>
      </w:pPr>
      <w:r>
        <w:rPr>
          <w:rFonts w:ascii="Arial" w:eastAsia="Arial" w:hAnsi="Arial" w:cs="Arial"/>
          <w:sz w:val="18"/>
          <w:szCs w:val="18"/>
        </w:rPr>
        <w:t xml:space="preserve">In fact, our pay ratio is </w:t>
      </w:r>
      <w:r>
        <w:rPr>
          <w:rFonts w:ascii="Arial" w:eastAsia="Arial" w:hAnsi="Arial" w:cs="Arial"/>
          <w:sz w:val="18"/>
          <w:szCs w:val="18"/>
        </w:rPr>
        <w:t>significantly impacted by the fact that substantially all of our employees are based in China, approximately 72% of our 364,000 crewmembers are employed on a part-time and hourly basis, and typical hourly wages vary between the cities in which our restaura</w:t>
      </w:r>
      <w:r>
        <w:rPr>
          <w:rFonts w:ascii="Arial" w:eastAsia="Arial" w:hAnsi="Arial" w:cs="Arial"/>
          <w:sz w:val="18"/>
          <w:szCs w:val="18"/>
        </w:rPr>
        <w:t>nts are located.</w:t>
      </w:r>
    </w:p>
    <w:p w:rsidR="00A621E3" w:rsidRDefault="00A621E3">
      <w:pPr>
        <w:spacing w:line="240" w:lineRule="exact"/>
        <w:rPr>
          <w:sz w:val="20"/>
          <w:szCs w:val="20"/>
        </w:rPr>
      </w:pPr>
    </w:p>
    <w:p w:rsidR="00A621E3" w:rsidRDefault="00EC630E">
      <w:pPr>
        <w:numPr>
          <w:ilvl w:val="0"/>
          <w:numId w:val="121"/>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2020736"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0" w:lineRule="exact"/>
        <w:rPr>
          <w:sz w:val="20"/>
          <w:szCs w:val="20"/>
        </w:rPr>
      </w:pPr>
    </w:p>
    <w:p w:rsidR="00A621E3" w:rsidRDefault="00EC630E">
      <w:pPr>
        <w:spacing w:line="257" w:lineRule="auto"/>
        <w:ind w:right="20"/>
        <w:jc w:val="both"/>
        <w:rPr>
          <w:sz w:val="20"/>
          <w:szCs w:val="20"/>
        </w:rPr>
      </w:pPr>
      <w:r>
        <w:rPr>
          <w:rFonts w:ascii="Arial" w:eastAsia="Arial" w:hAnsi="Arial" w:cs="Arial"/>
          <w:sz w:val="19"/>
          <w:szCs w:val="19"/>
        </w:rPr>
        <w:t>The above ratio and annual total compensation amount of the median employee are reasonable estimates that have been calculated using methodologies and assumptions permitted by SEC rules. The ratio</w:t>
      </w:r>
      <w:r>
        <w:rPr>
          <w:rFonts w:ascii="Arial" w:eastAsia="Arial" w:hAnsi="Arial" w:cs="Arial"/>
          <w:sz w:val="19"/>
          <w:szCs w:val="19"/>
        </w:rPr>
        <w:t xml:space="preserve"> and annual total compensation amount may not be directly comparable to those of other companies because the methodologies and assumptions used to identify the median employee may vary significantly among companies.</w:t>
      </w:r>
    </w:p>
    <w:p w:rsidR="00A621E3" w:rsidRDefault="00EC630E">
      <w:pPr>
        <w:spacing w:line="20" w:lineRule="exact"/>
        <w:rPr>
          <w:sz w:val="20"/>
          <w:szCs w:val="20"/>
        </w:rPr>
      </w:pPr>
      <w:r>
        <w:rPr>
          <w:noProof/>
          <w:sz w:val="20"/>
          <w:szCs w:val="20"/>
        </w:rPr>
        <w:drawing>
          <wp:anchor distT="0" distB="0" distL="114300" distR="114300" simplePos="0" relativeHeight="252021760" behindDoc="1" locked="0" layoutInCell="0" allowOverlap="1">
            <wp:simplePos x="0" y="0"/>
            <wp:positionH relativeFrom="column">
              <wp:posOffset>-3651885</wp:posOffset>
            </wp:positionH>
            <wp:positionV relativeFrom="paragraph">
              <wp:posOffset>-1920240</wp:posOffset>
            </wp:positionV>
            <wp:extent cx="7174865" cy="55880"/>
            <wp:effectExtent l="0" t="0" r="0" b="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p>
    <w:p w:rsidR="00A621E3" w:rsidRDefault="00A621E3">
      <w:pPr>
        <w:spacing w:line="205" w:lineRule="exact"/>
        <w:rPr>
          <w:sz w:val="20"/>
          <w:szCs w:val="20"/>
        </w:rPr>
      </w:pPr>
    </w:p>
    <w:p w:rsidR="00A621E3" w:rsidRDefault="00EC630E">
      <w:pPr>
        <w:spacing w:line="257" w:lineRule="auto"/>
        <w:jc w:val="both"/>
        <w:rPr>
          <w:sz w:val="20"/>
          <w:szCs w:val="20"/>
        </w:rPr>
      </w:pPr>
      <w:r>
        <w:rPr>
          <w:rFonts w:ascii="Arial" w:eastAsia="Arial" w:hAnsi="Arial" w:cs="Arial"/>
          <w:sz w:val="19"/>
          <w:szCs w:val="19"/>
        </w:rPr>
        <w:t>To provide supplemental disclosure an</w:t>
      </w:r>
      <w:r>
        <w:rPr>
          <w:rFonts w:ascii="Arial" w:eastAsia="Arial" w:hAnsi="Arial" w:cs="Arial"/>
          <w:sz w:val="19"/>
          <w:szCs w:val="19"/>
        </w:rPr>
        <w:t xml:space="preserve">d not as a substitute for the pay ratio calculated in accordance with SEC executive compensation disclosure rules, we also reviewed the CEO pay ratio excluding the incremental fair value associated with the modification of 2020 Annual PSUs. Excluding such </w:t>
      </w:r>
      <w:r>
        <w:rPr>
          <w:rFonts w:ascii="Arial" w:eastAsia="Arial" w:hAnsi="Arial" w:cs="Arial"/>
          <w:sz w:val="19"/>
          <w:szCs w:val="19"/>
        </w:rPr>
        <w:t>awards and modification, the CEO’s 2022 annual total compensation would have been $13,107,839 and the CEO pay ratio for fiscal 2022 would have been 2,061 to 1.</w:t>
      </w: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94" w:name="page94"/>
      <w:bookmarkEnd w:id="94"/>
      <w:r>
        <w:rPr>
          <w:rFonts w:ascii="Arial" w:eastAsia="Arial" w:hAnsi="Arial" w:cs="Arial"/>
          <w:b/>
          <w:bCs/>
          <w:noProof/>
          <w:color w:val="0000EE"/>
          <w:sz w:val="18"/>
          <w:szCs w:val="18"/>
          <w:u w:val="single"/>
        </w:rPr>
        <w:drawing>
          <wp:anchor distT="0" distB="0" distL="114300" distR="114300" simplePos="0" relativeHeight="252022784"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23808" behindDoc="1" locked="0" layoutInCell="0" allowOverlap="1">
            <wp:simplePos x="0" y="0"/>
            <wp:positionH relativeFrom="column">
              <wp:posOffset>73660</wp:posOffset>
            </wp:positionH>
            <wp:positionV relativeFrom="paragraph">
              <wp:posOffset>205740</wp:posOffset>
            </wp:positionV>
            <wp:extent cx="6995160" cy="506095"/>
            <wp:effectExtent l="0" t="0" r="0" b="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2">
                      <a:extLst/>
                    </a:blip>
                    <a:srcRect/>
                    <a:stretch>
                      <a:fillRect/>
                    </a:stretch>
                  </pic:blipFill>
                  <pic:spPr bwMode="auto">
                    <a:xfrm>
                      <a:off x="0" y="0"/>
                      <a:ext cx="6995160" cy="50609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11" w:lineRule="exact"/>
        <w:rPr>
          <w:sz w:val="20"/>
          <w:szCs w:val="20"/>
        </w:rPr>
      </w:pPr>
    </w:p>
    <w:p w:rsidR="00A621E3" w:rsidRDefault="00EC630E">
      <w:pPr>
        <w:ind w:left="200"/>
        <w:rPr>
          <w:sz w:val="20"/>
          <w:szCs w:val="20"/>
        </w:rPr>
      </w:pPr>
      <w:r>
        <w:rPr>
          <w:rFonts w:ascii="Arial" w:eastAsia="Arial" w:hAnsi="Arial" w:cs="Arial"/>
          <w:b/>
          <w:bCs/>
          <w:color w:val="FFFFFF"/>
          <w:sz w:val="32"/>
          <w:szCs w:val="32"/>
        </w:rPr>
        <w:t>PAY VERSUS PERFORMANCE</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6"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280"/>
        <w:gridCol w:w="1580"/>
        <w:gridCol w:w="1260"/>
        <w:gridCol w:w="1240"/>
        <w:gridCol w:w="1380"/>
        <w:gridCol w:w="1180"/>
        <w:gridCol w:w="1080"/>
        <w:gridCol w:w="860"/>
        <w:gridCol w:w="1160"/>
        <w:gridCol w:w="20"/>
      </w:tblGrid>
      <w:tr w:rsidR="00A621E3">
        <w:trPr>
          <w:trHeight w:val="162"/>
        </w:trPr>
        <w:tc>
          <w:tcPr>
            <w:tcW w:w="1280" w:type="dxa"/>
            <w:tcBorders>
              <w:top w:val="single" w:sz="8" w:space="0" w:color="CF0A2C"/>
            </w:tcBorders>
            <w:shd w:val="clear" w:color="auto" w:fill="FAE6E9"/>
            <w:vAlign w:val="bottom"/>
          </w:tcPr>
          <w:p w:rsidR="00A621E3" w:rsidRDefault="00A621E3">
            <w:pPr>
              <w:rPr>
                <w:sz w:val="14"/>
                <w:szCs w:val="14"/>
              </w:rPr>
            </w:pPr>
          </w:p>
        </w:tc>
        <w:tc>
          <w:tcPr>
            <w:tcW w:w="1580" w:type="dxa"/>
            <w:tcBorders>
              <w:top w:val="single" w:sz="8" w:space="0" w:color="CF0A2C"/>
            </w:tcBorders>
            <w:shd w:val="clear" w:color="auto" w:fill="FAE6E9"/>
            <w:vAlign w:val="bottom"/>
          </w:tcPr>
          <w:p w:rsidR="00A621E3" w:rsidRDefault="00A621E3">
            <w:pPr>
              <w:rPr>
                <w:sz w:val="14"/>
                <w:szCs w:val="14"/>
              </w:rPr>
            </w:pPr>
          </w:p>
        </w:tc>
        <w:tc>
          <w:tcPr>
            <w:tcW w:w="1260" w:type="dxa"/>
            <w:tcBorders>
              <w:top w:val="single" w:sz="8" w:space="0" w:color="CF0A2C"/>
            </w:tcBorders>
            <w:shd w:val="clear" w:color="auto" w:fill="FAE6E9"/>
            <w:vAlign w:val="bottom"/>
          </w:tcPr>
          <w:p w:rsidR="00A621E3" w:rsidRDefault="00A621E3">
            <w:pPr>
              <w:rPr>
                <w:sz w:val="14"/>
                <w:szCs w:val="14"/>
              </w:rPr>
            </w:pPr>
          </w:p>
        </w:tc>
        <w:tc>
          <w:tcPr>
            <w:tcW w:w="1240" w:type="dxa"/>
            <w:tcBorders>
              <w:top w:val="single" w:sz="8" w:space="0" w:color="CF0A2C"/>
            </w:tcBorders>
            <w:shd w:val="clear" w:color="auto" w:fill="FAE6E9"/>
            <w:vAlign w:val="bottom"/>
          </w:tcPr>
          <w:p w:rsidR="00A621E3" w:rsidRDefault="00A621E3">
            <w:pPr>
              <w:rPr>
                <w:sz w:val="14"/>
                <w:szCs w:val="14"/>
              </w:rPr>
            </w:pPr>
          </w:p>
        </w:tc>
        <w:tc>
          <w:tcPr>
            <w:tcW w:w="1380" w:type="dxa"/>
            <w:tcBorders>
              <w:top w:val="single" w:sz="8" w:space="0" w:color="CF0A2C"/>
            </w:tcBorders>
            <w:shd w:val="clear" w:color="auto" w:fill="FAE6E9"/>
            <w:vAlign w:val="bottom"/>
          </w:tcPr>
          <w:p w:rsidR="00A621E3" w:rsidRDefault="00A621E3">
            <w:pPr>
              <w:rPr>
                <w:sz w:val="14"/>
                <w:szCs w:val="14"/>
              </w:rPr>
            </w:pPr>
          </w:p>
        </w:tc>
        <w:tc>
          <w:tcPr>
            <w:tcW w:w="2260" w:type="dxa"/>
            <w:gridSpan w:val="2"/>
            <w:tcBorders>
              <w:top w:val="single" w:sz="8" w:space="0" w:color="CF0A2C"/>
            </w:tcBorders>
            <w:shd w:val="clear" w:color="auto" w:fill="FAE6E9"/>
            <w:vAlign w:val="bottom"/>
          </w:tcPr>
          <w:p w:rsidR="00A621E3" w:rsidRDefault="00EC630E">
            <w:pPr>
              <w:ind w:right="109"/>
              <w:jc w:val="right"/>
              <w:rPr>
                <w:sz w:val="20"/>
                <w:szCs w:val="20"/>
              </w:rPr>
            </w:pPr>
            <w:r>
              <w:rPr>
                <w:rFonts w:ascii="Arial" w:eastAsia="Arial" w:hAnsi="Arial" w:cs="Arial"/>
                <w:b/>
                <w:bCs/>
                <w:color w:val="CF0A2C"/>
                <w:sz w:val="14"/>
                <w:szCs w:val="14"/>
              </w:rPr>
              <w:t xml:space="preserve">Value of </w:t>
            </w:r>
            <w:r>
              <w:rPr>
                <w:rFonts w:ascii="Arial" w:eastAsia="Arial" w:hAnsi="Arial" w:cs="Arial"/>
                <w:b/>
                <w:bCs/>
                <w:color w:val="CF0A2C"/>
                <w:sz w:val="14"/>
                <w:szCs w:val="14"/>
              </w:rPr>
              <w:t>Initial Fixed $100</w:t>
            </w:r>
          </w:p>
        </w:tc>
        <w:tc>
          <w:tcPr>
            <w:tcW w:w="860" w:type="dxa"/>
            <w:tcBorders>
              <w:top w:val="single" w:sz="8" w:space="0" w:color="CF0A2C"/>
            </w:tcBorders>
            <w:shd w:val="clear" w:color="auto" w:fill="FAE6E9"/>
            <w:vAlign w:val="bottom"/>
          </w:tcPr>
          <w:p w:rsidR="00A621E3" w:rsidRDefault="00A621E3">
            <w:pPr>
              <w:rPr>
                <w:sz w:val="14"/>
                <w:szCs w:val="14"/>
              </w:rPr>
            </w:pPr>
          </w:p>
        </w:tc>
        <w:tc>
          <w:tcPr>
            <w:tcW w:w="1160" w:type="dxa"/>
            <w:tcBorders>
              <w:top w:val="single" w:sz="8" w:space="0" w:color="CF0A2C"/>
            </w:tcBorders>
            <w:shd w:val="clear" w:color="auto" w:fill="FAE6E9"/>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75"/>
        </w:trPr>
        <w:tc>
          <w:tcPr>
            <w:tcW w:w="1280" w:type="dxa"/>
            <w:tcBorders>
              <w:bottom w:val="single" w:sz="8" w:space="0" w:color="FAE6E9"/>
            </w:tcBorders>
            <w:shd w:val="clear" w:color="auto" w:fill="FAE6E9"/>
            <w:vAlign w:val="bottom"/>
          </w:tcPr>
          <w:p w:rsidR="00A621E3" w:rsidRDefault="00A621E3">
            <w:pPr>
              <w:rPr>
                <w:sz w:val="15"/>
                <w:szCs w:val="15"/>
              </w:rPr>
            </w:pPr>
          </w:p>
        </w:tc>
        <w:tc>
          <w:tcPr>
            <w:tcW w:w="1580" w:type="dxa"/>
            <w:tcBorders>
              <w:bottom w:val="single" w:sz="8" w:space="0" w:color="FAE6E9"/>
            </w:tcBorders>
            <w:shd w:val="clear" w:color="auto" w:fill="FAE6E9"/>
            <w:vAlign w:val="bottom"/>
          </w:tcPr>
          <w:p w:rsidR="00A621E3" w:rsidRDefault="00A621E3">
            <w:pPr>
              <w:rPr>
                <w:sz w:val="15"/>
                <w:szCs w:val="15"/>
              </w:rPr>
            </w:pPr>
          </w:p>
        </w:tc>
        <w:tc>
          <w:tcPr>
            <w:tcW w:w="1260" w:type="dxa"/>
            <w:tcBorders>
              <w:bottom w:val="single" w:sz="8" w:space="0" w:color="FAE6E9"/>
            </w:tcBorders>
            <w:shd w:val="clear" w:color="auto" w:fill="FAE6E9"/>
            <w:vAlign w:val="bottom"/>
          </w:tcPr>
          <w:p w:rsidR="00A621E3" w:rsidRDefault="00A621E3">
            <w:pPr>
              <w:rPr>
                <w:sz w:val="15"/>
                <w:szCs w:val="15"/>
              </w:rPr>
            </w:pPr>
          </w:p>
        </w:tc>
        <w:tc>
          <w:tcPr>
            <w:tcW w:w="1240" w:type="dxa"/>
            <w:vMerge w:val="restart"/>
            <w:tcBorders>
              <w:bottom w:val="single" w:sz="8" w:space="0" w:color="FAE6E9"/>
            </w:tcBorders>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Average</w:t>
            </w:r>
          </w:p>
        </w:tc>
        <w:tc>
          <w:tcPr>
            <w:tcW w:w="1380" w:type="dxa"/>
            <w:tcBorders>
              <w:bottom w:val="single" w:sz="8" w:space="0" w:color="FAE6E9"/>
            </w:tcBorders>
            <w:shd w:val="clear" w:color="auto" w:fill="FAE6E9"/>
            <w:vAlign w:val="bottom"/>
          </w:tcPr>
          <w:p w:rsidR="00A621E3" w:rsidRDefault="00A621E3">
            <w:pPr>
              <w:rPr>
                <w:sz w:val="15"/>
                <w:szCs w:val="15"/>
              </w:rPr>
            </w:pPr>
          </w:p>
        </w:tc>
        <w:tc>
          <w:tcPr>
            <w:tcW w:w="2260" w:type="dxa"/>
            <w:gridSpan w:val="2"/>
            <w:tcBorders>
              <w:bottom w:val="single" w:sz="8" w:space="0" w:color="CF0A2C"/>
            </w:tcBorders>
            <w:shd w:val="clear" w:color="auto" w:fill="FAE6E9"/>
            <w:vAlign w:val="bottom"/>
          </w:tcPr>
          <w:p w:rsidR="00A621E3" w:rsidRDefault="00EC630E">
            <w:pPr>
              <w:spacing w:line="176" w:lineRule="exact"/>
              <w:ind w:right="189"/>
              <w:jc w:val="right"/>
              <w:rPr>
                <w:sz w:val="20"/>
                <w:szCs w:val="20"/>
              </w:rPr>
            </w:pPr>
            <w:r>
              <w:rPr>
                <w:rFonts w:ascii="Arial" w:eastAsia="Arial" w:hAnsi="Arial" w:cs="Arial"/>
                <w:b/>
                <w:bCs/>
                <w:color w:val="CF0A2C"/>
                <w:sz w:val="14"/>
                <w:szCs w:val="14"/>
              </w:rPr>
              <w:t>Investment Based on:</w:t>
            </w:r>
            <w:r>
              <w:rPr>
                <w:rFonts w:ascii="Arial" w:eastAsia="Arial" w:hAnsi="Arial" w:cs="Arial"/>
                <w:b/>
                <w:bCs/>
                <w:color w:val="CF0A2C"/>
                <w:sz w:val="17"/>
                <w:szCs w:val="17"/>
                <w:vertAlign w:val="superscript"/>
              </w:rPr>
              <w:t>(4)</w:t>
            </w:r>
          </w:p>
        </w:tc>
        <w:tc>
          <w:tcPr>
            <w:tcW w:w="860" w:type="dxa"/>
            <w:tcBorders>
              <w:bottom w:val="single" w:sz="8" w:space="0" w:color="FAE6E9"/>
            </w:tcBorders>
            <w:shd w:val="clear" w:color="auto" w:fill="FAE6E9"/>
            <w:vAlign w:val="bottom"/>
          </w:tcPr>
          <w:p w:rsidR="00A621E3" w:rsidRDefault="00A621E3">
            <w:pPr>
              <w:rPr>
                <w:sz w:val="15"/>
                <w:szCs w:val="15"/>
              </w:rPr>
            </w:pPr>
          </w:p>
        </w:tc>
        <w:tc>
          <w:tcPr>
            <w:tcW w:w="1160" w:type="dxa"/>
            <w:vMerge w:val="restart"/>
            <w:tcBorders>
              <w:bottom w:val="single" w:sz="8" w:space="0" w:color="FAE6E9"/>
            </w:tcBorders>
            <w:shd w:val="clear" w:color="auto" w:fill="FAE6E9"/>
            <w:vAlign w:val="bottom"/>
          </w:tcPr>
          <w:p w:rsidR="00A621E3" w:rsidRDefault="00EC630E">
            <w:pPr>
              <w:ind w:right="93"/>
              <w:jc w:val="center"/>
              <w:rPr>
                <w:sz w:val="20"/>
                <w:szCs w:val="20"/>
              </w:rPr>
            </w:pPr>
            <w:r>
              <w:rPr>
                <w:rFonts w:ascii="Arial" w:eastAsia="Arial" w:hAnsi="Arial" w:cs="Arial"/>
                <w:b/>
                <w:bCs/>
                <w:color w:val="CF0A2C"/>
                <w:sz w:val="14"/>
                <w:szCs w:val="14"/>
              </w:rPr>
              <w:t>R-TSR</w:t>
            </w:r>
          </w:p>
        </w:tc>
        <w:tc>
          <w:tcPr>
            <w:tcW w:w="0" w:type="dxa"/>
            <w:vAlign w:val="bottom"/>
          </w:tcPr>
          <w:p w:rsidR="00A621E3" w:rsidRDefault="00A621E3">
            <w:pPr>
              <w:rPr>
                <w:sz w:val="1"/>
                <w:szCs w:val="1"/>
              </w:rPr>
            </w:pPr>
          </w:p>
        </w:tc>
      </w:tr>
      <w:tr w:rsidR="00A621E3">
        <w:trPr>
          <w:trHeight w:val="129"/>
        </w:trPr>
        <w:tc>
          <w:tcPr>
            <w:tcW w:w="1280" w:type="dxa"/>
            <w:shd w:val="clear" w:color="auto" w:fill="FAE6E9"/>
            <w:vAlign w:val="bottom"/>
          </w:tcPr>
          <w:p w:rsidR="00A621E3" w:rsidRDefault="00A621E3">
            <w:pPr>
              <w:rPr>
                <w:sz w:val="11"/>
                <w:szCs w:val="11"/>
              </w:rPr>
            </w:pPr>
          </w:p>
        </w:tc>
        <w:tc>
          <w:tcPr>
            <w:tcW w:w="1580" w:type="dxa"/>
            <w:shd w:val="clear" w:color="auto" w:fill="FAE6E9"/>
            <w:vAlign w:val="bottom"/>
          </w:tcPr>
          <w:p w:rsidR="00A621E3" w:rsidRDefault="00A621E3">
            <w:pPr>
              <w:rPr>
                <w:sz w:val="11"/>
                <w:szCs w:val="11"/>
              </w:rPr>
            </w:pPr>
          </w:p>
        </w:tc>
        <w:tc>
          <w:tcPr>
            <w:tcW w:w="1260" w:type="dxa"/>
            <w:shd w:val="clear" w:color="auto" w:fill="FAE6E9"/>
            <w:vAlign w:val="bottom"/>
          </w:tcPr>
          <w:p w:rsidR="00A621E3" w:rsidRDefault="00A621E3">
            <w:pPr>
              <w:rPr>
                <w:sz w:val="11"/>
                <w:szCs w:val="11"/>
              </w:rPr>
            </w:pPr>
          </w:p>
        </w:tc>
        <w:tc>
          <w:tcPr>
            <w:tcW w:w="1240" w:type="dxa"/>
            <w:vMerge/>
            <w:shd w:val="clear" w:color="auto" w:fill="FAE6E9"/>
            <w:vAlign w:val="bottom"/>
          </w:tcPr>
          <w:p w:rsidR="00A621E3" w:rsidRDefault="00A621E3">
            <w:pPr>
              <w:rPr>
                <w:sz w:val="11"/>
                <w:szCs w:val="11"/>
              </w:rPr>
            </w:pPr>
          </w:p>
        </w:tc>
        <w:tc>
          <w:tcPr>
            <w:tcW w:w="1380" w:type="dxa"/>
            <w:shd w:val="clear" w:color="auto" w:fill="FAE6E9"/>
            <w:vAlign w:val="bottom"/>
          </w:tcPr>
          <w:p w:rsidR="00A621E3" w:rsidRDefault="00A621E3">
            <w:pPr>
              <w:rPr>
                <w:sz w:val="11"/>
                <w:szCs w:val="11"/>
              </w:rPr>
            </w:pPr>
          </w:p>
        </w:tc>
        <w:tc>
          <w:tcPr>
            <w:tcW w:w="1180" w:type="dxa"/>
            <w:shd w:val="clear" w:color="auto" w:fill="FAE6E9"/>
            <w:vAlign w:val="bottom"/>
          </w:tcPr>
          <w:p w:rsidR="00A621E3" w:rsidRDefault="00A621E3">
            <w:pPr>
              <w:rPr>
                <w:sz w:val="11"/>
                <w:szCs w:val="11"/>
              </w:rPr>
            </w:pPr>
          </w:p>
        </w:tc>
        <w:tc>
          <w:tcPr>
            <w:tcW w:w="1080" w:type="dxa"/>
            <w:shd w:val="clear" w:color="auto" w:fill="FAE6E9"/>
            <w:vAlign w:val="bottom"/>
          </w:tcPr>
          <w:p w:rsidR="00A621E3" w:rsidRDefault="00EC630E">
            <w:pPr>
              <w:spacing w:line="129" w:lineRule="exact"/>
              <w:ind w:left="9"/>
              <w:jc w:val="center"/>
              <w:rPr>
                <w:sz w:val="20"/>
                <w:szCs w:val="20"/>
              </w:rPr>
            </w:pPr>
            <w:r>
              <w:rPr>
                <w:rFonts w:ascii="Arial" w:eastAsia="Arial" w:hAnsi="Arial" w:cs="Arial"/>
                <w:b/>
                <w:bCs/>
                <w:color w:val="CF0A2C"/>
                <w:sz w:val="14"/>
                <w:szCs w:val="14"/>
              </w:rPr>
              <w:t>MSCI China</w:t>
            </w:r>
          </w:p>
        </w:tc>
        <w:tc>
          <w:tcPr>
            <w:tcW w:w="860" w:type="dxa"/>
            <w:shd w:val="clear" w:color="auto" w:fill="FAE6E9"/>
            <w:vAlign w:val="bottom"/>
          </w:tcPr>
          <w:p w:rsidR="00A621E3" w:rsidRDefault="00A621E3">
            <w:pPr>
              <w:rPr>
                <w:sz w:val="11"/>
                <w:szCs w:val="11"/>
              </w:rPr>
            </w:pPr>
          </w:p>
        </w:tc>
        <w:tc>
          <w:tcPr>
            <w:tcW w:w="1160" w:type="dxa"/>
            <w:vMerge/>
            <w:shd w:val="clear" w:color="auto" w:fill="FAE6E9"/>
            <w:vAlign w:val="bottom"/>
          </w:tcPr>
          <w:p w:rsidR="00A621E3" w:rsidRDefault="00A621E3">
            <w:pPr>
              <w:rPr>
                <w:sz w:val="11"/>
                <w:szCs w:val="11"/>
              </w:rPr>
            </w:pPr>
          </w:p>
        </w:tc>
        <w:tc>
          <w:tcPr>
            <w:tcW w:w="0" w:type="dxa"/>
            <w:vAlign w:val="bottom"/>
          </w:tcPr>
          <w:p w:rsidR="00A621E3" w:rsidRDefault="00A621E3">
            <w:pPr>
              <w:rPr>
                <w:sz w:val="1"/>
                <w:szCs w:val="1"/>
              </w:rPr>
            </w:pPr>
          </w:p>
        </w:tc>
      </w:tr>
      <w:tr w:rsidR="00A621E3">
        <w:trPr>
          <w:trHeight w:val="162"/>
        </w:trPr>
        <w:tc>
          <w:tcPr>
            <w:tcW w:w="1280" w:type="dxa"/>
            <w:shd w:val="clear" w:color="auto" w:fill="FAE6E9"/>
            <w:vAlign w:val="bottom"/>
          </w:tcPr>
          <w:p w:rsidR="00A621E3" w:rsidRDefault="00A621E3">
            <w:pPr>
              <w:rPr>
                <w:sz w:val="14"/>
                <w:szCs w:val="14"/>
              </w:rPr>
            </w:pPr>
          </w:p>
        </w:tc>
        <w:tc>
          <w:tcPr>
            <w:tcW w:w="1580" w:type="dxa"/>
            <w:shd w:val="clear" w:color="auto" w:fill="FAE6E9"/>
            <w:vAlign w:val="bottom"/>
          </w:tcPr>
          <w:p w:rsidR="00A621E3" w:rsidRDefault="00EC630E">
            <w:pPr>
              <w:ind w:left="253"/>
              <w:jc w:val="center"/>
              <w:rPr>
                <w:sz w:val="20"/>
                <w:szCs w:val="20"/>
              </w:rPr>
            </w:pPr>
            <w:r>
              <w:rPr>
                <w:rFonts w:ascii="Arial" w:eastAsia="Arial" w:hAnsi="Arial" w:cs="Arial"/>
                <w:b/>
                <w:bCs/>
                <w:color w:val="CF0A2C"/>
                <w:sz w:val="14"/>
                <w:szCs w:val="14"/>
              </w:rPr>
              <w:t>Summary</w:t>
            </w:r>
          </w:p>
        </w:tc>
        <w:tc>
          <w:tcPr>
            <w:tcW w:w="1260" w:type="dxa"/>
            <w:shd w:val="clear" w:color="auto" w:fill="FAE6E9"/>
            <w:vAlign w:val="bottom"/>
          </w:tcPr>
          <w:p w:rsidR="00A621E3" w:rsidRDefault="00A621E3">
            <w:pPr>
              <w:rPr>
                <w:sz w:val="14"/>
                <w:szCs w:val="14"/>
              </w:rPr>
            </w:pPr>
          </w:p>
        </w:tc>
        <w:tc>
          <w:tcPr>
            <w:tcW w:w="124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Summary</w:t>
            </w:r>
          </w:p>
        </w:tc>
        <w:tc>
          <w:tcPr>
            <w:tcW w:w="1380" w:type="dxa"/>
            <w:shd w:val="clear" w:color="auto" w:fill="FAE6E9"/>
            <w:vAlign w:val="bottom"/>
          </w:tcPr>
          <w:p w:rsidR="00A621E3" w:rsidRDefault="00EC630E">
            <w:pPr>
              <w:ind w:right="30"/>
              <w:jc w:val="center"/>
              <w:rPr>
                <w:sz w:val="20"/>
                <w:szCs w:val="20"/>
              </w:rPr>
            </w:pPr>
            <w:r>
              <w:rPr>
                <w:rFonts w:ascii="Arial" w:eastAsia="Arial" w:hAnsi="Arial" w:cs="Arial"/>
                <w:b/>
                <w:bCs/>
                <w:color w:val="CF0A2C"/>
                <w:sz w:val="14"/>
                <w:szCs w:val="14"/>
              </w:rPr>
              <w:t>Average</w:t>
            </w:r>
          </w:p>
        </w:tc>
        <w:tc>
          <w:tcPr>
            <w:tcW w:w="118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ind w:left="9"/>
              <w:jc w:val="center"/>
              <w:rPr>
                <w:sz w:val="20"/>
                <w:szCs w:val="20"/>
              </w:rPr>
            </w:pPr>
            <w:r>
              <w:rPr>
                <w:rFonts w:ascii="Arial" w:eastAsia="Arial" w:hAnsi="Arial" w:cs="Arial"/>
                <w:b/>
                <w:bCs/>
                <w:color w:val="CF0A2C"/>
                <w:sz w:val="14"/>
                <w:szCs w:val="14"/>
              </w:rPr>
              <w:t>Consumer</w:t>
            </w:r>
          </w:p>
        </w:tc>
        <w:tc>
          <w:tcPr>
            <w:tcW w:w="860" w:type="dxa"/>
            <w:shd w:val="clear" w:color="auto" w:fill="FAE6E9"/>
            <w:vAlign w:val="bottom"/>
          </w:tcPr>
          <w:p w:rsidR="00A621E3" w:rsidRDefault="00A621E3">
            <w:pPr>
              <w:rPr>
                <w:sz w:val="14"/>
                <w:szCs w:val="14"/>
              </w:rPr>
            </w:pPr>
          </w:p>
        </w:tc>
        <w:tc>
          <w:tcPr>
            <w:tcW w:w="1160" w:type="dxa"/>
            <w:shd w:val="clear" w:color="auto" w:fill="FAE6E9"/>
            <w:vAlign w:val="bottom"/>
          </w:tcPr>
          <w:p w:rsidR="00A621E3" w:rsidRDefault="00EC630E">
            <w:pPr>
              <w:ind w:right="73"/>
              <w:jc w:val="center"/>
              <w:rPr>
                <w:sz w:val="20"/>
                <w:szCs w:val="20"/>
              </w:rPr>
            </w:pPr>
            <w:r>
              <w:rPr>
                <w:rFonts w:ascii="Arial" w:eastAsia="Arial" w:hAnsi="Arial" w:cs="Arial"/>
                <w:b/>
                <w:bCs/>
                <w:color w:val="CF0A2C"/>
                <w:sz w:val="14"/>
                <w:szCs w:val="14"/>
              </w:rPr>
              <w:t>against</w:t>
            </w:r>
          </w:p>
        </w:tc>
        <w:tc>
          <w:tcPr>
            <w:tcW w:w="0" w:type="dxa"/>
            <w:vAlign w:val="bottom"/>
          </w:tcPr>
          <w:p w:rsidR="00A621E3" w:rsidRDefault="00A621E3">
            <w:pPr>
              <w:rPr>
                <w:sz w:val="1"/>
                <w:szCs w:val="1"/>
              </w:rPr>
            </w:pPr>
          </w:p>
        </w:tc>
      </w:tr>
      <w:tr w:rsidR="00A621E3">
        <w:trPr>
          <w:trHeight w:val="162"/>
        </w:trPr>
        <w:tc>
          <w:tcPr>
            <w:tcW w:w="1280" w:type="dxa"/>
            <w:shd w:val="clear" w:color="auto" w:fill="FAE6E9"/>
            <w:vAlign w:val="bottom"/>
          </w:tcPr>
          <w:p w:rsidR="00A621E3" w:rsidRDefault="00A621E3">
            <w:pPr>
              <w:rPr>
                <w:sz w:val="14"/>
                <w:szCs w:val="14"/>
              </w:rPr>
            </w:pPr>
          </w:p>
        </w:tc>
        <w:tc>
          <w:tcPr>
            <w:tcW w:w="1580" w:type="dxa"/>
            <w:shd w:val="clear" w:color="auto" w:fill="FAE6E9"/>
            <w:vAlign w:val="bottom"/>
          </w:tcPr>
          <w:p w:rsidR="00A621E3" w:rsidRDefault="00EC630E">
            <w:pPr>
              <w:ind w:left="253"/>
              <w:jc w:val="center"/>
              <w:rPr>
                <w:sz w:val="20"/>
                <w:szCs w:val="20"/>
              </w:rPr>
            </w:pPr>
            <w:r>
              <w:rPr>
                <w:rFonts w:ascii="Arial" w:eastAsia="Arial" w:hAnsi="Arial" w:cs="Arial"/>
                <w:b/>
                <w:bCs/>
                <w:color w:val="CF0A2C"/>
                <w:sz w:val="14"/>
                <w:szCs w:val="14"/>
              </w:rPr>
              <w:t>Compensation</w:t>
            </w:r>
          </w:p>
        </w:tc>
        <w:tc>
          <w:tcPr>
            <w:tcW w:w="126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Compensation</w:t>
            </w:r>
          </w:p>
        </w:tc>
        <w:tc>
          <w:tcPr>
            <w:tcW w:w="124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Compensation</w:t>
            </w:r>
          </w:p>
        </w:tc>
        <w:tc>
          <w:tcPr>
            <w:tcW w:w="1380" w:type="dxa"/>
            <w:shd w:val="clear" w:color="auto" w:fill="FAE6E9"/>
            <w:vAlign w:val="bottom"/>
          </w:tcPr>
          <w:p w:rsidR="00A621E3" w:rsidRDefault="00EC630E">
            <w:pPr>
              <w:ind w:right="30"/>
              <w:jc w:val="center"/>
              <w:rPr>
                <w:sz w:val="20"/>
                <w:szCs w:val="20"/>
              </w:rPr>
            </w:pPr>
            <w:r>
              <w:rPr>
                <w:rFonts w:ascii="Arial" w:eastAsia="Arial" w:hAnsi="Arial" w:cs="Arial"/>
                <w:b/>
                <w:bCs/>
                <w:color w:val="CF0A2C"/>
                <w:sz w:val="14"/>
                <w:szCs w:val="14"/>
              </w:rPr>
              <w:t>Compensation</w:t>
            </w:r>
          </w:p>
        </w:tc>
        <w:tc>
          <w:tcPr>
            <w:tcW w:w="1180" w:type="dxa"/>
            <w:shd w:val="clear" w:color="auto" w:fill="FAE6E9"/>
            <w:vAlign w:val="bottom"/>
          </w:tcPr>
          <w:p w:rsidR="00A621E3" w:rsidRDefault="00A621E3">
            <w:pPr>
              <w:rPr>
                <w:sz w:val="14"/>
                <w:szCs w:val="14"/>
              </w:rPr>
            </w:pPr>
          </w:p>
        </w:tc>
        <w:tc>
          <w:tcPr>
            <w:tcW w:w="1080" w:type="dxa"/>
            <w:shd w:val="clear" w:color="auto" w:fill="FAE6E9"/>
            <w:vAlign w:val="bottom"/>
          </w:tcPr>
          <w:p w:rsidR="00A621E3" w:rsidRDefault="00EC630E">
            <w:pPr>
              <w:ind w:left="9"/>
              <w:jc w:val="center"/>
              <w:rPr>
                <w:sz w:val="20"/>
                <w:szCs w:val="20"/>
              </w:rPr>
            </w:pPr>
            <w:r>
              <w:rPr>
                <w:rFonts w:ascii="Arial" w:eastAsia="Arial" w:hAnsi="Arial" w:cs="Arial"/>
                <w:b/>
                <w:bCs/>
                <w:color w:val="CF0A2C"/>
                <w:sz w:val="14"/>
                <w:szCs w:val="14"/>
              </w:rPr>
              <w:t>Discretionary</w:t>
            </w:r>
          </w:p>
        </w:tc>
        <w:tc>
          <w:tcPr>
            <w:tcW w:w="860" w:type="dxa"/>
            <w:shd w:val="clear" w:color="auto" w:fill="FAE6E9"/>
            <w:vAlign w:val="bottom"/>
          </w:tcPr>
          <w:p w:rsidR="00A621E3" w:rsidRDefault="00EC630E">
            <w:pPr>
              <w:ind w:left="70"/>
              <w:jc w:val="center"/>
              <w:rPr>
                <w:sz w:val="20"/>
                <w:szCs w:val="20"/>
              </w:rPr>
            </w:pPr>
            <w:r>
              <w:rPr>
                <w:rFonts w:ascii="Arial" w:eastAsia="Arial" w:hAnsi="Arial" w:cs="Arial"/>
                <w:b/>
                <w:bCs/>
                <w:color w:val="CF0A2C"/>
                <w:sz w:val="14"/>
                <w:szCs w:val="14"/>
              </w:rPr>
              <w:t>Net</w:t>
            </w:r>
          </w:p>
        </w:tc>
        <w:tc>
          <w:tcPr>
            <w:tcW w:w="1160" w:type="dxa"/>
            <w:shd w:val="clear" w:color="auto" w:fill="FAE6E9"/>
            <w:vAlign w:val="bottom"/>
          </w:tcPr>
          <w:p w:rsidR="00A621E3" w:rsidRDefault="00EC630E">
            <w:pPr>
              <w:ind w:right="93"/>
              <w:jc w:val="center"/>
              <w:rPr>
                <w:sz w:val="20"/>
                <w:szCs w:val="20"/>
              </w:rPr>
            </w:pPr>
            <w:r>
              <w:rPr>
                <w:rFonts w:ascii="Arial" w:eastAsia="Arial" w:hAnsi="Arial" w:cs="Arial"/>
                <w:b/>
                <w:bCs/>
                <w:color w:val="CF0A2C"/>
                <w:sz w:val="14"/>
                <w:szCs w:val="14"/>
              </w:rPr>
              <w:t>Constituents</w:t>
            </w:r>
          </w:p>
        </w:tc>
        <w:tc>
          <w:tcPr>
            <w:tcW w:w="0" w:type="dxa"/>
            <w:vAlign w:val="bottom"/>
          </w:tcPr>
          <w:p w:rsidR="00A621E3" w:rsidRDefault="00A621E3">
            <w:pPr>
              <w:rPr>
                <w:sz w:val="1"/>
                <w:szCs w:val="1"/>
              </w:rPr>
            </w:pPr>
          </w:p>
        </w:tc>
      </w:tr>
      <w:tr w:rsidR="00A621E3">
        <w:trPr>
          <w:trHeight w:val="162"/>
        </w:trPr>
        <w:tc>
          <w:tcPr>
            <w:tcW w:w="1280" w:type="dxa"/>
            <w:shd w:val="clear" w:color="auto" w:fill="FAE6E9"/>
            <w:vAlign w:val="bottom"/>
          </w:tcPr>
          <w:p w:rsidR="00A621E3" w:rsidRDefault="00A621E3">
            <w:pPr>
              <w:rPr>
                <w:sz w:val="14"/>
                <w:szCs w:val="14"/>
              </w:rPr>
            </w:pPr>
          </w:p>
        </w:tc>
        <w:tc>
          <w:tcPr>
            <w:tcW w:w="1580" w:type="dxa"/>
            <w:shd w:val="clear" w:color="auto" w:fill="FAE6E9"/>
            <w:vAlign w:val="bottom"/>
          </w:tcPr>
          <w:p w:rsidR="00A621E3" w:rsidRDefault="00EC630E">
            <w:pPr>
              <w:ind w:left="253"/>
              <w:jc w:val="center"/>
              <w:rPr>
                <w:sz w:val="20"/>
                <w:szCs w:val="20"/>
              </w:rPr>
            </w:pPr>
            <w:r>
              <w:rPr>
                <w:rFonts w:ascii="Arial" w:eastAsia="Arial" w:hAnsi="Arial" w:cs="Arial"/>
                <w:b/>
                <w:bCs/>
                <w:color w:val="CF0A2C"/>
                <w:sz w:val="14"/>
                <w:szCs w:val="14"/>
              </w:rPr>
              <w:t>Table Total for</w:t>
            </w:r>
          </w:p>
        </w:tc>
        <w:tc>
          <w:tcPr>
            <w:tcW w:w="126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Actually Paid</w:t>
            </w:r>
          </w:p>
        </w:tc>
        <w:tc>
          <w:tcPr>
            <w:tcW w:w="124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Table Total for</w:t>
            </w:r>
          </w:p>
        </w:tc>
        <w:tc>
          <w:tcPr>
            <w:tcW w:w="1380" w:type="dxa"/>
            <w:shd w:val="clear" w:color="auto" w:fill="FAE6E9"/>
            <w:vAlign w:val="bottom"/>
          </w:tcPr>
          <w:p w:rsidR="00A621E3" w:rsidRDefault="00EC630E">
            <w:pPr>
              <w:ind w:right="30"/>
              <w:jc w:val="center"/>
              <w:rPr>
                <w:sz w:val="20"/>
                <w:szCs w:val="20"/>
              </w:rPr>
            </w:pPr>
            <w:r>
              <w:rPr>
                <w:rFonts w:ascii="Arial" w:eastAsia="Arial" w:hAnsi="Arial" w:cs="Arial"/>
                <w:b/>
                <w:bCs/>
                <w:color w:val="CF0A2C"/>
                <w:sz w:val="14"/>
                <w:szCs w:val="14"/>
              </w:rPr>
              <w:t>Actually (CAP)</w:t>
            </w:r>
          </w:p>
        </w:tc>
        <w:tc>
          <w:tcPr>
            <w:tcW w:w="1180" w:type="dxa"/>
            <w:shd w:val="clear" w:color="auto" w:fill="FAE6E9"/>
            <w:vAlign w:val="bottom"/>
          </w:tcPr>
          <w:p w:rsidR="00A621E3" w:rsidRDefault="00EC630E">
            <w:pPr>
              <w:jc w:val="center"/>
              <w:rPr>
                <w:sz w:val="20"/>
                <w:szCs w:val="20"/>
              </w:rPr>
            </w:pPr>
            <w:r>
              <w:rPr>
                <w:rFonts w:ascii="Arial" w:eastAsia="Arial" w:hAnsi="Arial" w:cs="Arial"/>
                <w:b/>
                <w:bCs/>
                <w:color w:val="CF0A2C"/>
                <w:w w:val="95"/>
                <w:sz w:val="14"/>
                <w:szCs w:val="14"/>
              </w:rPr>
              <w:t>Total</w:t>
            </w:r>
          </w:p>
        </w:tc>
        <w:tc>
          <w:tcPr>
            <w:tcW w:w="10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Index Total</w:t>
            </w:r>
          </w:p>
        </w:tc>
        <w:tc>
          <w:tcPr>
            <w:tcW w:w="860" w:type="dxa"/>
            <w:shd w:val="clear" w:color="auto" w:fill="FAE6E9"/>
            <w:vAlign w:val="bottom"/>
          </w:tcPr>
          <w:p w:rsidR="00A621E3" w:rsidRDefault="00EC630E">
            <w:pPr>
              <w:ind w:left="70"/>
              <w:jc w:val="center"/>
              <w:rPr>
                <w:sz w:val="20"/>
                <w:szCs w:val="20"/>
              </w:rPr>
            </w:pPr>
            <w:r>
              <w:rPr>
                <w:rFonts w:ascii="Arial" w:eastAsia="Arial" w:hAnsi="Arial" w:cs="Arial"/>
                <w:b/>
                <w:bCs/>
                <w:color w:val="CF0A2C"/>
                <w:sz w:val="14"/>
                <w:szCs w:val="14"/>
              </w:rPr>
              <w:t>Income</w:t>
            </w:r>
          </w:p>
        </w:tc>
        <w:tc>
          <w:tcPr>
            <w:tcW w:w="1160" w:type="dxa"/>
            <w:shd w:val="clear" w:color="auto" w:fill="FAE6E9"/>
            <w:vAlign w:val="bottom"/>
          </w:tcPr>
          <w:p w:rsidR="00A621E3" w:rsidRDefault="00EC630E">
            <w:pPr>
              <w:ind w:right="73"/>
              <w:jc w:val="center"/>
              <w:rPr>
                <w:sz w:val="20"/>
                <w:szCs w:val="20"/>
              </w:rPr>
            </w:pPr>
            <w:r>
              <w:rPr>
                <w:rFonts w:ascii="Arial" w:eastAsia="Arial" w:hAnsi="Arial" w:cs="Arial"/>
                <w:b/>
                <w:bCs/>
                <w:color w:val="CF0A2C"/>
                <w:sz w:val="14"/>
                <w:szCs w:val="14"/>
              </w:rPr>
              <w:t>of MSCI</w:t>
            </w:r>
          </w:p>
        </w:tc>
        <w:tc>
          <w:tcPr>
            <w:tcW w:w="0" w:type="dxa"/>
            <w:vAlign w:val="bottom"/>
          </w:tcPr>
          <w:p w:rsidR="00A621E3" w:rsidRDefault="00A621E3">
            <w:pPr>
              <w:rPr>
                <w:sz w:val="1"/>
                <w:szCs w:val="1"/>
              </w:rPr>
            </w:pPr>
          </w:p>
        </w:tc>
      </w:tr>
      <w:tr w:rsidR="00A621E3">
        <w:trPr>
          <w:trHeight w:val="162"/>
        </w:trPr>
        <w:tc>
          <w:tcPr>
            <w:tcW w:w="1280" w:type="dxa"/>
            <w:shd w:val="clear" w:color="auto" w:fill="FAE6E9"/>
            <w:vAlign w:val="bottom"/>
          </w:tcPr>
          <w:p w:rsidR="00A621E3" w:rsidRDefault="00A621E3">
            <w:pPr>
              <w:rPr>
                <w:sz w:val="14"/>
                <w:szCs w:val="14"/>
              </w:rPr>
            </w:pPr>
          </w:p>
        </w:tc>
        <w:tc>
          <w:tcPr>
            <w:tcW w:w="1580" w:type="dxa"/>
            <w:shd w:val="clear" w:color="auto" w:fill="FAE6E9"/>
            <w:vAlign w:val="bottom"/>
          </w:tcPr>
          <w:p w:rsidR="00A621E3" w:rsidRDefault="00EC630E">
            <w:pPr>
              <w:ind w:left="253"/>
              <w:jc w:val="center"/>
              <w:rPr>
                <w:sz w:val="20"/>
                <w:szCs w:val="20"/>
              </w:rPr>
            </w:pPr>
            <w:r>
              <w:rPr>
                <w:rFonts w:ascii="Arial" w:eastAsia="Arial" w:hAnsi="Arial" w:cs="Arial"/>
                <w:b/>
                <w:bCs/>
                <w:color w:val="CF0A2C"/>
                <w:sz w:val="14"/>
                <w:szCs w:val="14"/>
              </w:rPr>
              <w:t>PEO</w:t>
            </w:r>
          </w:p>
        </w:tc>
        <w:tc>
          <w:tcPr>
            <w:tcW w:w="126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(CAP) to PEO</w:t>
            </w:r>
          </w:p>
        </w:tc>
        <w:tc>
          <w:tcPr>
            <w:tcW w:w="124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Non-PEO NEOs</w:t>
            </w:r>
          </w:p>
        </w:tc>
        <w:tc>
          <w:tcPr>
            <w:tcW w:w="1380" w:type="dxa"/>
            <w:shd w:val="clear" w:color="auto" w:fill="FAE6E9"/>
            <w:vAlign w:val="bottom"/>
          </w:tcPr>
          <w:p w:rsidR="00A621E3" w:rsidRDefault="00EC630E">
            <w:pPr>
              <w:ind w:right="30"/>
              <w:jc w:val="center"/>
              <w:rPr>
                <w:sz w:val="20"/>
                <w:szCs w:val="20"/>
              </w:rPr>
            </w:pPr>
            <w:r>
              <w:rPr>
                <w:rFonts w:ascii="Arial" w:eastAsia="Arial" w:hAnsi="Arial" w:cs="Arial"/>
                <w:b/>
                <w:bCs/>
                <w:color w:val="CF0A2C"/>
                <w:sz w:val="14"/>
                <w:szCs w:val="14"/>
              </w:rPr>
              <w:t>Paid to Non-PEO</w:t>
            </w:r>
          </w:p>
        </w:tc>
        <w:tc>
          <w:tcPr>
            <w:tcW w:w="1180" w:type="dxa"/>
            <w:shd w:val="clear" w:color="auto" w:fill="FAE6E9"/>
            <w:vAlign w:val="bottom"/>
          </w:tcPr>
          <w:p w:rsidR="00A621E3" w:rsidRDefault="00EC630E">
            <w:pPr>
              <w:ind w:right="70"/>
              <w:jc w:val="right"/>
              <w:rPr>
                <w:sz w:val="20"/>
                <w:szCs w:val="20"/>
              </w:rPr>
            </w:pPr>
            <w:r>
              <w:rPr>
                <w:rFonts w:ascii="Arial" w:eastAsia="Arial" w:hAnsi="Arial" w:cs="Arial"/>
                <w:b/>
                <w:bCs/>
                <w:color w:val="CF0A2C"/>
                <w:sz w:val="14"/>
                <w:szCs w:val="14"/>
              </w:rPr>
              <w:t>Shareholder</w:t>
            </w:r>
          </w:p>
        </w:tc>
        <w:tc>
          <w:tcPr>
            <w:tcW w:w="1080" w:type="dxa"/>
            <w:shd w:val="clear" w:color="auto" w:fill="FAE6E9"/>
            <w:vAlign w:val="bottom"/>
          </w:tcPr>
          <w:p w:rsidR="00A621E3" w:rsidRDefault="00EC630E">
            <w:pPr>
              <w:ind w:left="9"/>
              <w:jc w:val="center"/>
              <w:rPr>
                <w:sz w:val="20"/>
                <w:szCs w:val="20"/>
              </w:rPr>
            </w:pPr>
            <w:r>
              <w:rPr>
                <w:rFonts w:ascii="Arial" w:eastAsia="Arial" w:hAnsi="Arial" w:cs="Arial"/>
                <w:b/>
                <w:bCs/>
                <w:color w:val="CF0A2C"/>
                <w:sz w:val="14"/>
                <w:szCs w:val="14"/>
              </w:rPr>
              <w:t>Shareholder</w:t>
            </w:r>
          </w:p>
        </w:tc>
        <w:tc>
          <w:tcPr>
            <w:tcW w:w="860" w:type="dxa"/>
            <w:shd w:val="clear" w:color="auto" w:fill="FAE6E9"/>
            <w:vAlign w:val="bottom"/>
          </w:tcPr>
          <w:p w:rsidR="00A621E3" w:rsidRDefault="00EC630E">
            <w:pPr>
              <w:ind w:left="70"/>
              <w:jc w:val="center"/>
              <w:rPr>
                <w:sz w:val="20"/>
                <w:szCs w:val="20"/>
              </w:rPr>
            </w:pPr>
            <w:r>
              <w:rPr>
                <w:rFonts w:ascii="Arial" w:eastAsia="Arial" w:hAnsi="Arial" w:cs="Arial"/>
                <w:b/>
                <w:bCs/>
                <w:color w:val="CF0A2C"/>
                <w:w w:val="97"/>
                <w:sz w:val="14"/>
                <w:szCs w:val="14"/>
              </w:rPr>
              <w:t>($ in</w:t>
            </w:r>
          </w:p>
        </w:tc>
        <w:tc>
          <w:tcPr>
            <w:tcW w:w="1160" w:type="dxa"/>
            <w:shd w:val="clear" w:color="auto" w:fill="FAE6E9"/>
            <w:vAlign w:val="bottom"/>
          </w:tcPr>
          <w:p w:rsidR="00A621E3" w:rsidRDefault="00EC630E">
            <w:pPr>
              <w:ind w:right="73"/>
              <w:jc w:val="center"/>
              <w:rPr>
                <w:sz w:val="20"/>
                <w:szCs w:val="20"/>
              </w:rPr>
            </w:pPr>
            <w:r>
              <w:rPr>
                <w:rFonts w:ascii="Arial" w:eastAsia="Arial" w:hAnsi="Arial" w:cs="Arial"/>
                <w:b/>
                <w:bCs/>
                <w:color w:val="CF0A2C"/>
                <w:sz w:val="14"/>
                <w:szCs w:val="14"/>
              </w:rPr>
              <w:t>China Index</w:t>
            </w:r>
          </w:p>
        </w:tc>
        <w:tc>
          <w:tcPr>
            <w:tcW w:w="0" w:type="dxa"/>
            <w:vAlign w:val="bottom"/>
          </w:tcPr>
          <w:p w:rsidR="00A621E3" w:rsidRDefault="00A621E3">
            <w:pPr>
              <w:rPr>
                <w:sz w:val="1"/>
                <w:szCs w:val="1"/>
              </w:rPr>
            </w:pPr>
          </w:p>
        </w:tc>
      </w:tr>
      <w:tr w:rsidR="00A621E3">
        <w:trPr>
          <w:trHeight w:val="189"/>
        </w:trPr>
        <w:tc>
          <w:tcPr>
            <w:tcW w:w="1280" w:type="dxa"/>
            <w:tcBorders>
              <w:bottom w:val="single" w:sz="8" w:space="0" w:color="CF0A2C"/>
            </w:tcBorders>
            <w:shd w:val="clear" w:color="auto" w:fill="FAE6E9"/>
            <w:vAlign w:val="bottom"/>
          </w:tcPr>
          <w:p w:rsidR="00A621E3" w:rsidRDefault="00EC630E">
            <w:pPr>
              <w:spacing w:line="189" w:lineRule="exact"/>
              <w:rPr>
                <w:sz w:val="20"/>
                <w:szCs w:val="20"/>
              </w:rPr>
            </w:pPr>
            <w:r>
              <w:rPr>
                <w:rFonts w:ascii="Arial" w:eastAsia="Arial" w:hAnsi="Arial" w:cs="Arial"/>
                <w:b/>
                <w:bCs/>
                <w:color w:val="CF0A2C"/>
                <w:sz w:val="14"/>
                <w:szCs w:val="14"/>
              </w:rPr>
              <w:t>Year</w:t>
            </w:r>
            <w:r>
              <w:rPr>
                <w:rFonts w:ascii="Arial" w:eastAsia="Arial" w:hAnsi="Arial" w:cs="Arial"/>
                <w:b/>
                <w:bCs/>
                <w:color w:val="CF0A2C"/>
                <w:sz w:val="17"/>
                <w:szCs w:val="17"/>
                <w:vertAlign w:val="superscript"/>
              </w:rPr>
              <w:t>(1)</w:t>
            </w:r>
          </w:p>
        </w:tc>
        <w:tc>
          <w:tcPr>
            <w:tcW w:w="1580" w:type="dxa"/>
            <w:tcBorders>
              <w:bottom w:val="single" w:sz="8" w:space="0" w:color="CF0A2C"/>
            </w:tcBorders>
            <w:shd w:val="clear" w:color="auto" w:fill="FAE6E9"/>
            <w:vAlign w:val="bottom"/>
          </w:tcPr>
          <w:p w:rsidR="00A621E3" w:rsidRDefault="00EC630E">
            <w:pPr>
              <w:spacing w:line="189" w:lineRule="exact"/>
              <w:ind w:left="253"/>
              <w:jc w:val="center"/>
              <w:rPr>
                <w:sz w:val="20"/>
                <w:szCs w:val="20"/>
              </w:rPr>
            </w:pPr>
            <w:r>
              <w:rPr>
                <w:rFonts w:ascii="Arial" w:eastAsia="Arial" w:hAnsi="Arial" w:cs="Arial"/>
                <w:b/>
                <w:bCs/>
                <w:color w:val="CF0A2C"/>
                <w:sz w:val="21"/>
                <w:szCs w:val="21"/>
                <w:vertAlign w:val="subscript"/>
              </w:rPr>
              <w:t>($)</w:t>
            </w:r>
            <w:r>
              <w:rPr>
                <w:rFonts w:ascii="Arial" w:eastAsia="Arial" w:hAnsi="Arial" w:cs="Arial"/>
                <w:b/>
                <w:bCs/>
                <w:color w:val="CF0A2C"/>
                <w:sz w:val="8"/>
                <w:szCs w:val="8"/>
              </w:rPr>
              <w:t>(2)</w:t>
            </w:r>
          </w:p>
        </w:tc>
        <w:tc>
          <w:tcPr>
            <w:tcW w:w="1260" w:type="dxa"/>
            <w:tcBorders>
              <w:bottom w:val="single" w:sz="8" w:space="0" w:color="CF0A2C"/>
            </w:tcBorders>
            <w:shd w:val="clear" w:color="auto" w:fill="FAE6E9"/>
            <w:vAlign w:val="bottom"/>
          </w:tcPr>
          <w:p w:rsidR="00A621E3" w:rsidRDefault="00EC630E">
            <w:pPr>
              <w:spacing w:line="189" w:lineRule="exact"/>
              <w:jc w:val="center"/>
              <w:rPr>
                <w:sz w:val="20"/>
                <w:szCs w:val="20"/>
              </w:rPr>
            </w:pPr>
            <w:r>
              <w:rPr>
                <w:rFonts w:ascii="Arial" w:eastAsia="Arial" w:hAnsi="Arial" w:cs="Arial"/>
                <w:b/>
                <w:bCs/>
                <w:color w:val="CF0A2C"/>
                <w:sz w:val="21"/>
                <w:szCs w:val="21"/>
                <w:vertAlign w:val="subscript"/>
              </w:rPr>
              <w:t>($)</w:t>
            </w:r>
            <w:r>
              <w:rPr>
                <w:rFonts w:ascii="Arial" w:eastAsia="Arial" w:hAnsi="Arial" w:cs="Arial"/>
                <w:b/>
                <w:bCs/>
                <w:color w:val="CF0A2C"/>
                <w:sz w:val="8"/>
                <w:szCs w:val="8"/>
              </w:rPr>
              <w:t>(3)</w:t>
            </w:r>
          </w:p>
        </w:tc>
        <w:tc>
          <w:tcPr>
            <w:tcW w:w="1240" w:type="dxa"/>
            <w:tcBorders>
              <w:bottom w:val="single" w:sz="8" w:space="0" w:color="CF0A2C"/>
            </w:tcBorders>
            <w:shd w:val="clear" w:color="auto" w:fill="FAE6E9"/>
            <w:vAlign w:val="bottom"/>
          </w:tcPr>
          <w:p w:rsidR="00A621E3" w:rsidRDefault="00EC630E">
            <w:pPr>
              <w:spacing w:line="189" w:lineRule="exact"/>
              <w:jc w:val="center"/>
              <w:rPr>
                <w:sz w:val="20"/>
                <w:szCs w:val="20"/>
              </w:rPr>
            </w:pPr>
            <w:r>
              <w:rPr>
                <w:rFonts w:ascii="Arial" w:eastAsia="Arial" w:hAnsi="Arial" w:cs="Arial"/>
                <w:b/>
                <w:bCs/>
                <w:color w:val="CF0A2C"/>
                <w:sz w:val="21"/>
                <w:szCs w:val="21"/>
                <w:vertAlign w:val="subscript"/>
              </w:rPr>
              <w:t>($)</w:t>
            </w:r>
            <w:r>
              <w:rPr>
                <w:rFonts w:ascii="Arial" w:eastAsia="Arial" w:hAnsi="Arial" w:cs="Arial"/>
                <w:b/>
                <w:bCs/>
                <w:color w:val="CF0A2C"/>
                <w:sz w:val="8"/>
                <w:szCs w:val="8"/>
              </w:rPr>
              <w:t>(2)</w:t>
            </w:r>
          </w:p>
        </w:tc>
        <w:tc>
          <w:tcPr>
            <w:tcW w:w="1380" w:type="dxa"/>
            <w:tcBorders>
              <w:bottom w:val="single" w:sz="8" w:space="0" w:color="CF0A2C"/>
            </w:tcBorders>
            <w:shd w:val="clear" w:color="auto" w:fill="FAE6E9"/>
            <w:vAlign w:val="bottom"/>
          </w:tcPr>
          <w:p w:rsidR="00A621E3" w:rsidRDefault="00EC630E">
            <w:pPr>
              <w:spacing w:line="189" w:lineRule="exact"/>
              <w:ind w:right="30"/>
              <w:jc w:val="center"/>
              <w:rPr>
                <w:sz w:val="20"/>
                <w:szCs w:val="20"/>
              </w:rPr>
            </w:pPr>
            <w:r>
              <w:rPr>
                <w:rFonts w:ascii="Arial" w:eastAsia="Arial" w:hAnsi="Arial" w:cs="Arial"/>
                <w:b/>
                <w:bCs/>
                <w:color w:val="CF0A2C"/>
                <w:w w:val="98"/>
                <w:sz w:val="14"/>
                <w:szCs w:val="14"/>
              </w:rPr>
              <w:t>NEOs ($)</w:t>
            </w:r>
            <w:r>
              <w:rPr>
                <w:rFonts w:ascii="Arial" w:eastAsia="Arial" w:hAnsi="Arial" w:cs="Arial"/>
                <w:b/>
                <w:bCs/>
                <w:color w:val="CF0A2C"/>
                <w:w w:val="98"/>
                <w:sz w:val="17"/>
                <w:szCs w:val="17"/>
                <w:vertAlign w:val="superscript"/>
              </w:rPr>
              <w:t>(3)</w:t>
            </w:r>
          </w:p>
        </w:tc>
        <w:tc>
          <w:tcPr>
            <w:tcW w:w="1180" w:type="dxa"/>
            <w:tcBorders>
              <w:bottom w:val="single" w:sz="8" w:space="0" w:color="CF0A2C"/>
            </w:tcBorders>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Return ($)</w:t>
            </w:r>
          </w:p>
        </w:tc>
        <w:tc>
          <w:tcPr>
            <w:tcW w:w="1080" w:type="dxa"/>
            <w:tcBorders>
              <w:bottom w:val="single" w:sz="8" w:space="0" w:color="CF0A2C"/>
            </w:tcBorders>
            <w:shd w:val="clear" w:color="auto" w:fill="FAE6E9"/>
            <w:vAlign w:val="bottom"/>
          </w:tcPr>
          <w:p w:rsidR="00A621E3" w:rsidRDefault="00EC630E">
            <w:pPr>
              <w:spacing w:line="189" w:lineRule="exact"/>
              <w:jc w:val="center"/>
              <w:rPr>
                <w:sz w:val="20"/>
                <w:szCs w:val="20"/>
              </w:rPr>
            </w:pPr>
            <w:r>
              <w:rPr>
                <w:rFonts w:ascii="Arial" w:eastAsia="Arial" w:hAnsi="Arial" w:cs="Arial"/>
                <w:b/>
                <w:bCs/>
                <w:color w:val="CF0A2C"/>
                <w:w w:val="97"/>
                <w:sz w:val="14"/>
                <w:szCs w:val="14"/>
              </w:rPr>
              <w:t>Return ($)</w:t>
            </w:r>
            <w:r>
              <w:rPr>
                <w:rFonts w:ascii="Arial" w:eastAsia="Arial" w:hAnsi="Arial" w:cs="Arial"/>
                <w:b/>
                <w:bCs/>
                <w:color w:val="CF0A2C"/>
                <w:w w:val="97"/>
                <w:sz w:val="17"/>
                <w:szCs w:val="17"/>
                <w:vertAlign w:val="superscript"/>
              </w:rPr>
              <w:t>(5)</w:t>
            </w:r>
          </w:p>
        </w:tc>
        <w:tc>
          <w:tcPr>
            <w:tcW w:w="860" w:type="dxa"/>
            <w:tcBorders>
              <w:bottom w:val="single" w:sz="8" w:space="0" w:color="CF0A2C"/>
            </w:tcBorders>
            <w:shd w:val="clear" w:color="auto" w:fill="FAE6E9"/>
            <w:vAlign w:val="bottom"/>
          </w:tcPr>
          <w:p w:rsidR="00A621E3" w:rsidRDefault="00EC630E">
            <w:pPr>
              <w:ind w:left="70"/>
              <w:jc w:val="center"/>
              <w:rPr>
                <w:sz w:val="20"/>
                <w:szCs w:val="20"/>
              </w:rPr>
            </w:pPr>
            <w:r>
              <w:rPr>
                <w:rFonts w:ascii="Arial" w:eastAsia="Arial" w:hAnsi="Arial" w:cs="Arial"/>
                <w:b/>
                <w:bCs/>
                <w:color w:val="CF0A2C"/>
                <w:sz w:val="14"/>
                <w:szCs w:val="14"/>
              </w:rPr>
              <w:t>millions)</w:t>
            </w:r>
          </w:p>
        </w:tc>
        <w:tc>
          <w:tcPr>
            <w:tcW w:w="1160" w:type="dxa"/>
            <w:tcBorders>
              <w:bottom w:val="single" w:sz="8" w:space="0" w:color="CF0A2C"/>
            </w:tcBorders>
            <w:shd w:val="clear" w:color="auto" w:fill="FAE6E9"/>
            <w:vAlign w:val="bottom"/>
          </w:tcPr>
          <w:p w:rsidR="00A621E3" w:rsidRDefault="00EC630E">
            <w:pPr>
              <w:spacing w:line="189" w:lineRule="exact"/>
              <w:ind w:right="73"/>
              <w:jc w:val="center"/>
              <w:rPr>
                <w:sz w:val="20"/>
                <w:szCs w:val="20"/>
              </w:rPr>
            </w:pPr>
            <w:r>
              <w:rPr>
                <w:rFonts w:ascii="Arial" w:eastAsia="Arial" w:hAnsi="Arial" w:cs="Arial"/>
                <w:b/>
                <w:bCs/>
                <w:color w:val="CF0A2C"/>
                <w:sz w:val="21"/>
                <w:szCs w:val="21"/>
                <w:vertAlign w:val="subscript"/>
              </w:rPr>
              <w:t>(%)</w:t>
            </w:r>
            <w:r>
              <w:rPr>
                <w:rFonts w:ascii="Arial" w:eastAsia="Arial" w:hAnsi="Arial" w:cs="Arial"/>
                <w:b/>
                <w:bCs/>
                <w:color w:val="CF0A2C"/>
                <w:sz w:val="8"/>
                <w:szCs w:val="8"/>
              </w:rPr>
              <w:t>(6)</w:t>
            </w:r>
          </w:p>
        </w:tc>
        <w:tc>
          <w:tcPr>
            <w:tcW w:w="0" w:type="dxa"/>
            <w:vAlign w:val="bottom"/>
          </w:tcPr>
          <w:p w:rsidR="00A621E3" w:rsidRDefault="00A621E3">
            <w:pPr>
              <w:rPr>
                <w:sz w:val="1"/>
                <w:szCs w:val="1"/>
              </w:rPr>
            </w:pPr>
          </w:p>
        </w:tc>
      </w:tr>
      <w:tr w:rsidR="00A621E3">
        <w:trPr>
          <w:trHeight w:val="169"/>
        </w:trPr>
        <w:tc>
          <w:tcPr>
            <w:tcW w:w="1280" w:type="dxa"/>
            <w:vAlign w:val="bottom"/>
          </w:tcPr>
          <w:p w:rsidR="00A621E3" w:rsidRDefault="00EC630E">
            <w:pPr>
              <w:ind w:left="680"/>
              <w:rPr>
                <w:sz w:val="20"/>
                <w:szCs w:val="20"/>
              </w:rPr>
            </w:pPr>
            <w:r>
              <w:rPr>
                <w:rFonts w:ascii="Arial" w:eastAsia="Arial" w:hAnsi="Arial" w:cs="Arial"/>
                <w:b/>
                <w:bCs/>
                <w:color w:val="CF0A2C"/>
                <w:sz w:val="14"/>
                <w:szCs w:val="14"/>
              </w:rPr>
              <w:t>(a)</w:t>
            </w:r>
          </w:p>
        </w:tc>
        <w:tc>
          <w:tcPr>
            <w:tcW w:w="1580" w:type="dxa"/>
            <w:vAlign w:val="bottom"/>
          </w:tcPr>
          <w:p w:rsidR="00A621E3" w:rsidRDefault="00EC630E">
            <w:pPr>
              <w:ind w:left="253"/>
              <w:jc w:val="center"/>
              <w:rPr>
                <w:sz w:val="20"/>
                <w:szCs w:val="20"/>
              </w:rPr>
            </w:pPr>
            <w:r>
              <w:rPr>
                <w:rFonts w:ascii="Arial" w:eastAsia="Arial" w:hAnsi="Arial" w:cs="Arial"/>
                <w:b/>
                <w:bCs/>
                <w:color w:val="CF0A2C"/>
                <w:sz w:val="14"/>
                <w:szCs w:val="14"/>
              </w:rPr>
              <w:t>(b)</w:t>
            </w:r>
          </w:p>
        </w:tc>
        <w:tc>
          <w:tcPr>
            <w:tcW w:w="1260" w:type="dxa"/>
            <w:vAlign w:val="bottom"/>
          </w:tcPr>
          <w:p w:rsidR="00A621E3" w:rsidRDefault="00EC630E">
            <w:pPr>
              <w:jc w:val="center"/>
              <w:rPr>
                <w:sz w:val="20"/>
                <w:szCs w:val="20"/>
              </w:rPr>
            </w:pPr>
            <w:r>
              <w:rPr>
                <w:rFonts w:ascii="Arial" w:eastAsia="Arial" w:hAnsi="Arial" w:cs="Arial"/>
                <w:b/>
                <w:bCs/>
                <w:color w:val="CF0A2C"/>
                <w:sz w:val="14"/>
                <w:szCs w:val="14"/>
              </w:rPr>
              <w:t>(c)</w:t>
            </w:r>
          </w:p>
        </w:tc>
        <w:tc>
          <w:tcPr>
            <w:tcW w:w="1240" w:type="dxa"/>
            <w:vAlign w:val="bottom"/>
          </w:tcPr>
          <w:p w:rsidR="00A621E3" w:rsidRDefault="00EC630E">
            <w:pPr>
              <w:jc w:val="center"/>
              <w:rPr>
                <w:sz w:val="20"/>
                <w:szCs w:val="20"/>
              </w:rPr>
            </w:pPr>
            <w:r>
              <w:rPr>
                <w:rFonts w:ascii="Arial" w:eastAsia="Arial" w:hAnsi="Arial" w:cs="Arial"/>
                <w:b/>
                <w:bCs/>
                <w:color w:val="CF0A2C"/>
                <w:sz w:val="14"/>
                <w:szCs w:val="14"/>
              </w:rPr>
              <w:t>(d)</w:t>
            </w:r>
          </w:p>
        </w:tc>
        <w:tc>
          <w:tcPr>
            <w:tcW w:w="1380" w:type="dxa"/>
            <w:vAlign w:val="bottom"/>
          </w:tcPr>
          <w:p w:rsidR="00A621E3" w:rsidRDefault="00EC630E">
            <w:pPr>
              <w:ind w:right="10"/>
              <w:jc w:val="center"/>
              <w:rPr>
                <w:sz w:val="20"/>
                <w:szCs w:val="20"/>
              </w:rPr>
            </w:pPr>
            <w:r>
              <w:rPr>
                <w:rFonts w:ascii="Arial" w:eastAsia="Arial" w:hAnsi="Arial" w:cs="Arial"/>
                <w:b/>
                <w:bCs/>
                <w:color w:val="CF0A2C"/>
                <w:sz w:val="14"/>
                <w:szCs w:val="14"/>
              </w:rPr>
              <w:t>(e)</w:t>
            </w:r>
          </w:p>
        </w:tc>
        <w:tc>
          <w:tcPr>
            <w:tcW w:w="1180" w:type="dxa"/>
            <w:vAlign w:val="bottom"/>
          </w:tcPr>
          <w:p w:rsidR="00A621E3" w:rsidRDefault="00EC630E">
            <w:pPr>
              <w:jc w:val="center"/>
              <w:rPr>
                <w:sz w:val="20"/>
                <w:szCs w:val="20"/>
              </w:rPr>
            </w:pPr>
            <w:r>
              <w:rPr>
                <w:rFonts w:ascii="Arial" w:eastAsia="Arial" w:hAnsi="Arial" w:cs="Arial"/>
                <w:b/>
                <w:bCs/>
                <w:color w:val="CF0A2C"/>
                <w:sz w:val="14"/>
                <w:szCs w:val="14"/>
              </w:rPr>
              <w:t>(f)</w:t>
            </w:r>
          </w:p>
        </w:tc>
        <w:tc>
          <w:tcPr>
            <w:tcW w:w="1080" w:type="dxa"/>
            <w:vAlign w:val="bottom"/>
          </w:tcPr>
          <w:p w:rsidR="00A621E3" w:rsidRDefault="00EC630E">
            <w:pPr>
              <w:jc w:val="center"/>
              <w:rPr>
                <w:sz w:val="20"/>
                <w:szCs w:val="20"/>
              </w:rPr>
            </w:pPr>
            <w:r>
              <w:rPr>
                <w:rFonts w:ascii="Arial" w:eastAsia="Arial" w:hAnsi="Arial" w:cs="Arial"/>
                <w:b/>
                <w:bCs/>
                <w:color w:val="CF0A2C"/>
                <w:sz w:val="14"/>
                <w:szCs w:val="14"/>
              </w:rPr>
              <w:t>(g)</w:t>
            </w:r>
          </w:p>
        </w:tc>
        <w:tc>
          <w:tcPr>
            <w:tcW w:w="860" w:type="dxa"/>
            <w:vAlign w:val="bottom"/>
          </w:tcPr>
          <w:p w:rsidR="00A621E3" w:rsidRDefault="00EC630E">
            <w:pPr>
              <w:ind w:left="70"/>
              <w:jc w:val="center"/>
              <w:rPr>
                <w:sz w:val="20"/>
                <w:szCs w:val="20"/>
              </w:rPr>
            </w:pPr>
            <w:r>
              <w:rPr>
                <w:rFonts w:ascii="Arial" w:eastAsia="Arial" w:hAnsi="Arial" w:cs="Arial"/>
                <w:b/>
                <w:bCs/>
                <w:color w:val="CF0A2C"/>
                <w:sz w:val="14"/>
                <w:szCs w:val="14"/>
              </w:rPr>
              <w:t>(h)</w:t>
            </w:r>
          </w:p>
        </w:tc>
        <w:tc>
          <w:tcPr>
            <w:tcW w:w="1160" w:type="dxa"/>
            <w:vAlign w:val="bottom"/>
          </w:tcPr>
          <w:p w:rsidR="00A621E3" w:rsidRDefault="00EC630E">
            <w:pPr>
              <w:ind w:right="73"/>
              <w:jc w:val="center"/>
              <w:rPr>
                <w:sz w:val="20"/>
                <w:szCs w:val="20"/>
              </w:rPr>
            </w:pPr>
            <w:r>
              <w:rPr>
                <w:rFonts w:ascii="Arial" w:eastAsia="Arial" w:hAnsi="Arial" w:cs="Arial"/>
                <w:b/>
                <w:bCs/>
                <w:color w:val="CF0A2C"/>
                <w:sz w:val="14"/>
                <w:szCs w:val="14"/>
              </w:rPr>
              <w:t>(i)</w:t>
            </w:r>
          </w:p>
        </w:tc>
        <w:tc>
          <w:tcPr>
            <w:tcW w:w="0" w:type="dxa"/>
            <w:vAlign w:val="bottom"/>
          </w:tcPr>
          <w:p w:rsidR="00A621E3" w:rsidRDefault="00A621E3">
            <w:pPr>
              <w:rPr>
                <w:sz w:val="1"/>
                <w:szCs w:val="1"/>
              </w:rPr>
            </w:pPr>
          </w:p>
        </w:tc>
      </w:tr>
      <w:tr w:rsidR="00A621E3">
        <w:trPr>
          <w:trHeight w:val="189"/>
        </w:trPr>
        <w:tc>
          <w:tcPr>
            <w:tcW w:w="1280" w:type="dxa"/>
            <w:vAlign w:val="bottom"/>
          </w:tcPr>
          <w:p w:rsidR="00A621E3" w:rsidRDefault="00EC630E">
            <w:pPr>
              <w:rPr>
                <w:sz w:val="20"/>
                <w:szCs w:val="20"/>
              </w:rPr>
            </w:pPr>
            <w:r>
              <w:rPr>
                <w:rFonts w:ascii="Arial" w:eastAsia="Arial" w:hAnsi="Arial" w:cs="Arial"/>
                <w:b/>
                <w:bCs/>
                <w:color w:val="CF0A2C"/>
                <w:sz w:val="14"/>
                <w:szCs w:val="14"/>
              </w:rPr>
              <w:t>2022</w:t>
            </w:r>
          </w:p>
        </w:tc>
        <w:tc>
          <w:tcPr>
            <w:tcW w:w="1580" w:type="dxa"/>
            <w:vAlign w:val="bottom"/>
          </w:tcPr>
          <w:p w:rsidR="00A621E3" w:rsidRDefault="00EC630E">
            <w:pPr>
              <w:ind w:right="53"/>
              <w:jc w:val="right"/>
              <w:rPr>
                <w:sz w:val="20"/>
                <w:szCs w:val="20"/>
              </w:rPr>
            </w:pPr>
            <w:r>
              <w:rPr>
                <w:rFonts w:ascii="Arial" w:eastAsia="Arial" w:hAnsi="Arial" w:cs="Arial"/>
                <w:sz w:val="13"/>
                <w:szCs w:val="13"/>
              </w:rPr>
              <w:t>15,892,879</w:t>
            </w:r>
          </w:p>
        </w:tc>
        <w:tc>
          <w:tcPr>
            <w:tcW w:w="1260" w:type="dxa"/>
            <w:vAlign w:val="bottom"/>
          </w:tcPr>
          <w:p w:rsidR="00A621E3" w:rsidRDefault="00EC630E">
            <w:pPr>
              <w:ind w:right="54"/>
              <w:jc w:val="right"/>
              <w:rPr>
                <w:sz w:val="20"/>
                <w:szCs w:val="20"/>
              </w:rPr>
            </w:pPr>
            <w:r>
              <w:rPr>
                <w:rFonts w:ascii="Arial" w:eastAsia="Arial" w:hAnsi="Arial" w:cs="Arial"/>
                <w:sz w:val="13"/>
                <w:szCs w:val="13"/>
              </w:rPr>
              <w:t>18,178,125</w:t>
            </w:r>
          </w:p>
        </w:tc>
        <w:tc>
          <w:tcPr>
            <w:tcW w:w="1240" w:type="dxa"/>
            <w:vAlign w:val="bottom"/>
          </w:tcPr>
          <w:p w:rsidR="00A621E3" w:rsidRDefault="00EC630E">
            <w:pPr>
              <w:jc w:val="right"/>
              <w:rPr>
                <w:sz w:val="20"/>
                <w:szCs w:val="20"/>
              </w:rPr>
            </w:pPr>
            <w:r>
              <w:rPr>
                <w:rFonts w:ascii="Arial" w:eastAsia="Arial" w:hAnsi="Arial" w:cs="Arial"/>
                <w:sz w:val="13"/>
                <w:szCs w:val="13"/>
              </w:rPr>
              <w:t>3,577,110</w:t>
            </w:r>
          </w:p>
        </w:tc>
        <w:tc>
          <w:tcPr>
            <w:tcW w:w="1380" w:type="dxa"/>
            <w:vAlign w:val="bottom"/>
          </w:tcPr>
          <w:p w:rsidR="00A621E3" w:rsidRDefault="00EC630E">
            <w:pPr>
              <w:ind w:right="90"/>
              <w:jc w:val="right"/>
              <w:rPr>
                <w:sz w:val="20"/>
                <w:szCs w:val="20"/>
              </w:rPr>
            </w:pPr>
            <w:r>
              <w:rPr>
                <w:rFonts w:ascii="Arial" w:eastAsia="Arial" w:hAnsi="Arial" w:cs="Arial"/>
                <w:sz w:val="13"/>
                <w:szCs w:val="13"/>
              </w:rPr>
              <w:t>3,947,038</w:t>
            </w:r>
          </w:p>
        </w:tc>
        <w:tc>
          <w:tcPr>
            <w:tcW w:w="1180" w:type="dxa"/>
            <w:vAlign w:val="bottom"/>
          </w:tcPr>
          <w:p w:rsidR="00A621E3" w:rsidRDefault="00EC630E">
            <w:pPr>
              <w:ind w:right="70"/>
              <w:jc w:val="right"/>
              <w:rPr>
                <w:sz w:val="20"/>
                <w:szCs w:val="20"/>
              </w:rPr>
            </w:pPr>
            <w:r>
              <w:rPr>
                <w:rFonts w:ascii="Arial" w:eastAsia="Arial" w:hAnsi="Arial" w:cs="Arial"/>
                <w:sz w:val="13"/>
                <w:szCs w:val="13"/>
              </w:rPr>
              <w:t>116.42</w:t>
            </w:r>
          </w:p>
        </w:tc>
        <w:tc>
          <w:tcPr>
            <w:tcW w:w="1080" w:type="dxa"/>
            <w:vAlign w:val="bottom"/>
          </w:tcPr>
          <w:p w:rsidR="00A621E3" w:rsidRDefault="00EC630E">
            <w:pPr>
              <w:jc w:val="right"/>
              <w:rPr>
                <w:sz w:val="20"/>
                <w:szCs w:val="20"/>
              </w:rPr>
            </w:pPr>
            <w:r>
              <w:rPr>
                <w:rFonts w:ascii="Arial" w:eastAsia="Arial" w:hAnsi="Arial" w:cs="Arial"/>
                <w:sz w:val="13"/>
                <w:szCs w:val="13"/>
              </w:rPr>
              <w:t>74.02</w:t>
            </w:r>
          </w:p>
        </w:tc>
        <w:tc>
          <w:tcPr>
            <w:tcW w:w="860" w:type="dxa"/>
            <w:vAlign w:val="bottom"/>
          </w:tcPr>
          <w:p w:rsidR="00A621E3" w:rsidRDefault="00EC630E">
            <w:pPr>
              <w:jc w:val="right"/>
              <w:rPr>
                <w:sz w:val="20"/>
                <w:szCs w:val="20"/>
              </w:rPr>
            </w:pPr>
            <w:r>
              <w:rPr>
                <w:rFonts w:ascii="Arial" w:eastAsia="Arial" w:hAnsi="Arial" w:cs="Arial"/>
                <w:sz w:val="13"/>
                <w:szCs w:val="13"/>
              </w:rPr>
              <w:t>442</w:t>
            </w:r>
          </w:p>
        </w:tc>
        <w:tc>
          <w:tcPr>
            <w:tcW w:w="1160" w:type="dxa"/>
            <w:vAlign w:val="bottom"/>
          </w:tcPr>
          <w:p w:rsidR="00A621E3" w:rsidRDefault="00EC630E">
            <w:pPr>
              <w:ind w:right="33"/>
              <w:jc w:val="right"/>
              <w:rPr>
                <w:sz w:val="20"/>
                <w:szCs w:val="20"/>
              </w:rPr>
            </w:pPr>
            <w:r>
              <w:rPr>
                <w:rFonts w:ascii="Arial" w:eastAsia="Arial" w:hAnsi="Arial" w:cs="Arial"/>
                <w:sz w:val="13"/>
                <w:szCs w:val="13"/>
              </w:rPr>
              <w:t>93.65%</w:t>
            </w:r>
          </w:p>
        </w:tc>
        <w:tc>
          <w:tcPr>
            <w:tcW w:w="0" w:type="dxa"/>
            <w:vAlign w:val="bottom"/>
          </w:tcPr>
          <w:p w:rsidR="00A621E3" w:rsidRDefault="00A621E3">
            <w:pPr>
              <w:rPr>
                <w:sz w:val="1"/>
                <w:szCs w:val="1"/>
              </w:rPr>
            </w:pPr>
          </w:p>
        </w:tc>
      </w:tr>
      <w:tr w:rsidR="00A621E3">
        <w:trPr>
          <w:trHeight w:val="189"/>
        </w:trPr>
        <w:tc>
          <w:tcPr>
            <w:tcW w:w="1280" w:type="dxa"/>
            <w:vAlign w:val="bottom"/>
          </w:tcPr>
          <w:p w:rsidR="00A621E3" w:rsidRDefault="00EC630E">
            <w:pPr>
              <w:rPr>
                <w:sz w:val="20"/>
                <w:szCs w:val="20"/>
              </w:rPr>
            </w:pPr>
            <w:r>
              <w:rPr>
                <w:rFonts w:ascii="Arial" w:eastAsia="Arial" w:hAnsi="Arial" w:cs="Arial"/>
                <w:b/>
                <w:bCs/>
                <w:color w:val="CF0A2C"/>
                <w:sz w:val="14"/>
                <w:szCs w:val="14"/>
              </w:rPr>
              <w:t>2021</w:t>
            </w:r>
          </w:p>
        </w:tc>
        <w:tc>
          <w:tcPr>
            <w:tcW w:w="1580" w:type="dxa"/>
            <w:vAlign w:val="bottom"/>
          </w:tcPr>
          <w:p w:rsidR="00A621E3" w:rsidRDefault="00EC630E">
            <w:pPr>
              <w:ind w:right="53"/>
              <w:jc w:val="right"/>
              <w:rPr>
                <w:sz w:val="20"/>
                <w:szCs w:val="20"/>
              </w:rPr>
            </w:pPr>
            <w:r>
              <w:rPr>
                <w:rFonts w:ascii="Arial" w:eastAsia="Arial" w:hAnsi="Arial" w:cs="Arial"/>
                <w:sz w:val="13"/>
                <w:szCs w:val="13"/>
              </w:rPr>
              <w:t>16,555,672</w:t>
            </w:r>
          </w:p>
        </w:tc>
        <w:tc>
          <w:tcPr>
            <w:tcW w:w="1260" w:type="dxa"/>
            <w:vAlign w:val="bottom"/>
          </w:tcPr>
          <w:p w:rsidR="00A621E3" w:rsidRDefault="00EC630E">
            <w:pPr>
              <w:ind w:right="54"/>
              <w:jc w:val="right"/>
              <w:rPr>
                <w:sz w:val="20"/>
                <w:szCs w:val="20"/>
              </w:rPr>
            </w:pPr>
            <w:r>
              <w:rPr>
                <w:rFonts w:ascii="Arial" w:eastAsia="Arial" w:hAnsi="Arial" w:cs="Arial"/>
                <w:sz w:val="13"/>
                <w:szCs w:val="13"/>
              </w:rPr>
              <w:t>6,689,317</w:t>
            </w:r>
          </w:p>
        </w:tc>
        <w:tc>
          <w:tcPr>
            <w:tcW w:w="1240" w:type="dxa"/>
            <w:vAlign w:val="bottom"/>
          </w:tcPr>
          <w:p w:rsidR="00A621E3" w:rsidRDefault="00EC630E">
            <w:pPr>
              <w:jc w:val="right"/>
              <w:rPr>
                <w:sz w:val="20"/>
                <w:szCs w:val="20"/>
              </w:rPr>
            </w:pPr>
            <w:r>
              <w:rPr>
                <w:rFonts w:ascii="Arial" w:eastAsia="Arial" w:hAnsi="Arial" w:cs="Arial"/>
                <w:sz w:val="13"/>
                <w:szCs w:val="13"/>
              </w:rPr>
              <w:t>3,737,910</w:t>
            </w:r>
          </w:p>
        </w:tc>
        <w:tc>
          <w:tcPr>
            <w:tcW w:w="1380" w:type="dxa"/>
            <w:vAlign w:val="bottom"/>
          </w:tcPr>
          <w:p w:rsidR="00A621E3" w:rsidRDefault="00EC630E">
            <w:pPr>
              <w:ind w:right="90"/>
              <w:jc w:val="right"/>
              <w:rPr>
                <w:sz w:val="20"/>
                <w:szCs w:val="20"/>
              </w:rPr>
            </w:pPr>
            <w:r>
              <w:rPr>
                <w:rFonts w:ascii="Arial" w:eastAsia="Arial" w:hAnsi="Arial" w:cs="Arial"/>
                <w:sz w:val="13"/>
                <w:szCs w:val="13"/>
              </w:rPr>
              <w:t>2,243,769</w:t>
            </w:r>
          </w:p>
        </w:tc>
        <w:tc>
          <w:tcPr>
            <w:tcW w:w="1180" w:type="dxa"/>
            <w:vAlign w:val="bottom"/>
          </w:tcPr>
          <w:p w:rsidR="00A621E3" w:rsidRDefault="00EC630E">
            <w:pPr>
              <w:ind w:right="70"/>
              <w:jc w:val="right"/>
              <w:rPr>
                <w:sz w:val="20"/>
                <w:szCs w:val="20"/>
              </w:rPr>
            </w:pPr>
            <w:r>
              <w:rPr>
                <w:rFonts w:ascii="Arial" w:eastAsia="Arial" w:hAnsi="Arial" w:cs="Arial"/>
                <w:sz w:val="13"/>
                <w:szCs w:val="13"/>
              </w:rPr>
              <w:t>105.25</w:t>
            </w:r>
          </w:p>
        </w:tc>
        <w:tc>
          <w:tcPr>
            <w:tcW w:w="1080" w:type="dxa"/>
            <w:vAlign w:val="bottom"/>
          </w:tcPr>
          <w:p w:rsidR="00A621E3" w:rsidRDefault="00EC630E">
            <w:pPr>
              <w:jc w:val="right"/>
              <w:rPr>
                <w:sz w:val="20"/>
                <w:szCs w:val="20"/>
              </w:rPr>
            </w:pPr>
            <w:r>
              <w:rPr>
                <w:rFonts w:ascii="Arial" w:eastAsia="Arial" w:hAnsi="Arial" w:cs="Arial"/>
                <w:sz w:val="13"/>
                <w:szCs w:val="13"/>
              </w:rPr>
              <w:t>96.60</w:t>
            </w:r>
          </w:p>
        </w:tc>
        <w:tc>
          <w:tcPr>
            <w:tcW w:w="860" w:type="dxa"/>
            <w:vAlign w:val="bottom"/>
          </w:tcPr>
          <w:p w:rsidR="00A621E3" w:rsidRDefault="00EC630E">
            <w:pPr>
              <w:jc w:val="right"/>
              <w:rPr>
                <w:sz w:val="20"/>
                <w:szCs w:val="20"/>
              </w:rPr>
            </w:pPr>
            <w:r>
              <w:rPr>
                <w:rFonts w:ascii="Arial" w:eastAsia="Arial" w:hAnsi="Arial" w:cs="Arial"/>
                <w:sz w:val="13"/>
                <w:szCs w:val="13"/>
              </w:rPr>
              <w:t>990</w:t>
            </w:r>
          </w:p>
        </w:tc>
        <w:tc>
          <w:tcPr>
            <w:tcW w:w="1160" w:type="dxa"/>
            <w:vAlign w:val="bottom"/>
          </w:tcPr>
          <w:p w:rsidR="00A621E3" w:rsidRDefault="00EC630E">
            <w:pPr>
              <w:ind w:right="33"/>
              <w:jc w:val="right"/>
              <w:rPr>
                <w:sz w:val="20"/>
                <w:szCs w:val="20"/>
              </w:rPr>
            </w:pPr>
            <w:r>
              <w:rPr>
                <w:rFonts w:ascii="Arial" w:eastAsia="Arial" w:hAnsi="Arial" w:cs="Arial"/>
                <w:sz w:val="13"/>
                <w:szCs w:val="13"/>
              </w:rPr>
              <w:t>33.06%</w:t>
            </w:r>
          </w:p>
        </w:tc>
        <w:tc>
          <w:tcPr>
            <w:tcW w:w="0" w:type="dxa"/>
            <w:vAlign w:val="bottom"/>
          </w:tcPr>
          <w:p w:rsidR="00A621E3" w:rsidRDefault="00A621E3">
            <w:pPr>
              <w:rPr>
                <w:sz w:val="1"/>
                <w:szCs w:val="1"/>
              </w:rPr>
            </w:pPr>
          </w:p>
        </w:tc>
      </w:tr>
      <w:tr w:rsidR="00A621E3">
        <w:trPr>
          <w:trHeight w:val="175"/>
        </w:trPr>
        <w:tc>
          <w:tcPr>
            <w:tcW w:w="1280" w:type="dxa"/>
            <w:tcBorders>
              <w:bottom w:val="single" w:sz="8" w:space="0" w:color="CF0A2C"/>
            </w:tcBorders>
            <w:vAlign w:val="bottom"/>
          </w:tcPr>
          <w:p w:rsidR="00A621E3" w:rsidRDefault="00EC630E">
            <w:pPr>
              <w:rPr>
                <w:sz w:val="20"/>
                <w:szCs w:val="20"/>
              </w:rPr>
            </w:pPr>
            <w:r>
              <w:rPr>
                <w:rFonts w:ascii="Arial" w:eastAsia="Arial" w:hAnsi="Arial" w:cs="Arial"/>
                <w:b/>
                <w:bCs/>
                <w:color w:val="CF0A2C"/>
                <w:sz w:val="14"/>
                <w:szCs w:val="14"/>
              </w:rPr>
              <w:t>2020</w:t>
            </w:r>
          </w:p>
        </w:tc>
        <w:tc>
          <w:tcPr>
            <w:tcW w:w="1580" w:type="dxa"/>
            <w:tcBorders>
              <w:bottom w:val="single" w:sz="8" w:space="0" w:color="CF0A2C"/>
            </w:tcBorders>
            <w:vAlign w:val="bottom"/>
          </w:tcPr>
          <w:p w:rsidR="00A621E3" w:rsidRDefault="00EC630E">
            <w:pPr>
              <w:ind w:right="53"/>
              <w:jc w:val="right"/>
              <w:rPr>
                <w:sz w:val="20"/>
                <w:szCs w:val="20"/>
              </w:rPr>
            </w:pPr>
            <w:r>
              <w:rPr>
                <w:rFonts w:ascii="Arial" w:eastAsia="Arial" w:hAnsi="Arial" w:cs="Arial"/>
                <w:sz w:val="13"/>
                <w:szCs w:val="13"/>
              </w:rPr>
              <w:t>21,171,578</w:t>
            </w:r>
          </w:p>
        </w:tc>
        <w:tc>
          <w:tcPr>
            <w:tcW w:w="1260" w:type="dxa"/>
            <w:tcBorders>
              <w:bottom w:val="single" w:sz="8" w:space="0" w:color="CF0A2C"/>
            </w:tcBorders>
            <w:vAlign w:val="bottom"/>
          </w:tcPr>
          <w:p w:rsidR="00A621E3" w:rsidRDefault="00EC630E">
            <w:pPr>
              <w:ind w:right="54"/>
              <w:jc w:val="right"/>
              <w:rPr>
                <w:sz w:val="20"/>
                <w:szCs w:val="20"/>
              </w:rPr>
            </w:pPr>
            <w:r>
              <w:rPr>
                <w:rFonts w:ascii="Arial" w:eastAsia="Arial" w:hAnsi="Arial" w:cs="Arial"/>
                <w:sz w:val="13"/>
                <w:szCs w:val="13"/>
              </w:rPr>
              <w:t>36,083,539</w:t>
            </w:r>
          </w:p>
        </w:tc>
        <w:tc>
          <w:tcPr>
            <w:tcW w:w="124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4,236,753</w:t>
            </w:r>
          </w:p>
        </w:tc>
        <w:tc>
          <w:tcPr>
            <w:tcW w:w="1380" w:type="dxa"/>
            <w:tcBorders>
              <w:bottom w:val="single" w:sz="8" w:space="0" w:color="CF0A2C"/>
            </w:tcBorders>
            <w:vAlign w:val="bottom"/>
          </w:tcPr>
          <w:p w:rsidR="00A621E3" w:rsidRDefault="00EC630E">
            <w:pPr>
              <w:ind w:right="90"/>
              <w:jc w:val="right"/>
              <w:rPr>
                <w:sz w:val="20"/>
                <w:szCs w:val="20"/>
              </w:rPr>
            </w:pPr>
            <w:r>
              <w:rPr>
                <w:rFonts w:ascii="Arial" w:eastAsia="Arial" w:hAnsi="Arial" w:cs="Arial"/>
                <w:sz w:val="13"/>
                <w:szCs w:val="13"/>
              </w:rPr>
              <w:t>6,197,764</w:t>
            </w:r>
          </w:p>
        </w:tc>
        <w:tc>
          <w:tcPr>
            <w:tcW w:w="1180" w:type="dxa"/>
            <w:tcBorders>
              <w:bottom w:val="single" w:sz="8" w:space="0" w:color="CF0A2C"/>
            </w:tcBorders>
            <w:vAlign w:val="bottom"/>
          </w:tcPr>
          <w:p w:rsidR="00A621E3" w:rsidRDefault="00EC630E">
            <w:pPr>
              <w:ind w:right="70"/>
              <w:jc w:val="right"/>
              <w:rPr>
                <w:sz w:val="20"/>
                <w:szCs w:val="20"/>
              </w:rPr>
            </w:pPr>
            <w:r>
              <w:rPr>
                <w:rFonts w:ascii="Arial" w:eastAsia="Arial" w:hAnsi="Arial" w:cs="Arial"/>
                <w:sz w:val="13"/>
                <w:szCs w:val="13"/>
              </w:rPr>
              <w:t>119.41</w:t>
            </w:r>
          </w:p>
        </w:tc>
        <w:tc>
          <w:tcPr>
            <w:tcW w:w="108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150.25</w:t>
            </w:r>
          </w:p>
        </w:tc>
        <w:tc>
          <w:tcPr>
            <w:tcW w:w="86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784</w:t>
            </w:r>
          </w:p>
        </w:tc>
        <w:tc>
          <w:tcPr>
            <w:tcW w:w="1160" w:type="dxa"/>
            <w:tcBorders>
              <w:bottom w:val="single" w:sz="8" w:space="0" w:color="CF0A2C"/>
            </w:tcBorders>
            <w:vAlign w:val="bottom"/>
          </w:tcPr>
          <w:p w:rsidR="00A621E3" w:rsidRDefault="00EC630E">
            <w:pPr>
              <w:ind w:right="33"/>
              <w:jc w:val="right"/>
              <w:rPr>
                <w:sz w:val="20"/>
                <w:szCs w:val="20"/>
              </w:rPr>
            </w:pPr>
            <w:r>
              <w:rPr>
                <w:rFonts w:ascii="Arial" w:eastAsia="Arial" w:hAnsi="Arial" w:cs="Arial"/>
                <w:sz w:val="13"/>
                <w:szCs w:val="13"/>
              </w:rPr>
              <w:t>57.03%</w:t>
            </w:r>
          </w:p>
        </w:tc>
        <w:tc>
          <w:tcPr>
            <w:tcW w:w="0" w:type="dxa"/>
            <w:vAlign w:val="bottom"/>
          </w:tcPr>
          <w:p w:rsidR="00A621E3" w:rsidRDefault="00A621E3">
            <w:pPr>
              <w:rPr>
                <w:sz w:val="1"/>
                <w:szCs w:val="1"/>
              </w:rPr>
            </w:pPr>
          </w:p>
        </w:tc>
      </w:tr>
    </w:tbl>
    <w:p w:rsidR="00A621E3" w:rsidRDefault="00A621E3">
      <w:pPr>
        <w:spacing w:line="280" w:lineRule="exact"/>
        <w:rPr>
          <w:sz w:val="20"/>
          <w:szCs w:val="20"/>
        </w:rPr>
      </w:pPr>
    </w:p>
    <w:p w:rsidR="00A621E3" w:rsidRDefault="00EC630E">
      <w:pPr>
        <w:numPr>
          <w:ilvl w:val="0"/>
          <w:numId w:val="122"/>
        </w:numPr>
        <w:tabs>
          <w:tab w:val="left" w:pos="760"/>
        </w:tabs>
        <w:spacing w:line="269" w:lineRule="auto"/>
        <w:ind w:left="760" w:right="20" w:hanging="644"/>
        <w:jc w:val="both"/>
        <w:rPr>
          <w:rFonts w:ascii="Arial" w:eastAsia="Arial" w:hAnsi="Arial" w:cs="Arial"/>
          <w:color w:val="CF0A2C"/>
          <w:sz w:val="18"/>
          <w:szCs w:val="18"/>
        </w:rPr>
      </w:pPr>
      <w:r>
        <w:rPr>
          <w:rFonts w:ascii="Arial" w:eastAsia="Arial" w:hAnsi="Arial" w:cs="Arial"/>
          <w:sz w:val="18"/>
          <w:szCs w:val="18"/>
        </w:rPr>
        <w:t xml:space="preserve">As </w:t>
      </w:r>
      <w:r>
        <w:rPr>
          <w:rFonts w:ascii="Arial" w:eastAsia="Arial" w:hAnsi="Arial" w:cs="Arial"/>
          <w:sz w:val="18"/>
          <w:szCs w:val="18"/>
        </w:rPr>
        <w:t>required by Section 953 (a) of the Dodd-Frank Wall Street Reform and Consumer Protection Act, and Item 402 (v) of Regulation S-K, we are providing the following information about the relationship between executive compensation actually paid and certain fin</w:t>
      </w:r>
      <w:r>
        <w:rPr>
          <w:rFonts w:ascii="Arial" w:eastAsia="Arial" w:hAnsi="Arial" w:cs="Arial"/>
          <w:sz w:val="18"/>
          <w:szCs w:val="18"/>
        </w:rPr>
        <w:t xml:space="preserve">ancial performance of the Company. For further information concerning the Company’s variable pay-for-performance philosophy and how the Company’s executive compensation aligns with the Company’s performance, refer to “Executive Compensation – Compensation </w:t>
      </w:r>
      <w:r>
        <w:rPr>
          <w:rFonts w:ascii="Arial" w:eastAsia="Arial" w:hAnsi="Arial" w:cs="Arial"/>
          <w:sz w:val="18"/>
          <w:szCs w:val="18"/>
        </w:rPr>
        <w:t>Discussion and Analysis.” Ms. Wat served as the Company’s principal executive officer (“</w:t>
      </w:r>
      <w:r>
        <w:rPr>
          <w:rFonts w:ascii="Arial" w:eastAsia="Arial" w:hAnsi="Arial" w:cs="Arial"/>
          <w:b/>
          <w:bCs/>
          <w:i/>
          <w:iCs/>
          <w:sz w:val="18"/>
          <w:szCs w:val="18"/>
        </w:rPr>
        <w:t>PEO</w:t>
      </w:r>
      <w:r>
        <w:rPr>
          <w:rFonts w:ascii="Arial" w:eastAsia="Arial" w:hAnsi="Arial" w:cs="Arial"/>
          <w:sz w:val="18"/>
          <w:szCs w:val="18"/>
        </w:rPr>
        <w:t>”) for the entirety of 2020, 2021 and 2022 and the Company’s other NEOs for the applicable years were as follows:</w:t>
      </w:r>
    </w:p>
    <w:p w:rsidR="00A621E3" w:rsidRDefault="00A621E3">
      <w:pPr>
        <w:spacing w:line="1" w:lineRule="exact"/>
        <w:rPr>
          <w:rFonts w:ascii="Arial" w:eastAsia="Arial" w:hAnsi="Arial" w:cs="Arial"/>
          <w:color w:val="CF0A2C"/>
          <w:sz w:val="18"/>
          <w:szCs w:val="18"/>
        </w:rPr>
      </w:pPr>
    </w:p>
    <w:p w:rsidR="00A621E3" w:rsidRDefault="00EC630E">
      <w:pPr>
        <w:ind w:left="760"/>
        <w:rPr>
          <w:rFonts w:ascii="Arial" w:eastAsia="Arial" w:hAnsi="Arial" w:cs="Arial"/>
          <w:color w:val="CF0A2C"/>
          <w:sz w:val="18"/>
          <w:szCs w:val="18"/>
        </w:rPr>
      </w:pPr>
      <w:r>
        <w:rPr>
          <w:rFonts w:ascii="Arial" w:eastAsia="Arial" w:hAnsi="Arial" w:cs="Arial"/>
          <w:color w:val="CF0A2C"/>
          <w:sz w:val="20"/>
          <w:szCs w:val="20"/>
        </w:rPr>
        <w:t xml:space="preserve">– </w:t>
      </w:r>
      <w:r>
        <w:rPr>
          <w:rFonts w:ascii="Arial" w:eastAsia="Arial" w:hAnsi="Arial" w:cs="Arial"/>
          <w:color w:val="000000"/>
          <w:sz w:val="20"/>
          <w:szCs w:val="20"/>
        </w:rPr>
        <w:t>2022: Andy Yeung, Joseph Chan, Johnson Huang and</w:t>
      </w:r>
      <w:r>
        <w:rPr>
          <w:rFonts w:ascii="Arial" w:eastAsia="Arial" w:hAnsi="Arial" w:cs="Arial"/>
          <w:color w:val="000000"/>
          <w:sz w:val="20"/>
          <w:szCs w:val="20"/>
        </w:rPr>
        <w:t xml:space="preserve"> Aiken Yuen.</w:t>
      </w:r>
    </w:p>
    <w:p w:rsidR="00A621E3" w:rsidRDefault="00EC630E">
      <w:pPr>
        <w:ind w:left="760"/>
        <w:rPr>
          <w:rFonts w:ascii="Arial" w:eastAsia="Arial" w:hAnsi="Arial" w:cs="Arial"/>
          <w:color w:val="CF0A2C"/>
          <w:sz w:val="18"/>
          <w:szCs w:val="18"/>
        </w:rPr>
      </w:pPr>
      <w:r>
        <w:rPr>
          <w:rFonts w:ascii="Arial" w:eastAsia="Arial" w:hAnsi="Arial" w:cs="Arial"/>
          <w:color w:val="CF0A2C"/>
          <w:sz w:val="20"/>
          <w:szCs w:val="20"/>
        </w:rPr>
        <w:t xml:space="preserve">– </w:t>
      </w:r>
      <w:r>
        <w:rPr>
          <w:rFonts w:ascii="Arial" w:eastAsia="Arial" w:hAnsi="Arial" w:cs="Arial"/>
          <w:color w:val="000000"/>
          <w:sz w:val="20"/>
          <w:szCs w:val="20"/>
        </w:rPr>
        <w:t>2021: Andy Yeung, Johnson Huang, Joseph Chan, Aiken Yuen and Danny Tan.</w:t>
      </w:r>
    </w:p>
    <w:p w:rsidR="00A621E3" w:rsidRDefault="00EC630E">
      <w:pPr>
        <w:ind w:left="760"/>
        <w:rPr>
          <w:rFonts w:ascii="Arial" w:eastAsia="Arial" w:hAnsi="Arial" w:cs="Arial"/>
          <w:color w:val="CF0A2C"/>
          <w:sz w:val="18"/>
          <w:szCs w:val="18"/>
        </w:rPr>
      </w:pPr>
      <w:r>
        <w:rPr>
          <w:rFonts w:ascii="Arial" w:eastAsia="Arial" w:hAnsi="Arial" w:cs="Arial"/>
          <w:color w:val="CF0A2C"/>
          <w:sz w:val="20"/>
          <w:szCs w:val="20"/>
        </w:rPr>
        <w:t xml:space="preserve">– </w:t>
      </w:r>
      <w:r>
        <w:rPr>
          <w:rFonts w:ascii="Arial" w:eastAsia="Arial" w:hAnsi="Arial" w:cs="Arial"/>
          <w:color w:val="000000"/>
          <w:sz w:val="20"/>
          <w:szCs w:val="20"/>
        </w:rPr>
        <w:t>2020: Andy Yeung, Johnson Huang, Danny Tan and Aiken Yuen.</w:t>
      </w:r>
    </w:p>
    <w:p w:rsidR="00A621E3" w:rsidRDefault="00A621E3">
      <w:pPr>
        <w:spacing w:line="280" w:lineRule="exact"/>
        <w:rPr>
          <w:rFonts w:ascii="Arial" w:eastAsia="Arial" w:hAnsi="Arial" w:cs="Arial"/>
          <w:color w:val="CF0A2C"/>
          <w:sz w:val="18"/>
          <w:szCs w:val="18"/>
        </w:rPr>
      </w:pPr>
    </w:p>
    <w:p w:rsidR="00A621E3" w:rsidRDefault="00EC630E">
      <w:pPr>
        <w:numPr>
          <w:ilvl w:val="0"/>
          <w:numId w:val="122"/>
        </w:numPr>
        <w:tabs>
          <w:tab w:val="left" w:pos="760"/>
        </w:tabs>
        <w:spacing w:line="269" w:lineRule="auto"/>
        <w:ind w:left="760" w:right="20" w:hanging="644"/>
        <w:jc w:val="both"/>
        <w:rPr>
          <w:rFonts w:ascii="Arial" w:eastAsia="Arial" w:hAnsi="Arial" w:cs="Arial"/>
          <w:color w:val="CF0A2C"/>
          <w:sz w:val="19"/>
          <w:szCs w:val="19"/>
        </w:rPr>
      </w:pPr>
      <w:r>
        <w:rPr>
          <w:rFonts w:ascii="Arial" w:eastAsia="Arial" w:hAnsi="Arial" w:cs="Arial"/>
          <w:sz w:val="19"/>
          <w:szCs w:val="19"/>
        </w:rPr>
        <w:t>Amounts reported in this column represent (i) the total compensation reported in the Summary Compensation T</w:t>
      </w:r>
      <w:r>
        <w:rPr>
          <w:rFonts w:ascii="Arial" w:eastAsia="Arial" w:hAnsi="Arial" w:cs="Arial"/>
          <w:sz w:val="19"/>
          <w:szCs w:val="19"/>
        </w:rPr>
        <w:t>able for the applicable year in the case of Ms. Wat and (ii) the average of the total compensation reported in the Summary Compensation Table for the applicable year for the Company’s NEOs reported for the applicable year other than Ms. Wat.</w:t>
      </w:r>
    </w:p>
    <w:p w:rsidR="00A621E3" w:rsidRDefault="00A621E3">
      <w:pPr>
        <w:spacing w:line="250" w:lineRule="exact"/>
        <w:rPr>
          <w:rFonts w:ascii="Arial" w:eastAsia="Arial" w:hAnsi="Arial" w:cs="Arial"/>
          <w:color w:val="CF0A2C"/>
          <w:sz w:val="19"/>
          <w:szCs w:val="19"/>
        </w:rPr>
      </w:pPr>
    </w:p>
    <w:p w:rsidR="00A621E3" w:rsidRDefault="00EC630E">
      <w:pPr>
        <w:numPr>
          <w:ilvl w:val="0"/>
          <w:numId w:val="122"/>
        </w:numPr>
        <w:tabs>
          <w:tab w:val="left" w:pos="760"/>
        </w:tabs>
        <w:spacing w:line="244" w:lineRule="auto"/>
        <w:ind w:left="760" w:right="20" w:hanging="644"/>
        <w:jc w:val="both"/>
        <w:rPr>
          <w:rFonts w:ascii="Arial" w:eastAsia="Arial" w:hAnsi="Arial" w:cs="Arial"/>
          <w:color w:val="CF0A2C"/>
          <w:sz w:val="20"/>
          <w:szCs w:val="20"/>
        </w:rPr>
      </w:pPr>
      <w:r>
        <w:rPr>
          <w:rFonts w:ascii="Arial" w:eastAsia="Arial" w:hAnsi="Arial" w:cs="Arial"/>
          <w:sz w:val="20"/>
          <w:szCs w:val="20"/>
        </w:rPr>
        <w:t xml:space="preserve">To calculate </w:t>
      </w:r>
      <w:r>
        <w:rPr>
          <w:rFonts w:ascii="Arial" w:eastAsia="Arial" w:hAnsi="Arial" w:cs="Arial"/>
          <w:sz w:val="20"/>
          <w:szCs w:val="20"/>
        </w:rPr>
        <w:t>compensation actually paid, adjustments were made to the amounts reported in the Summary Compensation Table for the applicable year. The dollar amounts do not reflect the actual amount of compensation earned by or paid to Ms. Wat during the applicable year</w:t>
      </w:r>
      <w:r>
        <w:rPr>
          <w:rFonts w:ascii="Arial" w:eastAsia="Arial" w:hAnsi="Arial" w:cs="Arial"/>
          <w:sz w:val="20"/>
          <w:szCs w:val="20"/>
        </w:rPr>
        <w:t>, nor the actual average amount of compensation earned by or paid to the NEOs as a group (excluding Ms. Wat) during the applicable year. A reconciliation of the adjustments for Ms. Wat and for the average of the other NEOs is set forth following the footno</w:t>
      </w:r>
      <w:r>
        <w:rPr>
          <w:rFonts w:ascii="Arial" w:eastAsia="Arial" w:hAnsi="Arial" w:cs="Arial"/>
          <w:sz w:val="20"/>
          <w:szCs w:val="20"/>
        </w:rPr>
        <w:t>tes to this table.</w:t>
      </w:r>
    </w:p>
    <w:p w:rsidR="00A621E3" w:rsidRDefault="00A621E3">
      <w:pPr>
        <w:spacing w:line="275" w:lineRule="exact"/>
        <w:rPr>
          <w:rFonts w:ascii="Arial" w:eastAsia="Arial" w:hAnsi="Arial" w:cs="Arial"/>
          <w:color w:val="CF0A2C"/>
          <w:sz w:val="20"/>
          <w:szCs w:val="20"/>
        </w:rPr>
      </w:pPr>
    </w:p>
    <w:p w:rsidR="00A621E3" w:rsidRDefault="00EC630E">
      <w:pPr>
        <w:numPr>
          <w:ilvl w:val="0"/>
          <w:numId w:val="122"/>
        </w:numPr>
        <w:tabs>
          <w:tab w:val="left" w:pos="760"/>
        </w:tabs>
        <w:spacing w:line="291" w:lineRule="auto"/>
        <w:ind w:left="760" w:hanging="644"/>
        <w:jc w:val="both"/>
        <w:rPr>
          <w:rFonts w:ascii="Arial" w:eastAsia="Arial" w:hAnsi="Arial" w:cs="Arial"/>
          <w:color w:val="CF0A2C"/>
          <w:sz w:val="18"/>
          <w:szCs w:val="18"/>
        </w:rPr>
      </w:pPr>
      <w:r>
        <w:rPr>
          <w:rFonts w:ascii="Arial" w:eastAsia="Arial" w:hAnsi="Arial" w:cs="Arial"/>
          <w:sz w:val="18"/>
          <w:szCs w:val="18"/>
        </w:rPr>
        <w:t>For each fiscal year, the amount included in the table is the cumulative total shareholder return as of the end of that year, assuming that the value of the investment in our common stock and peer group was $100 on December 31, 2019 and</w:t>
      </w:r>
      <w:r>
        <w:rPr>
          <w:rFonts w:ascii="Arial" w:eastAsia="Arial" w:hAnsi="Arial" w:cs="Arial"/>
          <w:sz w:val="18"/>
          <w:szCs w:val="18"/>
        </w:rPr>
        <w:t xml:space="preserve"> that all dividends were reinvested. Historic stock price performance is not necessarily indicative of future stock price performance.</w:t>
      </w:r>
    </w:p>
    <w:p w:rsidR="00A621E3" w:rsidRDefault="00A621E3">
      <w:pPr>
        <w:spacing w:line="232" w:lineRule="exact"/>
        <w:rPr>
          <w:rFonts w:ascii="Arial" w:eastAsia="Arial" w:hAnsi="Arial" w:cs="Arial"/>
          <w:color w:val="CF0A2C"/>
          <w:sz w:val="18"/>
          <w:szCs w:val="18"/>
        </w:rPr>
      </w:pPr>
    </w:p>
    <w:p w:rsidR="00A621E3" w:rsidRDefault="00EC630E">
      <w:pPr>
        <w:numPr>
          <w:ilvl w:val="0"/>
          <w:numId w:val="122"/>
        </w:numPr>
        <w:tabs>
          <w:tab w:val="left" w:pos="760"/>
        </w:tabs>
        <w:spacing w:line="250" w:lineRule="auto"/>
        <w:ind w:left="760" w:right="20" w:hanging="644"/>
        <w:jc w:val="both"/>
        <w:rPr>
          <w:rFonts w:ascii="Arial" w:eastAsia="Arial" w:hAnsi="Arial" w:cs="Arial"/>
          <w:color w:val="CF0A2C"/>
          <w:sz w:val="20"/>
          <w:szCs w:val="20"/>
        </w:rPr>
      </w:pPr>
      <w:r>
        <w:rPr>
          <w:rFonts w:ascii="Arial" w:eastAsia="Arial" w:hAnsi="Arial" w:cs="Arial"/>
          <w:sz w:val="20"/>
          <w:szCs w:val="20"/>
        </w:rPr>
        <w:t>The TSR Peer Group consists of the MSCI China Consumer Discretionary Index, which is a free-float adjusted market cap we</w:t>
      </w:r>
      <w:r>
        <w:rPr>
          <w:rFonts w:ascii="Arial" w:eastAsia="Arial" w:hAnsi="Arial" w:cs="Arial"/>
          <w:sz w:val="20"/>
          <w:szCs w:val="20"/>
        </w:rPr>
        <w:t>ighted gross total return index, based on MSCI’s Global Investable Market Indexes Methodology, which is the same industry index used for purposes of our Annual Report on Form 10-K.</w:t>
      </w:r>
    </w:p>
    <w:p w:rsidR="00A621E3" w:rsidRDefault="00A621E3">
      <w:pPr>
        <w:spacing w:line="266" w:lineRule="exact"/>
        <w:rPr>
          <w:rFonts w:ascii="Arial" w:eastAsia="Arial" w:hAnsi="Arial" w:cs="Arial"/>
          <w:color w:val="CF0A2C"/>
          <w:sz w:val="20"/>
          <w:szCs w:val="20"/>
        </w:rPr>
      </w:pPr>
    </w:p>
    <w:p w:rsidR="00A621E3" w:rsidRDefault="00EC630E">
      <w:pPr>
        <w:numPr>
          <w:ilvl w:val="0"/>
          <w:numId w:val="122"/>
        </w:numPr>
        <w:tabs>
          <w:tab w:val="left" w:pos="760"/>
        </w:tabs>
        <w:spacing w:line="250" w:lineRule="auto"/>
        <w:ind w:left="760" w:right="20" w:hanging="644"/>
        <w:jc w:val="both"/>
        <w:rPr>
          <w:rFonts w:ascii="Arial" w:eastAsia="Arial" w:hAnsi="Arial" w:cs="Arial"/>
          <w:color w:val="CF0A2C"/>
          <w:sz w:val="20"/>
          <w:szCs w:val="20"/>
        </w:rPr>
      </w:pPr>
      <w:r>
        <w:rPr>
          <w:rFonts w:ascii="Arial" w:eastAsia="Arial" w:hAnsi="Arial" w:cs="Arial"/>
          <w:sz w:val="20"/>
          <w:szCs w:val="20"/>
        </w:rPr>
        <w:t>As noted in the CD&amp;A, for 2022, our r-TSR percentile ranking against the c</w:t>
      </w:r>
      <w:r>
        <w:rPr>
          <w:rFonts w:ascii="Arial" w:eastAsia="Arial" w:hAnsi="Arial" w:cs="Arial"/>
          <w:sz w:val="20"/>
          <w:szCs w:val="20"/>
        </w:rPr>
        <w:t>onstituents of the MSCI China Index was utilized as a component in both the 2022 annual performance-based cash bonus plan and the 2022 Annual PSU Awards, and is viewed as the most important measure by the Company to link pay and performance.</w:t>
      </w:r>
    </w:p>
    <w:p w:rsidR="00A621E3" w:rsidRDefault="00A621E3">
      <w:pPr>
        <w:spacing w:line="122"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xml:space="preserve">– </w:t>
      </w:r>
      <w:r>
        <w:rPr>
          <w:rFonts w:ascii="Arial" w:eastAsia="Arial" w:hAnsi="Arial" w:cs="Arial"/>
          <w:i/>
          <w:iCs/>
          <w:color w:val="4C4C4C"/>
          <w:sz w:val="14"/>
          <w:szCs w:val="14"/>
        </w:rPr>
        <w:t>2023 Proxy Statement</w:t>
      </w:r>
      <w:r>
        <w:rPr>
          <w:sz w:val="20"/>
          <w:szCs w:val="20"/>
        </w:rPr>
        <w:tab/>
      </w:r>
      <w:r>
        <w:rPr>
          <w:rFonts w:ascii="Arial" w:eastAsia="Arial" w:hAnsi="Arial" w:cs="Arial"/>
          <w:color w:val="CF0A2C"/>
          <w:sz w:val="14"/>
          <w:szCs w:val="14"/>
        </w:rPr>
        <w:t>89</w:t>
      </w:r>
    </w:p>
    <w:p w:rsidR="00A621E3" w:rsidRDefault="00EC630E">
      <w:pPr>
        <w:spacing w:line="20" w:lineRule="exact"/>
        <w:rPr>
          <w:sz w:val="20"/>
          <w:szCs w:val="20"/>
        </w:rPr>
      </w:pPr>
      <w:r>
        <w:rPr>
          <w:noProof/>
          <w:sz w:val="20"/>
          <w:szCs w:val="20"/>
        </w:rPr>
        <w:drawing>
          <wp:anchor distT="0" distB="0" distL="114300" distR="114300" simplePos="0" relativeHeight="252024832"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95" w:name="page95"/>
      <w:bookmarkEnd w:id="95"/>
      <w:r>
        <w:rPr>
          <w:rFonts w:ascii="Arial" w:eastAsia="Arial" w:hAnsi="Arial" w:cs="Arial"/>
          <w:b/>
          <w:bCs/>
          <w:noProof/>
          <w:color w:val="0000EE"/>
          <w:sz w:val="18"/>
          <w:szCs w:val="18"/>
          <w:u w:val="single"/>
        </w:rPr>
        <w:drawing>
          <wp:anchor distT="0" distB="0" distL="114300" distR="114300" simplePos="0" relativeHeight="252025856"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26880"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EC630E">
      <w:pPr>
        <w:spacing w:line="20" w:lineRule="exact"/>
        <w:rPr>
          <w:sz w:val="20"/>
          <w:szCs w:val="20"/>
        </w:rPr>
      </w:pPr>
      <w:r>
        <w:rPr>
          <w:noProof/>
          <w:sz w:val="20"/>
          <w:szCs w:val="20"/>
        </w:rPr>
        <w:drawing>
          <wp:anchor distT="0" distB="0" distL="114300" distR="114300" simplePos="0" relativeHeight="252027904" behindDoc="1" locked="0" layoutInCell="0" allowOverlap="1">
            <wp:simplePos x="0" y="0"/>
            <wp:positionH relativeFrom="column">
              <wp:posOffset>73660</wp:posOffset>
            </wp:positionH>
            <wp:positionV relativeFrom="paragraph">
              <wp:posOffset>143510</wp:posOffset>
            </wp:positionV>
            <wp:extent cx="6995160" cy="2494280"/>
            <wp:effectExtent l="0" t="0" r="0" b="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52">
                      <a:extLst/>
                    </a:blip>
                    <a:srcRect/>
                    <a:stretch>
                      <a:fillRect/>
                    </a:stretch>
                  </pic:blipFill>
                  <pic:spPr bwMode="auto">
                    <a:xfrm>
                      <a:off x="0" y="0"/>
                      <a:ext cx="6995160" cy="2494280"/>
                    </a:xfrm>
                    <a:prstGeom prst="rect">
                      <a:avLst/>
                    </a:prstGeom>
                    <a:noFill/>
                  </pic:spPr>
                </pic:pic>
              </a:graphicData>
            </a:graphic>
          </wp:anchor>
        </w:drawing>
      </w:r>
    </w:p>
    <w:p w:rsidR="00A621E3" w:rsidRDefault="00A621E3">
      <w:pPr>
        <w:spacing w:line="186" w:lineRule="exact"/>
        <w:rPr>
          <w:sz w:val="20"/>
          <w:szCs w:val="20"/>
        </w:rPr>
      </w:pPr>
    </w:p>
    <w:p w:rsidR="00A621E3" w:rsidRDefault="00EC630E">
      <w:pPr>
        <w:ind w:right="-39"/>
        <w:jc w:val="center"/>
        <w:rPr>
          <w:sz w:val="20"/>
          <w:szCs w:val="20"/>
        </w:rPr>
      </w:pPr>
      <w:r>
        <w:rPr>
          <w:rFonts w:ascii="Arial" w:eastAsia="Arial" w:hAnsi="Arial" w:cs="Arial"/>
          <w:b/>
          <w:bCs/>
          <w:color w:val="CF0A2C"/>
          <w:sz w:val="14"/>
          <w:szCs w:val="14"/>
        </w:rPr>
        <w:t>Compensation Actually Paid Adjustments</w:t>
      </w:r>
      <w:r>
        <w:rPr>
          <w:rFonts w:ascii="Arial" w:eastAsia="Arial" w:hAnsi="Arial" w:cs="Arial"/>
          <w:b/>
          <w:bCs/>
          <w:color w:val="CF0A2C"/>
          <w:sz w:val="17"/>
          <w:szCs w:val="17"/>
          <w:vertAlign w:val="superscript"/>
        </w:rPr>
        <w:t>(a)</w:t>
      </w:r>
    </w:p>
    <w:tbl>
      <w:tblPr>
        <w:tblW w:w="0" w:type="auto"/>
        <w:tblInd w:w="120" w:type="dxa"/>
        <w:tblLayout w:type="fixed"/>
        <w:tblCellMar>
          <w:left w:w="0" w:type="dxa"/>
          <w:right w:w="0" w:type="dxa"/>
        </w:tblCellMar>
        <w:tblLook w:val="04A0" w:firstRow="1" w:lastRow="0" w:firstColumn="1" w:lastColumn="0" w:noHBand="0" w:noVBand="1"/>
      </w:tblPr>
      <w:tblGrid>
        <w:gridCol w:w="980"/>
        <w:gridCol w:w="1820"/>
        <w:gridCol w:w="980"/>
        <w:gridCol w:w="1140"/>
        <w:gridCol w:w="1240"/>
        <w:gridCol w:w="1300"/>
        <w:gridCol w:w="1220"/>
        <w:gridCol w:w="1020"/>
        <w:gridCol w:w="1320"/>
        <w:gridCol w:w="20"/>
      </w:tblGrid>
      <w:tr w:rsidR="00A621E3">
        <w:trPr>
          <w:trHeight w:val="142"/>
        </w:trPr>
        <w:tc>
          <w:tcPr>
            <w:tcW w:w="980" w:type="dxa"/>
            <w:tcBorders>
              <w:top w:val="single" w:sz="8" w:space="0" w:color="CF0A2C"/>
            </w:tcBorders>
            <w:vAlign w:val="bottom"/>
          </w:tcPr>
          <w:p w:rsidR="00A621E3" w:rsidRDefault="00A621E3">
            <w:pPr>
              <w:rPr>
                <w:sz w:val="12"/>
                <w:szCs w:val="12"/>
              </w:rPr>
            </w:pPr>
          </w:p>
        </w:tc>
        <w:tc>
          <w:tcPr>
            <w:tcW w:w="1820" w:type="dxa"/>
            <w:tcBorders>
              <w:top w:val="single" w:sz="8" w:space="0" w:color="CF0A2C"/>
            </w:tcBorders>
            <w:vAlign w:val="bottom"/>
          </w:tcPr>
          <w:p w:rsidR="00A621E3" w:rsidRDefault="00A621E3">
            <w:pPr>
              <w:rPr>
                <w:sz w:val="12"/>
                <w:szCs w:val="12"/>
              </w:rPr>
            </w:pPr>
          </w:p>
        </w:tc>
        <w:tc>
          <w:tcPr>
            <w:tcW w:w="980" w:type="dxa"/>
            <w:tcBorders>
              <w:top w:val="single" w:sz="8" w:space="0" w:color="CF0A2C"/>
            </w:tcBorders>
            <w:vAlign w:val="bottom"/>
          </w:tcPr>
          <w:p w:rsidR="00A621E3" w:rsidRDefault="00A621E3">
            <w:pPr>
              <w:rPr>
                <w:sz w:val="12"/>
                <w:szCs w:val="12"/>
              </w:rPr>
            </w:pPr>
          </w:p>
        </w:tc>
        <w:tc>
          <w:tcPr>
            <w:tcW w:w="1140" w:type="dxa"/>
            <w:tcBorders>
              <w:top w:val="single" w:sz="8" w:space="0" w:color="CF0A2C"/>
            </w:tcBorders>
            <w:vAlign w:val="bottom"/>
          </w:tcPr>
          <w:p w:rsidR="00A621E3" w:rsidRDefault="00A621E3">
            <w:pPr>
              <w:rPr>
                <w:sz w:val="12"/>
                <w:szCs w:val="12"/>
              </w:rPr>
            </w:pPr>
          </w:p>
        </w:tc>
        <w:tc>
          <w:tcPr>
            <w:tcW w:w="1240" w:type="dxa"/>
            <w:tcBorders>
              <w:top w:val="single" w:sz="8" w:space="0" w:color="CF0A2C"/>
            </w:tcBorders>
            <w:vAlign w:val="bottom"/>
          </w:tcPr>
          <w:p w:rsidR="00A621E3" w:rsidRDefault="00A621E3">
            <w:pPr>
              <w:rPr>
                <w:sz w:val="12"/>
                <w:szCs w:val="12"/>
              </w:rPr>
            </w:pPr>
          </w:p>
        </w:tc>
        <w:tc>
          <w:tcPr>
            <w:tcW w:w="1300" w:type="dxa"/>
            <w:tcBorders>
              <w:top w:val="single" w:sz="8" w:space="0" w:color="CF0A2C"/>
            </w:tcBorders>
            <w:vAlign w:val="bottom"/>
          </w:tcPr>
          <w:p w:rsidR="00A621E3" w:rsidRDefault="00A621E3">
            <w:pPr>
              <w:rPr>
                <w:sz w:val="12"/>
                <w:szCs w:val="12"/>
              </w:rPr>
            </w:pPr>
          </w:p>
        </w:tc>
        <w:tc>
          <w:tcPr>
            <w:tcW w:w="1220" w:type="dxa"/>
            <w:tcBorders>
              <w:top w:val="single" w:sz="8" w:space="0" w:color="CF0A2C"/>
            </w:tcBorders>
            <w:vAlign w:val="bottom"/>
          </w:tcPr>
          <w:p w:rsidR="00A621E3" w:rsidRDefault="00A621E3">
            <w:pPr>
              <w:rPr>
                <w:sz w:val="12"/>
                <w:szCs w:val="12"/>
              </w:rPr>
            </w:pPr>
          </w:p>
        </w:tc>
        <w:tc>
          <w:tcPr>
            <w:tcW w:w="1020" w:type="dxa"/>
            <w:tcBorders>
              <w:top w:val="single" w:sz="8" w:space="0" w:color="CF0A2C"/>
            </w:tcBorders>
            <w:vAlign w:val="bottom"/>
          </w:tcPr>
          <w:p w:rsidR="00A621E3" w:rsidRDefault="00EC630E">
            <w:pPr>
              <w:spacing w:line="143" w:lineRule="exact"/>
              <w:jc w:val="center"/>
              <w:rPr>
                <w:sz w:val="20"/>
                <w:szCs w:val="20"/>
              </w:rPr>
            </w:pPr>
            <w:r>
              <w:rPr>
                <w:rFonts w:ascii="Arial" w:eastAsia="Arial" w:hAnsi="Arial" w:cs="Arial"/>
                <w:b/>
                <w:bCs/>
                <w:color w:val="CF0A2C"/>
                <w:sz w:val="14"/>
                <w:szCs w:val="14"/>
              </w:rPr>
              <w:t>Minus</w:t>
            </w:r>
          </w:p>
        </w:tc>
        <w:tc>
          <w:tcPr>
            <w:tcW w:w="1320" w:type="dxa"/>
            <w:tcBorders>
              <w:top w:val="single" w:sz="8" w:space="0" w:color="CF0A2C"/>
            </w:tcBorders>
            <w:vAlign w:val="bottom"/>
          </w:tcPr>
          <w:p w:rsidR="00A621E3" w:rsidRDefault="00A621E3">
            <w:pPr>
              <w:rPr>
                <w:sz w:val="12"/>
                <w:szCs w:val="12"/>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A621E3">
            <w:pPr>
              <w:rPr>
                <w:sz w:val="14"/>
                <w:szCs w:val="14"/>
              </w:rPr>
            </w:pPr>
          </w:p>
        </w:tc>
        <w:tc>
          <w:tcPr>
            <w:tcW w:w="1140" w:type="dxa"/>
            <w:vAlign w:val="bottom"/>
          </w:tcPr>
          <w:p w:rsidR="00A621E3" w:rsidRDefault="00A621E3">
            <w:pPr>
              <w:rPr>
                <w:sz w:val="14"/>
                <w:szCs w:val="14"/>
              </w:rPr>
            </w:pPr>
          </w:p>
        </w:tc>
        <w:tc>
          <w:tcPr>
            <w:tcW w:w="1240" w:type="dxa"/>
            <w:vAlign w:val="bottom"/>
          </w:tcPr>
          <w:p w:rsidR="00A621E3" w:rsidRDefault="00A621E3">
            <w:pPr>
              <w:rPr>
                <w:sz w:val="14"/>
                <w:szCs w:val="14"/>
              </w:rPr>
            </w:pPr>
          </w:p>
        </w:tc>
        <w:tc>
          <w:tcPr>
            <w:tcW w:w="1300" w:type="dxa"/>
            <w:vAlign w:val="bottom"/>
          </w:tcPr>
          <w:p w:rsidR="00A621E3" w:rsidRDefault="00A621E3">
            <w:pPr>
              <w:rPr>
                <w:sz w:val="14"/>
                <w:szCs w:val="14"/>
              </w:rPr>
            </w:pPr>
          </w:p>
        </w:tc>
        <w:tc>
          <w:tcPr>
            <w:tcW w:w="1220" w:type="dxa"/>
            <w:vAlign w:val="bottom"/>
          </w:tcPr>
          <w:p w:rsidR="00A621E3" w:rsidRDefault="00A621E3">
            <w:pPr>
              <w:rPr>
                <w:sz w:val="14"/>
                <w:szCs w:val="14"/>
              </w:rPr>
            </w:pP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Fair Value</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A621E3">
            <w:pPr>
              <w:rPr>
                <w:sz w:val="14"/>
                <w:szCs w:val="14"/>
              </w:rPr>
            </w:pPr>
          </w:p>
        </w:tc>
        <w:tc>
          <w:tcPr>
            <w:tcW w:w="1140" w:type="dxa"/>
            <w:vAlign w:val="bottom"/>
          </w:tcPr>
          <w:p w:rsidR="00A621E3" w:rsidRDefault="00A621E3">
            <w:pPr>
              <w:rPr>
                <w:sz w:val="14"/>
                <w:szCs w:val="14"/>
              </w:rPr>
            </w:pPr>
          </w:p>
        </w:tc>
        <w:tc>
          <w:tcPr>
            <w:tcW w:w="1240" w:type="dxa"/>
            <w:vAlign w:val="bottom"/>
          </w:tcPr>
          <w:p w:rsidR="00A621E3" w:rsidRDefault="00A621E3">
            <w:pPr>
              <w:rPr>
                <w:sz w:val="14"/>
                <w:szCs w:val="14"/>
              </w:rPr>
            </w:pPr>
          </w:p>
        </w:tc>
        <w:tc>
          <w:tcPr>
            <w:tcW w:w="1300" w:type="dxa"/>
            <w:vAlign w:val="bottom"/>
          </w:tcPr>
          <w:p w:rsidR="00A621E3" w:rsidRDefault="00A621E3">
            <w:pPr>
              <w:rPr>
                <w:sz w:val="14"/>
                <w:szCs w:val="14"/>
              </w:rPr>
            </w:pP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Plus/(Minus)</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as of Prior</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A621E3">
            <w:pPr>
              <w:rPr>
                <w:sz w:val="14"/>
                <w:szCs w:val="14"/>
              </w:rPr>
            </w:pPr>
          </w:p>
        </w:tc>
        <w:tc>
          <w:tcPr>
            <w:tcW w:w="1140" w:type="dxa"/>
            <w:vAlign w:val="bottom"/>
          </w:tcPr>
          <w:p w:rsidR="00A621E3" w:rsidRDefault="00A621E3">
            <w:pPr>
              <w:rPr>
                <w:sz w:val="14"/>
                <w:szCs w:val="14"/>
              </w:rPr>
            </w:pPr>
          </w:p>
        </w:tc>
        <w:tc>
          <w:tcPr>
            <w:tcW w:w="1240" w:type="dxa"/>
            <w:vAlign w:val="bottom"/>
          </w:tcPr>
          <w:p w:rsidR="00A621E3" w:rsidRDefault="00A621E3">
            <w:pPr>
              <w:rPr>
                <w:sz w:val="14"/>
                <w:szCs w:val="14"/>
              </w:rPr>
            </w:pPr>
          </w:p>
        </w:tc>
        <w:tc>
          <w:tcPr>
            <w:tcW w:w="1300" w:type="dxa"/>
            <w:vAlign w:val="bottom"/>
          </w:tcPr>
          <w:p w:rsidR="00A621E3" w:rsidRDefault="00A621E3">
            <w:pPr>
              <w:rPr>
                <w:sz w:val="14"/>
                <w:szCs w:val="14"/>
              </w:rPr>
            </w:pP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Change in</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Fiscal</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A621E3">
            <w:pPr>
              <w:rPr>
                <w:sz w:val="14"/>
                <w:szCs w:val="14"/>
              </w:rPr>
            </w:pPr>
          </w:p>
        </w:tc>
        <w:tc>
          <w:tcPr>
            <w:tcW w:w="1140" w:type="dxa"/>
            <w:vAlign w:val="bottom"/>
          </w:tcPr>
          <w:p w:rsidR="00A621E3" w:rsidRDefault="00A621E3">
            <w:pPr>
              <w:rPr>
                <w:sz w:val="14"/>
                <w:szCs w:val="14"/>
              </w:rPr>
            </w:pPr>
          </w:p>
        </w:tc>
        <w:tc>
          <w:tcPr>
            <w:tcW w:w="1240" w:type="dxa"/>
            <w:vAlign w:val="bottom"/>
          </w:tcPr>
          <w:p w:rsidR="00A621E3" w:rsidRDefault="00A621E3">
            <w:pPr>
              <w:rPr>
                <w:sz w:val="14"/>
                <w:szCs w:val="14"/>
              </w:rPr>
            </w:pPr>
          </w:p>
        </w:tc>
        <w:tc>
          <w:tcPr>
            <w:tcW w:w="1300" w:type="dxa"/>
            <w:vAlign w:val="bottom"/>
          </w:tcPr>
          <w:p w:rsidR="00A621E3" w:rsidRDefault="00A621E3">
            <w:pPr>
              <w:rPr>
                <w:sz w:val="14"/>
                <w:szCs w:val="14"/>
              </w:rPr>
            </w:pP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Fair Value as</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Year-End</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A621E3">
            <w:pPr>
              <w:rPr>
                <w:sz w:val="14"/>
                <w:szCs w:val="14"/>
              </w:rPr>
            </w:pPr>
          </w:p>
        </w:tc>
        <w:tc>
          <w:tcPr>
            <w:tcW w:w="1140" w:type="dxa"/>
            <w:vAlign w:val="bottom"/>
          </w:tcPr>
          <w:p w:rsidR="00A621E3" w:rsidRDefault="00A621E3">
            <w:pPr>
              <w:rPr>
                <w:sz w:val="14"/>
                <w:szCs w:val="14"/>
              </w:rPr>
            </w:pPr>
          </w:p>
        </w:tc>
        <w:tc>
          <w:tcPr>
            <w:tcW w:w="1240" w:type="dxa"/>
            <w:vAlign w:val="bottom"/>
          </w:tcPr>
          <w:p w:rsidR="00A621E3" w:rsidRDefault="00A621E3">
            <w:pPr>
              <w:rPr>
                <w:sz w:val="14"/>
                <w:szCs w:val="14"/>
              </w:rPr>
            </w:pPr>
          </w:p>
        </w:tc>
        <w:tc>
          <w:tcPr>
            <w:tcW w:w="1300" w:type="dxa"/>
            <w:vAlign w:val="bottom"/>
          </w:tcPr>
          <w:p w:rsidR="00A621E3" w:rsidRDefault="00A621E3">
            <w:pPr>
              <w:rPr>
                <w:sz w:val="14"/>
                <w:szCs w:val="14"/>
              </w:rPr>
            </w:pP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of Vesting</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of Stock</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A621E3">
            <w:pPr>
              <w:rPr>
                <w:sz w:val="14"/>
                <w:szCs w:val="14"/>
              </w:rPr>
            </w:pPr>
          </w:p>
        </w:tc>
        <w:tc>
          <w:tcPr>
            <w:tcW w:w="1140" w:type="dxa"/>
            <w:vAlign w:val="bottom"/>
          </w:tcPr>
          <w:p w:rsidR="00A621E3" w:rsidRDefault="00A621E3">
            <w:pPr>
              <w:rPr>
                <w:sz w:val="14"/>
                <w:szCs w:val="14"/>
              </w:rPr>
            </w:pPr>
          </w:p>
        </w:tc>
        <w:tc>
          <w:tcPr>
            <w:tcW w:w="1240" w:type="dxa"/>
            <w:vAlign w:val="bottom"/>
          </w:tcPr>
          <w:p w:rsidR="00A621E3" w:rsidRDefault="00A621E3">
            <w:pPr>
              <w:rPr>
                <w:sz w:val="14"/>
                <w:szCs w:val="14"/>
              </w:rPr>
            </w:pPr>
          </w:p>
        </w:tc>
        <w:tc>
          <w:tcPr>
            <w:tcW w:w="1300" w:type="dxa"/>
            <w:vAlign w:val="bottom"/>
          </w:tcPr>
          <w:p w:rsidR="00A621E3" w:rsidRDefault="00A621E3">
            <w:pPr>
              <w:rPr>
                <w:sz w:val="14"/>
                <w:szCs w:val="14"/>
              </w:rPr>
            </w:pP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Date of</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Option/</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A621E3">
            <w:pPr>
              <w:rPr>
                <w:sz w:val="14"/>
                <w:szCs w:val="14"/>
              </w:rPr>
            </w:pPr>
          </w:p>
        </w:tc>
        <w:tc>
          <w:tcPr>
            <w:tcW w:w="1140" w:type="dxa"/>
            <w:vAlign w:val="bottom"/>
          </w:tcPr>
          <w:p w:rsidR="00A621E3" w:rsidRDefault="00A621E3">
            <w:pPr>
              <w:rPr>
                <w:sz w:val="14"/>
                <w:szCs w:val="14"/>
              </w:rPr>
            </w:pPr>
          </w:p>
        </w:tc>
        <w:tc>
          <w:tcPr>
            <w:tcW w:w="1240" w:type="dxa"/>
            <w:vAlign w:val="bottom"/>
          </w:tcPr>
          <w:p w:rsidR="00A621E3" w:rsidRDefault="00A621E3">
            <w:pPr>
              <w:rPr>
                <w:sz w:val="14"/>
                <w:szCs w:val="14"/>
              </w:rPr>
            </w:pPr>
          </w:p>
        </w:tc>
        <w:tc>
          <w:tcPr>
            <w:tcW w:w="1300" w:type="dxa"/>
            <w:vAlign w:val="bottom"/>
          </w:tcPr>
          <w:p w:rsidR="00A621E3" w:rsidRDefault="00A621E3">
            <w:pPr>
              <w:rPr>
                <w:sz w:val="14"/>
                <w:szCs w:val="14"/>
              </w:rPr>
            </w:pP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Stock</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SAR and</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A621E3">
            <w:pPr>
              <w:rPr>
                <w:sz w:val="14"/>
                <w:szCs w:val="14"/>
              </w:rPr>
            </w:pPr>
          </w:p>
        </w:tc>
        <w:tc>
          <w:tcPr>
            <w:tcW w:w="1140" w:type="dxa"/>
            <w:vAlign w:val="bottom"/>
          </w:tcPr>
          <w:p w:rsidR="00A621E3" w:rsidRDefault="00A621E3">
            <w:pPr>
              <w:rPr>
                <w:sz w:val="14"/>
                <w:szCs w:val="14"/>
              </w:rPr>
            </w:pPr>
          </w:p>
        </w:tc>
        <w:tc>
          <w:tcPr>
            <w:tcW w:w="1240" w:type="dxa"/>
            <w:vAlign w:val="bottom"/>
          </w:tcPr>
          <w:p w:rsidR="00A621E3" w:rsidRDefault="00A621E3">
            <w:pPr>
              <w:rPr>
                <w:sz w:val="14"/>
                <w:szCs w:val="14"/>
              </w:rPr>
            </w:pPr>
          </w:p>
        </w:tc>
        <w:tc>
          <w:tcPr>
            <w:tcW w:w="1300" w:type="dxa"/>
            <w:vAlign w:val="bottom"/>
          </w:tcPr>
          <w:p w:rsidR="00A621E3" w:rsidRDefault="00A621E3">
            <w:pPr>
              <w:rPr>
                <w:sz w:val="14"/>
                <w:szCs w:val="14"/>
              </w:rPr>
            </w:pP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Option/SAR</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Stock</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A621E3">
            <w:pPr>
              <w:rPr>
                <w:sz w:val="14"/>
                <w:szCs w:val="14"/>
              </w:rPr>
            </w:pPr>
          </w:p>
        </w:tc>
        <w:tc>
          <w:tcPr>
            <w:tcW w:w="1140" w:type="dxa"/>
            <w:vAlign w:val="bottom"/>
          </w:tcPr>
          <w:p w:rsidR="00A621E3" w:rsidRDefault="00A621E3">
            <w:pPr>
              <w:rPr>
                <w:sz w:val="14"/>
                <w:szCs w:val="14"/>
              </w:rPr>
            </w:pPr>
          </w:p>
        </w:tc>
        <w:tc>
          <w:tcPr>
            <w:tcW w:w="1240" w:type="dxa"/>
            <w:vAlign w:val="bottom"/>
          </w:tcPr>
          <w:p w:rsidR="00A621E3" w:rsidRDefault="00EC630E">
            <w:pPr>
              <w:jc w:val="center"/>
              <w:rPr>
                <w:sz w:val="20"/>
                <w:szCs w:val="20"/>
              </w:rPr>
            </w:pPr>
            <w:r>
              <w:rPr>
                <w:rFonts w:ascii="Arial" w:eastAsia="Arial" w:hAnsi="Arial" w:cs="Arial"/>
                <w:b/>
                <w:bCs/>
                <w:color w:val="CF0A2C"/>
                <w:sz w:val="14"/>
                <w:szCs w:val="14"/>
              </w:rPr>
              <w:t>Plus/(Minus)</w:t>
            </w:r>
          </w:p>
        </w:tc>
        <w:tc>
          <w:tcPr>
            <w:tcW w:w="1300" w:type="dxa"/>
            <w:vAlign w:val="bottom"/>
          </w:tcPr>
          <w:p w:rsidR="00A621E3" w:rsidRDefault="00A621E3">
            <w:pPr>
              <w:rPr>
                <w:sz w:val="14"/>
                <w:szCs w:val="14"/>
              </w:rPr>
            </w:pP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and Stock</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Awards</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A621E3">
            <w:pPr>
              <w:rPr>
                <w:sz w:val="14"/>
                <w:szCs w:val="14"/>
              </w:rPr>
            </w:pPr>
          </w:p>
        </w:tc>
        <w:tc>
          <w:tcPr>
            <w:tcW w:w="1140" w:type="dxa"/>
            <w:vAlign w:val="bottom"/>
          </w:tcPr>
          <w:p w:rsidR="00A621E3" w:rsidRDefault="00EC630E">
            <w:pPr>
              <w:ind w:left="9"/>
              <w:jc w:val="center"/>
              <w:rPr>
                <w:sz w:val="20"/>
                <w:szCs w:val="20"/>
              </w:rPr>
            </w:pPr>
            <w:r>
              <w:rPr>
                <w:rFonts w:ascii="Arial" w:eastAsia="Arial" w:hAnsi="Arial" w:cs="Arial"/>
                <w:b/>
                <w:bCs/>
                <w:color w:val="CF0A2C"/>
                <w:sz w:val="14"/>
                <w:szCs w:val="14"/>
              </w:rPr>
              <w:t>Plus</w:t>
            </w:r>
          </w:p>
        </w:tc>
        <w:tc>
          <w:tcPr>
            <w:tcW w:w="1240" w:type="dxa"/>
            <w:vAlign w:val="bottom"/>
          </w:tcPr>
          <w:p w:rsidR="00A621E3" w:rsidRDefault="00EC630E">
            <w:pPr>
              <w:jc w:val="center"/>
              <w:rPr>
                <w:sz w:val="20"/>
                <w:szCs w:val="20"/>
              </w:rPr>
            </w:pPr>
            <w:r>
              <w:rPr>
                <w:rFonts w:ascii="Arial" w:eastAsia="Arial" w:hAnsi="Arial" w:cs="Arial"/>
                <w:b/>
                <w:bCs/>
                <w:color w:val="CF0A2C"/>
                <w:sz w:val="14"/>
                <w:szCs w:val="14"/>
              </w:rPr>
              <w:t>Change in</w:t>
            </w:r>
          </w:p>
        </w:tc>
        <w:tc>
          <w:tcPr>
            <w:tcW w:w="1300" w:type="dxa"/>
            <w:vAlign w:val="bottom"/>
          </w:tcPr>
          <w:p w:rsidR="00A621E3" w:rsidRDefault="00A621E3">
            <w:pPr>
              <w:rPr>
                <w:sz w:val="14"/>
                <w:szCs w:val="14"/>
              </w:rPr>
            </w:pP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Awards</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Granted in</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A621E3">
            <w:pPr>
              <w:rPr>
                <w:sz w:val="14"/>
                <w:szCs w:val="14"/>
              </w:rPr>
            </w:pPr>
          </w:p>
        </w:tc>
        <w:tc>
          <w:tcPr>
            <w:tcW w:w="1140" w:type="dxa"/>
            <w:vAlign w:val="bottom"/>
          </w:tcPr>
          <w:p w:rsidR="00A621E3" w:rsidRDefault="00EC630E">
            <w:pPr>
              <w:jc w:val="center"/>
              <w:rPr>
                <w:sz w:val="20"/>
                <w:szCs w:val="20"/>
              </w:rPr>
            </w:pPr>
            <w:r>
              <w:rPr>
                <w:rFonts w:ascii="Arial" w:eastAsia="Arial" w:hAnsi="Arial" w:cs="Arial"/>
                <w:b/>
                <w:bCs/>
                <w:color w:val="CF0A2C"/>
                <w:sz w:val="14"/>
                <w:szCs w:val="14"/>
              </w:rPr>
              <w:t>Fair Value at</w:t>
            </w:r>
          </w:p>
        </w:tc>
        <w:tc>
          <w:tcPr>
            <w:tcW w:w="1240" w:type="dxa"/>
            <w:vAlign w:val="bottom"/>
          </w:tcPr>
          <w:p w:rsidR="00A621E3" w:rsidRDefault="00EC630E">
            <w:pPr>
              <w:jc w:val="center"/>
              <w:rPr>
                <w:sz w:val="20"/>
                <w:szCs w:val="20"/>
              </w:rPr>
            </w:pPr>
            <w:r>
              <w:rPr>
                <w:rFonts w:ascii="Arial" w:eastAsia="Arial" w:hAnsi="Arial" w:cs="Arial"/>
                <w:b/>
                <w:bCs/>
                <w:color w:val="CF0A2C"/>
                <w:w w:val="99"/>
                <w:sz w:val="14"/>
                <w:szCs w:val="14"/>
              </w:rPr>
              <w:t>Fair Value of</w:t>
            </w:r>
          </w:p>
        </w:tc>
        <w:tc>
          <w:tcPr>
            <w:tcW w:w="1300" w:type="dxa"/>
            <w:vAlign w:val="bottom"/>
          </w:tcPr>
          <w:p w:rsidR="00A621E3" w:rsidRDefault="00A621E3">
            <w:pPr>
              <w:rPr>
                <w:sz w:val="14"/>
                <w:szCs w:val="14"/>
              </w:rPr>
            </w:pP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Granted in</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Prior</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A621E3">
            <w:pPr>
              <w:rPr>
                <w:sz w:val="14"/>
                <w:szCs w:val="14"/>
              </w:rPr>
            </w:pPr>
          </w:p>
        </w:tc>
        <w:tc>
          <w:tcPr>
            <w:tcW w:w="1140" w:type="dxa"/>
            <w:vAlign w:val="bottom"/>
          </w:tcPr>
          <w:p w:rsidR="00A621E3" w:rsidRDefault="00EC630E">
            <w:pPr>
              <w:jc w:val="center"/>
              <w:rPr>
                <w:sz w:val="20"/>
                <w:szCs w:val="20"/>
              </w:rPr>
            </w:pPr>
            <w:r>
              <w:rPr>
                <w:rFonts w:ascii="Arial" w:eastAsia="Arial" w:hAnsi="Arial" w:cs="Arial"/>
                <w:b/>
                <w:bCs/>
                <w:color w:val="CF0A2C"/>
                <w:sz w:val="14"/>
                <w:szCs w:val="14"/>
              </w:rPr>
              <w:t>Fiscal</w:t>
            </w:r>
          </w:p>
        </w:tc>
        <w:tc>
          <w:tcPr>
            <w:tcW w:w="1240" w:type="dxa"/>
            <w:vAlign w:val="bottom"/>
          </w:tcPr>
          <w:p w:rsidR="00A621E3" w:rsidRDefault="00EC630E">
            <w:pPr>
              <w:jc w:val="center"/>
              <w:rPr>
                <w:sz w:val="20"/>
                <w:szCs w:val="20"/>
              </w:rPr>
            </w:pPr>
            <w:r>
              <w:rPr>
                <w:rFonts w:ascii="Arial" w:eastAsia="Arial" w:hAnsi="Arial" w:cs="Arial"/>
                <w:b/>
                <w:bCs/>
                <w:color w:val="CF0A2C"/>
                <w:sz w:val="14"/>
                <w:szCs w:val="14"/>
              </w:rPr>
              <w:t>Outstanding</w:t>
            </w:r>
          </w:p>
        </w:tc>
        <w:tc>
          <w:tcPr>
            <w:tcW w:w="1300" w:type="dxa"/>
            <w:vAlign w:val="bottom"/>
          </w:tcPr>
          <w:p w:rsidR="00A621E3" w:rsidRDefault="00EC630E">
            <w:pPr>
              <w:jc w:val="center"/>
              <w:rPr>
                <w:sz w:val="20"/>
                <w:szCs w:val="20"/>
              </w:rPr>
            </w:pPr>
            <w:r>
              <w:rPr>
                <w:rFonts w:ascii="Arial" w:eastAsia="Arial" w:hAnsi="Arial" w:cs="Arial"/>
                <w:b/>
                <w:bCs/>
                <w:color w:val="CF0A2C"/>
                <w:sz w:val="14"/>
                <w:szCs w:val="14"/>
              </w:rPr>
              <w:t>Plus</w:t>
            </w: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Prior Fiscal</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Fiscal</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EC630E">
            <w:pPr>
              <w:jc w:val="center"/>
              <w:rPr>
                <w:sz w:val="20"/>
                <w:szCs w:val="20"/>
              </w:rPr>
            </w:pPr>
            <w:r>
              <w:rPr>
                <w:rFonts w:ascii="Arial" w:eastAsia="Arial" w:hAnsi="Arial" w:cs="Arial"/>
                <w:b/>
                <w:bCs/>
                <w:color w:val="CF0A2C"/>
                <w:sz w:val="14"/>
                <w:szCs w:val="14"/>
              </w:rPr>
              <w:t>Minus</w:t>
            </w:r>
          </w:p>
        </w:tc>
        <w:tc>
          <w:tcPr>
            <w:tcW w:w="1140" w:type="dxa"/>
            <w:vAlign w:val="bottom"/>
          </w:tcPr>
          <w:p w:rsidR="00A621E3" w:rsidRDefault="00EC630E">
            <w:pPr>
              <w:jc w:val="center"/>
              <w:rPr>
                <w:sz w:val="20"/>
                <w:szCs w:val="20"/>
              </w:rPr>
            </w:pPr>
            <w:r>
              <w:rPr>
                <w:rFonts w:ascii="Arial" w:eastAsia="Arial" w:hAnsi="Arial" w:cs="Arial"/>
                <w:b/>
                <w:bCs/>
                <w:color w:val="CF0A2C"/>
                <w:sz w:val="14"/>
                <w:szCs w:val="14"/>
              </w:rPr>
              <w:t>Year-End of</w:t>
            </w:r>
          </w:p>
        </w:tc>
        <w:tc>
          <w:tcPr>
            <w:tcW w:w="1240" w:type="dxa"/>
            <w:vAlign w:val="bottom"/>
          </w:tcPr>
          <w:p w:rsidR="00A621E3" w:rsidRDefault="00EC630E">
            <w:pPr>
              <w:jc w:val="center"/>
              <w:rPr>
                <w:sz w:val="20"/>
                <w:szCs w:val="20"/>
              </w:rPr>
            </w:pPr>
            <w:r>
              <w:rPr>
                <w:rFonts w:ascii="Arial" w:eastAsia="Arial" w:hAnsi="Arial" w:cs="Arial"/>
                <w:b/>
                <w:bCs/>
                <w:color w:val="CF0A2C"/>
                <w:w w:val="96"/>
                <w:sz w:val="14"/>
                <w:szCs w:val="14"/>
              </w:rPr>
              <w:t>and</w:t>
            </w:r>
          </w:p>
        </w:tc>
        <w:tc>
          <w:tcPr>
            <w:tcW w:w="1300" w:type="dxa"/>
            <w:vAlign w:val="bottom"/>
          </w:tcPr>
          <w:p w:rsidR="00A621E3" w:rsidRDefault="00EC630E">
            <w:pPr>
              <w:jc w:val="center"/>
              <w:rPr>
                <w:sz w:val="20"/>
                <w:szCs w:val="20"/>
              </w:rPr>
            </w:pPr>
            <w:r>
              <w:rPr>
                <w:rFonts w:ascii="Arial" w:eastAsia="Arial" w:hAnsi="Arial" w:cs="Arial"/>
                <w:b/>
                <w:bCs/>
                <w:color w:val="CF0A2C"/>
                <w:sz w:val="14"/>
                <w:szCs w:val="14"/>
              </w:rPr>
              <w:t>Fair Value at</w:t>
            </w: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Years for</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Years that</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EC630E">
            <w:pPr>
              <w:jc w:val="center"/>
              <w:rPr>
                <w:sz w:val="20"/>
                <w:szCs w:val="20"/>
              </w:rPr>
            </w:pPr>
            <w:r>
              <w:rPr>
                <w:rFonts w:ascii="Arial" w:eastAsia="Arial" w:hAnsi="Arial" w:cs="Arial"/>
                <w:b/>
                <w:bCs/>
                <w:color w:val="CF0A2C"/>
                <w:sz w:val="14"/>
                <w:szCs w:val="14"/>
              </w:rPr>
              <w:t>Value of</w:t>
            </w:r>
          </w:p>
        </w:tc>
        <w:tc>
          <w:tcPr>
            <w:tcW w:w="1140" w:type="dxa"/>
            <w:vAlign w:val="bottom"/>
          </w:tcPr>
          <w:p w:rsidR="00A621E3" w:rsidRDefault="00EC630E">
            <w:pPr>
              <w:jc w:val="center"/>
              <w:rPr>
                <w:sz w:val="20"/>
                <w:szCs w:val="20"/>
              </w:rPr>
            </w:pPr>
            <w:r>
              <w:rPr>
                <w:rFonts w:ascii="Arial" w:eastAsia="Arial" w:hAnsi="Arial" w:cs="Arial"/>
                <w:b/>
                <w:bCs/>
                <w:color w:val="CF0A2C"/>
                <w:sz w:val="14"/>
                <w:szCs w:val="14"/>
              </w:rPr>
              <w:t>Outstanding</w:t>
            </w:r>
          </w:p>
        </w:tc>
        <w:tc>
          <w:tcPr>
            <w:tcW w:w="1240" w:type="dxa"/>
            <w:vAlign w:val="bottom"/>
          </w:tcPr>
          <w:p w:rsidR="00A621E3" w:rsidRDefault="00EC630E">
            <w:pPr>
              <w:jc w:val="center"/>
              <w:rPr>
                <w:sz w:val="20"/>
                <w:szCs w:val="20"/>
              </w:rPr>
            </w:pPr>
            <w:r>
              <w:rPr>
                <w:rFonts w:ascii="Arial" w:eastAsia="Arial" w:hAnsi="Arial" w:cs="Arial"/>
                <w:b/>
                <w:bCs/>
                <w:color w:val="CF0A2C"/>
                <w:sz w:val="14"/>
                <w:szCs w:val="14"/>
              </w:rPr>
              <w:t>Unvested</w:t>
            </w:r>
          </w:p>
        </w:tc>
        <w:tc>
          <w:tcPr>
            <w:tcW w:w="1300" w:type="dxa"/>
            <w:vAlign w:val="bottom"/>
          </w:tcPr>
          <w:p w:rsidR="00A621E3" w:rsidRDefault="00EC630E">
            <w:pPr>
              <w:jc w:val="center"/>
              <w:rPr>
                <w:sz w:val="20"/>
                <w:szCs w:val="20"/>
              </w:rPr>
            </w:pPr>
            <w:r>
              <w:rPr>
                <w:rFonts w:ascii="Arial" w:eastAsia="Arial" w:hAnsi="Arial" w:cs="Arial"/>
                <w:b/>
                <w:bCs/>
                <w:color w:val="CF0A2C"/>
                <w:sz w:val="14"/>
                <w:szCs w:val="14"/>
              </w:rPr>
              <w:t>Vesting of</w:t>
            </w: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which</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Failed to</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EC630E">
            <w:pPr>
              <w:jc w:val="center"/>
              <w:rPr>
                <w:sz w:val="20"/>
                <w:szCs w:val="20"/>
              </w:rPr>
            </w:pPr>
            <w:r>
              <w:rPr>
                <w:rFonts w:ascii="Arial" w:eastAsia="Arial" w:hAnsi="Arial" w:cs="Arial"/>
                <w:b/>
                <w:bCs/>
                <w:color w:val="CF0A2C"/>
                <w:sz w:val="14"/>
                <w:szCs w:val="14"/>
              </w:rPr>
              <w:t>Stock</w:t>
            </w:r>
          </w:p>
        </w:tc>
        <w:tc>
          <w:tcPr>
            <w:tcW w:w="1140" w:type="dxa"/>
            <w:vAlign w:val="bottom"/>
          </w:tcPr>
          <w:p w:rsidR="00A621E3" w:rsidRDefault="00EC630E">
            <w:pPr>
              <w:ind w:left="9"/>
              <w:jc w:val="center"/>
              <w:rPr>
                <w:sz w:val="20"/>
                <w:szCs w:val="20"/>
              </w:rPr>
            </w:pPr>
            <w:r>
              <w:rPr>
                <w:rFonts w:ascii="Arial" w:eastAsia="Arial" w:hAnsi="Arial" w:cs="Arial"/>
                <w:b/>
                <w:bCs/>
                <w:color w:val="CF0A2C"/>
                <w:sz w:val="14"/>
                <w:szCs w:val="14"/>
              </w:rPr>
              <w:t>and Unvested</w:t>
            </w:r>
          </w:p>
        </w:tc>
        <w:tc>
          <w:tcPr>
            <w:tcW w:w="1240" w:type="dxa"/>
            <w:vAlign w:val="bottom"/>
          </w:tcPr>
          <w:p w:rsidR="00A621E3" w:rsidRDefault="00EC630E">
            <w:pPr>
              <w:jc w:val="center"/>
              <w:rPr>
                <w:sz w:val="20"/>
                <w:szCs w:val="20"/>
              </w:rPr>
            </w:pPr>
            <w:r>
              <w:rPr>
                <w:rFonts w:ascii="Arial" w:eastAsia="Arial" w:hAnsi="Arial" w:cs="Arial"/>
                <w:b/>
                <w:bCs/>
                <w:color w:val="CF0A2C"/>
                <w:sz w:val="14"/>
                <w:szCs w:val="14"/>
              </w:rPr>
              <w:t>Stock</w:t>
            </w:r>
          </w:p>
        </w:tc>
        <w:tc>
          <w:tcPr>
            <w:tcW w:w="1300" w:type="dxa"/>
            <w:vAlign w:val="bottom"/>
          </w:tcPr>
          <w:p w:rsidR="00A621E3" w:rsidRDefault="00EC630E">
            <w:pPr>
              <w:jc w:val="center"/>
              <w:rPr>
                <w:sz w:val="20"/>
                <w:szCs w:val="20"/>
              </w:rPr>
            </w:pPr>
            <w:r>
              <w:rPr>
                <w:rFonts w:ascii="Arial" w:eastAsia="Arial" w:hAnsi="Arial" w:cs="Arial"/>
                <w:b/>
                <w:bCs/>
                <w:color w:val="CF0A2C"/>
                <w:sz w:val="14"/>
                <w:szCs w:val="14"/>
              </w:rPr>
              <w:t>Stock Option/</w:t>
            </w: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Applicable</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Meet</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EC630E">
            <w:pPr>
              <w:jc w:val="center"/>
              <w:rPr>
                <w:sz w:val="20"/>
                <w:szCs w:val="20"/>
              </w:rPr>
            </w:pPr>
            <w:r>
              <w:rPr>
                <w:rFonts w:ascii="Arial" w:eastAsia="Arial" w:hAnsi="Arial" w:cs="Arial"/>
                <w:b/>
                <w:bCs/>
                <w:color w:val="CF0A2C"/>
                <w:sz w:val="14"/>
                <w:szCs w:val="14"/>
              </w:rPr>
              <w:t>Option/</w:t>
            </w:r>
          </w:p>
        </w:tc>
        <w:tc>
          <w:tcPr>
            <w:tcW w:w="1140" w:type="dxa"/>
            <w:vAlign w:val="bottom"/>
          </w:tcPr>
          <w:p w:rsidR="00A621E3" w:rsidRDefault="00EC630E">
            <w:pPr>
              <w:jc w:val="center"/>
              <w:rPr>
                <w:sz w:val="20"/>
                <w:szCs w:val="20"/>
              </w:rPr>
            </w:pPr>
            <w:r>
              <w:rPr>
                <w:rFonts w:ascii="Arial" w:eastAsia="Arial" w:hAnsi="Arial" w:cs="Arial"/>
                <w:b/>
                <w:bCs/>
                <w:color w:val="CF0A2C"/>
                <w:sz w:val="14"/>
                <w:szCs w:val="14"/>
              </w:rPr>
              <w:t>Stock</w:t>
            </w:r>
          </w:p>
        </w:tc>
        <w:tc>
          <w:tcPr>
            <w:tcW w:w="1240" w:type="dxa"/>
            <w:vAlign w:val="bottom"/>
          </w:tcPr>
          <w:p w:rsidR="00A621E3" w:rsidRDefault="00EC630E">
            <w:pPr>
              <w:jc w:val="center"/>
              <w:rPr>
                <w:sz w:val="20"/>
                <w:szCs w:val="20"/>
              </w:rPr>
            </w:pPr>
            <w:r>
              <w:rPr>
                <w:rFonts w:ascii="Arial" w:eastAsia="Arial" w:hAnsi="Arial" w:cs="Arial"/>
                <w:b/>
                <w:bCs/>
                <w:color w:val="CF0A2C"/>
                <w:sz w:val="14"/>
                <w:szCs w:val="14"/>
              </w:rPr>
              <w:t>Option/SAR</w:t>
            </w:r>
          </w:p>
        </w:tc>
        <w:tc>
          <w:tcPr>
            <w:tcW w:w="1300" w:type="dxa"/>
            <w:vAlign w:val="bottom"/>
          </w:tcPr>
          <w:p w:rsidR="00A621E3" w:rsidRDefault="00EC630E">
            <w:pPr>
              <w:jc w:val="center"/>
              <w:rPr>
                <w:sz w:val="20"/>
                <w:szCs w:val="20"/>
              </w:rPr>
            </w:pPr>
            <w:r>
              <w:rPr>
                <w:rFonts w:ascii="Arial" w:eastAsia="Arial" w:hAnsi="Arial" w:cs="Arial"/>
                <w:b/>
                <w:bCs/>
                <w:color w:val="CF0A2C"/>
                <w:sz w:val="14"/>
                <w:szCs w:val="14"/>
              </w:rPr>
              <w:t xml:space="preserve">SAR </w:t>
            </w:r>
            <w:r>
              <w:rPr>
                <w:rFonts w:ascii="Arial" w:eastAsia="Arial" w:hAnsi="Arial" w:cs="Arial"/>
                <w:b/>
                <w:bCs/>
                <w:color w:val="CF0A2C"/>
                <w:sz w:val="14"/>
                <w:szCs w:val="14"/>
              </w:rPr>
              <w:t>and Stock</w:t>
            </w: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Vesting</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Applicable</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A621E3">
            <w:pPr>
              <w:rPr>
                <w:sz w:val="14"/>
                <w:szCs w:val="14"/>
              </w:rPr>
            </w:pPr>
          </w:p>
        </w:tc>
        <w:tc>
          <w:tcPr>
            <w:tcW w:w="980" w:type="dxa"/>
            <w:vAlign w:val="bottom"/>
          </w:tcPr>
          <w:p w:rsidR="00A621E3" w:rsidRDefault="00EC630E">
            <w:pPr>
              <w:jc w:val="center"/>
              <w:rPr>
                <w:sz w:val="20"/>
                <w:szCs w:val="20"/>
              </w:rPr>
            </w:pPr>
            <w:r>
              <w:rPr>
                <w:rFonts w:ascii="Arial" w:eastAsia="Arial" w:hAnsi="Arial" w:cs="Arial"/>
                <w:b/>
                <w:bCs/>
                <w:color w:val="CF0A2C"/>
                <w:sz w:val="14"/>
                <w:szCs w:val="14"/>
              </w:rPr>
              <w:t>SAR and</w:t>
            </w:r>
          </w:p>
        </w:tc>
        <w:tc>
          <w:tcPr>
            <w:tcW w:w="1140" w:type="dxa"/>
            <w:vAlign w:val="bottom"/>
          </w:tcPr>
          <w:p w:rsidR="00A621E3" w:rsidRDefault="00EC630E">
            <w:pPr>
              <w:jc w:val="center"/>
              <w:rPr>
                <w:sz w:val="20"/>
                <w:szCs w:val="20"/>
              </w:rPr>
            </w:pPr>
            <w:r>
              <w:rPr>
                <w:rFonts w:ascii="Arial" w:eastAsia="Arial" w:hAnsi="Arial" w:cs="Arial"/>
                <w:b/>
                <w:bCs/>
                <w:color w:val="CF0A2C"/>
                <w:sz w:val="14"/>
                <w:szCs w:val="14"/>
              </w:rPr>
              <w:t>Option/SAR</w:t>
            </w:r>
          </w:p>
        </w:tc>
        <w:tc>
          <w:tcPr>
            <w:tcW w:w="1240" w:type="dxa"/>
            <w:vAlign w:val="bottom"/>
          </w:tcPr>
          <w:p w:rsidR="00A621E3" w:rsidRDefault="00EC630E">
            <w:pPr>
              <w:jc w:val="center"/>
              <w:rPr>
                <w:sz w:val="20"/>
                <w:szCs w:val="20"/>
              </w:rPr>
            </w:pPr>
            <w:r>
              <w:rPr>
                <w:rFonts w:ascii="Arial" w:eastAsia="Arial" w:hAnsi="Arial" w:cs="Arial"/>
                <w:b/>
                <w:bCs/>
                <w:color w:val="CF0A2C"/>
                <w:sz w:val="14"/>
                <w:szCs w:val="14"/>
              </w:rPr>
              <w:t>and Stock</w:t>
            </w:r>
          </w:p>
        </w:tc>
        <w:tc>
          <w:tcPr>
            <w:tcW w:w="1300" w:type="dxa"/>
            <w:vAlign w:val="bottom"/>
          </w:tcPr>
          <w:p w:rsidR="00A621E3" w:rsidRDefault="00EC630E">
            <w:pPr>
              <w:jc w:val="center"/>
              <w:rPr>
                <w:sz w:val="20"/>
                <w:szCs w:val="20"/>
              </w:rPr>
            </w:pPr>
            <w:r>
              <w:rPr>
                <w:rFonts w:ascii="Arial" w:eastAsia="Arial" w:hAnsi="Arial" w:cs="Arial"/>
                <w:b/>
                <w:bCs/>
                <w:color w:val="CF0A2C"/>
                <w:sz w:val="14"/>
                <w:szCs w:val="14"/>
              </w:rPr>
              <w:t>Awards</w:t>
            </w: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Conditions</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Vesting</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EC630E">
            <w:pPr>
              <w:ind w:left="410"/>
              <w:jc w:val="center"/>
              <w:rPr>
                <w:sz w:val="20"/>
                <w:szCs w:val="20"/>
              </w:rPr>
            </w:pPr>
            <w:r>
              <w:rPr>
                <w:rFonts w:ascii="Arial" w:eastAsia="Arial" w:hAnsi="Arial" w:cs="Arial"/>
                <w:b/>
                <w:bCs/>
                <w:color w:val="CF0A2C"/>
                <w:sz w:val="14"/>
                <w:szCs w:val="14"/>
              </w:rPr>
              <w:t>Summary</w:t>
            </w:r>
          </w:p>
        </w:tc>
        <w:tc>
          <w:tcPr>
            <w:tcW w:w="980" w:type="dxa"/>
            <w:vAlign w:val="bottom"/>
          </w:tcPr>
          <w:p w:rsidR="00A621E3" w:rsidRDefault="00EC630E">
            <w:pPr>
              <w:jc w:val="center"/>
              <w:rPr>
                <w:sz w:val="20"/>
                <w:szCs w:val="20"/>
              </w:rPr>
            </w:pPr>
            <w:r>
              <w:rPr>
                <w:rFonts w:ascii="Arial" w:eastAsia="Arial" w:hAnsi="Arial" w:cs="Arial"/>
                <w:b/>
                <w:bCs/>
                <w:color w:val="CF0A2C"/>
                <w:sz w:val="14"/>
                <w:szCs w:val="14"/>
              </w:rPr>
              <w:t>Stock</w:t>
            </w:r>
          </w:p>
        </w:tc>
        <w:tc>
          <w:tcPr>
            <w:tcW w:w="1140" w:type="dxa"/>
            <w:vAlign w:val="bottom"/>
          </w:tcPr>
          <w:p w:rsidR="00A621E3" w:rsidRDefault="00EC630E">
            <w:pPr>
              <w:jc w:val="center"/>
              <w:rPr>
                <w:sz w:val="20"/>
                <w:szCs w:val="20"/>
              </w:rPr>
            </w:pPr>
            <w:r>
              <w:rPr>
                <w:rFonts w:ascii="Arial" w:eastAsia="Arial" w:hAnsi="Arial" w:cs="Arial"/>
                <w:b/>
                <w:bCs/>
                <w:color w:val="CF0A2C"/>
                <w:sz w:val="14"/>
                <w:szCs w:val="14"/>
              </w:rPr>
              <w:t>and Stock</w:t>
            </w:r>
          </w:p>
        </w:tc>
        <w:tc>
          <w:tcPr>
            <w:tcW w:w="1240" w:type="dxa"/>
            <w:vAlign w:val="bottom"/>
          </w:tcPr>
          <w:p w:rsidR="00A621E3" w:rsidRDefault="00EC630E">
            <w:pPr>
              <w:jc w:val="center"/>
              <w:rPr>
                <w:sz w:val="20"/>
                <w:szCs w:val="20"/>
              </w:rPr>
            </w:pPr>
            <w:r>
              <w:rPr>
                <w:rFonts w:ascii="Arial" w:eastAsia="Arial" w:hAnsi="Arial" w:cs="Arial"/>
                <w:b/>
                <w:bCs/>
                <w:color w:val="CF0A2C"/>
                <w:sz w:val="14"/>
                <w:szCs w:val="14"/>
              </w:rPr>
              <w:t>Awards</w:t>
            </w:r>
          </w:p>
        </w:tc>
        <w:tc>
          <w:tcPr>
            <w:tcW w:w="1300" w:type="dxa"/>
            <w:vAlign w:val="bottom"/>
          </w:tcPr>
          <w:p w:rsidR="00A621E3" w:rsidRDefault="00EC630E">
            <w:pPr>
              <w:jc w:val="center"/>
              <w:rPr>
                <w:sz w:val="20"/>
                <w:szCs w:val="20"/>
              </w:rPr>
            </w:pPr>
            <w:r>
              <w:rPr>
                <w:rFonts w:ascii="Arial" w:eastAsia="Arial" w:hAnsi="Arial" w:cs="Arial"/>
                <w:b/>
                <w:bCs/>
                <w:color w:val="CF0A2C"/>
                <w:sz w:val="14"/>
                <w:szCs w:val="14"/>
              </w:rPr>
              <w:t>Granted in</w:t>
            </w: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Were</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Conditions</w:t>
            </w:r>
          </w:p>
        </w:tc>
        <w:tc>
          <w:tcPr>
            <w:tcW w:w="1320" w:type="dxa"/>
            <w:vAlign w:val="bottom"/>
          </w:tcPr>
          <w:p w:rsidR="00A621E3" w:rsidRDefault="00A621E3">
            <w:pPr>
              <w:rPr>
                <w:sz w:val="14"/>
                <w:szCs w:val="14"/>
              </w:rPr>
            </w:pP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EC630E">
            <w:pPr>
              <w:ind w:left="430"/>
              <w:jc w:val="center"/>
              <w:rPr>
                <w:sz w:val="20"/>
                <w:szCs w:val="20"/>
              </w:rPr>
            </w:pPr>
            <w:r>
              <w:rPr>
                <w:rFonts w:ascii="Arial" w:eastAsia="Arial" w:hAnsi="Arial" w:cs="Arial"/>
                <w:b/>
                <w:bCs/>
                <w:color w:val="CF0A2C"/>
                <w:sz w:val="14"/>
                <w:szCs w:val="14"/>
              </w:rPr>
              <w:t>Compensation</w:t>
            </w:r>
          </w:p>
        </w:tc>
        <w:tc>
          <w:tcPr>
            <w:tcW w:w="980" w:type="dxa"/>
            <w:vAlign w:val="bottom"/>
          </w:tcPr>
          <w:p w:rsidR="00A621E3" w:rsidRDefault="00EC630E">
            <w:pPr>
              <w:jc w:val="center"/>
              <w:rPr>
                <w:sz w:val="20"/>
                <w:szCs w:val="20"/>
              </w:rPr>
            </w:pPr>
            <w:r>
              <w:rPr>
                <w:rFonts w:ascii="Arial" w:eastAsia="Arial" w:hAnsi="Arial" w:cs="Arial"/>
                <w:b/>
                <w:bCs/>
                <w:color w:val="CF0A2C"/>
                <w:sz w:val="14"/>
                <w:szCs w:val="14"/>
              </w:rPr>
              <w:t>Awards</w:t>
            </w:r>
          </w:p>
        </w:tc>
        <w:tc>
          <w:tcPr>
            <w:tcW w:w="1140" w:type="dxa"/>
            <w:vAlign w:val="bottom"/>
          </w:tcPr>
          <w:p w:rsidR="00A621E3" w:rsidRDefault="00EC630E">
            <w:pPr>
              <w:jc w:val="center"/>
              <w:rPr>
                <w:sz w:val="20"/>
                <w:szCs w:val="20"/>
              </w:rPr>
            </w:pPr>
            <w:r>
              <w:rPr>
                <w:rFonts w:ascii="Arial" w:eastAsia="Arial" w:hAnsi="Arial" w:cs="Arial"/>
                <w:b/>
                <w:bCs/>
                <w:color w:val="CF0A2C"/>
                <w:sz w:val="14"/>
                <w:szCs w:val="14"/>
              </w:rPr>
              <w:t>Awards</w:t>
            </w:r>
          </w:p>
        </w:tc>
        <w:tc>
          <w:tcPr>
            <w:tcW w:w="1240" w:type="dxa"/>
            <w:vAlign w:val="bottom"/>
          </w:tcPr>
          <w:p w:rsidR="00A621E3" w:rsidRDefault="00EC630E">
            <w:pPr>
              <w:jc w:val="center"/>
              <w:rPr>
                <w:sz w:val="20"/>
                <w:szCs w:val="20"/>
              </w:rPr>
            </w:pPr>
            <w:r>
              <w:rPr>
                <w:rFonts w:ascii="Arial" w:eastAsia="Arial" w:hAnsi="Arial" w:cs="Arial"/>
                <w:b/>
                <w:bCs/>
                <w:color w:val="CF0A2C"/>
                <w:sz w:val="14"/>
                <w:szCs w:val="14"/>
              </w:rPr>
              <w:t>Granted in</w:t>
            </w:r>
          </w:p>
        </w:tc>
        <w:tc>
          <w:tcPr>
            <w:tcW w:w="1300" w:type="dxa"/>
            <w:vAlign w:val="bottom"/>
          </w:tcPr>
          <w:p w:rsidR="00A621E3" w:rsidRDefault="00EC630E">
            <w:pPr>
              <w:jc w:val="center"/>
              <w:rPr>
                <w:sz w:val="20"/>
                <w:szCs w:val="20"/>
              </w:rPr>
            </w:pPr>
            <w:r>
              <w:rPr>
                <w:rFonts w:ascii="Arial" w:eastAsia="Arial" w:hAnsi="Arial" w:cs="Arial"/>
                <w:b/>
                <w:bCs/>
                <w:color w:val="CF0A2C"/>
                <w:sz w:val="14"/>
                <w:szCs w:val="14"/>
              </w:rPr>
              <w:t>Fiscal Year that</w:t>
            </w: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Satisfied</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During</w:t>
            </w:r>
          </w:p>
        </w:tc>
        <w:tc>
          <w:tcPr>
            <w:tcW w:w="1320" w:type="dxa"/>
            <w:vAlign w:val="bottom"/>
          </w:tcPr>
          <w:p w:rsidR="00A621E3" w:rsidRDefault="00EC630E">
            <w:pPr>
              <w:jc w:val="center"/>
              <w:rPr>
                <w:sz w:val="20"/>
                <w:szCs w:val="20"/>
              </w:rPr>
            </w:pPr>
            <w:r>
              <w:rPr>
                <w:rFonts w:ascii="Arial" w:eastAsia="Arial" w:hAnsi="Arial" w:cs="Arial"/>
                <w:b/>
                <w:bCs/>
                <w:color w:val="CF0A2C"/>
                <w:sz w:val="14"/>
                <w:szCs w:val="14"/>
              </w:rPr>
              <w:t>Equals</w:t>
            </w: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EC630E">
            <w:pPr>
              <w:ind w:left="430"/>
              <w:jc w:val="center"/>
              <w:rPr>
                <w:sz w:val="20"/>
                <w:szCs w:val="20"/>
              </w:rPr>
            </w:pPr>
            <w:r>
              <w:rPr>
                <w:rFonts w:ascii="Arial" w:eastAsia="Arial" w:hAnsi="Arial" w:cs="Arial"/>
                <w:b/>
                <w:bCs/>
                <w:color w:val="CF0A2C"/>
                <w:sz w:val="14"/>
                <w:szCs w:val="14"/>
              </w:rPr>
              <w:t>Table (SCT)</w:t>
            </w:r>
          </w:p>
        </w:tc>
        <w:tc>
          <w:tcPr>
            <w:tcW w:w="980" w:type="dxa"/>
            <w:vAlign w:val="bottom"/>
          </w:tcPr>
          <w:p w:rsidR="00A621E3" w:rsidRDefault="00EC630E">
            <w:pPr>
              <w:jc w:val="center"/>
              <w:rPr>
                <w:sz w:val="20"/>
                <w:szCs w:val="20"/>
              </w:rPr>
            </w:pPr>
            <w:r>
              <w:rPr>
                <w:rFonts w:ascii="Arial" w:eastAsia="Arial" w:hAnsi="Arial" w:cs="Arial"/>
                <w:b/>
                <w:bCs/>
                <w:color w:val="CF0A2C"/>
                <w:sz w:val="14"/>
                <w:szCs w:val="14"/>
              </w:rPr>
              <w:t>Reported</w:t>
            </w:r>
          </w:p>
        </w:tc>
        <w:tc>
          <w:tcPr>
            <w:tcW w:w="1140" w:type="dxa"/>
            <w:vAlign w:val="bottom"/>
          </w:tcPr>
          <w:p w:rsidR="00A621E3" w:rsidRDefault="00EC630E">
            <w:pPr>
              <w:jc w:val="center"/>
              <w:rPr>
                <w:sz w:val="20"/>
                <w:szCs w:val="20"/>
              </w:rPr>
            </w:pPr>
            <w:r>
              <w:rPr>
                <w:rFonts w:ascii="Arial" w:eastAsia="Arial" w:hAnsi="Arial" w:cs="Arial"/>
                <w:b/>
                <w:bCs/>
                <w:color w:val="CF0A2C"/>
                <w:sz w:val="14"/>
                <w:szCs w:val="14"/>
              </w:rPr>
              <w:t>Granted in</w:t>
            </w:r>
          </w:p>
        </w:tc>
        <w:tc>
          <w:tcPr>
            <w:tcW w:w="1240" w:type="dxa"/>
            <w:vAlign w:val="bottom"/>
          </w:tcPr>
          <w:p w:rsidR="00A621E3" w:rsidRDefault="00EC630E">
            <w:pPr>
              <w:jc w:val="center"/>
              <w:rPr>
                <w:sz w:val="20"/>
                <w:szCs w:val="20"/>
              </w:rPr>
            </w:pPr>
            <w:r>
              <w:rPr>
                <w:rFonts w:ascii="Arial" w:eastAsia="Arial" w:hAnsi="Arial" w:cs="Arial"/>
                <w:b/>
                <w:bCs/>
                <w:color w:val="CF0A2C"/>
                <w:sz w:val="14"/>
                <w:szCs w:val="14"/>
              </w:rPr>
              <w:t>Prior Fiscal</w:t>
            </w:r>
          </w:p>
        </w:tc>
        <w:tc>
          <w:tcPr>
            <w:tcW w:w="1300" w:type="dxa"/>
            <w:vAlign w:val="bottom"/>
          </w:tcPr>
          <w:p w:rsidR="00A621E3" w:rsidRDefault="00EC630E">
            <w:pPr>
              <w:jc w:val="center"/>
              <w:rPr>
                <w:sz w:val="20"/>
                <w:szCs w:val="20"/>
              </w:rPr>
            </w:pPr>
            <w:r>
              <w:rPr>
                <w:rFonts w:ascii="Arial" w:eastAsia="Arial" w:hAnsi="Arial" w:cs="Arial"/>
                <w:b/>
                <w:bCs/>
                <w:color w:val="CF0A2C"/>
                <w:sz w:val="14"/>
                <w:szCs w:val="14"/>
              </w:rPr>
              <w:t>Vested During</w:t>
            </w:r>
          </w:p>
        </w:tc>
        <w:tc>
          <w:tcPr>
            <w:tcW w:w="1220" w:type="dxa"/>
            <w:vAlign w:val="bottom"/>
          </w:tcPr>
          <w:p w:rsidR="00A621E3" w:rsidRDefault="00EC630E">
            <w:pPr>
              <w:jc w:val="center"/>
              <w:rPr>
                <w:sz w:val="20"/>
                <w:szCs w:val="20"/>
              </w:rPr>
            </w:pPr>
            <w:r>
              <w:rPr>
                <w:rFonts w:ascii="Arial" w:eastAsia="Arial" w:hAnsi="Arial" w:cs="Arial"/>
                <w:b/>
                <w:bCs/>
                <w:color w:val="CF0A2C"/>
                <w:sz w:val="14"/>
                <w:szCs w:val="14"/>
              </w:rPr>
              <w:t>During Fiscal</w:t>
            </w:r>
          </w:p>
        </w:tc>
        <w:tc>
          <w:tcPr>
            <w:tcW w:w="1020" w:type="dxa"/>
            <w:vAlign w:val="bottom"/>
          </w:tcPr>
          <w:p w:rsidR="00A621E3" w:rsidRDefault="00EC630E">
            <w:pPr>
              <w:jc w:val="center"/>
              <w:rPr>
                <w:sz w:val="20"/>
                <w:szCs w:val="20"/>
              </w:rPr>
            </w:pPr>
            <w:r>
              <w:rPr>
                <w:rFonts w:ascii="Arial" w:eastAsia="Arial" w:hAnsi="Arial" w:cs="Arial"/>
                <w:b/>
                <w:bCs/>
                <w:color w:val="CF0A2C"/>
                <w:sz w:val="14"/>
                <w:szCs w:val="14"/>
              </w:rPr>
              <w:t>Fiscal</w:t>
            </w:r>
          </w:p>
        </w:tc>
        <w:tc>
          <w:tcPr>
            <w:tcW w:w="1320" w:type="dxa"/>
            <w:vAlign w:val="bottom"/>
          </w:tcPr>
          <w:p w:rsidR="00A621E3" w:rsidRDefault="00EC630E">
            <w:pPr>
              <w:jc w:val="center"/>
              <w:rPr>
                <w:sz w:val="20"/>
                <w:szCs w:val="20"/>
              </w:rPr>
            </w:pPr>
            <w:r>
              <w:rPr>
                <w:rFonts w:ascii="Arial" w:eastAsia="Arial" w:hAnsi="Arial" w:cs="Arial"/>
                <w:b/>
                <w:bCs/>
                <w:color w:val="CF0A2C"/>
                <w:sz w:val="14"/>
                <w:szCs w:val="14"/>
              </w:rPr>
              <w:t>Compensation</w:t>
            </w:r>
          </w:p>
        </w:tc>
        <w:tc>
          <w:tcPr>
            <w:tcW w:w="0" w:type="dxa"/>
            <w:vAlign w:val="bottom"/>
          </w:tcPr>
          <w:p w:rsidR="00A621E3" w:rsidRDefault="00A621E3">
            <w:pPr>
              <w:rPr>
                <w:sz w:val="1"/>
                <w:szCs w:val="1"/>
              </w:rPr>
            </w:pPr>
          </w:p>
        </w:tc>
      </w:tr>
      <w:tr w:rsidR="00A621E3">
        <w:trPr>
          <w:trHeight w:val="162"/>
        </w:trPr>
        <w:tc>
          <w:tcPr>
            <w:tcW w:w="980" w:type="dxa"/>
            <w:vAlign w:val="bottom"/>
          </w:tcPr>
          <w:p w:rsidR="00A621E3" w:rsidRDefault="00A621E3">
            <w:pPr>
              <w:rPr>
                <w:sz w:val="14"/>
                <w:szCs w:val="14"/>
              </w:rPr>
            </w:pPr>
          </w:p>
        </w:tc>
        <w:tc>
          <w:tcPr>
            <w:tcW w:w="1820" w:type="dxa"/>
            <w:vAlign w:val="bottom"/>
          </w:tcPr>
          <w:p w:rsidR="00A621E3" w:rsidRDefault="00EC630E">
            <w:pPr>
              <w:ind w:left="410"/>
              <w:jc w:val="center"/>
              <w:rPr>
                <w:sz w:val="20"/>
                <w:szCs w:val="20"/>
              </w:rPr>
            </w:pPr>
            <w:r>
              <w:rPr>
                <w:rFonts w:ascii="Arial" w:eastAsia="Arial" w:hAnsi="Arial" w:cs="Arial"/>
                <w:b/>
                <w:bCs/>
                <w:color w:val="CF0A2C"/>
                <w:sz w:val="14"/>
                <w:szCs w:val="14"/>
              </w:rPr>
              <w:t>Total</w:t>
            </w:r>
          </w:p>
        </w:tc>
        <w:tc>
          <w:tcPr>
            <w:tcW w:w="980" w:type="dxa"/>
            <w:vAlign w:val="bottom"/>
          </w:tcPr>
          <w:p w:rsidR="00A621E3" w:rsidRDefault="00EC630E">
            <w:pPr>
              <w:jc w:val="center"/>
              <w:rPr>
                <w:sz w:val="20"/>
                <w:szCs w:val="20"/>
              </w:rPr>
            </w:pPr>
            <w:r>
              <w:rPr>
                <w:rFonts w:ascii="Arial" w:eastAsia="Arial" w:hAnsi="Arial" w:cs="Arial"/>
                <w:b/>
                <w:bCs/>
                <w:color w:val="CF0A2C"/>
                <w:sz w:val="14"/>
                <w:szCs w:val="14"/>
              </w:rPr>
              <w:t>in SCT</w:t>
            </w:r>
          </w:p>
        </w:tc>
        <w:tc>
          <w:tcPr>
            <w:tcW w:w="1140" w:type="dxa"/>
            <w:vAlign w:val="bottom"/>
          </w:tcPr>
          <w:p w:rsidR="00A621E3" w:rsidRDefault="00EC630E">
            <w:pPr>
              <w:jc w:val="center"/>
              <w:rPr>
                <w:sz w:val="20"/>
                <w:szCs w:val="20"/>
              </w:rPr>
            </w:pPr>
            <w:r>
              <w:rPr>
                <w:rFonts w:ascii="Arial" w:eastAsia="Arial" w:hAnsi="Arial" w:cs="Arial"/>
                <w:b/>
                <w:bCs/>
                <w:color w:val="CF0A2C"/>
                <w:sz w:val="14"/>
                <w:szCs w:val="14"/>
              </w:rPr>
              <w:t>Fiscal Year</w:t>
            </w:r>
          </w:p>
        </w:tc>
        <w:tc>
          <w:tcPr>
            <w:tcW w:w="1240" w:type="dxa"/>
            <w:vAlign w:val="bottom"/>
          </w:tcPr>
          <w:p w:rsidR="00A621E3" w:rsidRDefault="00EC630E">
            <w:pPr>
              <w:jc w:val="center"/>
              <w:rPr>
                <w:sz w:val="20"/>
                <w:szCs w:val="20"/>
              </w:rPr>
            </w:pPr>
            <w:r>
              <w:rPr>
                <w:rFonts w:ascii="Arial" w:eastAsia="Arial" w:hAnsi="Arial" w:cs="Arial"/>
                <w:b/>
                <w:bCs/>
                <w:color w:val="CF0A2C"/>
                <w:sz w:val="14"/>
                <w:szCs w:val="14"/>
              </w:rPr>
              <w:t>Years</w:t>
            </w:r>
          </w:p>
        </w:tc>
        <w:tc>
          <w:tcPr>
            <w:tcW w:w="1300" w:type="dxa"/>
            <w:vAlign w:val="bottom"/>
          </w:tcPr>
          <w:p w:rsidR="00A621E3" w:rsidRDefault="00EC630E">
            <w:pPr>
              <w:jc w:val="center"/>
              <w:rPr>
                <w:sz w:val="20"/>
                <w:szCs w:val="20"/>
              </w:rPr>
            </w:pPr>
            <w:r>
              <w:rPr>
                <w:rFonts w:ascii="Arial" w:eastAsia="Arial" w:hAnsi="Arial" w:cs="Arial"/>
                <w:b/>
                <w:bCs/>
                <w:color w:val="CF0A2C"/>
                <w:sz w:val="14"/>
                <w:szCs w:val="14"/>
              </w:rPr>
              <w:t>Fiscal Year</w:t>
            </w:r>
          </w:p>
        </w:tc>
        <w:tc>
          <w:tcPr>
            <w:tcW w:w="1220" w:type="dxa"/>
            <w:vAlign w:val="bottom"/>
          </w:tcPr>
          <w:p w:rsidR="00A621E3" w:rsidRDefault="00EC630E">
            <w:pPr>
              <w:jc w:val="center"/>
              <w:rPr>
                <w:sz w:val="20"/>
                <w:szCs w:val="20"/>
              </w:rPr>
            </w:pPr>
            <w:r>
              <w:rPr>
                <w:rFonts w:ascii="Arial" w:eastAsia="Arial" w:hAnsi="Arial" w:cs="Arial"/>
                <w:b/>
                <w:bCs/>
                <w:color w:val="CF0A2C"/>
                <w:w w:val="98"/>
                <w:sz w:val="14"/>
                <w:szCs w:val="14"/>
              </w:rPr>
              <w:t>Year</w:t>
            </w:r>
          </w:p>
        </w:tc>
        <w:tc>
          <w:tcPr>
            <w:tcW w:w="1020" w:type="dxa"/>
            <w:vAlign w:val="bottom"/>
          </w:tcPr>
          <w:p w:rsidR="00A621E3" w:rsidRDefault="00EC630E">
            <w:pPr>
              <w:jc w:val="center"/>
              <w:rPr>
                <w:sz w:val="20"/>
                <w:szCs w:val="20"/>
              </w:rPr>
            </w:pPr>
            <w:r>
              <w:rPr>
                <w:rFonts w:ascii="Arial" w:eastAsia="Arial" w:hAnsi="Arial" w:cs="Arial"/>
                <w:b/>
                <w:bCs/>
                <w:color w:val="CF0A2C"/>
                <w:w w:val="98"/>
                <w:sz w:val="14"/>
                <w:szCs w:val="14"/>
              </w:rPr>
              <w:t>Year</w:t>
            </w:r>
          </w:p>
        </w:tc>
        <w:tc>
          <w:tcPr>
            <w:tcW w:w="1320" w:type="dxa"/>
            <w:vAlign w:val="bottom"/>
          </w:tcPr>
          <w:p w:rsidR="00A621E3" w:rsidRDefault="00EC630E">
            <w:pPr>
              <w:jc w:val="center"/>
              <w:rPr>
                <w:sz w:val="20"/>
                <w:szCs w:val="20"/>
              </w:rPr>
            </w:pPr>
            <w:r>
              <w:rPr>
                <w:rFonts w:ascii="Arial" w:eastAsia="Arial" w:hAnsi="Arial" w:cs="Arial"/>
                <w:b/>
                <w:bCs/>
                <w:color w:val="CF0A2C"/>
                <w:sz w:val="14"/>
                <w:szCs w:val="14"/>
              </w:rPr>
              <w:t>Actually Paid</w:t>
            </w:r>
          </w:p>
        </w:tc>
        <w:tc>
          <w:tcPr>
            <w:tcW w:w="0" w:type="dxa"/>
            <w:vAlign w:val="bottom"/>
          </w:tcPr>
          <w:p w:rsidR="00A621E3" w:rsidRDefault="00A621E3">
            <w:pPr>
              <w:rPr>
                <w:sz w:val="1"/>
                <w:szCs w:val="1"/>
              </w:rPr>
            </w:pPr>
          </w:p>
        </w:tc>
      </w:tr>
      <w:tr w:rsidR="00A621E3">
        <w:trPr>
          <w:trHeight w:val="189"/>
        </w:trPr>
        <w:tc>
          <w:tcPr>
            <w:tcW w:w="980" w:type="dxa"/>
            <w:tcBorders>
              <w:bottom w:val="single" w:sz="8" w:space="0" w:color="CF0A2C"/>
            </w:tcBorders>
            <w:vAlign w:val="bottom"/>
          </w:tcPr>
          <w:p w:rsidR="00A621E3" w:rsidRDefault="00EC630E">
            <w:pPr>
              <w:rPr>
                <w:sz w:val="20"/>
                <w:szCs w:val="20"/>
              </w:rPr>
            </w:pPr>
            <w:r>
              <w:rPr>
                <w:rFonts w:ascii="Arial" w:eastAsia="Arial" w:hAnsi="Arial" w:cs="Arial"/>
                <w:b/>
                <w:bCs/>
                <w:color w:val="CF0A2C"/>
                <w:sz w:val="14"/>
                <w:szCs w:val="14"/>
              </w:rPr>
              <w:t>Year</w:t>
            </w:r>
          </w:p>
        </w:tc>
        <w:tc>
          <w:tcPr>
            <w:tcW w:w="1820" w:type="dxa"/>
            <w:tcBorders>
              <w:bottom w:val="single" w:sz="8" w:space="0" w:color="CF0A2C"/>
            </w:tcBorders>
            <w:vAlign w:val="bottom"/>
          </w:tcPr>
          <w:p w:rsidR="00A621E3" w:rsidRDefault="00EC630E">
            <w:pPr>
              <w:spacing w:line="189" w:lineRule="exact"/>
              <w:ind w:left="430"/>
              <w:jc w:val="center"/>
              <w:rPr>
                <w:sz w:val="20"/>
                <w:szCs w:val="20"/>
              </w:rPr>
            </w:pPr>
            <w:r>
              <w:rPr>
                <w:rFonts w:ascii="Arial" w:eastAsia="Arial" w:hAnsi="Arial" w:cs="Arial"/>
                <w:b/>
                <w:bCs/>
                <w:color w:val="CF0A2C"/>
                <w:w w:val="88"/>
                <w:sz w:val="14"/>
                <w:szCs w:val="14"/>
              </w:rPr>
              <w:t>($)</w:t>
            </w:r>
            <w:r>
              <w:rPr>
                <w:rFonts w:ascii="Arial" w:eastAsia="Arial" w:hAnsi="Arial" w:cs="Arial"/>
                <w:b/>
                <w:bCs/>
                <w:color w:val="CF0A2C"/>
                <w:w w:val="88"/>
                <w:sz w:val="17"/>
                <w:szCs w:val="17"/>
                <w:vertAlign w:val="superscript"/>
              </w:rPr>
              <w:t>(b)</w:t>
            </w:r>
          </w:p>
        </w:tc>
        <w:tc>
          <w:tcPr>
            <w:tcW w:w="980" w:type="dxa"/>
            <w:tcBorders>
              <w:bottom w:val="single" w:sz="8" w:space="0" w:color="CF0A2C"/>
            </w:tcBorders>
            <w:vAlign w:val="bottom"/>
          </w:tcPr>
          <w:p w:rsidR="00A621E3" w:rsidRDefault="00EC630E">
            <w:pPr>
              <w:spacing w:line="189" w:lineRule="exact"/>
              <w:jc w:val="center"/>
              <w:rPr>
                <w:sz w:val="20"/>
                <w:szCs w:val="20"/>
              </w:rPr>
            </w:pPr>
            <w:r>
              <w:rPr>
                <w:rFonts w:ascii="Arial" w:eastAsia="Arial" w:hAnsi="Arial" w:cs="Arial"/>
                <w:b/>
                <w:bCs/>
                <w:color w:val="CF0A2C"/>
                <w:w w:val="90"/>
                <w:sz w:val="14"/>
                <w:szCs w:val="14"/>
              </w:rPr>
              <w:t>($)</w:t>
            </w:r>
            <w:r>
              <w:rPr>
                <w:rFonts w:ascii="Arial" w:eastAsia="Arial" w:hAnsi="Arial" w:cs="Arial"/>
                <w:b/>
                <w:bCs/>
                <w:color w:val="CF0A2C"/>
                <w:w w:val="90"/>
                <w:sz w:val="17"/>
                <w:szCs w:val="17"/>
                <w:vertAlign w:val="superscript"/>
              </w:rPr>
              <w:t>(c)</w:t>
            </w:r>
          </w:p>
        </w:tc>
        <w:tc>
          <w:tcPr>
            <w:tcW w:w="1140" w:type="dxa"/>
            <w:tcBorders>
              <w:bottom w:val="single" w:sz="8" w:space="0" w:color="CF0A2C"/>
            </w:tcBorders>
            <w:vAlign w:val="bottom"/>
          </w:tcPr>
          <w:p w:rsidR="00A621E3" w:rsidRDefault="00EC630E">
            <w:pPr>
              <w:spacing w:line="189" w:lineRule="exact"/>
              <w:jc w:val="center"/>
              <w:rPr>
                <w:sz w:val="20"/>
                <w:szCs w:val="20"/>
              </w:rPr>
            </w:pPr>
            <w:r>
              <w:rPr>
                <w:rFonts w:ascii="Arial" w:eastAsia="Arial" w:hAnsi="Arial" w:cs="Arial"/>
                <w:b/>
                <w:bCs/>
                <w:color w:val="CF0A2C"/>
                <w:w w:val="88"/>
                <w:sz w:val="14"/>
                <w:szCs w:val="14"/>
              </w:rPr>
              <w:t>($)</w:t>
            </w:r>
            <w:r>
              <w:rPr>
                <w:rFonts w:ascii="Arial" w:eastAsia="Arial" w:hAnsi="Arial" w:cs="Arial"/>
                <w:b/>
                <w:bCs/>
                <w:color w:val="CF0A2C"/>
                <w:w w:val="88"/>
                <w:sz w:val="17"/>
                <w:szCs w:val="17"/>
                <w:vertAlign w:val="superscript"/>
              </w:rPr>
              <w:t>(d)</w:t>
            </w:r>
          </w:p>
        </w:tc>
        <w:tc>
          <w:tcPr>
            <w:tcW w:w="1240" w:type="dxa"/>
            <w:tcBorders>
              <w:bottom w:val="single" w:sz="8" w:space="0" w:color="CF0A2C"/>
            </w:tcBorders>
            <w:vAlign w:val="bottom"/>
          </w:tcPr>
          <w:p w:rsidR="00A621E3" w:rsidRDefault="00EC630E">
            <w:pPr>
              <w:spacing w:line="189" w:lineRule="exact"/>
              <w:jc w:val="center"/>
              <w:rPr>
                <w:sz w:val="20"/>
                <w:szCs w:val="20"/>
              </w:rPr>
            </w:pPr>
            <w:r>
              <w:rPr>
                <w:rFonts w:ascii="Arial" w:eastAsia="Arial" w:hAnsi="Arial" w:cs="Arial"/>
                <w:b/>
                <w:bCs/>
                <w:color w:val="CF0A2C"/>
                <w:w w:val="90"/>
                <w:sz w:val="14"/>
                <w:szCs w:val="14"/>
              </w:rPr>
              <w:t>($)</w:t>
            </w:r>
            <w:r>
              <w:rPr>
                <w:rFonts w:ascii="Arial" w:eastAsia="Arial" w:hAnsi="Arial" w:cs="Arial"/>
                <w:b/>
                <w:bCs/>
                <w:color w:val="CF0A2C"/>
                <w:w w:val="90"/>
                <w:sz w:val="17"/>
                <w:szCs w:val="17"/>
                <w:vertAlign w:val="superscript"/>
              </w:rPr>
              <w:t>(e)</w:t>
            </w:r>
          </w:p>
        </w:tc>
        <w:tc>
          <w:tcPr>
            <w:tcW w:w="1300" w:type="dxa"/>
            <w:tcBorders>
              <w:bottom w:val="single" w:sz="8" w:space="0" w:color="CF0A2C"/>
            </w:tcBorders>
            <w:vAlign w:val="bottom"/>
          </w:tcPr>
          <w:p w:rsidR="00A621E3" w:rsidRDefault="00EC630E">
            <w:pPr>
              <w:spacing w:line="189" w:lineRule="exact"/>
              <w:jc w:val="center"/>
              <w:rPr>
                <w:sz w:val="20"/>
                <w:szCs w:val="20"/>
              </w:rPr>
            </w:pPr>
            <w:r>
              <w:rPr>
                <w:rFonts w:ascii="Arial" w:eastAsia="Arial" w:hAnsi="Arial" w:cs="Arial"/>
                <w:b/>
                <w:bCs/>
                <w:color w:val="CF0A2C"/>
                <w:w w:val="98"/>
                <w:sz w:val="14"/>
                <w:szCs w:val="14"/>
              </w:rPr>
              <w:t>($)</w:t>
            </w:r>
            <w:r>
              <w:rPr>
                <w:rFonts w:ascii="Arial" w:eastAsia="Arial" w:hAnsi="Arial" w:cs="Arial"/>
                <w:b/>
                <w:bCs/>
                <w:color w:val="CF0A2C"/>
                <w:w w:val="98"/>
                <w:sz w:val="17"/>
                <w:szCs w:val="17"/>
                <w:vertAlign w:val="superscript"/>
              </w:rPr>
              <w:t>(f)</w:t>
            </w:r>
          </w:p>
        </w:tc>
        <w:tc>
          <w:tcPr>
            <w:tcW w:w="1220" w:type="dxa"/>
            <w:tcBorders>
              <w:bottom w:val="single" w:sz="8" w:space="0" w:color="CF0A2C"/>
            </w:tcBorders>
            <w:vAlign w:val="bottom"/>
          </w:tcPr>
          <w:p w:rsidR="00A621E3" w:rsidRDefault="00EC630E">
            <w:pPr>
              <w:spacing w:line="189" w:lineRule="exact"/>
              <w:jc w:val="center"/>
              <w:rPr>
                <w:sz w:val="20"/>
                <w:szCs w:val="20"/>
              </w:rPr>
            </w:pPr>
            <w:r>
              <w:rPr>
                <w:rFonts w:ascii="Arial" w:eastAsia="Arial" w:hAnsi="Arial" w:cs="Arial"/>
                <w:b/>
                <w:bCs/>
                <w:color w:val="CF0A2C"/>
                <w:w w:val="88"/>
                <w:sz w:val="14"/>
                <w:szCs w:val="14"/>
              </w:rPr>
              <w:t>($)</w:t>
            </w:r>
            <w:r>
              <w:rPr>
                <w:rFonts w:ascii="Arial" w:eastAsia="Arial" w:hAnsi="Arial" w:cs="Arial"/>
                <w:b/>
                <w:bCs/>
                <w:color w:val="CF0A2C"/>
                <w:w w:val="88"/>
                <w:sz w:val="17"/>
                <w:szCs w:val="17"/>
                <w:vertAlign w:val="superscript"/>
              </w:rPr>
              <w:t>(g)</w:t>
            </w:r>
          </w:p>
        </w:tc>
        <w:tc>
          <w:tcPr>
            <w:tcW w:w="1020" w:type="dxa"/>
            <w:tcBorders>
              <w:bottom w:val="single" w:sz="8" w:space="0" w:color="CF0A2C"/>
            </w:tcBorders>
            <w:vAlign w:val="bottom"/>
          </w:tcPr>
          <w:p w:rsidR="00A621E3" w:rsidRDefault="00EC630E">
            <w:pPr>
              <w:spacing w:line="189" w:lineRule="exact"/>
              <w:jc w:val="center"/>
              <w:rPr>
                <w:sz w:val="20"/>
                <w:szCs w:val="20"/>
              </w:rPr>
            </w:pPr>
            <w:r>
              <w:rPr>
                <w:rFonts w:ascii="Arial" w:eastAsia="Arial" w:hAnsi="Arial" w:cs="Arial"/>
                <w:b/>
                <w:bCs/>
                <w:color w:val="CF0A2C"/>
                <w:w w:val="88"/>
                <w:sz w:val="14"/>
                <w:szCs w:val="14"/>
              </w:rPr>
              <w:t>($)</w:t>
            </w:r>
            <w:r>
              <w:rPr>
                <w:rFonts w:ascii="Arial" w:eastAsia="Arial" w:hAnsi="Arial" w:cs="Arial"/>
                <w:b/>
                <w:bCs/>
                <w:color w:val="CF0A2C"/>
                <w:w w:val="88"/>
                <w:sz w:val="17"/>
                <w:szCs w:val="17"/>
                <w:vertAlign w:val="superscript"/>
              </w:rPr>
              <w:t>(h)</w:t>
            </w:r>
          </w:p>
        </w:tc>
        <w:tc>
          <w:tcPr>
            <w:tcW w:w="1320" w:type="dxa"/>
            <w:tcBorders>
              <w:bottom w:val="single" w:sz="8" w:space="0" w:color="CF0A2C"/>
            </w:tcBorders>
            <w:vAlign w:val="bottom"/>
          </w:tcPr>
          <w:p w:rsidR="00A621E3" w:rsidRDefault="00EC630E">
            <w:pPr>
              <w:jc w:val="center"/>
              <w:rPr>
                <w:sz w:val="20"/>
                <w:szCs w:val="20"/>
              </w:rPr>
            </w:pPr>
            <w:r>
              <w:rPr>
                <w:rFonts w:ascii="Arial" w:eastAsia="Arial" w:hAnsi="Arial" w:cs="Arial"/>
                <w:b/>
                <w:bCs/>
                <w:color w:val="CF0A2C"/>
                <w:sz w:val="14"/>
                <w:szCs w:val="14"/>
              </w:rPr>
              <w:t>($)</w:t>
            </w:r>
          </w:p>
        </w:tc>
        <w:tc>
          <w:tcPr>
            <w:tcW w:w="0" w:type="dxa"/>
            <w:vAlign w:val="bottom"/>
          </w:tcPr>
          <w:p w:rsidR="00A621E3" w:rsidRDefault="00A621E3">
            <w:pPr>
              <w:rPr>
                <w:sz w:val="1"/>
                <w:szCs w:val="1"/>
              </w:rPr>
            </w:pPr>
          </w:p>
        </w:tc>
      </w:tr>
      <w:tr w:rsidR="00A621E3">
        <w:trPr>
          <w:trHeight w:val="184"/>
        </w:trPr>
        <w:tc>
          <w:tcPr>
            <w:tcW w:w="980" w:type="dxa"/>
            <w:vMerge w:val="restart"/>
            <w:vAlign w:val="bottom"/>
          </w:tcPr>
          <w:p w:rsidR="00A621E3" w:rsidRDefault="00EC630E">
            <w:pPr>
              <w:rPr>
                <w:sz w:val="20"/>
                <w:szCs w:val="20"/>
              </w:rPr>
            </w:pPr>
            <w:r>
              <w:rPr>
                <w:rFonts w:ascii="Arial" w:eastAsia="Arial" w:hAnsi="Arial" w:cs="Arial"/>
                <w:b/>
                <w:bCs/>
                <w:color w:val="CF0A2C"/>
                <w:sz w:val="14"/>
                <w:szCs w:val="14"/>
              </w:rPr>
              <w:t>2022</w:t>
            </w:r>
          </w:p>
        </w:tc>
        <w:tc>
          <w:tcPr>
            <w:tcW w:w="1820" w:type="dxa"/>
            <w:vAlign w:val="bottom"/>
          </w:tcPr>
          <w:p w:rsidR="00A621E3" w:rsidRDefault="00A621E3">
            <w:pPr>
              <w:rPr>
                <w:sz w:val="16"/>
                <w:szCs w:val="16"/>
              </w:rPr>
            </w:pPr>
          </w:p>
        </w:tc>
        <w:tc>
          <w:tcPr>
            <w:tcW w:w="980" w:type="dxa"/>
            <w:vAlign w:val="bottom"/>
          </w:tcPr>
          <w:p w:rsidR="00A621E3" w:rsidRDefault="00A621E3">
            <w:pPr>
              <w:rPr>
                <w:sz w:val="16"/>
                <w:szCs w:val="16"/>
              </w:rPr>
            </w:pPr>
          </w:p>
        </w:tc>
        <w:tc>
          <w:tcPr>
            <w:tcW w:w="1140" w:type="dxa"/>
            <w:vAlign w:val="bottom"/>
          </w:tcPr>
          <w:p w:rsidR="00A621E3" w:rsidRDefault="00A621E3">
            <w:pPr>
              <w:rPr>
                <w:sz w:val="16"/>
                <w:szCs w:val="16"/>
              </w:rPr>
            </w:pPr>
          </w:p>
        </w:tc>
        <w:tc>
          <w:tcPr>
            <w:tcW w:w="1240" w:type="dxa"/>
            <w:vAlign w:val="bottom"/>
          </w:tcPr>
          <w:p w:rsidR="00A621E3" w:rsidRDefault="00EC630E">
            <w:pPr>
              <w:ind w:right="369"/>
              <w:jc w:val="right"/>
              <w:rPr>
                <w:sz w:val="20"/>
                <w:szCs w:val="20"/>
              </w:rPr>
            </w:pPr>
            <w:r>
              <w:rPr>
                <w:rFonts w:ascii="Arial" w:eastAsia="Arial" w:hAnsi="Arial" w:cs="Arial"/>
                <w:b/>
                <w:bCs/>
                <w:color w:val="CF0A2C"/>
                <w:sz w:val="14"/>
                <w:szCs w:val="14"/>
              </w:rPr>
              <w:t>Joey Wat</w:t>
            </w:r>
          </w:p>
        </w:tc>
        <w:tc>
          <w:tcPr>
            <w:tcW w:w="1300" w:type="dxa"/>
            <w:vAlign w:val="bottom"/>
          </w:tcPr>
          <w:p w:rsidR="00A621E3" w:rsidRDefault="00A621E3">
            <w:pPr>
              <w:rPr>
                <w:sz w:val="16"/>
                <w:szCs w:val="16"/>
              </w:rPr>
            </w:pPr>
          </w:p>
        </w:tc>
        <w:tc>
          <w:tcPr>
            <w:tcW w:w="1220" w:type="dxa"/>
            <w:vAlign w:val="bottom"/>
          </w:tcPr>
          <w:p w:rsidR="00A621E3" w:rsidRDefault="00A621E3">
            <w:pPr>
              <w:rPr>
                <w:sz w:val="16"/>
                <w:szCs w:val="16"/>
              </w:rPr>
            </w:pPr>
          </w:p>
        </w:tc>
        <w:tc>
          <w:tcPr>
            <w:tcW w:w="1020" w:type="dxa"/>
            <w:vAlign w:val="bottom"/>
          </w:tcPr>
          <w:p w:rsidR="00A621E3" w:rsidRDefault="00A621E3">
            <w:pPr>
              <w:rPr>
                <w:sz w:val="16"/>
                <w:szCs w:val="16"/>
              </w:rPr>
            </w:pPr>
          </w:p>
        </w:tc>
        <w:tc>
          <w:tcPr>
            <w:tcW w:w="1320" w:type="dxa"/>
            <w:vAlign w:val="bottom"/>
          </w:tcPr>
          <w:p w:rsidR="00A621E3" w:rsidRDefault="00A621E3">
            <w:pPr>
              <w:rPr>
                <w:sz w:val="16"/>
                <w:szCs w:val="16"/>
              </w:rPr>
            </w:pPr>
          </w:p>
        </w:tc>
        <w:tc>
          <w:tcPr>
            <w:tcW w:w="0" w:type="dxa"/>
            <w:vAlign w:val="bottom"/>
          </w:tcPr>
          <w:p w:rsidR="00A621E3" w:rsidRDefault="00A621E3">
            <w:pPr>
              <w:rPr>
                <w:sz w:val="1"/>
                <w:szCs w:val="1"/>
              </w:rPr>
            </w:pPr>
          </w:p>
        </w:tc>
      </w:tr>
      <w:tr w:rsidR="00A621E3">
        <w:trPr>
          <w:trHeight w:val="188"/>
        </w:trPr>
        <w:tc>
          <w:tcPr>
            <w:tcW w:w="980" w:type="dxa"/>
            <w:vMerge/>
            <w:vAlign w:val="bottom"/>
          </w:tcPr>
          <w:p w:rsidR="00A621E3" w:rsidRDefault="00A621E3">
            <w:pPr>
              <w:rPr>
                <w:sz w:val="16"/>
                <w:szCs w:val="16"/>
              </w:rPr>
            </w:pPr>
          </w:p>
        </w:tc>
        <w:tc>
          <w:tcPr>
            <w:tcW w:w="1820" w:type="dxa"/>
            <w:vAlign w:val="bottom"/>
          </w:tcPr>
          <w:p w:rsidR="00A621E3" w:rsidRDefault="00EC630E">
            <w:pPr>
              <w:ind w:right="90"/>
              <w:jc w:val="right"/>
              <w:rPr>
                <w:sz w:val="20"/>
                <w:szCs w:val="20"/>
              </w:rPr>
            </w:pPr>
            <w:r>
              <w:rPr>
                <w:rFonts w:ascii="Arial" w:eastAsia="Arial" w:hAnsi="Arial" w:cs="Arial"/>
                <w:sz w:val="13"/>
                <w:szCs w:val="13"/>
              </w:rPr>
              <w:t>15,892,879</w:t>
            </w:r>
          </w:p>
        </w:tc>
        <w:tc>
          <w:tcPr>
            <w:tcW w:w="980" w:type="dxa"/>
            <w:vAlign w:val="bottom"/>
          </w:tcPr>
          <w:p w:rsidR="00A621E3" w:rsidRDefault="00EC630E">
            <w:pPr>
              <w:ind w:right="70"/>
              <w:jc w:val="right"/>
              <w:rPr>
                <w:sz w:val="20"/>
                <w:szCs w:val="20"/>
              </w:rPr>
            </w:pPr>
            <w:r>
              <w:rPr>
                <w:rFonts w:ascii="Arial" w:eastAsia="Arial" w:hAnsi="Arial" w:cs="Arial"/>
                <w:sz w:val="13"/>
                <w:szCs w:val="13"/>
              </w:rPr>
              <w:t>9,285,127</w:t>
            </w:r>
          </w:p>
        </w:tc>
        <w:tc>
          <w:tcPr>
            <w:tcW w:w="1140" w:type="dxa"/>
            <w:vAlign w:val="bottom"/>
          </w:tcPr>
          <w:p w:rsidR="00A621E3" w:rsidRDefault="00EC630E">
            <w:pPr>
              <w:jc w:val="right"/>
              <w:rPr>
                <w:sz w:val="20"/>
                <w:szCs w:val="20"/>
              </w:rPr>
            </w:pPr>
            <w:r>
              <w:rPr>
                <w:rFonts w:ascii="Arial" w:eastAsia="Arial" w:hAnsi="Arial" w:cs="Arial"/>
                <w:sz w:val="13"/>
                <w:szCs w:val="13"/>
              </w:rPr>
              <w:t>8,595,753</w:t>
            </w:r>
          </w:p>
        </w:tc>
        <w:tc>
          <w:tcPr>
            <w:tcW w:w="1240" w:type="dxa"/>
            <w:vAlign w:val="bottom"/>
          </w:tcPr>
          <w:p w:rsidR="00A621E3" w:rsidRDefault="00EC630E">
            <w:pPr>
              <w:ind w:right="89"/>
              <w:jc w:val="right"/>
              <w:rPr>
                <w:sz w:val="20"/>
                <w:szCs w:val="20"/>
              </w:rPr>
            </w:pPr>
            <w:r>
              <w:rPr>
                <w:rFonts w:ascii="Arial" w:eastAsia="Arial" w:hAnsi="Arial" w:cs="Arial"/>
                <w:sz w:val="13"/>
                <w:szCs w:val="13"/>
              </w:rPr>
              <w:t>2,864,570</w:t>
            </w:r>
          </w:p>
        </w:tc>
        <w:tc>
          <w:tcPr>
            <w:tcW w:w="1300" w:type="dxa"/>
            <w:vAlign w:val="bottom"/>
          </w:tcPr>
          <w:p w:rsidR="00A621E3" w:rsidRDefault="00EC630E">
            <w:pPr>
              <w:ind w:left="1040"/>
              <w:rPr>
                <w:sz w:val="20"/>
                <w:szCs w:val="20"/>
              </w:rPr>
            </w:pPr>
            <w:r>
              <w:rPr>
                <w:rFonts w:ascii="Arial" w:eastAsia="Arial" w:hAnsi="Arial" w:cs="Arial"/>
                <w:sz w:val="13"/>
                <w:szCs w:val="13"/>
              </w:rPr>
              <w:t>—</w:t>
            </w:r>
          </w:p>
        </w:tc>
        <w:tc>
          <w:tcPr>
            <w:tcW w:w="1220" w:type="dxa"/>
            <w:vAlign w:val="bottom"/>
          </w:tcPr>
          <w:p w:rsidR="00A621E3" w:rsidRDefault="00EC630E">
            <w:pPr>
              <w:ind w:right="89"/>
              <w:jc w:val="right"/>
              <w:rPr>
                <w:sz w:val="20"/>
                <w:szCs w:val="20"/>
              </w:rPr>
            </w:pPr>
            <w:r>
              <w:rPr>
                <w:rFonts w:ascii="Arial" w:eastAsia="Arial" w:hAnsi="Arial" w:cs="Arial"/>
                <w:sz w:val="13"/>
                <w:szCs w:val="13"/>
              </w:rPr>
              <w:t>110,050</w:t>
            </w:r>
          </w:p>
        </w:tc>
        <w:tc>
          <w:tcPr>
            <w:tcW w:w="1020" w:type="dxa"/>
            <w:vAlign w:val="bottom"/>
          </w:tcPr>
          <w:p w:rsidR="00A621E3" w:rsidRDefault="00EC630E">
            <w:pPr>
              <w:ind w:left="740"/>
              <w:rPr>
                <w:sz w:val="20"/>
                <w:szCs w:val="20"/>
              </w:rPr>
            </w:pPr>
            <w:r>
              <w:rPr>
                <w:rFonts w:ascii="Arial" w:eastAsia="Arial" w:hAnsi="Arial" w:cs="Arial"/>
                <w:sz w:val="13"/>
                <w:szCs w:val="13"/>
              </w:rPr>
              <w:t>—</w:t>
            </w:r>
          </w:p>
        </w:tc>
        <w:tc>
          <w:tcPr>
            <w:tcW w:w="1320" w:type="dxa"/>
            <w:vAlign w:val="bottom"/>
          </w:tcPr>
          <w:p w:rsidR="00A621E3" w:rsidRDefault="00EC630E">
            <w:pPr>
              <w:ind w:right="111"/>
              <w:jc w:val="right"/>
              <w:rPr>
                <w:sz w:val="20"/>
                <w:szCs w:val="20"/>
              </w:rPr>
            </w:pPr>
            <w:r>
              <w:rPr>
                <w:rFonts w:ascii="Arial" w:eastAsia="Arial" w:hAnsi="Arial" w:cs="Arial"/>
                <w:sz w:val="13"/>
                <w:szCs w:val="13"/>
              </w:rPr>
              <w:t>18,178,125</w:t>
            </w:r>
          </w:p>
        </w:tc>
        <w:tc>
          <w:tcPr>
            <w:tcW w:w="0" w:type="dxa"/>
            <w:vAlign w:val="bottom"/>
          </w:tcPr>
          <w:p w:rsidR="00A621E3" w:rsidRDefault="00A621E3">
            <w:pPr>
              <w:rPr>
                <w:sz w:val="1"/>
                <w:szCs w:val="1"/>
              </w:rPr>
            </w:pPr>
          </w:p>
        </w:tc>
      </w:tr>
      <w:tr w:rsidR="00A621E3">
        <w:trPr>
          <w:trHeight w:val="189"/>
        </w:trPr>
        <w:tc>
          <w:tcPr>
            <w:tcW w:w="980" w:type="dxa"/>
            <w:vAlign w:val="bottom"/>
          </w:tcPr>
          <w:p w:rsidR="00A621E3" w:rsidRDefault="00EC630E">
            <w:pPr>
              <w:rPr>
                <w:sz w:val="20"/>
                <w:szCs w:val="20"/>
              </w:rPr>
            </w:pPr>
            <w:r>
              <w:rPr>
                <w:rFonts w:ascii="Arial" w:eastAsia="Arial" w:hAnsi="Arial" w:cs="Arial"/>
                <w:b/>
                <w:bCs/>
                <w:color w:val="CF0A2C"/>
                <w:sz w:val="14"/>
                <w:szCs w:val="14"/>
              </w:rPr>
              <w:t>2021</w:t>
            </w:r>
          </w:p>
        </w:tc>
        <w:tc>
          <w:tcPr>
            <w:tcW w:w="1820" w:type="dxa"/>
            <w:vAlign w:val="bottom"/>
          </w:tcPr>
          <w:p w:rsidR="00A621E3" w:rsidRDefault="00EC630E">
            <w:pPr>
              <w:ind w:right="90"/>
              <w:jc w:val="right"/>
              <w:rPr>
                <w:sz w:val="20"/>
                <w:szCs w:val="20"/>
              </w:rPr>
            </w:pPr>
            <w:r>
              <w:rPr>
                <w:rFonts w:ascii="Arial" w:eastAsia="Arial" w:hAnsi="Arial" w:cs="Arial"/>
                <w:sz w:val="13"/>
                <w:szCs w:val="13"/>
              </w:rPr>
              <w:t>16,555,672</w:t>
            </w:r>
          </w:p>
        </w:tc>
        <w:tc>
          <w:tcPr>
            <w:tcW w:w="980" w:type="dxa"/>
            <w:vAlign w:val="bottom"/>
          </w:tcPr>
          <w:p w:rsidR="00A621E3" w:rsidRDefault="00EC630E">
            <w:pPr>
              <w:ind w:right="70"/>
              <w:jc w:val="right"/>
              <w:rPr>
                <w:sz w:val="20"/>
                <w:szCs w:val="20"/>
              </w:rPr>
            </w:pPr>
            <w:r>
              <w:rPr>
                <w:rFonts w:ascii="Arial" w:eastAsia="Arial" w:hAnsi="Arial" w:cs="Arial"/>
                <w:sz w:val="13"/>
                <w:szCs w:val="13"/>
              </w:rPr>
              <w:t>8,703,924</w:t>
            </w:r>
          </w:p>
        </w:tc>
        <w:tc>
          <w:tcPr>
            <w:tcW w:w="1140" w:type="dxa"/>
            <w:vAlign w:val="bottom"/>
          </w:tcPr>
          <w:p w:rsidR="00A621E3" w:rsidRDefault="00EC630E">
            <w:pPr>
              <w:jc w:val="right"/>
              <w:rPr>
                <w:sz w:val="20"/>
                <w:szCs w:val="20"/>
              </w:rPr>
            </w:pPr>
            <w:r>
              <w:rPr>
                <w:rFonts w:ascii="Arial" w:eastAsia="Arial" w:hAnsi="Arial" w:cs="Arial"/>
                <w:sz w:val="13"/>
                <w:szCs w:val="13"/>
              </w:rPr>
              <w:t>6,661,504</w:t>
            </w:r>
          </w:p>
        </w:tc>
        <w:tc>
          <w:tcPr>
            <w:tcW w:w="1240" w:type="dxa"/>
            <w:vAlign w:val="bottom"/>
          </w:tcPr>
          <w:p w:rsidR="00A621E3" w:rsidRDefault="00EC630E">
            <w:pPr>
              <w:ind w:right="49"/>
              <w:jc w:val="right"/>
              <w:rPr>
                <w:sz w:val="20"/>
                <w:szCs w:val="20"/>
              </w:rPr>
            </w:pPr>
            <w:r>
              <w:rPr>
                <w:rFonts w:ascii="Arial" w:eastAsia="Arial" w:hAnsi="Arial" w:cs="Arial"/>
                <w:sz w:val="13"/>
                <w:szCs w:val="13"/>
              </w:rPr>
              <w:t>(7,555,976)</w:t>
            </w:r>
          </w:p>
        </w:tc>
        <w:tc>
          <w:tcPr>
            <w:tcW w:w="1300" w:type="dxa"/>
            <w:vAlign w:val="bottom"/>
          </w:tcPr>
          <w:p w:rsidR="00A621E3" w:rsidRDefault="00EC630E">
            <w:pPr>
              <w:ind w:left="1040"/>
              <w:rPr>
                <w:sz w:val="20"/>
                <w:szCs w:val="20"/>
              </w:rPr>
            </w:pPr>
            <w:r>
              <w:rPr>
                <w:rFonts w:ascii="Arial" w:eastAsia="Arial" w:hAnsi="Arial" w:cs="Arial"/>
                <w:sz w:val="13"/>
                <w:szCs w:val="13"/>
              </w:rPr>
              <w:t>—</w:t>
            </w:r>
          </w:p>
        </w:tc>
        <w:tc>
          <w:tcPr>
            <w:tcW w:w="1220" w:type="dxa"/>
            <w:vAlign w:val="bottom"/>
          </w:tcPr>
          <w:p w:rsidR="00A621E3" w:rsidRDefault="00EC630E">
            <w:pPr>
              <w:ind w:right="49"/>
              <w:jc w:val="right"/>
              <w:rPr>
                <w:sz w:val="20"/>
                <w:szCs w:val="20"/>
              </w:rPr>
            </w:pPr>
            <w:r>
              <w:rPr>
                <w:rFonts w:ascii="Arial" w:eastAsia="Arial" w:hAnsi="Arial" w:cs="Arial"/>
                <w:sz w:val="13"/>
                <w:szCs w:val="13"/>
              </w:rPr>
              <w:t>(267,959)</w:t>
            </w:r>
          </w:p>
        </w:tc>
        <w:tc>
          <w:tcPr>
            <w:tcW w:w="1020" w:type="dxa"/>
            <w:vAlign w:val="bottom"/>
          </w:tcPr>
          <w:p w:rsidR="00A621E3" w:rsidRDefault="00EC630E">
            <w:pPr>
              <w:ind w:left="740"/>
              <w:rPr>
                <w:sz w:val="20"/>
                <w:szCs w:val="20"/>
              </w:rPr>
            </w:pPr>
            <w:r>
              <w:rPr>
                <w:rFonts w:ascii="Arial" w:eastAsia="Arial" w:hAnsi="Arial" w:cs="Arial"/>
                <w:sz w:val="13"/>
                <w:szCs w:val="13"/>
              </w:rPr>
              <w:t>—</w:t>
            </w:r>
          </w:p>
        </w:tc>
        <w:tc>
          <w:tcPr>
            <w:tcW w:w="1320" w:type="dxa"/>
            <w:vAlign w:val="bottom"/>
          </w:tcPr>
          <w:p w:rsidR="00A621E3" w:rsidRDefault="00EC630E">
            <w:pPr>
              <w:ind w:right="111"/>
              <w:jc w:val="right"/>
              <w:rPr>
                <w:sz w:val="20"/>
                <w:szCs w:val="20"/>
              </w:rPr>
            </w:pPr>
            <w:r>
              <w:rPr>
                <w:rFonts w:ascii="Arial" w:eastAsia="Arial" w:hAnsi="Arial" w:cs="Arial"/>
                <w:sz w:val="13"/>
                <w:szCs w:val="13"/>
              </w:rPr>
              <w:t>6,689,317</w:t>
            </w:r>
          </w:p>
        </w:tc>
        <w:tc>
          <w:tcPr>
            <w:tcW w:w="0" w:type="dxa"/>
            <w:vAlign w:val="bottom"/>
          </w:tcPr>
          <w:p w:rsidR="00A621E3" w:rsidRDefault="00A621E3">
            <w:pPr>
              <w:rPr>
                <w:sz w:val="1"/>
                <w:szCs w:val="1"/>
              </w:rPr>
            </w:pPr>
          </w:p>
        </w:tc>
      </w:tr>
      <w:tr w:rsidR="00A621E3">
        <w:trPr>
          <w:trHeight w:val="189"/>
        </w:trPr>
        <w:tc>
          <w:tcPr>
            <w:tcW w:w="980" w:type="dxa"/>
            <w:vAlign w:val="bottom"/>
          </w:tcPr>
          <w:p w:rsidR="00A621E3" w:rsidRDefault="00EC630E">
            <w:pPr>
              <w:rPr>
                <w:sz w:val="20"/>
                <w:szCs w:val="20"/>
              </w:rPr>
            </w:pPr>
            <w:r>
              <w:rPr>
                <w:rFonts w:ascii="Arial" w:eastAsia="Arial" w:hAnsi="Arial" w:cs="Arial"/>
                <w:b/>
                <w:bCs/>
                <w:color w:val="CF0A2C"/>
                <w:sz w:val="14"/>
                <w:szCs w:val="14"/>
              </w:rPr>
              <w:t>2020</w:t>
            </w:r>
          </w:p>
        </w:tc>
        <w:tc>
          <w:tcPr>
            <w:tcW w:w="1820" w:type="dxa"/>
            <w:vAlign w:val="bottom"/>
          </w:tcPr>
          <w:p w:rsidR="00A621E3" w:rsidRDefault="00EC630E">
            <w:pPr>
              <w:ind w:right="90"/>
              <w:jc w:val="right"/>
              <w:rPr>
                <w:sz w:val="20"/>
                <w:szCs w:val="20"/>
              </w:rPr>
            </w:pPr>
            <w:r>
              <w:rPr>
                <w:rFonts w:ascii="Arial" w:eastAsia="Arial" w:hAnsi="Arial" w:cs="Arial"/>
                <w:sz w:val="13"/>
                <w:szCs w:val="13"/>
              </w:rPr>
              <w:t>21,171,578</w:t>
            </w:r>
          </w:p>
        </w:tc>
        <w:tc>
          <w:tcPr>
            <w:tcW w:w="980" w:type="dxa"/>
            <w:vAlign w:val="bottom"/>
          </w:tcPr>
          <w:p w:rsidR="00A621E3" w:rsidRDefault="00EC630E">
            <w:pPr>
              <w:ind w:right="70"/>
              <w:jc w:val="right"/>
              <w:rPr>
                <w:sz w:val="20"/>
                <w:szCs w:val="20"/>
              </w:rPr>
            </w:pPr>
            <w:r>
              <w:rPr>
                <w:rFonts w:ascii="Arial" w:eastAsia="Arial" w:hAnsi="Arial" w:cs="Arial"/>
                <w:sz w:val="13"/>
                <w:szCs w:val="13"/>
              </w:rPr>
              <w:t>17,000,087</w:t>
            </w:r>
          </w:p>
        </w:tc>
        <w:tc>
          <w:tcPr>
            <w:tcW w:w="1140" w:type="dxa"/>
            <w:vAlign w:val="bottom"/>
          </w:tcPr>
          <w:p w:rsidR="00A621E3" w:rsidRDefault="00EC630E">
            <w:pPr>
              <w:jc w:val="right"/>
              <w:rPr>
                <w:sz w:val="20"/>
                <w:szCs w:val="20"/>
              </w:rPr>
            </w:pPr>
            <w:r>
              <w:rPr>
                <w:rFonts w:ascii="Arial" w:eastAsia="Arial" w:hAnsi="Arial" w:cs="Arial"/>
                <w:sz w:val="13"/>
                <w:szCs w:val="13"/>
              </w:rPr>
              <w:t>27,272,183</w:t>
            </w:r>
          </w:p>
        </w:tc>
        <w:tc>
          <w:tcPr>
            <w:tcW w:w="1240" w:type="dxa"/>
            <w:vAlign w:val="bottom"/>
          </w:tcPr>
          <w:p w:rsidR="00A621E3" w:rsidRDefault="00EC630E">
            <w:pPr>
              <w:ind w:right="89"/>
              <w:jc w:val="right"/>
              <w:rPr>
                <w:sz w:val="20"/>
                <w:szCs w:val="20"/>
              </w:rPr>
            </w:pPr>
            <w:r>
              <w:rPr>
                <w:rFonts w:ascii="Arial" w:eastAsia="Arial" w:hAnsi="Arial" w:cs="Arial"/>
                <w:sz w:val="13"/>
                <w:szCs w:val="13"/>
              </w:rPr>
              <w:t>3,144,165</w:t>
            </w:r>
          </w:p>
        </w:tc>
        <w:tc>
          <w:tcPr>
            <w:tcW w:w="1300" w:type="dxa"/>
            <w:vAlign w:val="bottom"/>
          </w:tcPr>
          <w:p w:rsidR="00A621E3" w:rsidRDefault="00EC630E">
            <w:pPr>
              <w:ind w:left="1040"/>
              <w:rPr>
                <w:sz w:val="20"/>
                <w:szCs w:val="20"/>
              </w:rPr>
            </w:pPr>
            <w:r>
              <w:rPr>
                <w:rFonts w:ascii="Arial" w:eastAsia="Arial" w:hAnsi="Arial" w:cs="Arial"/>
                <w:sz w:val="13"/>
                <w:szCs w:val="13"/>
              </w:rPr>
              <w:t>—</w:t>
            </w:r>
          </w:p>
        </w:tc>
        <w:tc>
          <w:tcPr>
            <w:tcW w:w="1220" w:type="dxa"/>
            <w:vAlign w:val="bottom"/>
          </w:tcPr>
          <w:p w:rsidR="00A621E3" w:rsidRDefault="00EC630E">
            <w:pPr>
              <w:ind w:right="89"/>
              <w:jc w:val="right"/>
              <w:rPr>
                <w:sz w:val="20"/>
                <w:szCs w:val="20"/>
              </w:rPr>
            </w:pPr>
            <w:r>
              <w:rPr>
                <w:rFonts w:ascii="Arial" w:eastAsia="Arial" w:hAnsi="Arial" w:cs="Arial"/>
                <w:sz w:val="13"/>
                <w:szCs w:val="13"/>
              </w:rPr>
              <w:t>1,495,700</w:t>
            </w:r>
          </w:p>
        </w:tc>
        <w:tc>
          <w:tcPr>
            <w:tcW w:w="1020" w:type="dxa"/>
            <w:vAlign w:val="bottom"/>
          </w:tcPr>
          <w:p w:rsidR="00A621E3" w:rsidRDefault="00EC630E">
            <w:pPr>
              <w:ind w:left="740"/>
              <w:rPr>
                <w:sz w:val="20"/>
                <w:szCs w:val="20"/>
              </w:rPr>
            </w:pPr>
            <w:r>
              <w:rPr>
                <w:rFonts w:ascii="Arial" w:eastAsia="Arial" w:hAnsi="Arial" w:cs="Arial"/>
                <w:sz w:val="13"/>
                <w:szCs w:val="13"/>
              </w:rPr>
              <w:t>—</w:t>
            </w:r>
          </w:p>
        </w:tc>
        <w:tc>
          <w:tcPr>
            <w:tcW w:w="1320" w:type="dxa"/>
            <w:vAlign w:val="bottom"/>
          </w:tcPr>
          <w:p w:rsidR="00A621E3" w:rsidRDefault="00EC630E">
            <w:pPr>
              <w:ind w:right="111"/>
              <w:jc w:val="right"/>
              <w:rPr>
                <w:sz w:val="20"/>
                <w:szCs w:val="20"/>
              </w:rPr>
            </w:pPr>
            <w:r>
              <w:rPr>
                <w:rFonts w:ascii="Arial" w:eastAsia="Arial" w:hAnsi="Arial" w:cs="Arial"/>
                <w:sz w:val="13"/>
                <w:szCs w:val="13"/>
              </w:rPr>
              <w:t>36,083,539</w:t>
            </w:r>
          </w:p>
        </w:tc>
        <w:tc>
          <w:tcPr>
            <w:tcW w:w="0" w:type="dxa"/>
            <w:vAlign w:val="bottom"/>
          </w:tcPr>
          <w:p w:rsidR="00A621E3" w:rsidRDefault="00A621E3">
            <w:pPr>
              <w:rPr>
                <w:sz w:val="1"/>
                <w:szCs w:val="1"/>
              </w:rPr>
            </w:pPr>
          </w:p>
        </w:tc>
      </w:tr>
      <w:tr w:rsidR="00A621E3">
        <w:trPr>
          <w:trHeight w:val="215"/>
        </w:trPr>
        <w:tc>
          <w:tcPr>
            <w:tcW w:w="980" w:type="dxa"/>
            <w:vMerge w:val="restart"/>
            <w:vAlign w:val="bottom"/>
          </w:tcPr>
          <w:p w:rsidR="00A621E3" w:rsidRDefault="00EC630E">
            <w:pPr>
              <w:rPr>
                <w:sz w:val="20"/>
                <w:szCs w:val="20"/>
              </w:rPr>
            </w:pPr>
            <w:r>
              <w:rPr>
                <w:rFonts w:ascii="Arial" w:eastAsia="Arial" w:hAnsi="Arial" w:cs="Arial"/>
                <w:b/>
                <w:bCs/>
                <w:color w:val="CF0A2C"/>
                <w:sz w:val="14"/>
                <w:szCs w:val="14"/>
              </w:rPr>
              <w:t>2022</w:t>
            </w:r>
          </w:p>
        </w:tc>
        <w:tc>
          <w:tcPr>
            <w:tcW w:w="1820" w:type="dxa"/>
            <w:vAlign w:val="bottom"/>
          </w:tcPr>
          <w:p w:rsidR="00A621E3" w:rsidRDefault="00A621E3">
            <w:pPr>
              <w:rPr>
                <w:sz w:val="18"/>
                <w:szCs w:val="18"/>
              </w:rPr>
            </w:pPr>
          </w:p>
        </w:tc>
        <w:tc>
          <w:tcPr>
            <w:tcW w:w="980" w:type="dxa"/>
            <w:vAlign w:val="bottom"/>
          </w:tcPr>
          <w:p w:rsidR="00A621E3" w:rsidRDefault="00A621E3">
            <w:pPr>
              <w:rPr>
                <w:sz w:val="18"/>
                <w:szCs w:val="18"/>
              </w:rPr>
            </w:pPr>
          </w:p>
        </w:tc>
        <w:tc>
          <w:tcPr>
            <w:tcW w:w="1140" w:type="dxa"/>
            <w:vAlign w:val="bottom"/>
          </w:tcPr>
          <w:p w:rsidR="00A621E3" w:rsidRDefault="00A621E3">
            <w:pPr>
              <w:rPr>
                <w:sz w:val="18"/>
                <w:szCs w:val="18"/>
              </w:rPr>
            </w:pPr>
          </w:p>
        </w:tc>
        <w:tc>
          <w:tcPr>
            <w:tcW w:w="1240" w:type="dxa"/>
            <w:vAlign w:val="bottom"/>
          </w:tcPr>
          <w:p w:rsidR="00A621E3" w:rsidRDefault="00EC630E">
            <w:pPr>
              <w:ind w:right="229"/>
              <w:jc w:val="right"/>
              <w:rPr>
                <w:sz w:val="20"/>
                <w:szCs w:val="20"/>
              </w:rPr>
            </w:pPr>
            <w:r>
              <w:rPr>
                <w:rFonts w:ascii="Arial" w:eastAsia="Arial" w:hAnsi="Arial" w:cs="Arial"/>
                <w:b/>
                <w:bCs/>
                <w:color w:val="CF0A2C"/>
                <w:sz w:val="14"/>
                <w:szCs w:val="14"/>
              </w:rPr>
              <w:t>Other NEOs</w:t>
            </w:r>
            <w:r>
              <w:rPr>
                <w:rFonts w:ascii="Arial" w:eastAsia="Arial" w:hAnsi="Arial" w:cs="Arial"/>
                <w:b/>
                <w:bCs/>
                <w:color w:val="CF0A2C"/>
                <w:sz w:val="17"/>
                <w:szCs w:val="17"/>
                <w:vertAlign w:val="superscript"/>
              </w:rPr>
              <w:t>(i)</w:t>
            </w:r>
          </w:p>
        </w:tc>
        <w:tc>
          <w:tcPr>
            <w:tcW w:w="1300" w:type="dxa"/>
            <w:vAlign w:val="bottom"/>
          </w:tcPr>
          <w:p w:rsidR="00A621E3" w:rsidRDefault="00A621E3">
            <w:pPr>
              <w:rPr>
                <w:sz w:val="18"/>
                <w:szCs w:val="18"/>
              </w:rPr>
            </w:pPr>
          </w:p>
        </w:tc>
        <w:tc>
          <w:tcPr>
            <w:tcW w:w="1220" w:type="dxa"/>
            <w:vAlign w:val="bottom"/>
          </w:tcPr>
          <w:p w:rsidR="00A621E3" w:rsidRDefault="00A621E3">
            <w:pPr>
              <w:rPr>
                <w:sz w:val="18"/>
                <w:szCs w:val="18"/>
              </w:rPr>
            </w:pPr>
          </w:p>
        </w:tc>
        <w:tc>
          <w:tcPr>
            <w:tcW w:w="1020" w:type="dxa"/>
            <w:vAlign w:val="bottom"/>
          </w:tcPr>
          <w:p w:rsidR="00A621E3" w:rsidRDefault="00A621E3">
            <w:pPr>
              <w:rPr>
                <w:sz w:val="18"/>
                <w:szCs w:val="18"/>
              </w:rPr>
            </w:pPr>
          </w:p>
        </w:tc>
        <w:tc>
          <w:tcPr>
            <w:tcW w:w="1320" w:type="dxa"/>
            <w:vAlign w:val="bottom"/>
          </w:tcPr>
          <w:p w:rsidR="00A621E3" w:rsidRDefault="00A621E3">
            <w:pPr>
              <w:rPr>
                <w:sz w:val="18"/>
                <w:szCs w:val="18"/>
              </w:rPr>
            </w:pPr>
          </w:p>
        </w:tc>
        <w:tc>
          <w:tcPr>
            <w:tcW w:w="0" w:type="dxa"/>
            <w:vAlign w:val="bottom"/>
          </w:tcPr>
          <w:p w:rsidR="00A621E3" w:rsidRDefault="00A621E3">
            <w:pPr>
              <w:rPr>
                <w:sz w:val="1"/>
                <w:szCs w:val="1"/>
              </w:rPr>
            </w:pPr>
          </w:p>
        </w:tc>
      </w:tr>
      <w:tr w:rsidR="00A621E3">
        <w:trPr>
          <w:trHeight w:val="163"/>
        </w:trPr>
        <w:tc>
          <w:tcPr>
            <w:tcW w:w="980" w:type="dxa"/>
            <w:vMerge/>
            <w:vAlign w:val="bottom"/>
          </w:tcPr>
          <w:p w:rsidR="00A621E3" w:rsidRDefault="00A621E3">
            <w:pPr>
              <w:rPr>
                <w:sz w:val="14"/>
                <w:szCs w:val="14"/>
              </w:rPr>
            </w:pPr>
          </w:p>
        </w:tc>
        <w:tc>
          <w:tcPr>
            <w:tcW w:w="1820" w:type="dxa"/>
            <w:vAlign w:val="bottom"/>
          </w:tcPr>
          <w:p w:rsidR="00A621E3" w:rsidRDefault="00EC630E">
            <w:pPr>
              <w:ind w:right="90"/>
              <w:jc w:val="right"/>
              <w:rPr>
                <w:sz w:val="20"/>
                <w:szCs w:val="20"/>
              </w:rPr>
            </w:pPr>
            <w:r>
              <w:rPr>
                <w:rFonts w:ascii="Arial" w:eastAsia="Arial" w:hAnsi="Arial" w:cs="Arial"/>
                <w:sz w:val="13"/>
                <w:szCs w:val="13"/>
              </w:rPr>
              <w:t>3,577,110</w:t>
            </w:r>
          </w:p>
        </w:tc>
        <w:tc>
          <w:tcPr>
            <w:tcW w:w="980" w:type="dxa"/>
            <w:vAlign w:val="bottom"/>
          </w:tcPr>
          <w:p w:rsidR="00A621E3" w:rsidRDefault="00EC630E">
            <w:pPr>
              <w:ind w:right="70"/>
              <w:jc w:val="right"/>
              <w:rPr>
                <w:sz w:val="20"/>
                <w:szCs w:val="20"/>
              </w:rPr>
            </w:pPr>
            <w:r>
              <w:rPr>
                <w:rFonts w:ascii="Arial" w:eastAsia="Arial" w:hAnsi="Arial" w:cs="Arial"/>
                <w:sz w:val="13"/>
                <w:szCs w:val="13"/>
              </w:rPr>
              <w:t>1,751,225</w:t>
            </w:r>
          </w:p>
        </w:tc>
        <w:tc>
          <w:tcPr>
            <w:tcW w:w="1140" w:type="dxa"/>
            <w:vAlign w:val="bottom"/>
          </w:tcPr>
          <w:p w:rsidR="00A621E3" w:rsidRDefault="00EC630E">
            <w:pPr>
              <w:jc w:val="right"/>
              <w:rPr>
                <w:sz w:val="20"/>
                <w:szCs w:val="20"/>
              </w:rPr>
            </w:pPr>
            <w:r>
              <w:rPr>
                <w:rFonts w:ascii="Arial" w:eastAsia="Arial" w:hAnsi="Arial" w:cs="Arial"/>
                <w:sz w:val="13"/>
                <w:szCs w:val="13"/>
              </w:rPr>
              <w:t>1,606,822</w:t>
            </w:r>
          </w:p>
        </w:tc>
        <w:tc>
          <w:tcPr>
            <w:tcW w:w="1240" w:type="dxa"/>
            <w:vAlign w:val="bottom"/>
          </w:tcPr>
          <w:p w:rsidR="00A621E3" w:rsidRDefault="00EC630E">
            <w:pPr>
              <w:ind w:right="89"/>
              <w:jc w:val="right"/>
              <w:rPr>
                <w:sz w:val="20"/>
                <w:szCs w:val="20"/>
              </w:rPr>
            </w:pPr>
            <w:r>
              <w:rPr>
                <w:rFonts w:ascii="Arial" w:eastAsia="Arial" w:hAnsi="Arial" w:cs="Arial"/>
                <w:sz w:val="13"/>
                <w:szCs w:val="13"/>
              </w:rPr>
              <w:t>500,217</w:t>
            </w:r>
          </w:p>
        </w:tc>
        <w:tc>
          <w:tcPr>
            <w:tcW w:w="1300" w:type="dxa"/>
            <w:vAlign w:val="bottom"/>
          </w:tcPr>
          <w:p w:rsidR="00A621E3" w:rsidRDefault="00EC630E">
            <w:pPr>
              <w:ind w:left="1040"/>
              <w:rPr>
                <w:sz w:val="20"/>
                <w:szCs w:val="20"/>
              </w:rPr>
            </w:pPr>
            <w:r>
              <w:rPr>
                <w:rFonts w:ascii="Arial" w:eastAsia="Arial" w:hAnsi="Arial" w:cs="Arial"/>
                <w:sz w:val="13"/>
                <w:szCs w:val="13"/>
              </w:rPr>
              <w:t>—</w:t>
            </w:r>
          </w:p>
        </w:tc>
        <w:tc>
          <w:tcPr>
            <w:tcW w:w="1220" w:type="dxa"/>
            <w:vAlign w:val="bottom"/>
          </w:tcPr>
          <w:p w:rsidR="00A621E3" w:rsidRDefault="00EC630E">
            <w:pPr>
              <w:ind w:right="89"/>
              <w:jc w:val="right"/>
              <w:rPr>
                <w:sz w:val="20"/>
                <w:szCs w:val="20"/>
              </w:rPr>
            </w:pPr>
            <w:r>
              <w:rPr>
                <w:rFonts w:ascii="Arial" w:eastAsia="Arial" w:hAnsi="Arial" w:cs="Arial"/>
                <w:sz w:val="13"/>
                <w:szCs w:val="13"/>
              </w:rPr>
              <w:t>14,114</w:t>
            </w:r>
          </w:p>
        </w:tc>
        <w:tc>
          <w:tcPr>
            <w:tcW w:w="1020" w:type="dxa"/>
            <w:vAlign w:val="bottom"/>
          </w:tcPr>
          <w:p w:rsidR="00A621E3" w:rsidRDefault="00EC630E">
            <w:pPr>
              <w:ind w:left="740"/>
              <w:rPr>
                <w:sz w:val="20"/>
                <w:szCs w:val="20"/>
              </w:rPr>
            </w:pPr>
            <w:r>
              <w:rPr>
                <w:rFonts w:ascii="Arial" w:eastAsia="Arial" w:hAnsi="Arial" w:cs="Arial"/>
                <w:sz w:val="13"/>
                <w:szCs w:val="13"/>
              </w:rPr>
              <w:t>—</w:t>
            </w:r>
          </w:p>
        </w:tc>
        <w:tc>
          <w:tcPr>
            <w:tcW w:w="1320" w:type="dxa"/>
            <w:vAlign w:val="bottom"/>
          </w:tcPr>
          <w:p w:rsidR="00A621E3" w:rsidRDefault="00EC630E">
            <w:pPr>
              <w:ind w:right="111"/>
              <w:jc w:val="right"/>
              <w:rPr>
                <w:sz w:val="20"/>
                <w:szCs w:val="20"/>
              </w:rPr>
            </w:pPr>
            <w:r>
              <w:rPr>
                <w:rFonts w:ascii="Arial" w:eastAsia="Arial" w:hAnsi="Arial" w:cs="Arial"/>
                <w:sz w:val="13"/>
                <w:szCs w:val="13"/>
              </w:rPr>
              <w:t>3,947,038</w:t>
            </w:r>
          </w:p>
        </w:tc>
        <w:tc>
          <w:tcPr>
            <w:tcW w:w="0" w:type="dxa"/>
            <w:vAlign w:val="bottom"/>
          </w:tcPr>
          <w:p w:rsidR="00A621E3" w:rsidRDefault="00A621E3">
            <w:pPr>
              <w:rPr>
                <w:sz w:val="1"/>
                <w:szCs w:val="1"/>
              </w:rPr>
            </w:pPr>
          </w:p>
        </w:tc>
      </w:tr>
      <w:tr w:rsidR="00A621E3">
        <w:trPr>
          <w:trHeight w:val="189"/>
        </w:trPr>
        <w:tc>
          <w:tcPr>
            <w:tcW w:w="980" w:type="dxa"/>
            <w:vAlign w:val="bottom"/>
          </w:tcPr>
          <w:p w:rsidR="00A621E3" w:rsidRDefault="00EC630E">
            <w:pPr>
              <w:rPr>
                <w:sz w:val="20"/>
                <w:szCs w:val="20"/>
              </w:rPr>
            </w:pPr>
            <w:r>
              <w:rPr>
                <w:rFonts w:ascii="Arial" w:eastAsia="Arial" w:hAnsi="Arial" w:cs="Arial"/>
                <w:b/>
                <w:bCs/>
                <w:color w:val="CF0A2C"/>
                <w:sz w:val="14"/>
                <w:szCs w:val="14"/>
              </w:rPr>
              <w:t>2021</w:t>
            </w:r>
          </w:p>
        </w:tc>
        <w:tc>
          <w:tcPr>
            <w:tcW w:w="1820" w:type="dxa"/>
            <w:vAlign w:val="bottom"/>
          </w:tcPr>
          <w:p w:rsidR="00A621E3" w:rsidRDefault="00EC630E">
            <w:pPr>
              <w:ind w:right="90"/>
              <w:jc w:val="right"/>
              <w:rPr>
                <w:sz w:val="20"/>
                <w:szCs w:val="20"/>
              </w:rPr>
            </w:pPr>
            <w:r>
              <w:rPr>
                <w:rFonts w:ascii="Arial" w:eastAsia="Arial" w:hAnsi="Arial" w:cs="Arial"/>
                <w:sz w:val="13"/>
                <w:szCs w:val="13"/>
              </w:rPr>
              <w:t>3,737,910</w:t>
            </w:r>
          </w:p>
        </w:tc>
        <w:tc>
          <w:tcPr>
            <w:tcW w:w="980" w:type="dxa"/>
            <w:vAlign w:val="bottom"/>
          </w:tcPr>
          <w:p w:rsidR="00A621E3" w:rsidRDefault="00EC630E">
            <w:pPr>
              <w:ind w:right="70"/>
              <w:jc w:val="right"/>
              <w:rPr>
                <w:sz w:val="20"/>
                <w:szCs w:val="20"/>
              </w:rPr>
            </w:pPr>
            <w:r>
              <w:rPr>
                <w:rFonts w:ascii="Arial" w:eastAsia="Arial" w:hAnsi="Arial" w:cs="Arial"/>
                <w:sz w:val="13"/>
                <w:szCs w:val="13"/>
              </w:rPr>
              <w:t>1,772,973</w:t>
            </w:r>
          </w:p>
        </w:tc>
        <w:tc>
          <w:tcPr>
            <w:tcW w:w="1140" w:type="dxa"/>
            <w:vAlign w:val="bottom"/>
          </w:tcPr>
          <w:p w:rsidR="00A621E3" w:rsidRDefault="00EC630E">
            <w:pPr>
              <w:jc w:val="right"/>
              <w:rPr>
                <w:sz w:val="20"/>
                <w:szCs w:val="20"/>
              </w:rPr>
            </w:pPr>
            <w:r>
              <w:rPr>
                <w:rFonts w:ascii="Arial" w:eastAsia="Arial" w:hAnsi="Arial" w:cs="Arial"/>
                <w:sz w:val="13"/>
                <w:szCs w:val="13"/>
              </w:rPr>
              <w:t>1,374,102</w:t>
            </w:r>
          </w:p>
        </w:tc>
        <w:tc>
          <w:tcPr>
            <w:tcW w:w="1240" w:type="dxa"/>
            <w:vAlign w:val="bottom"/>
          </w:tcPr>
          <w:p w:rsidR="00A621E3" w:rsidRDefault="00EC630E">
            <w:pPr>
              <w:ind w:right="49"/>
              <w:jc w:val="right"/>
              <w:rPr>
                <w:sz w:val="20"/>
                <w:szCs w:val="20"/>
              </w:rPr>
            </w:pPr>
            <w:r>
              <w:rPr>
                <w:rFonts w:ascii="Arial" w:eastAsia="Arial" w:hAnsi="Arial" w:cs="Arial"/>
                <w:sz w:val="13"/>
                <w:szCs w:val="13"/>
              </w:rPr>
              <w:t>(1,160,113)</w:t>
            </w:r>
          </w:p>
        </w:tc>
        <w:tc>
          <w:tcPr>
            <w:tcW w:w="1300" w:type="dxa"/>
            <w:vAlign w:val="bottom"/>
          </w:tcPr>
          <w:p w:rsidR="00A621E3" w:rsidRDefault="00EC630E">
            <w:pPr>
              <w:ind w:left="1040"/>
              <w:rPr>
                <w:sz w:val="20"/>
                <w:szCs w:val="20"/>
              </w:rPr>
            </w:pPr>
            <w:r>
              <w:rPr>
                <w:rFonts w:ascii="Arial" w:eastAsia="Arial" w:hAnsi="Arial" w:cs="Arial"/>
                <w:sz w:val="13"/>
                <w:szCs w:val="13"/>
              </w:rPr>
              <w:t>—</w:t>
            </w:r>
          </w:p>
        </w:tc>
        <w:tc>
          <w:tcPr>
            <w:tcW w:w="1220" w:type="dxa"/>
            <w:vAlign w:val="bottom"/>
          </w:tcPr>
          <w:p w:rsidR="00A621E3" w:rsidRDefault="00EC630E">
            <w:pPr>
              <w:ind w:right="89"/>
              <w:jc w:val="right"/>
              <w:rPr>
                <w:sz w:val="20"/>
                <w:szCs w:val="20"/>
              </w:rPr>
            </w:pPr>
            <w:r>
              <w:rPr>
                <w:rFonts w:ascii="Arial" w:eastAsia="Arial" w:hAnsi="Arial" w:cs="Arial"/>
                <w:sz w:val="13"/>
                <w:szCs w:val="13"/>
              </w:rPr>
              <w:t>64,843</w:t>
            </w:r>
          </w:p>
        </w:tc>
        <w:tc>
          <w:tcPr>
            <w:tcW w:w="1020" w:type="dxa"/>
            <w:vAlign w:val="bottom"/>
          </w:tcPr>
          <w:p w:rsidR="00A621E3" w:rsidRDefault="00EC630E">
            <w:pPr>
              <w:ind w:left="740"/>
              <w:rPr>
                <w:sz w:val="20"/>
                <w:szCs w:val="20"/>
              </w:rPr>
            </w:pPr>
            <w:r>
              <w:rPr>
                <w:rFonts w:ascii="Arial" w:eastAsia="Arial" w:hAnsi="Arial" w:cs="Arial"/>
                <w:sz w:val="13"/>
                <w:szCs w:val="13"/>
              </w:rPr>
              <w:t>—</w:t>
            </w:r>
          </w:p>
        </w:tc>
        <w:tc>
          <w:tcPr>
            <w:tcW w:w="1320" w:type="dxa"/>
            <w:vAlign w:val="bottom"/>
          </w:tcPr>
          <w:p w:rsidR="00A621E3" w:rsidRDefault="00EC630E">
            <w:pPr>
              <w:ind w:right="111"/>
              <w:jc w:val="right"/>
              <w:rPr>
                <w:sz w:val="20"/>
                <w:szCs w:val="20"/>
              </w:rPr>
            </w:pPr>
            <w:r>
              <w:rPr>
                <w:rFonts w:ascii="Arial" w:eastAsia="Arial" w:hAnsi="Arial" w:cs="Arial"/>
                <w:sz w:val="13"/>
                <w:szCs w:val="13"/>
              </w:rPr>
              <w:t>2,243,769</w:t>
            </w:r>
          </w:p>
        </w:tc>
        <w:tc>
          <w:tcPr>
            <w:tcW w:w="0" w:type="dxa"/>
            <w:vAlign w:val="bottom"/>
          </w:tcPr>
          <w:p w:rsidR="00A621E3" w:rsidRDefault="00A621E3">
            <w:pPr>
              <w:rPr>
                <w:sz w:val="1"/>
                <w:szCs w:val="1"/>
              </w:rPr>
            </w:pPr>
          </w:p>
        </w:tc>
      </w:tr>
      <w:tr w:rsidR="00A621E3">
        <w:trPr>
          <w:trHeight w:val="175"/>
        </w:trPr>
        <w:tc>
          <w:tcPr>
            <w:tcW w:w="980" w:type="dxa"/>
            <w:tcBorders>
              <w:bottom w:val="single" w:sz="8" w:space="0" w:color="CF0A2C"/>
            </w:tcBorders>
            <w:vAlign w:val="bottom"/>
          </w:tcPr>
          <w:p w:rsidR="00A621E3" w:rsidRDefault="00EC630E">
            <w:pPr>
              <w:rPr>
                <w:sz w:val="20"/>
                <w:szCs w:val="20"/>
              </w:rPr>
            </w:pPr>
            <w:r>
              <w:rPr>
                <w:rFonts w:ascii="Arial" w:eastAsia="Arial" w:hAnsi="Arial" w:cs="Arial"/>
                <w:b/>
                <w:bCs/>
                <w:color w:val="CF0A2C"/>
                <w:sz w:val="14"/>
                <w:szCs w:val="14"/>
              </w:rPr>
              <w:t>2020</w:t>
            </w:r>
          </w:p>
        </w:tc>
        <w:tc>
          <w:tcPr>
            <w:tcW w:w="1820" w:type="dxa"/>
            <w:tcBorders>
              <w:bottom w:val="single" w:sz="8" w:space="0" w:color="CF0A2C"/>
            </w:tcBorders>
            <w:vAlign w:val="bottom"/>
          </w:tcPr>
          <w:p w:rsidR="00A621E3" w:rsidRDefault="00EC630E">
            <w:pPr>
              <w:ind w:right="90"/>
              <w:jc w:val="right"/>
              <w:rPr>
                <w:sz w:val="20"/>
                <w:szCs w:val="20"/>
              </w:rPr>
            </w:pPr>
            <w:r>
              <w:rPr>
                <w:rFonts w:ascii="Arial" w:eastAsia="Arial" w:hAnsi="Arial" w:cs="Arial"/>
                <w:sz w:val="13"/>
                <w:szCs w:val="13"/>
              </w:rPr>
              <w:t>4,236,753</w:t>
            </w:r>
          </w:p>
        </w:tc>
        <w:tc>
          <w:tcPr>
            <w:tcW w:w="980" w:type="dxa"/>
            <w:tcBorders>
              <w:bottom w:val="single" w:sz="8" w:space="0" w:color="CF0A2C"/>
            </w:tcBorders>
            <w:vAlign w:val="bottom"/>
          </w:tcPr>
          <w:p w:rsidR="00A621E3" w:rsidRDefault="00EC630E">
            <w:pPr>
              <w:ind w:right="70"/>
              <w:jc w:val="right"/>
              <w:rPr>
                <w:sz w:val="20"/>
                <w:szCs w:val="20"/>
              </w:rPr>
            </w:pPr>
            <w:r>
              <w:rPr>
                <w:rFonts w:ascii="Arial" w:eastAsia="Arial" w:hAnsi="Arial" w:cs="Arial"/>
                <w:sz w:val="13"/>
                <w:szCs w:val="13"/>
              </w:rPr>
              <w:t>2,750,073</w:t>
            </w:r>
          </w:p>
        </w:tc>
        <w:tc>
          <w:tcPr>
            <w:tcW w:w="114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4,376,554</w:t>
            </w:r>
          </w:p>
        </w:tc>
        <w:tc>
          <w:tcPr>
            <w:tcW w:w="1240" w:type="dxa"/>
            <w:tcBorders>
              <w:bottom w:val="single" w:sz="8" w:space="0" w:color="CF0A2C"/>
            </w:tcBorders>
            <w:vAlign w:val="bottom"/>
          </w:tcPr>
          <w:p w:rsidR="00A621E3" w:rsidRDefault="00EC630E">
            <w:pPr>
              <w:ind w:right="89"/>
              <w:jc w:val="right"/>
              <w:rPr>
                <w:sz w:val="20"/>
                <w:szCs w:val="20"/>
              </w:rPr>
            </w:pPr>
            <w:r>
              <w:rPr>
                <w:rFonts w:ascii="Arial" w:eastAsia="Arial" w:hAnsi="Arial" w:cs="Arial"/>
                <w:sz w:val="13"/>
                <w:szCs w:val="13"/>
              </w:rPr>
              <w:t>366,674</w:t>
            </w:r>
          </w:p>
        </w:tc>
        <w:tc>
          <w:tcPr>
            <w:tcW w:w="1300" w:type="dxa"/>
            <w:tcBorders>
              <w:bottom w:val="single" w:sz="8" w:space="0" w:color="CF0A2C"/>
            </w:tcBorders>
            <w:vAlign w:val="bottom"/>
          </w:tcPr>
          <w:p w:rsidR="00A621E3" w:rsidRDefault="00EC630E">
            <w:pPr>
              <w:ind w:left="1040"/>
              <w:rPr>
                <w:sz w:val="20"/>
                <w:szCs w:val="20"/>
              </w:rPr>
            </w:pPr>
            <w:r>
              <w:rPr>
                <w:rFonts w:ascii="Arial" w:eastAsia="Arial" w:hAnsi="Arial" w:cs="Arial"/>
                <w:sz w:val="13"/>
                <w:szCs w:val="13"/>
              </w:rPr>
              <w:t>—</w:t>
            </w:r>
          </w:p>
        </w:tc>
        <w:tc>
          <w:tcPr>
            <w:tcW w:w="1220" w:type="dxa"/>
            <w:tcBorders>
              <w:bottom w:val="single" w:sz="8" w:space="0" w:color="CF0A2C"/>
            </w:tcBorders>
            <w:vAlign w:val="bottom"/>
          </w:tcPr>
          <w:p w:rsidR="00A621E3" w:rsidRDefault="00EC630E">
            <w:pPr>
              <w:ind w:right="49"/>
              <w:jc w:val="right"/>
              <w:rPr>
                <w:sz w:val="20"/>
                <w:szCs w:val="20"/>
              </w:rPr>
            </w:pPr>
            <w:r>
              <w:rPr>
                <w:rFonts w:ascii="Arial" w:eastAsia="Arial" w:hAnsi="Arial" w:cs="Arial"/>
                <w:sz w:val="13"/>
                <w:szCs w:val="13"/>
              </w:rPr>
              <w:t>(32,144)</w:t>
            </w:r>
          </w:p>
        </w:tc>
        <w:tc>
          <w:tcPr>
            <w:tcW w:w="1020" w:type="dxa"/>
            <w:tcBorders>
              <w:bottom w:val="single" w:sz="8" w:space="0" w:color="CF0A2C"/>
            </w:tcBorders>
            <w:vAlign w:val="bottom"/>
          </w:tcPr>
          <w:p w:rsidR="00A621E3" w:rsidRDefault="00EC630E">
            <w:pPr>
              <w:ind w:left="740"/>
              <w:rPr>
                <w:sz w:val="20"/>
                <w:szCs w:val="20"/>
              </w:rPr>
            </w:pPr>
            <w:r>
              <w:rPr>
                <w:rFonts w:ascii="Arial" w:eastAsia="Arial" w:hAnsi="Arial" w:cs="Arial"/>
                <w:sz w:val="13"/>
                <w:szCs w:val="13"/>
              </w:rPr>
              <w:t>—</w:t>
            </w:r>
          </w:p>
        </w:tc>
        <w:tc>
          <w:tcPr>
            <w:tcW w:w="1320" w:type="dxa"/>
            <w:tcBorders>
              <w:bottom w:val="single" w:sz="8" w:space="0" w:color="CF0A2C"/>
            </w:tcBorders>
            <w:vAlign w:val="bottom"/>
          </w:tcPr>
          <w:p w:rsidR="00A621E3" w:rsidRDefault="00EC630E">
            <w:pPr>
              <w:ind w:right="111"/>
              <w:jc w:val="right"/>
              <w:rPr>
                <w:sz w:val="20"/>
                <w:szCs w:val="20"/>
              </w:rPr>
            </w:pPr>
            <w:r>
              <w:rPr>
                <w:rFonts w:ascii="Arial" w:eastAsia="Arial" w:hAnsi="Arial" w:cs="Arial"/>
                <w:sz w:val="13"/>
                <w:szCs w:val="13"/>
              </w:rPr>
              <w:t>6,197,764</w:t>
            </w:r>
          </w:p>
        </w:tc>
        <w:tc>
          <w:tcPr>
            <w:tcW w:w="0" w:type="dxa"/>
            <w:vAlign w:val="bottom"/>
          </w:tcPr>
          <w:p w:rsidR="00A621E3" w:rsidRDefault="00A621E3">
            <w:pPr>
              <w:rPr>
                <w:sz w:val="1"/>
                <w:szCs w:val="1"/>
              </w:rPr>
            </w:pPr>
          </w:p>
        </w:tc>
      </w:tr>
    </w:tbl>
    <w:p w:rsidR="00A621E3" w:rsidRDefault="00A621E3">
      <w:pPr>
        <w:spacing w:line="280" w:lineRule="exact"/>
        <w:rPr>
          <w:sz w:val="20"/>
          <w:szCs w:val="20"/>
        </w:rPr>
      </w:pPr>
    </w:p>
    <w:p w:rsidR="00A621E3" w:rsidRDefault="00EC630E">
      <w:pPr>
        <w:numPr>
          <w:ilvl w:val="0"/>
          <w:numId w:val="123"/>
        </w:numPr>
        <w:tabs>
          <w:tab w:val="left" w:pos="760"/>
        </w:tabs>
        <w:spacing w:line="260" w:lineRule="auto"/>
        <w:ind w:left="760" w:right="20" w:hanging="644"/>
        <w:rPr>
          <w:rFonts w:ascii="Arial" w:eastAsia="Arial" w:hAnsi="Arial" w:cs="Arial"/>
          <w:color w:val="CF0A2C"/>
          <w:sz w:val="20"/>
          <w:szCs w:val="20"/>
        </w:rPr>
      </w:pPr>
      <w:r>
        <w:rPr>
          <w:rFonts w:ascii="Arial" w:eastAsia="Arial" w:hAnsi="Arial" w:cs="Arial"/>
          <w:sz w:val="20"/>
          <w:szCs w:val="20"/>
        </w:rPr>
        <w:t xml:space="preserve">This table excludes any YUM shares received by the NEOs upon conversion of </w:t>
      </w:r>
      <w:r>
        <w:rPr>
          <w:rFonts w:ascii="Arial" w:eastAsia="Arial" w:hAnsi="Arial" w:cs="Arial"/>
          <w:sz w:val="20"/>
          <w:szCs w:val="20"/>
        </w:rPr>
        <w:t>their outstanding YUM equity awards in connection with the spin-off.</w:t>
      </w:r>
    </w:p>
    <w:p w:rsidR="00A621E3" w:rsidRDefault="00A621E3">
      <w:pPr>
        <w:spacing w:line="257" w:lineRule="exact"/>
        <w:rPr>
          <w:rFonts w:ascii="Arial" w:eastAsia="Arial" w:hAnsi="Arial" w:cs="Arial"/>
          <w:color w:val="CF0A2C"/>
          <w:sz w:val="20"/>
          <w:szCs w:val="20"/>
        </w:rPr>
      </w:pPr>
    </w:p>
    <w:p w:rsidR="00A621E3" w:rsidRDefault="00EC630E">
      <w:pPr>
        <w:numPr>
          <w:ilvl w:val="0"/>
          <w:numId w:val="123"/>
        </w:numPr>
        <w:tabs>
          <w:tab w:val="left" w:pos="760"/>
        </w:tabs>
        <w:spacing w:line="260" w:lineRule="auto"/>
        <w:ind w:left="760" w:right="20" w:hanging="644"/>
        <w:rPr>
          <w:rFonts w:ascii="Arial" w:eastAsia="Arial" w:hAnsi="Arial" w:cs="Arial"/>
          <w:color w:val="CF0A2C"/>
          <w:sz w:val="20"/>
          <w:szCs w:val="20"/>
        </w:rPr>
      </w:pPr>
      <w:r>
        <w:rPr>
          <w:rFonts w:ascii="Arial" w:eastAsia="Arial" w:hAnsi="Arial" w:cs="Arial"/>
          <w:sz w:val="20"/>
          <w:szCs w:val="20"/>
        </w:rPr>
        <w:t>Represents Total Compensation as reported in the Summary Compensation Table for the indicated fiscal year. With respect to the other NEOs, amounts shown represent averages.</w:t>
      </w:r>
    </w:p>
    <w:p w:rsidR="00A621E3" w:rsidRDefault="00A621E3">
      <w:pPr>
        <w:spacing w:line="257" w:lineRule="exact"/>
        <w:rPr>
          <w:rFonts w:ascii="Arial" w:eastAsia="Arial" w:hAnsi="Arial" w:cs="Arial"/>
          <w:color w:val="CF0A2C"/>
          <w:sz w:val="20"/>
          <w:szCs w:val="20"/>
        </w:rPr>
      </w:pPr>
    </w:p>
    <w:p w:rsidR="00A621E3" w:rsidRDefault="00EC630E">
      <w:pPr>
        <w:numPr>
          <w:ilvl w:val="0"/>
          <w:numId w:val="123"/>
        </w:numPr>
        <w:tabs>
          <w:tab w:val="left" w:pos="760"/>
        </w:tabs>
        <w:spacing w:line="263" w:lineRule="auto"/>
        <w:ind w:left="760" w:right="20" w:hanging="644"/>
        <w:jc w:val="both"/>
        <w:rPr>
          <w:rFonts w:ascii="Arial" w:eastAsia="Arial" w:hAnsi="Arial" w:cs="Arial"/>
          <w:color w:val="CF0A2C"/>
          <w:sz w:val="19"/>
          <w:szCs w:val="19"/>
        </w:rPr>
      </w:pPr>
      <w:r>
        <w:rPr>
          <w:rFonts w:ascii="Arial" w:eastAsia="Arial" w:hAnsi="Arial" w:cs="Arial"/>
          <w:sz w:val="19"/>
          <w:szCs w:val="19"/>
        </w:rPr>
        <w:t>Represents t</w:t>
      </w:r>
      <w:r>
        <w:rPr>
          <w:rFonts w:ascii="Arial" w:eastAsia="Arial" w:hAnsi="Arial" w:cs="Arial"/>
          <w:sz w:val="19"/>
          <w:szCs w:val="19"/>
        </w:rPr>
        <w:t>he grant date fair value of the stock option/SAR awards and stock awards granted during the indicated fiscal year, computed in accordance with ASC 718. See Note 15 to the Company’s Audited Financial Statements for further discussion of the relevant assumpt</w:t>
      </w:r>
      <w:r>
        <w:rPr>
          <w:rFonts w:ascii="Arial" w:eastAsia="Arial" w:hAnsi="Arial" w:cs="Arial"/>
          <w:sz w:val="19"/>
          <w:szCs w:val="19"/>
        </w:rPr>
        <w:t>ions used in calculating these amounts. For 2022, the amount also includes the fair value of the 2020 Annual PSUs as of the date of its modifications by the Compensation Committee in December 2022.</w:t>
      </w:r>
    </w:p>
    <w:p w:rsidR="00A621E3" w:rsidRDefault="00A621E3">
      <w:pPr>
        <w:spacing w:line="257" w:lineRule="exact"/>
        <w:rPr>
          <w:rFonts w:ascii="Arial" w:eastAsia="Arial" w:hAnsi="Arial" w:cs="Arial"/>
          <w:color w:val="CF0A2C"/>
          <w:sz w:val="19"/>
          <w:szCs w:val="19"/>
        </w:rPr>
      </w:pPr>
    </w:p>
    <w:p w:rsidR="00A621E3" w:rsidRDefault="00EC630E">
      <w:pPr>
        <w:numPr>
          <w:ilvl w:val="0"/>
          <w:numId w:val="123"/>
        </w:numPr>
        <w:tabs>
          <w:tab w:val="left" w:pos="760"/>
        </w:tabs>
        <w:spacing w:line="243" w:lineRule="auto"/>
        <w:ind w:left="760" w:hanging="644"/>
        <w:jc w:val="both"/>
        <w:rPr>
          <w:rFonts w:ascii="Arial" w:eastAsia="Arial" w:hAnsi="Arial" w:cs="Arial"/>
          <w:color w:val="CF0A2C"/>
          <w:sz w:val="20"/>
          <w:szCs w:val="20"/>
        </w:rPr>
      </w:pPr>
      <w:r>
        <w:rPr>
          <w:rFonts w:ascii="Arial" w:eastAsia="Arial" w:hAnsi="Arial" w:cs="Arial"/>
          <w:sz w:val="20"/>
          <w:szCs w:val="20"/>
        </w:rPr>
        <w:t>Represents the fair value as of the indicated fiscal year</w:t>
      </w:r>
      <w:r>
        <w:rPr>
          <w:rFonts w:ascii="Arial" w:eastAsia="Arial" w:hAnsi="Arial" w:cs="Arial"/>
          <w:sz w:val="20"/>
          <w:szCs w:val="20"/>
        </w:rPr>
        <w:t>-end of the outstanding and unvested stock option/SAR awards and stock awards granted during such fiscal year, computed in accordance with ASC 718 and, for awards subject to performance-based vesting conditions, based on the probable outcome of such perfor</w:t>
      </w:r>
      <w:r>
        <w:rPr>
          <w:rFonts w:ascii="Arial" w:eastAsia="Arial" w:hAnsi="Arial" w:cs="Arial"/>
          <w:sz w:val="20"/>
          <w:szCs w:val="20"/>
        </w:rPr>
        <w:t xml:space="preserve">mance-based vesting conditions as of the last day of the fiscal year. Methodology adopted in calculating the fair value as of the indicated fiscal year-end is consistent with those used in calculating the grant date fair value and the relevant assumptions </w:t>
      </w:r>
      <w:r>
        <w:rPr>
          <w:rFonts w:ascii="Arial" w:eastAsia="Arial" w:hAnsi="Arial" w:cs="Arial"/>
          <w:sz w:val="20"/>
          <w:szCs w:val="20"/>
        </w:rPr>
        <w:t>reflect the Company’s estimates based on historical data existing on each valuation date.</w:t>
      </w:r>
    </w:p>
    <w:p w:rsidR="00A621E3" w:rsidRDefault="00A621E3">
      <w:pPr>
        <w:spacing w:line="276" w:lineRule="exact"/>
        <w:rPr>
          <w:rFonts w:ascii="Arial" w:eastAsia="Arial" w:hAnsi="Arial" w:cs="Arial"/>
          <w:color w:val="CF0A2C"/>
          <w:sz w:val="20"/>
          <w:szCs w:val="20"/>
        </w:rPr>
      </w:pPr>
    </w:p>
    <w:p w:rsidR="00A621E3" w:rsidRDefault="00EC630E">
      <w:pPr>
        <w:numPr>
          <w:ilvl w:val="0"/>
          <w:numId w:val="123"/>
        </w:numPr>
        <w:tabs>
          <w:tab w:val="left" w:pos="760"/>
        </w:tabs>
        <w:spacing w:line="276" w:lineRule="auto"/>
        <w:ind w:left="760" w:hanging="644"/>
        <w:jc w:val="both"/>
        <w:rPr>
          <w:rFonts w:ascii="Arial" w:eastAsia="Arial" w:hAnsi="Arial" w:cs="Arial"/>
          <w:color w:val="CF0A2C"/>
          <w:sz w:val="18"/>
          <w:szCs w:val="18"/>
        </w:rPr>
      </w:pPr>
      <w:r>
        <w:rPr>
          <w:rFonts w:ascii="Arial" w:eastAsia="Arial" w:hAnsi="Arial" w:cs="Arial"/>
          <w:sz w:val="18"/>
          <w:szCs w:val="18"/>
        </w:rPr>
        <w:t xml:space="preserve">Represents the change in fair value during the indicated fiscal year of each stock option/SAR award and stock award that was granted in prior fiscal years and that </w:t>
      </w:r>
      <w:r>
        <w:rPr>
          <w:rFonts w:ascii="Arial" w:eastAsia="Arial" w:hAnsi="Arial" w:cs="Arial"/>
          <w:sz w:val="18"/>
          <w:szCs w:val="18"/>
        </w:rPr>
        <w:t>remained outstanding and unvested as of the last day of the indicated fiscal year, computed in accordance with ASC 718 and, for awards subject to performance-based vesting conditions, based on the probable outcome of such performance-based vesting conditio</w:t>
      </w:r>
      <w:r>
        <w:rPr>
          <w:rFonts w:ascii="Arial" w:eastAsia="Arial" w:hAnsi="Arial" w:cs="Arial"/>
          <w:sz w:val="18"/>
          <w:szCs w:val="18"/>
        </w:rPr>
        <w:t>ns as of the last day of the fiscal year. Methodology adopted in calculating the fair value as of the indicated fiscal year-end is consistent with those used in calculating the grant date fair value and the relevant assumptions reflect the Company’s estima</w:t>
      </w:r>
      <w:r>
        <w:rPr>
          <w:rFonts w:ascii="Arial" w:eastAsia="Arial" w:hAnsi="Arial" w:cs="Arial"/>
          <w:sz w:val="18"/>
          <w:szCs w:val="18"/>
        </w:rPr>
        <w:t>tes based on historical data existing on each valuation date.</w:t>
      </w:r>
    </w:p>
    <w:p w:rsidR="00A621E3" w:rsidRDefault="00A621E3">
      <w:pPr>
        <w:spacing w:line="105" w:lineRule="exact"/>
        <w:rPr>
          <w:sz w:val="20"/>
          <w:szCs w:val="20"/>
        </w:rPr>
      </w:pPr>
    </w:p>
    <w:p w:rsidR="00A621E3" w:rsidRDefault="00EC630E">
      <w:pPr>
        <w:numPr>
          <w:ilvl w:val="0"/>
          <w:numId w:val="124"/>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2028928"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96" w:name="page96"/>
      <w:bookmarkEnd w:id="96"/>
      <w:r>
        <w:rPr>
          <w:rFonts w:ascii="Arial" w:eastAsia="Arial" w:hAnsi="Arial" w:cs="Arial"/>
          <w:b/>
          <w:bCs/>
          <w:noProof/>
          <w:color w:val="0000EE"/>
          <w:sz w:val="18"/>
          <w:szCs w:val="18"/>
          <w:u w:val="single"/>
        </w:rPr>
        <w:drawing>
          <wp:anchor distT="0" distB="0" distL="114300" distR="114300" simplePos="0" relativeHeight="252029952" behindDoc="1" locked="0" layoutInCell="0" allowOverlap="1">
            <wp:simplePos x="0" y="0"/>
            <wp:positionH relativeFrom="page">
              <wp:posOffset>195580</wp:posOffset>
            </wp:positionH>
            <wp:positionV relativeFrom="page">
              <wp:posOffset>88900</wp:posOffset>
            </wp:positionV>
            <wp:extent cx="7174865" cy="55880"/>
            <wp:effectExtent l="0" t="0" r="0" b="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8">
                      <a:extLst/>
                    </a:blip>
                    <a:srcRect/>
                    <a:stretch>
                      <a:fillRect/>
                    </a:stretch>
                  </pic:blipFill>
                  <pic:spPr bwMode="auto">
                    <a:xfrm>
                      <a:off x="0" y="0"/>
                      <a:ext cx="7174865" cy="55880"/>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30976"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680"/>
        <w:rPr>
          <w:sz w:val="20"/>
          <w:szCs w:val="20"/>
        </w:rPr>
      </w:pPr>
      <w:r>
        <w:rPr>
          <w:rFonts w:ascii="Arial" w:eastAsia="Arial" w:hAnsi="Arial" w:cs="Arial"/>
          <w:b/>
          <w:bCs/>
          <w:color w:val="FFFFFF"/>
          <w:sz w:val="16"/>
          <w:szCs w:val="16"/>
        </w:rPr>
        <w:t>EXECUTIVE COMPENSATION</w:t>
      </w:r>
    </w:p>
    <w:p w:rsidR="00A621E3" w:rsidRDefault="00A621E3">
      <w:pPr>
        <w:spacing w:line="209" w:lineRule="exact"/>
        <w:rPr>
          <w:sz w:val="20"/>
          <w:szCs w:val="20"/>
        </w:rPr>
      </w:pPr>
    </w:p>
    <w:p w:rsidR="00A621E3" w:rsidRDefault="00EC630E">
      <w:pPr>
        <w:numPr>
          <w:ilvl w:val="0"/>
          <w:numId w:val="125"/>
        </w:numPr>
        <w:tabs>
          <w:tab w:val="left" w:pos="760"/>
        </w:tabs>
        <w:spacing w:line="250" w:lineRule="auto"/>
        <w:ind w:left="760" w:hanging="644"/>
        <w:jc w:val="both"/>
        <w:rPr>
          <w:rFonts w:ascii="Arial" w:eastAsia="Arial" w:hAnsi="Arial" w:cs="Arial"/>
          <w:color w:val="CF0A2C"/>
          <w:sz w:val="20"/>
          <w:szCs w:val="20"/>
        </w:rPr>
      </w:pPr>
      <w:r>
        <w:rPr>
          <w:rFonts w:ascii="Arial" w:eastAsia="Arial" w:hAnsi="Arial" w:cs="Arial"/>
          <w:sz w:val="20"/>
          <w:szCs w:val="20"/>
        </w:rPr>
        <w:t xml:space="preserve">Represents the fair value at vesting of the stock option/SAR awards and stock awards that </w:t>
      </w:r>
      <w:r>
        <w:rPr>
          <w:rFonts w:ascii="Arial" w:eastAsia="Arial" w:hAnsi="Arial" w:cs="Arial"/>
          <w:sz w:val="20"/>
          <w:szCs w:val="20"/>
        </w:rPr>
        <w:t>were granted and vested during the indicated fiscal year, computed in accordance with ASC 718. See Note 15 to the Company’s Audited Financial Statements for further discussion of the relevant assumptions used in calculating these amounts.</w:t>
      </w:r>
    </w:p>
    <w:p w:rsidR="00A621E3" w:rsidRDefault="00A621E3">
      <w:pPr>
        <w:spacing w:line="266" w:lineRule="exact"/>
        <w:rPr>
          <w:rFonts w:ascii="Arial" w:eastAsia="Arial" w:hAnsi="Arial" w:cs="Arial"/>
          <w:color w:val="CF0A2C"/>
          <w:sz w:val="20"/>
          <w:szCs w:val="20"/>
        </w:rPr>
      </w:pPr>
    </w:p>
    <w:p w:rsidR="00A621E3" w:rsidRDefault="00EC630E">
      <w:pPr>
        <w:numPr>
          <w:ilvl w:val="0"/>
          <w:numId w:val="125"/>
        </w:numPr>
        <w:tabs>
          <w:tab w:val="left" w:pos="760"/>
        </w:tabs>
        <w:spacing w:line="246" w:lineRule="auto"/>
        <w:ind w:left="760" w:hanging="644"/>
        <w:jc w:val="both"/>
        <w:rPr>
          <w:rFonts w:ascii="Arial" w:eastAsia="Arial" w:hAnsi="Arial" w:cs="Arial"/>
          <w:color w:val="CF0A2C"/>
          <w:sz w:val="20"/>
          <w:szCs w:val="20"/>
        </w:rPr>
      </w:pPr>
      <w:r>
        <w:rPr>
          <w:rFonts w:ascii="Arial" w:eastAsia="Arial" w:hAnsi="Arial" w:cs="Arial"/>
          <w:sz w:val="20"/>
          <w:szCs w:val="20"/>
        </w:rPr>
        <w:t>Represents the c</w:t>
      </w:r>
      <w:r>
        <w:rPr>
          <w:rFonts w:ascii="Arial" w:eastAsia="Arial" w:hAnsi="Arial" w:cs="Arial"/>
          <w:sz w:val="20"/>
          <w:szCs w:val="20"/>
        </w:rPr>
        <w:t xml:space="preserve">hange in fair value, measured from the prior fiscal year-end to the vesting date, of each stock option/SAR award and stock award that was granted in prior fiscal years and which vested during the indicated fiscal year, computed in accordance with ASC 718. </w:t>
      </w:r>
      <w:r>
        <w:rPr>
          <w:rFonts w:ascii="Arial" w:eastAsia="Arial" w:hAnsi="Arial" w:cs="Arial"/>
          <w:sz w:val="20"/>
          <w:szCs w:val="20"/>
        </w:rPr>
        <w:t>For 2022, the amount also includes the fair value of the 2020 Annual PSUs as of the date of its modifications by the Compensation Committee in December 2022.</w:t>
      </w:r>
    </w:p>
    <w:p w:rsidR="00A621E3" w:rsidRDefault="00A621E3">
      <w:pPr>
        <w:spacing w:line="272" w:lineRule="exact"/>
        <w:rPr>
          <w:rFonts w:ascii="Arial" w:eastAsia="Arial" w:hAnsi="Arial" w:cs="Arial"/>
          <w:color w:val="CF0A2C"/>
          <w:sz w:val="20"/>
          <w:szCs w:val="20"/>
        </w:rPr>
      </w:pPr>
    </w:p>
    <w:p w:rsidR="00A621E3" w:rsidRDefault="00EC630E">
      <w:pPr>
        <w:numPr>
          <w:ilvl w:val="0"/>
          <w:numId w:val="125"/>
        </w:numPr>
        <w:tabs>
          <w:tab w:val="left" w:pos="760"/>
        </w:tabs>
        <w:spacing w:line="250" w:lineRule="auto"/>
        <w:ind w:left="760" w:hanging="644"/>
        <w:jc w:val="both"/>
        <w:rPr>
          <w:rFonts w:ascii="Arial" w:eastAsia="Arial" w:hAnsi="Arial" w:cs="Arial"/>
          <w:color w:val="CF0A2C"/>
          <w:sz w:val="20"/>
          <w:szCs w:val="20"/>
        </w:rPr>
      </w:pPr>
      <w:r>
        <w:rPr>
          <w:rFonts w:ascii="Arial" w:eastAsia="Arial" w:hAnsi="Arial" w:cs="Arial"/>
          <w:sz w:val="20"/>
          <w:szCs w:val="20"/>
        </w:rPr>
        <w:t xml:space="preserve">Represents the fair value as of the last day of the prior fiscal year of the stock option/SAR </w:t>
      </w:r>
      <w:r>
        <w:rPr>
          <w:rFonts w:ascii="Arial" w:eastAsia="Arial" w:hAnsi="Arial" w:cs="Arial"/>
          <w:sz w:val="20"/>
          <w:szCs w:val="20"/>
        </w:rPr>
        <w:t>awards and stock awards that were granted in prior fiscal years which failed to meet the applicable vesting conditions in the indicated fiscal year, computed in accordance with ASC 718.</w:t>
      </w:r>
    </w:p>
    <w:p w:rsidR="00A621E3" w:rsidRDefault="00A621E3">
      <w:pPr>
        <w:spacing w:line="266" w:lineRule="exact"/>
        <w:rPr>
          <w:rFonts w:ascii="Arial" w:eastAsia="Arial" w:hAnsi="Arial" w:cs="Arial"/>
          <w:color w:val="CF0A2C"/>
          <w:sz w:val="20"/>
          <w:szCs w:val="20"/>
        </w:rPr>
      </w:pPr>
    </w:p>
    <w:p w:rsidR="00A621E3" w:rsidRDefault="00EC630E">
      <w:pPr>
        <w:numPr>
          <w:ilvl w:val="0"/>
          <w:numId w:val="125"/>
        </w:numPr>
        <w:tabs>
          <w:tab w:val="left" w:pos="760"/>
        </w:tabs>
        <w:ind w:left="760" w:hanging="644"/>
        <w:rPr>
          <w:rFonts w:ascii="Arial" w:eastAsia="Arial" w:hAnsi="Arial" w:cs="Arial"/>
          <w:color w:val="CF0A2C"/>
          <w:sz w:val="20"/>
          <w:szCs w:val="20"/>
        </w:rPr>
      </w:pPr>
      <w:r>
        <w:rPr>
          <w:rFonts w:ascii="Arial" w:eastAsia="Arial" w:hAnsi="Arial" w:cs="Arial"/>
          <w:sz w:val="20"/>
          <w:szCs w:val="20"/>
        </w:rPr>
        <w:t>See footnote 1 above for the non-PEO NEOs included in the average for</w:t>
      </w:r>
      <w:r>
        <w:rPr>
          <w:rFonts w:ascii="Arial" w:eastAsia="Arial" w:hAnsi="Arial" w:cs="Arial"/>
          <w:sz w:val="20"/>
          <w:szCs w:val="20"/>
        </w:rPr>
        <w:t xml:space="preserve"> each fiscal year.</w:t>
      </w:r>
    </w:p>
    <w:p w:rsidR="00A621E3" w:rsidRDefault="00A621E3">
      <w:pPr>
        <w:spacing w:line="256" w:lineRule="exact"/>
        <w:rPr>
          <w:sz w:val="20"/>
          <w:szCs w:val="20"/>
        </w:rPr>
      </w:pPr>
    </w:p>
    <w:p w:rsidR="00A621E3" w:rsidRDefault="00EC630E">
      <w:pPr>
        <w:ind w:left="120"/>
        <w:rPr>
          <w:sz w:val="20"/>
          <w:szCs w:val="20"/>
        </w:rPr>
      </w:pPr>
      <w:r>
        <w:rPr>
          <w:rFonts w:ascii="Arial" w:eastAsia="Arial" w:hAnsi="Arial" w:cs="Arial"/>
          <w:i/>
          <w:iCs/>
          <w:color w:val="CF0A2C"/>
          <w:sz w:val="20"/>
          <w:szCs w:val="20"/>
        </w:rPr>
        <w:t>Relationship Between Pay and Performance</w:t>
      </w:r>
    </w:p>
    <w:p w:rsidR="00A621E3" w:rsidRDefault="00A621E3">
      <w:pPr>
        <w:spacing w:line="256" w:lineRule="exact"/>
        <w:rPr>
          <w:sz w:val="20"/>
          <w:szCs w:val="20"/>
        </w:rPr>
      </w:pPr>
    </w:p>
    <w:p w:rsidR="00A621E3" w:rsidRDefault="00EC630E">
      <w:pPr>
        <w:spacing w:line="259" w:lineRule="auto"/>
        <w:ind w:left="120"/>
        <w:jc w:val="both"/>
        <w:rPr>
          <w:sz w:val="20"/>
          <w:szCs w:val="20"/>
        </w:rPr>
      </w:pPr>
      <w:r>
        <w:rPr>
          <w:rFonts w:ascii="Arial" w:eastAsia="Arial" w:hAnsi="Arial" w:cs="Arial"/>
          <w:sz w:val="19"/>
          <w:szCs w:val="19"/>
        </w:rPr>
        <w:t>As described in more detail in the section “Executive Compensation – Compensation Discussion and Analysis,” the Company’s executive compensation program reflects a variable pay-for-performance p</w:t>
      </w:r>
      <w:r>
        <w:rPr>
          <w:rFonts w:ascii="Arial" w:eastAsia="Arial" w:hAnsi="Arial" w:cs="Arial"/>
          <w:sz w:val="19"/>
          <w:szCs w:val="19"/>
        </w:rPr>
        <w:t>hilosophy. A significant portion of the Company’s executive compensation program consists of equity awards, including PSUs, SARs and RSUs. The fair value of equity awards, in particular the PSUs, as of the grant date and each fiscal year-end is heavily imp</w:t>
      </w:r>
      <w:r>
        <w:rPr>
          <w:rFonts w:ascii="Arial" w:eastAsia="Arial" w:hAnsi="Arial" w:cs="Arial"/>
          <w:sz w:val="19"/>
          <w:szCs w:val="19"/>
        </w:rPr>
        <w:t xml:space="preserve">acted by the Company’s stock price as of the same date, thereby impacting the compensation actually paid as reported. In addition, the Company granted the 2020 Partner PSU Awards, a special PSU award, resulting in a higher Summary Compensation Table total </w:t>
      </w:r>
      <w:r>
        <w:rPr>
          <w:rFonts w:ascii="Arial" w:eastAsia="Arial" w:hAnsi="Arial" w:cs="Arial"/>
          <w:sz w:val="19"/>
          <w:szCs w:val="19"/>
        </w:rPr>
        <w:t>amount reported in 2020.</w:t>
      </w:r>
    </w:p>
    <w:p w:rsidR="00A621E3" w:rsidRDefault="00A621E3">
      <w:pPr>
        <w:spacing w:line="259" w:lineRule="exact"/>
        <w:rPr>
          <w:sz w:val="20"/>
          <w:szCs w:val="20"/>
        </w:rPr>
      </w:pPr>
    </w:p>
    <w:p w:rsidR="00A621E3" w:rsidRDefault="00EC630E">
      <w:pPr>
        <w:numPr>
          <w:ilvl w:val="0"/>
          <w:numId w:val="126"/>
        </w:numPr>
        <w:tabs>
          <w:tab w:val="left" w:pos="340"/>
        </w:tabs>
        <w:spacing w:line="260" w:lineRule="auto"/>
        <w:ind w:left="340" w:right="20" w:hanging="224"/>
        <w:rPr>
          <w:rFonts w:ascii="Arial" w:eastAsia="Arial" w:hAnsi="Arial" w:cs="Arial"/>
          <w:color w:val="CF0A2C"/>
          <w:sz w:val="20"/>
          <w:szCs w:val="20"/>
        </w:rPr>
      </w:pPr>
      <w:r>
        <w:rPr>
          <w:rFonts w:ascii="Arial" w:eastAsia="Arial" w:hAnsi="Arial" w:cs="Arial"/>
          <w:sz w:val="20"/>
          <w:szCs w:val="20"/>
        </w:rPr>
        <w:t>The following graph demonstrates the relationship between compensation actually paid over the period to the PEO and other NEOs, and each of the Company cumulative TSR and Peer Group cumulative TSR.</w:t>
      </w:r>
    </w:p>
    <w:p w:rsidR="00A621E3" w:rsidRDefault="00EC630E">
      <w:pPr>
        <w:spacing w:line="20" w:lineRule="exact"/>
        <w:rPr>
          <w:sz w:val="20"/>
          <w:szCs w:val="20"/>
        </w:rPr>
      </w:pPr>
      <w:r>
        <w:rPr>
          <w:noProof/>
          <w:sz w:val="20"/>
          <w:szCs w:val="20"/>
        </w:rPr>
        <w:drawing>
          <wp:anchor distT="0" distB="0" distL="114300" distR="114300" simplePos="0" relativeHeight="252032000" behindDoc="1" locked="0" layoutInCell="0" allowOverlap="1">
            <wp:simplePos x="0" y="0"/>
            <wp:positionH relativeFrom="column">
              <wp:posOffset>1179195</wp:posOffset>
            </wp:positionH>
            <wp:positionV relativeFrom="paragraph">
              <wp:posOffset>174625</wp:posOffset>
            </wp:positionV>
            <wp:extent cx="4791710" cy="3008630"/>
            <wp:effectExtent l="0" t="0" r="0" b="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3">
                      <a:extLst/>
                    </a:blip>
                    <a:srcRect/>
                    <a:stretch>
                      <a:fillRect/>
                    </a:stretch>
                  </pic:blipFill>
                  <pic:spPr bwMode="auto">
                    <a:xfrm>
                      <a:off x="0" y="0"/>
                      <a:ext cx="4791710" cy="3008630"/>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28"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91</w:t>
      </w:r>
    </w:p>
    <w:p w:rsidR="00A621E3" w:rsidRDefault="00EC630E">
      <w:pPr>
        <w:spacing w:line="20" w:lineRule="exact"/>
        <w:rPr>
          <w:sz w:val="20"/>
          <w:szCs w:val="20"/>
        </w:rPr>
      </w:pPr>
      <w:r>
        <w:rPr>
          <w:noProof/>
          <w:sz w:val="20"/>
          <w:szCs w:val="20"/>
        </w:rPr>
        <w:drawing>
          <wp:anchor distT="0" distB="0" distL="114300" distR="114300" simplePos="0" relativeHeight="252033024"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97" w:name="page97"/>
      <w:bookmarkEnd w:id="97"/>
      <w:r>
        <w:rPr>
          <w:rFonts w:ascii="Arial" w:eastAsia="Arial" w:hAnsi="Arial" w:cs="Arial"/>
          <w:b/>
          <w:bCs/>
          <w:noProof/>
          <w:color w:val="0000EE"/>
          <w:sz w:val="18"/>
          <w:szCs w:val="18"/>
          <w:u w:val="single"/>
        </w:rPr>
        <w:drawing>
          <wp:anchor distT="0" distB="0" distL="114300" distR="114300" simplePos="0" relativeHeight="252034048"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35072" behindDoc="1" locked="0" layoutInCell="0" allowOverlap="1">
            <wp:simplePos x="0" y="0"/>
            <wp:positionH relativeFrom="column">
              <wp:posOffset>73660</wp:posOffset>
            </wp:positionH>
            <wp:positionV relativeFrom="paragraph">
              <wp:posOffset>205740</wp:posOffset>
            </wp:positionV>
            <wp:extent cx="1585595" cy="205740"/>
            <wp:effectExtent l="0" t="0" r="0" b="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0">
                      <a:extLst/>
                    </a:blip>
                    <a:srcRect/>
                    <a:stretch>
                      <a:fillRect/>
                    </a:stretch>
                  </pic:blipFill>
                  <pic:spPr bwMode="auto">
                    <a:xfrm>
                      <a:off x="0" y="0"/>
                      <a:ext cx="15855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EXECUTIVE COMPENSATION</w:t>
      </w:r>
    </w:p>
    <w:p w:rsidR="00A621E3" w:rsidRDefault="00A621E3">
      <w:pPr>
        <w:spacing w:line="209" w:lineRule="exact"/>
        <w:rPr>
          <w:sz w:val="20"/>
          <w:szCs w:val="20"/>
        </w:rPr>
      </w:pPr>
    </w:p>
    <w:p w:rsidR="00A621E3" w:rsidRDefault="00EC630E">
      <w:pPr>
        <w:numPr>
          <w:ilvl w:val="0"/>
          <w:numId w:val="127"/>
        </w:numPr>
        <w:tabs>
          <w:tab w:val="left" w:pos="340"/>
        </w:tabs>
        <w:spacing w:line="260" w:lineRule="auto"/>
        <w:ind w:left="340" w:hanging="224"/>
        <w:rPr>
          <w:rFonts w:ascii="Arial" w:eastAsia="Arial" w:hAnsi="Arial" w:cs="Arial"/>
          <w:color w:val="CF0A2C"/>
          <w:sz w:val="20"/>
          <w:szCs w:val="20"/>
        </w:rPr>
      </w:pPr>
      <w:r>
        <w:rPr>
          <w:rFonts w:ascii="Arial" w:eastAsia="Arial" w:hAnsi="Arial" w:cs="Arial"/>
          <w:sz w:val="20"/>
          <w:szCs w:val="20"/>
        </w:rPr>
        <w:t xml:space="preserve">The following graph demonstrates the relationship between compensation actually paid over the period to the PEO and other NEOs and rTSR percentile </w:t>
      </w:r>
      <w:r>
        <w:rPr>
          <w:rFonts w:ascii="Arial" w:eastAsia="Arial" w:hAnsi="Arial" w:cs="Arial"/>
          <w:sz w:val="20"/>
          <w:szCs w:val="20"/>
        </w:rPr>
        <w:t>ranking against the constituents of the MSCI China Index.</w:t>
      </w:r>
    </w:p>
    <w:p w:rsidR="00A621E3" w:rsidRDefault="00EC630E">
      <w:pPr>
        <w:spacing w:line="20" w:lineRule="exact"/>
        <w:rPr>
          <w:sz w:val="20"/>
          <w:szCs w:val="20"/>
        </w:rPr>
      </w:pPr>
      <w:r>
        <w:rPr>
          <w:noProof/>
          <w:sz w:val="20"/>
          <w:szCs w:val="20"/>
        </w:rPr>
        <w:drawing>
          <wp:anchor distT="0" distB="0" distL="114300" distR="114300" simplePos="0" relativeHeight="252036096" behindDoc="1" locked="0" layoutInCell="0" allowOverlap="1">
            <wp:simplePos x="0" y="0"/>
            <wp:positionH relativeFrom="column">
              <wp:posOffset>1367790</wp:posOffset>
            </wp:positionH>
            <wp:positionV relativeFrom="paragraph">
              <wp:posOffset>174625</wp:posOffset>
            </wp:positionV>
            <wp:extent cx="4406265" cy="3248660"/>
            <wp:effectExtent l="0" t="0" r="0" b="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4">
                      <a:extLst/>
                    </a:blip>
                    <a:srcRect/>
                    <a:stretch>
                      <a:fillRect/>
                    </a:stretch>
                  </pic:blipFill>
                  <pic:spPr bwMode="auto">
                    <a:xfrm>
                      <a:off x="0" y="0"/>
                      <a:ext cx="4406265" cy="3248660"/>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51" w:lineRule="exact"/>
        <w:rPr>
          <w:sz w:val="20"/>
          <w:szCs w:val="20"/>
        </w:rPr>
      </w:pPr>
    </w:p>
    <w:p w:rsidR="00A621E3" w:rsidRDefault="00EC630E">
      <w:pPr>
        <w:numPr>
          <w:ilvl w:val="0"/>
          <w:numId w:val="128"/>
        </w:numPr>
        <w:tabs>
          <w:tab w:val="left" w:pos="340"/>
        </w:tabs>
        <w:spacing w:line="260" w:lineRule="auto"/>
        <w:ind w:left="340" w:hanging="224"/>
        <w:rPr>
          <w:rFonts w:ascii="Arial" w:eastAsia="Arial" w:hAnsi="Arial" w:cs="Arial"/>
          <w:color w:val="CF0A2C"/>
          <w:sz w:val="20"/>
          <w:szCs w:val="20"/>
        </w:rPr>
      </w:pPr>
      <w:r>
        <w:rPr>
          <w:rFonts w:ascii="Arial" w:eastAsia="Arial" w:hAnsi="Arial" w:cs="Arial"/>
          <w:sz w:val="20"/>
          <w:szCs w:val="20"/>
        </w:rPr>
        <w:t>The following graph demonstrates the relationship between compensation actually paid over the period to the PEO and other NEOs and Net Income.</w:t>
      </w:r>
    </w:p>
    <w:p w:rsidR="00A621E3" w:rsidRDefault="00EC630E">
      <w:pPr>
        <w:spacing w:line="20" w:lineRule="exact"/>
        <w:rPr>
          <w:sz w:val="20"/>
          <w:szCs w:val="20"/>
        </w:rPr>
      </w:pPr>
      <w:r>
        <w:rPr>
          <w:noProof/>
          <w:sz w:val="20"/>
          <w:szCs w:val="20"/>
        </w:rPr>
        <w:drawing>
          <wp:anchor distT="0" distB="0" distL="114300" distR="114300" simplePos="0" relativeHeight="252037120" behindDoc="1" locked="0" layoutInCell="0" allowOverlap="1">
            <wp:simplePos x="0" y="0"/>
            <wp:positionH relativeFrom="column">
              <wp:posOffset>1367790</wp:posOffset>
            </wp:positionH>
            <wp:positionV relativeFrom="paragraph">
              <wp:posOffset>174625</wp:posOffset>
            </wp:positionV>
            <wp:extent cx="4406265" cy="2957195"/>
            <wp:effectExtent l="0" t="0" r="0" b="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55">
                      <a:extLst/>
                    </a:blip>
                    <a:srcRect/>
                    <a:stretch>
                      <a:fillRect/>
                    </a:stretch>
                  </pic:blipFill>
                  <pic:spPr bwMode="auto">
                    <a:xfrm>
                      <a:off x="0" y="0"/>
                      <a:ext cx="4406265" cy="295719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51" w:lineRule="exact"/>
        <w:rPr>
          <w:sz w:val="20"/>
          <w:szCs w:val="20"/>
        </w:rPr>
      </w:pPr>
    </w:p>
    <w:p w:rsidR="00A621E3" w:rsidRDefault="00EC630E">
      <w:pPr>
        <w:numPr>
          <w:ilvl w:val="0"/>
          <w:numId w:val="129"/>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2038144"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59" w:bottom="1440" w:left="320" w:header="0" w:footer="0" w:gutter="0"/>
          <w:cols w:space="720" w:equalWidth="0">
            <w:col w:w="11120"/>
          </w:cols>
        </w:sectPr>
      </w:pPr>
    </w:p>
    <w:p w:rsidR="00A621E3" w:rsidRDefault="00EC630E">
      <w:pPr>
        <w:rPr>
          <w:sz w:val="20"/>
          <w:szCs w:val="20"/>
        </w:rPr>
      </w:pPr>
      <w:bookmarkStart w:id="98" w:name="page98"/>
      <w:bookmarkEnd w:id="98"/>
      <w:r>
        <w:rPr>
          <w:rFonts w:ascii="Arial" w:eastAsia="Arial" w:hAnsi="Arial" w:cs="Arial"/>
          <w:b/>
          <w:bCs/>
          <w:noProof/>
          <w:color w:val="0000EE"/>
          <w:sz w:val="18"/>
          <w:szCs w:val="18"/>
          <w:u w:val="single"/>
        </w:rPr>
        <w:drawing>
          <wp:anchor distT="0" distB="0" distL="114300" distR="114300" simplePos="0" relativeHeight="252039168"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40192"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680"/>
        <w:rPr>
          <w:sz w:val="20"/>
          <w:szCs w:val="20"/>
        </w:rPr>
      </w:pPr>
      <w:r>
        <w:rPr>
          <w:rFonts w:ascii="Arial" w:eastAsia="Arial" w:hAnsi="Arial" w:cs="Arial"/>
          <w:b/>
          <w:bCs/>
          <w:color w:val="FFFFFF"/>
          <w:sz w:val="16"/>
          <w:szCs w:val="16"/>
        </w:rPr>
        <w:t>EXECUTIVE COMPENSATION</w:t>
      </w:r>
    </w:p>
    <w:p w:rsidR="00A621E3" w:rsidRDefault="00A621E3">
      <w:pPr>
        <w:spacing w:line="209" w:lineRule="exact"/>
        <w:rPr>
          <w:sz w:val="20"/>
          <w:szCs w:val="20"/>
        </w:rPr>
      </w:pPr>
    </w:p>
    <w:p w:rsidR="00A621E3" w:rsidRDefault="00EC630E">
      <w:pPr>
        <w:ind w:left="120"/>
        <w:rPr>
          <w:sz w:val="20"/>
          <w:szCs w:val="20"/>
        </w:rPr>
      </w:pPr>
      <w:r>
        <w:rPr>
          <w:rFonts w:ascii="Arial" w:eastAsia="Arial" w:hAnsi="Arial" w:cs="Arial"/>
          <w:i/>
          <w:iCs/>
          <w:color w:val="CF0A2C"/>
          <w:sz w:val="20"/>
          <w:szCs w:val="20"/>
        </w:rPr>
        <w:t>Performance Measures Used to Link Company Performance and Compensation Actually Paid to the NEOs</w:t>
      </w:r>
    </w:p>
    <w:p w:rsidR="00A621E3" w:rsidRDefault="00A621E3">
      <w:pPr>
        <w:spacing w:line="256" w:lineRule="exact"/>
        <w:rPr>
          <w:sz w:val="20"/>
          <w:szCs w:val="20"/>
        </w:rPr>
      </w:pPr>
    </w:p>
    <w:p w:rsidR="00A621E3" w:rsidRDefault="00EC630E">
      <w:pPr>
        <w:spacing w:line="278" w:lineRule="auto"/>
        <w:ind w:left="120"/>
        <w:jc w:val="both"/>
        <w:rPr>
          <w:sz w:val="20"/>
          <w:szCs w:val="20"/>
        </w:rPr>
      </w:pPr>
      <w:r>
        <w:rPr>
          <w:rFonts w:ascii="Arial" w:eastAsia="Arial" w:hAnsi="Arial" w:cs="Arial"/>
          <w:sz w:val="18"/>
          <w:szCs w:val="18"/>
        </w:rPr>
        <w:t xml:space="preserve">Below is a list of performance measures, which in the </w:t>
      </w:r>
      <w:r>
        <w:rPr>
          <w:rFonts w:ascii="Arial" w:eastAsia="Arial" w:hAnsi="Arial" w:cs="Arial"/>
          <w:sz w:val="18"/>
          <w:szCs w:val="18"/>
        </w:rPr>
        <w:t>Company’s assessment represent the most important performance measures used by the Company to link compensation actually paid to the NEOs for 2022 to the Company’s performance. As described in greater detail in “Executive Compensation – Compensation Discus</w:t>
      </w:r>
      <w:r>
        <w:rPr>
          <w:rFonts w:ascii="Arial" w:eastAsia="Arial" w:hAnsi="Arial" w:cs="Arial"/>
          <w:sz w:val="18"/>
          <w:szCs w:val="18"/>
        </w:rPr>
        <w:t>sion and Analysis,” the Company’s executive compensation program reflects a variable pay-for-performance philosophy. The metrics that the Company uses for both our long-term and short-term incentive awards are selected based on an objective of incentivizin</w:t>
      </w:r>
      <w:r>
        <w:rPr>
          <w:rFonts w:ascii="Arial" w:eastAsia="Arial" w:hAnsi="Arial" w:cs="Arial"/>
          <w:sz w:val="18"/>
          <w:szCs w:val="18"/>
        </w:rPr>
        <w:t>g our NEOs to increase the value of the Company for our shareholders.</w:t>
      </w:r>
    </w:p>
    <w:p w:rsidR="00A621E3" w:rsidRDefault="00EC630E">
      <w:pPr>
        <w:spacing w:line="20" w:lineRule="exact"/>
        <w:rPr>
          <w:sz w:val="20"/>
          <w:szCs w:val="20"/>
        </w:rPr>
      </w:pPr>
      <w:r>
        <w:rPr>
          <w:noProof/>
          <w:sz w:val="20"/>
          <w:szCs w:val="20"/>
        </w:rPr>
        <w:drawing>
          <wp:anchor distT="0" distB="0" distL="114300" distR="114300" simplePos="0" relativeHeight="252041216" behindDoc="1" locked="0" layoutInCell="0" allowOverlap="1">
            <wp:simplePos x="0" y="0"/>
            <wp:positionH relativeFrom="column">
              <wp:posOffset>73660</wp:posOffset>
            </wp:positionH>
            <wp:positionV relativeFrom="paragraph">
              <wp:posOffset>132715</wp:posOffset>
            </wp:positionV>
            <wp:extent cx="6926580" cy="934085"/>
            <wp:effectExtent l="0" t="0" r="0" b="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56">
                      <a:extLst/>
                    </a:blip>
                    <a:srcRect/>
                    <a:stretch>
                      <a:fillRect/>
                    </a:stretch>
                  </pic:blipFill>
                  <pic:spPr bwMode="auto">
                    <a:xfrm>
                      <a:off x="0" y="0"/>
                      <a:ext cx="6926580" cy="934085"/>
                    </a:xfrm>
                    <a:prstGeom prst="rect">
                      <a:avLst/>
                    </a:prstGeom>
                    <a:noFill/>
                  </pic:spPr>
                </pic:pic>
              </a:graphicData>
            </a:graphic>
          </wp:anchor>
        </w:drawing>
      </w:r>
    </w:p>
    <w:p w:rsidR="00A621E3" w:rsidRDefault="00A621E3">
      <w:pPr>
        <w:spacing w:line="291" w:lineRule="exact"/>
        <w:rPr>
          <w:sz w:val="20"/>
          <w:szCs w:val="20"/>
        </w:rPr>
      </w:pPr>
    </w:p>
    <w:p w:rsidR="00A621E3" w:rsidRDefault="00EC630E">
      <w:pPr>
        <w:jc w:val="center"/>
        <w:rPr>
          <w:sz w:val="20"/>
          <w:szCs w:val="20"/>
        </w:rPr>
      </w:pPr>
      <w:r>
        <w:rPr>
          <w:rFonts w:ascii="Arial" w:eastAsia="Arial" w:hAnsi="Arial" w:cs="Arial"/>
          <w:b/>
          <w:bCs/>
          <w:color w:val="CF0A2C"/>
        </w:rPr>
        <w:t>Most Important Financial Performance Measures</w:t>
      </w:r>
    </w:p>
    <w:p w:rsidR="00A621E3" w:rsidRDefault="00A621E3">
      <w:pPr>
        <w:spacing w:line="154" w:lineRule="exact"/>
        <w:rPr>
          <w:sz w:val="20"/>
          <w:szCs w:val="20"/>
        </w:rPr>
      </w:pPr>
    </w:p>
    <w:p w:rsidR="00A621E3" w:rsidRDefault="00EC630E">
      <w:pPr>
        <w:numPr>
          <w:ilvl w:val="0"/>
          <w:numId w:val="130"/>
        </w:numPr>
        <w:tabs>
          <w:tab w:val="left" w:pos="500"/>
        </w:tabs>
        <w:ind w:left="500" w:hanging="227"/>
        <w:rPr>
          <w:rFonts w:ascii="Arial" w:eastAsia="Arial" w:hAnsi="Arial" w:cs="Arial"/>
          <w:color w:val="DD0014"/>
          <w:sz w:val="20"/>
          <w:szCs w:val="20"/>
        </w:rPr>
      </w:pPr>
      <w:r>
        <w:rPr>
          <w:rFonts w:ascii="Arial" w:eastAsia="Arial" w:hAnsi="Arial" w:cs="Arial"/>
          <w:sz w:val="20"/>
          <w:szCs w:val="20"/>
        </w:rPr>
        <w:t>R-TSR against the constituents of the MSCI China Index</w:t>
      </w:r>
    </w:p>
    <w:p w:rsidR="00A621E3" w:rsidRDefault="00A621E3">
      <w:pPr>
        <w:spacing w:line="15" w:lineRule="exact"/>
        <w:rPr>
          <w:rFonts w:ascii="Arial" w:eastAsia="Arial" w:hAnsi="Arial" w:cs="Arial"/>
          <w:color w:val="DD0014"/>
          <w:sz w:val="20"/>
          <w:szCs w:val="20"/>
        </w:rPr>
      </w:pPr>
    </w:p>
    <w:p w:rsidR="00A621E3" w:rsidRDefault="00EC630E">
      <w:pPr>
        <w:numPr>
          <w:ilvl w:val="0"/>
          <w:numId w:val="130"/>
        </w:numPr>
        <w:tabs>
          <w:tab w:val="left" w:pos="500"/>
        </w:tabs>
        <w:ind w:left="500" w:hanging="227"/>
        <w:rPr>
          <w:rFonts w:ascii="Arial" w:eastAsia="Arial" w:hAnsi="Arial" w:cs="Arial"/>
          <w:color w:val="DD0014"/>
          <w:sz w:val="20"/>
          <w:szCs w:val="20"/>
        </w:rPr>
      </w:pPr>
      <w:r>
        <w:rPr>
          <w:rFonts w:ascii="Arial" w:eastAsia="Arial" w:hAnsi="Arial" w:cs="Arial"/>
          <w:sz w:val="20"/>
          <w:szCs w:val="20"/>
        </w:rPr>
        <w:t>Same Store Sales Growth</w:t>
      </w:r>
    </w:p>
    <w:p w:rsidR="00A621E3" w:rsidRDefault="00EC630E">
      <w:pPr>
        <w:numPr>
          <w:ilvl w:val="0"/>
          <w:numId w:val="130"/>
        </w:numPr>
        <w:tabs>
          <w:tab w:val="left" w:pos="500"/>
        </w:tabs>
        <w:ind w:left="500" w:hanging="227"/>
        <w:rPr>
          <w:rFonts w:ascii="Arial" w:eastAsia="Arial" w:hAnsi="Arial" w:cs="Arial"/>
          <w:color w:val="CF0A2C"/>
          <w:sz w:val="20"/>
          <w:szCs w:val="20"/>
        </w:rPr>
      </w:pPr>
      <w:r>
        <w:rPr>
          <w:rFonts w:ascii="Arial" w:eastAsia="Arial" w:hAnsi="Arial" w:cs="Arial"/>
          <w:sz w:val="20"/>
          <w:szCs w:val="20"/>
        </w:rPr>
        <w:t>Adjusted Operating Profit Growth</w:t>
      </w:r>
    </w:p>
    <w:p w:rsidR="00A621E3" w:rsidRDefault="00EC630E">
      <w:pPr>
        <w:numPr>
          <w:ilvl w:val="0"/>
          <w:numId w:val="130"/>
        </w:numPr>
        <w:tabs>
          <w:tab w:val="left" w:pos="500"/>
        </w:tabs>
        <w:ind w:left="500" w:hanging="227"/>
        <w:rPr>
          <w:rFonts w:ascii="Arial" w:eastAsia="Arial" w:hAnsi="Arial" w:cs="Arial"/>
          <w:color w:val="DD0014"/>
          <w:sz w:val="20"/>
          <w:szCs w:val="20"/>
        </w:rPr>
      </w:pPr>
      <w:r>
        <w:rPr>
          <w:rFonts w:ascii="Arial" w:eastAsia="Arial" w:hAnsi="Arial" w:cs="Arial"/>
          <w:sz w:val="20"/>
          <w:szCs w:val="20"/>
        </w:rPr>
        <w:t>System Net New Builds</w:t>
      </w:r>
    </w:p>
    <w:p w:rsidR="00A621E3" w:rsidRDefault="00A621E3">
      <w:pPr>
        <w:spacing w:line="163"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93</w:t>
      </w:r>
    </w:p>
    <w:p w:rsidR="00A621E3" w:rsidRDefault="00EC630E">
      <w:pPr>
        <w:spacing w:line="20" w:lineRule="exact"/>
        <w:rPr>
          <w:sz w:val="20"/>
          <w:szCs w:val="20"/>
        </w:rPr>
      </w:pPr>
      <w:r>
        <w:rPr>
          <w:noProof/>
          <w:sz w:val="20"/>
          <w:szCs w:val="20"/>
        </w:rPr>
        <w:drawing>
          <wp:anchor distT="0" distB="0" distL="114300" distR="114300" simplePos="0" relativeHeight="252042240"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99" w:name="page99"/>
      <w:bookmarkEnd w:id="99"/>
      <w:r>
        <w:rPr>
          <w:rFonts w:ascii="Arial" w:eastAsia="Arial" w:hAnsi="Arial" w:cs="Arial"/>
          <w:b/>
          <w:bCs/>
          <w:noProof/>
          <w:color w:val="0000EE"/>
          <w:sz w:val="18"/>
          <w:szCs w:val="18"/>
          <w:u w:val="single"/>
        </w:rPr>
        <w:drawing>
          <wp:anchor distT="0" distB="0" distL="114300" distR="114300" simplePos="0" relativeHeight="25204326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44288" behindDoc="1" locked="0" layoutInCell="0" allowOverlap="1">
            <wp:simplePos x="0" y="0"/>
            <wp:positionH relativeFrom="column">
              <wp:posOffset>73660</wp:posOffset>
            </wp:positionH>
            <wp:positionV relativeFrom="paragraph">
              <wp:posOffset>205740</wp:posOffset>
            </wp:positionV>
            <wp:extent cx="6995160" cy="506095"/>
            <wp:effectExtent l="0" t="0" r="0"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2">
                      <a:extLst/>
                    </a:blip>
                    <a:srcRect/>
                    <a:stretch>
                      <a:fillRect/>
                    </a:stretch>
                  </pic:blipFill>
                  <pic:spPr bwMode="auto">
                    <a:xfrm>
                      <a:off x="0" y="0"/>
                      <a:ext cx="6995160" cy="50609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11" w:lineRule="exact"/>
        <w:rPr>
          <w:sz w:val="20"/>
          <w:szCs w:val="20"/>
        </w:rPr>
      </w:pPr>
    </w:p>
    <w:p w:rsidR="00A621E3" w:rsidRDefault="00EC630E">
      <w:pPr>
        <w:ind w:left="200"/>
        <w:rPr>
          <w:sz w:val="20"/>
          <w:szCs w:val="20"/>
        </w:rPr>
      </w:pPr>
      <w:r>
        <w:rPr>
          <w:rFonts w:ascii="Arial" w:eastAsia="Arial" w:hAnsi="Arial" w:cs="Arial"/>
          <w:b/>
          <w:bCs/>
          <w:color w:val="FFFFFF"/>
          <w:sz w:val="32"/>
          <w:szCs w:val="32"/>
        </w:rPr>
        <w:t>2022 DIRECTOR COMPENSATION</w:t>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93" w:lineRule="exact"/>
        <w:rPr>
          <w:sz w:val="20"/>
          <w:szCs w:val="20"/>
        </w:rPr>
      </w:pPr>
    </w:p>
    <w:p w:rsidR="00A621E3" w:rsidRDefault="00EC630E">
      <w:pPr>
        <w:spacing w:line="270" w:lineRule="auto"/>
        <w:ind w:left="120"/>
        <w:jc w:val="both"/>
        <w:rPr>
          <w:sz w:val="20"/>
          <w:szCs w:val="20"/>
        </w:rPr>
      </w:pPr>
      <w:r>
        <w:rPr>
          <w:rFonts w:ascii="Arial" w:eastAsia="Arial" w:hAnsi="Arial" w:cs="Arial"/>
          <w:sz w:val="18"/>
          <w:szCs w:val="18"/>
        </w:rPr>
        <w:t xml:space="preserve">The Company primarily uses stock-based compensation to attract and retain qualified candidates to serve on the Board. In </w:t>
      </w:r>
      <w:r>
        <w:rPr>
          <w:rFonts w:ascii="Arial" w:eastAsia="Arial" w:hAnsi="Arial" w:cs="Arial"/>
          <w:sz w:val="18"/>
          <w:szCs w:val="18"/>
        </w:rPr>
        <w:t>setting director compensation, the Board considers the significant amount of time that directors expend in fulfilling their duties to the Company as well as the skill level required by the Company of members of the Board. The Nominating and Governance Comm</w:t>
      </w:r>
      <w:r>
        <w:rPr>
          <w:rFonts w:ascii="Arial" w:eastAsia="Arial" w:hAnsi="Arial" w:cs="Arial"/>
          <w:sz w:val="18"/>
          <w:szCs w:val="18"/>
        </w:rPr>
        <w:t xml:space="preserve">ittee of the Board considers advice from the compensation consultant and reviews and makes recommendations to the Board with respect to the compensation and benefits of directors. No changes have been made to our director compensation program since it was </w:t>
      </w:r>
      <w:r>
        <w:rPr>
          <w:rFonts w:ascii="Arial" w:eastAsia="Arial" w:hAnsi="Arial" w:cs="Arial"/>
          <w:sz w:val="18"/>
          <w:szCs w:val="18"/>
        </w:rPr>
        <w:t>approved by the Board in December 2017 and became effective in June 2018. The Company’s director compensation structure for 2022 is discussed below.</w:t>
      </w:r>
    </w:p>
    <w:p w:rsidR="00A621E3" w:rsidRDefault="00A621E3">
      <w:pPr>
        <w:spacing w:line="207" w:lineRule="exact"/>
        <w:rPr>
          <w:sz w:val="20"/>
          <w:szCs w:val="20"/>
        </w:rPr>
      </w:pPr>
    </w:p>
    <w:p w:rsidR="00A621E3" w:rsidRDefault="00EC630E">
      <w:pPr>
        <w:spacing w:line="246" w:lineRule="auto"/>
        <w:ind w:left="120"/>
        <w:jc w:val="both"/>
        <w:rPr>
          <w:sz w:val="20"/>
          <w:szCs w:val="20"/>
        </w:rPr>
      </w:pPr>
      <w:r>
        <w:rPr>
          <w:rFonts w:ascii="Arial" w:eastAsia="Arial" w:hAnsi="Arial" w:cs="Arial"/>
          <w:b/>
          <w:bCs/>
          <w:sz w:val="20"/>
          <w:szCs w:val="20"/>
        </w:rPr>
        <w:t>Employee Directors</w:t>
      </w:r>
      <w:r>
        <w:rPr>
          <w:rFonts w:ascii="Arial" w:eastAsia="Arial" w:hAnsi="Arial" w:cs="Arial"/>
          <w:i/>
          <w:iCs/>
          <w:sz w:val="20"/>
          <w:szCs w:val="20"/>
        </w:rPr>
        <w:t>.</w:t>
      </w:r>
      <w:r>
        <w:rPr>
          <w:rFonts w:ascii="Arial" w:eastAsia="Arial" w:hAnsi="Arial" w:cs="Arial"/>
          <w:b/>
          <w:bCs/>
          <w:sz w:val="20"/>
          <w:szCs w:val="20"/>
        </w:rPr>
        <w:t xml:space="preserve"> </w:t>
      </w:r>
      <w:r>
        <w:rPr>
          <w:rFonts w:ascii="Arial" w:eastAsia="Arial" w:hAnsi="Arial" w:cs="Arial"/>
          <w:sz w:val="20"/>
          <w:szCs w:val="20"/>
        </w:rPr>
        <w:t>Employee directors do not receive</w:t>
      </w:r>
      <w:r>
        <w:rPr>
          <w:rFonts w:ascii="Arial" w:eastAsia="Arial" w:hAnsi="Arial" w:cs="Arial"/>
          <w:b/>
          <w:bCs/>
          <w:sz w:val="20"/>
          <w:szCs w:val="20"/>
        </w:rPr>
        <w:t xml:space="preserve"> </w:t>
      </w:r>
      <w:r>
        <w:rPr>
          <w:rFonts w:ascii="Arial" w:eastAsia="Arial" w:hAnsi="Arial" w:cs="Arial"/>
          <w:sz w:val="20"/>
          <w:szCs w:val="20"/>
        </w:rPr>
        <w:t xml:space="preserve">additional compensation for serving on the Board of </w:t>
      </w:r>
      <w:r>
        <w:rPr>
          <w:rFonts w:ascii="Arial" w:eastAsia="Arial" w:hAnsi="Arial" w:cs="Arial"/>
          <w:sz w:val="20"/>
          <w:szCs w:val="20"/>
        </w:rPr>
        <w:t>Directors. Please see the 2022 Summary Compensation Table for the compensation received by Ms. Wat during 2022 for her role as CEO of the Company.</w:t>
      </w:r>
    </w:p>
    <w:p w:rsidR="00A621E3" w:rsidRDefault="00A621E3">
      <w:pPr>
        <w:spacing w:line="225" w:lineRule="exact"/>
        <w:rPr>
          <w:sz w:val="20"/>
          <w:szCs w:val="20"/>
        </w:rPr>
      </w:pPr>
    </w:p>
    <w:p w:rsidR="00A621E3" w:rsidRDefault="00EC630E">
      <w:pPr>
        <w:spacing w:line="267" w:lineRule="auto"/>
        <w:ind w:left="120"/>
        <w:jc w:val="both"/>
        <w:rPr>
          <w:sz w:val="20"/>
          <w:szCs w:val="20"/>
        </w:rPr>
      </w:pPr>
      <w:r>
        <w:rPr>
          <w:rFonts w:ascii="Arial" w:eastAsia="Arial" w:hAnsi="Arial" w:cs="Arial"/>
          <w:b/>
          <w:bCs/>
          <w:sz w:val="20"/>
          <w:szCs w:val="20"/>
        </w:rPr>
        <w:t xml:space="preserve">Non-Employee Directors Retainer. </w:t>
      </w:r>
      <w:r>
        <w:rPr>
          <w:rFonts w:ascii="Arial" w:eastAsia="Arial" w:hAnsi="Arial" w:cs="Arial"/>
          <w:sz w:val="20"/>
          <w:szCs w:val="20"/>
        </w:rPr>
        <w:t>Our non-employee directors</w:t>
      </w:r>
      <w:r>
        <w:rPr>
          <w:rFonts w:ascii="Arial" w:eastAsia="Arial" w:hAnsi="Arial" w:cs="Arial"/>
          <w:b/>
          <w:bCs/>
          <w:sz w:val="20"/>
          <w:szCs w:val="20"/>
        </w:rPr>
        <w:t xml:space="preserve"> </w:t>
      </w:r>
      <w:r>
        <w:rPr>
          <w:rFonts w:ascii="Arial" w:eastAsia="Arial" w:hAnsi="Arial" w:cs="Arial"/>
          <w:sz w:val="20"/>
          <w:szCs w:val="20"/>
        </w:rPr>
        <w:t>were each compensated with an annual retainer</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73" w:lineRule="exact"/>
        <w:rPr>
          <w:sz w:val="20"/>
          <w:szCs w:val="20"/>
        </w:rPr>
      </w:pPr>
    </w:p>
    <w:p w:rsidR="00A621E3" w:rsidRDefault="00EC630E">
      <w:pPr>
        <w:spacing w:line="263" w:lineRule="auto"/>
        <w:ind w:right="20"/>
        <w:jc w:val="both"/>
        <w:rPr>
          <w:sz w:val="20"/>
          <w:szCs w:val="20"/>
        </w:rPr>
      </w:pPr>
      <w:r>
        <w:rPr>
          <w:rFonts w:ascii="Arial" w:eastAsia="Arial" w:hAnsi="Arial" w:cs="Arial"/>
          <w:sz w:val="19"/>
          <w:szCs w:val="19"/>
        </w:rPr>
        <w:t>equal to $275,000, payable in Company common stock or, if requested by a director, up to one-half in cash. The annual retainers were paid in June 2022 to compensate the directors for their services from June 1, 2022 to May 31, 2023.</w:t>
      </w:r>
    </w:p>
    <w:p w:rsidR="00A621E3" w:rsidRDefault="00A621E3">
      <w:pPr>
        <w:spacing w:line="211" w:lineRule="exact"/>
        <w:rPr>
          <w:sz w:val="20"/>
          <w:szCs w:val="20"/>
        </w:rPr>
      </w:pPr>
    </w:p>
    <w:p w:rsidR="00A621E3" w:rsidRDefault="00EC630E">
      <w:pPr>
        <w:spacing w:line="255" w:lineRule="auto"/>
        <w:jc w:val="both"/>
        <w:rPr>
          <w:sz w:val="20"/>
          <w:szCs w:val="20"/>
        </w:rPr>
      </w:pPr>
      <w:r>
        <w:rPr>
          <w:rFonts w:ascii="Arial" w:eastAsia="Arial" w:hAnsi="Arial" w:cs="Arial"/>
          <w:b/>
          <w:bCs/>
          <w:sz w:val="19"/>
          <w:szCs w:val="19"/>
        </w:rPr>
        <w:t>Chairman and Commi</w:t>
      </w:r>
      <w:r>
        <w:rPr>
          <w:rFonts w:ascii="Arial" w:eastAsia="Arial" w:hAnsi="Arial" w:cs="Arial"/>
          <w:b/>
          <w:bCs/>
          <w:sz w:val="19"/>
          <w:szCs w:val="19"/>
        </w:rPr>
        <w:t xml:space="preserve">ttee Chairperson Retainer. </w:t>
      </w:r>
      <w:r>
        <w:rPr>
          <w:rFonts w:ascii="Arial" w:eastAsia="Arial" w:hAnsi="Arial" w:cs="Arial"/>
          <w:sz w:val="19"/>
          <w:szCs w:val="19"/>
        </w:rPr>
        <w:t>In addition to</w:t>
      </w:r>
      <w:r>
        <w:rPr>
          <w:rFonts w:ascii="Arial" w:eastAsia="Arial" w:hAnsi="Arial" w:cs="Arial"/>
          <w:b/>
          <w:bCs/>
          <w:sz w:val="19"/>
          <w:szCs w:val="19"/>
        </w:rPr>
        <w:t xml:space="preserve"> </w:t>
      </w:r>
      <w:r>
        <w:rPr>
          <w:rFonts w:ascii="Arial" w:eastAsia="Arial" w:hAnsi="Arial" w:cs="Arial"/>
          <w:sz w:val="19"/>
          <w:szCs w:val="19"/>
        </w:rPr>
        <w:t>the annual retainer paid to all non-employee directors, the Chairman of the Board (Dr. Hu) received an additional annual cash retainer of $225,000. The Chairperson of the Audit Committee (Mr. Bassi) received an add</w:t>
      </w:r>
      <w:r>
        <w:rPr>
          <w:rFonts w:ascii="Arial" w:eastAsia="Arial" w:hAnsi="Arial" w:cs="Arial"/>
          <w:sz w:val="19"/>
          <w:szCs w:val="19"/>
        </w:rPr>
        <w:t>itional $30,000 stock retainer, the Chairperson of the Compensation Committee (Ms. Lu) received an additional $20,000 stock retainer, the Chairperson of the Nominating and Governance Committee (Dr. Hu) received an additional $15,000 stock retainer, and the</w:t>
      </w:r>
      <w:r>
        <w:rPr>
          <w:rFonts w:ascii="Arial" w:eastAsia="Arial" w:hAnsi="Arial" w:cs="Arial"/>
          <w:sz w:val="19"/>
          <w:szCs w:val="19"/>
        </w:rPr>
        <w:t xml:space="preserve"> Chairperson of the Food Safety and Sustainability Committee (Mr. Shao) received an additional $15,000 stock retainer. All such retainers were paid in June 2022 to compensate the directors for their services from June 1, 2022 to May 31, 2023.</w:t>
      </w:r>
    </w:p>
    <w:p w:rsidR="00A621E3" w:rsidRDefault="00A621E3">
      <w:pPr>
        <w:spacing w:line="1163"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185" w:lineRule="exact"/>
        <w:rPr>
          <w:sz w:val="20"/>
          <w:szCs w:val="20"/>
        </w:rPr>
      </w:pPr>
    </w:p>
    <w:p w:rsidR="00A621E3" w:rsidRDefault="00EC630E">
      <w:pPr>
        <w:ind w:left="120"/>
        <w:rPr>
          <w:sz w:val="20"/>
          <w:szCs w:val="20"/>
        </w:rPr>
      </w:pPr>
      <w:r>
        <w:rPr>
          <w:rFonts w:ascii="Arial" w:eastAsia="Arial" w:hAnsi="Arial" w:cs="Arial"/>
          <w:sz w:val="18"/>
          <w:szCs w:val="18"/>
        </w:rPr>
        <w:t>The table below summarizes cash compensation earned by and stock retainers granted to each non-employee director during 2022.</w:t>
      </w:r>
    </w:p>
    <w:p w:rsidR="00A621E3" w:rsidRDefault="00A621E3">
      <w:pPr>
        <w:spacing w:line="316"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060"/>
        <w:gridCol w:w="3320"/>
        <w:gridCol w:w="1760"/>
        <w:gridCol w:w="1940"/>
        <w:gridCol w:w="940"/>
      </w:tblGrid>
      <w:tr w:rsidR="00A621E3">
        <w:trPr>
          <w:trHeight w:val="162"/>
        </w:trPr>
        <w:tc>
          <w:tcPr>
            <w:tcW w:w="3060" w:type="dxa"/>
            <w:tcBorders>
              <w:top w:val="single" w:sz="8" w:space="0" w:color="CF0A2C"/>
            </w:tcBorders>
            <w:shd w:val="clear" w:color="auto" w:fill="FAE6E9"/>
            <w:vAlign w:val="bottom"/>
          </w:tcPr>
          <w:p w:rsidR="00A621E3" w:rsidRDefault="00A621E3">
            <w:pPr>
              <w:rPr>
                <w:sz w:val="14"/>
                <w:szCs w:val="14"/>
              </w:rPr>
            </w:pPr>
          </w:p>
        </w:tc>
        <w:tc>
          <w:tcPr>
            <w:tcW w:w="3320" w:type="dxa"/>
            <w:tcBorders>
              <w:top w:val="single" w:sz="8" w:space="0" w:color="CF0A2C"/>
            </w:tcBorders>
            <w:shd w:val="clear" w:color="auto" w:fill="FAE6E9"/>
            <w:vAlign w:val="bottom"/>
          </w:tcPr>
          <w:p w:rsidR="00A621E3" w:rsidRDefault="00A621E3">
            <w:pPr>
              <w:rPr>
                <w:sz w:val="14"/>
                <w:szCs w:val="14"/>
              </w:rPr>
            </w:pPr>
          </w:p>
        </w:tc>
        <w:tc>
          <w:tcPr>
            <w:tcW w:w="1760" w:type="dxa"/>
            <w:tcBorders>
              <w:top w:val="single" w:sz="8" w:space="0" w:color="CF0A2C"/>
            </w:tcBorders>
            <w:shd w:val="clear" w:color="auto" w:fill="FAE6E9"/>
            <w:vAlign w:val="bottom"/>
          </w:tcPr>
          <w:p w:rsidR="00A621E3" w:rsidRDefault="00A621E3">
            <w:pPr>
              <w:rPr>
                <w:sz w:val="14"/>
                <w:szCs w:val="14"/>
              </w:rPr>
            </w:pPr>
          </w:p>
        </w:tc>
        <w:tc>
          <w:tcPr>
            <w:tcW w:w="1940" w:type="dxa"/>
            <w:tcBorders>
              <w:top w:val="single" w:sz="8" w:space="0" w:color="CF0A2C"/>
            </w:tcBorders>
            <w:shd w:val="clear" w:color="auto" w:fill="FAE6E9"/>
            <w:vAlign w:val="bottom"/>
          </w:tcPr>
          <w:p w:rsidR="00A621E3" w:rsidRDefault="00EC630E">
            <w:pPr>
              <w:ind w:right="31"/>
              <w:jc w:val="center"/>
              <w:rPr>
                <w:sz w:val="20"/>
                <w:szCs w:val="20"/>
              </w:rPr>
            </w:pPr>
            <w:r>
              <w:rPr>
                <w:rFonts w:ascii="Arial" w:eastAsia="Arial" w:hAnsi="Arial" w:cs="Arial"/>
                <w:b/>
                <w:bCs/>
                <w:color w:val="CF0A2C"/>
                <w:sz w:val="14"/>
                <w:szCs w:val="14"/>
              </w:rPr>
              <w:t>All Other</w:t>
            </w:r>
          </w:p>
        </w:tc>
        <w:tc>
          <w:tcPr>
            <w:tcW w:w="940" w:type="dxa"/>
            <w:tcBorders>
              <w:top w:val="single" w:sz="8" w:space="0" w:color="CF0A2C"/>
            </w:tcBorders>
            <w:shd w:val="clear" w:color="auto" w:fill="FAE6E9"/>
            <w:vAlign w:val="bottom"/>
          </w:tcPr>
          <w:p w:rsidR="00A621E3" w:rsidRDefault="00A621E3">
            <w:pPr>
              <w:rPr>
                <w:sz w:val="14"/>
                <w:szCs w:val="14"/>
              </w:rPr>
            </w:pPr>
          </w:p>
        </w:tc>
      </w:tr>
      <w:tr w:rsidR="00A621E3">
        <w:trPr>
          <w:trHeight w:val="160"/>
        </w:trPr>
        <w:tc>
          <w:tcPr>
            <w:tcW w:w="3060" w:type="dxa"/>
            <w:shd w:val="clear" w:color="auto" w:fill="FAE6E9"/>
            <w:vAlign w:val="bottom"/>
          </w:tcPr>
          <w:p w:rsidR="00A621E3" w:rsidRDefault="00A621E3">
            <w:pPr>
              <w:rPr>
                <w:sz w:val="13"/>
                <w:szCs w:val="13"/>
              </w:rPr>
            </w:pPr>
          </w:p>
        </w:tc>
        <w:tc>
          <w:tcPr>
            <w:tcW w:w="3320" w:type="dxa"/>
            <w:shd w:val="clear" w:color="auto" w:fill="FAE6E9"/>
            <w:vAlign w:val="bottom"/>
          </w:tcPr>
          <w:p w:rsidR="00A621E3" w:rsidRDefault="00EC630E">
            <w:pPr>
              <w:ind w:left="1251"/>
              <w:jc w:val="center"/>
              <w:rPr>
                <w:sz w:val="20"/>
                <w:szCs w:val="20"/>
              </w:rPr>
            </w:pPr>
            <w:r>
              <w:rPr>
                <w:rFonts w:ascii="Arial" w:eastAsia="Arial" w:hAnsi="Arial" w:cs="Arial"/>
                <w:b/>
                <w:bCs/>
                <w:color w:val="CF0A2C"/>
                <w:sz w:val="14"/>
                <w:szCs w:val="14"/>
              </w:rPr>
              <w:t>Fees Earned or</w:t>
            </w:r>
          </w:p>
        </w:tc>
        <w:tc>
          <w:tcPr>
            <w:tcW w:w="1760" w:type="dxa"/>
            <w:shd w:val="clear" w:color="auto" w:fill="FAE6E9"/>
            <w:vAlign w:val="bottom"/>
          </w:tcPr>
          <w:p w:rsidR="00A621E3" w:rsidRDefault="00EC630E">
            <w:pPr>
              <w:ind w:right="371"/>
              <w:jc w:val="right"/>
              <w:rPr>
                <w:sz w:val="20"/>
                <w:szCs w:val="20"/>
              </w:rPr>
            </w:pPr>
            <w:r>
              <w:rPr>
                <w:rFonts w:ascii="Arial" w:eastAsia="Arial" w:hAnsi="Arial" w:cs="Arial"/>
                <w:b/>
                <w:bCs/>
                <w:color w:val="CF0A2C"/>
                <w:sz w:val="14"/>
                <w:szCs w:val="14"/>
              </w:rPr>
              <w:t>Stock Awards</w:t>
            </w:r>
          </w:p>
        </w:tc>
        <w:tc>
          <w:tcPr>
            <w:tcW w:w="1940" w:type="dxa"/>
            <w:shd w:val="clear" w:color="auto" w:fill="FAE6E9"/>
            <w:vAlign w:val="bottom"/>
          </w:tcPr>
          <w:p w:rsidR="00A621E3" w:rsidRDefault="00EC630E">
            <w:pPr>
              <w:ind w:right="31"/>
              <w:jc w:val="center"/>
              <w:rPr>
                <w:sz w:val="20"/>
                <w:szCs w:val="20"/>
              </w:rPr>
            </w:pPr>
            <w:r>
              <w:rPr>
                <w:rFonts w:ascii="Arial" w:eastAsia="Arial" w:hAnsi="Arial" w:cs="Arial"/>
                <w:b/>
                <w:bCs/>
                <w:color w:val="CF0A2C"/>
                <w:sz w:val="14"/>
                <w:szCs w:val="14"/>
              </w:rPr>
              <w:t>Compensation</w:t>
            </w:r>
          </w:p>
        </w:tc>
        <w:tc>
          <w:tcPr>
            <w:tcW w:w="940" w:type="dxa"/>
            <w:shd w:val="clear" w:color="auto" w:fill="FAE6E9"/>
            <w:vAlign w:val="bottom"/>
          </w:tcPr>
          <w:p w:rsidR="00A621E3" w:rsidRDefault="00EC630E">
            <w:pPr>
              <w:ind w:right="91"/>
              <w:jc w:val="right"/>
              <w:rPr>
                <w:sz w:val="20"/>
                <w:szCs w:val="20"/>
              </w:rPr>
            </w:pPr>
            <w:r>
              <w:rPr>
                <w:rFonts w:ascii="Arial" w:eastAsia="Arial" w:hAnsi="Arial" w:cs="Arial"/>
                <w:b/>
                <w:bCs/>
                <w:color w:val="CF0A2C"/>
                <w:sz w:val="14"/>
                <w:szCs w:val="14"/>
              </w:rPr>
              <w:t>Total</w:t>
            </w:r>
          </w:p>
        </w:tc>
      </w:tr>
      <w:tr w:rsidR="00A621E3">
        <w:trPr>
          <w:trHeight w:val="191"/>
        </w:trPr>
        <w:tc>
          <w:tcPr>
            <w:tcW w:w="3060" w:type="dxa"/>
            <w:tcBorders>
              <w:bottom w:val="single" w:sz="8" w:space="0" w:color="CF0A2C"/>
            </w:tcBorders>
            <w:shd w:val="clear" w:color="auto" w:fill="FAE6E9"/>
            <w:vAlign w:val="bottom"/>
          </w:tcPr>
          <w:p w:rsidR="00A621E3" w:rsidRDefault="00EC630E">
            <w:pPr>
              <w:ind w:left="60"/>
              <w:rPr>
                <w:sz w:val="20"/>
                <w:szCs w:val="20"/>
              </w:rPr>
            </w:pPr>
            <w:r>
              <w:rPr>
                <w:rFonts w:ascii="Arial" w:eastAsia="Arial" w:hAnsi="Arial" w:cs="Arial"/>
                <w:b/>
                <w:bCs/>
                <w:color w:val="CF0A2C"/>
                <w:sz w:val="14"/>
                <w:szCs w:val="14"/>
              </w:rPr>
              <w:t>Name</w:t>
            </w:r>
          </w:p>
        </w:tc>
        <w:tc>
          <w:tcPr>
            <w:tcW w:w="3320" w:type="dxa"/>
            <w:tcBorders>
              <w:bottom w:val="single" w:sz="8" w:space="0" w:color="CF0A2C"/>
            </w:tcBorders>
            <w:shd w:val="clear" w:color="auto" w:fill="FAE6E9"/>
            <w:vAlign w:val="bottom"/>
          </w:tcPr>
          <w:p w:rsidR="00A621E3" w:rsidRDefault="00EC630E">
            <w:pPr>
              <w:ind w:left="1251"/>
              <w:jc w:val="center"/>
              <w:rPr>
                <w:sz w:val="20"/>
                <w:szCs w:val="20"/>
              </w:rPr>
            </w:pPr>
            <w:r>
              <w:rPr>
                <w:rFonts w:ascii="Arial" w:eastAsia="Arial" w:hAnsi="Arial" w:cs="Arial"/>
                <w:b/>
                <w:bCs/>
                <w:color w:val="CF0A2C"/>
                <w:sz w:val="14"/>
                <w:szCs w:val="14"/>
              </w:rPr>
              <w:t>Paid in Cash($)</w:t>
            </w:r>
          </w:p>
        </w:tc>
        <w:tc>
          <w:tcPr>
            <w:tcW w:w="1760" w:type="dxa"/>
            <w:tcBorders>
              <w:bottom w:val="single" w:sz="8" w:space="0" w:color="CF0A2C"/>
            </w:tcBorders>
            <w:shd w:val="clear" w:color="auto" w:fill="FAE6E9"/>
            <w:vAlign w:val="bottom"/>
          </w:tcPr>
          <w:p w:rsidR="00A621E3" w:rsidRDefault="00EC630E">
            <w:pPr>
              <w:spacing w:line="191" w:lineRule="exact"/>
              <w:ind w:right="691"/>
              <w:jc w:val="right"/>
              <w:rPr>
                <w:sz w:val="20"/>
                <w:szCs w:val="20"/>
              </w:rPr>
            </w:pPr>
            <w:r>
              <w:rPr>
                <w:rFonts w:ascii="Arial" w:eastAsia="Arial" w:hAnsi="Arial" w:cs="Arial"/>
                <w:b/>
                <w:bCs/>
                <w:color w:val="CF0A2C"/>
                <w:sz w:val="14"/>
                <w:szCs w:val="14"/>
              </w:rPr>
              <w:t>($)</w:t>
            </w:r>
            <w:r>
              <w:rPr>
                <w:rFonts w:ascii="Arial" w:eastAsia="Arial" w:hAnsi="Arial" w:cs="Arial"/>
                <w:b/>
                <w:bCs/>
                <w:color w:val="CF0A2C"/>
                <w:sz w:val="21"/>
                <w:szCs w:val="21"/>
                <w:vertAlign w:val="superscript"/>
              </w:rPr>
              <w:t>(3)</w:t>
            </w:r>
          </w:p>
        </w:tc>
        <w:tc>
          <w:tcPr>
            <w:tcW w:w="1940" w:type="dxa"/>
            <w:tcBorders>
              <w:bottom w:val="single" w:sz="8" w:space="0" w:color="CF0A2C"/>
            </w:tcBorders>
            <w:shd w:val="clear" w:color="auto" w:fill="FAE6E9"/>
            <w:vAlign w:val="bottom"/>
          </w:tcPr>
          <w:p w:rsidR="00A621E3" w:rsidRDefault="00EC630E">
            <w:pPr>
              <w:ind w:right="31"/>
              <w:jc w:val="center"/>
              <w:rPr>
                <w:sz w:val="20"/>
                <w:szCs w:val="20"/>
              </w:rPr>
            </w:pPr>
            <w:r>
              <w:rPr>
                <w:rFonts w:ascii="Arial" w:eastAsia="Arial" w:hAnsi="Arial" w:cs="Arial"/>
                <w:b/>
                <w:bCs/>
                <w:color w:val="CF0A2C"/>
                <w:w w:val="93"/>
                <w:sz w:val="14"/>
                <w:szCs w:val="14"/>
              </w:rPr>
              <w:t>($)</w:t>
            </w:r>
          </w:p>
        </w:tc>
        <w:tc>
          <w:tcPr>
            <w:tcW w:w="940" w:type="dxa"/>
            <w:tcBorders>
              <w:bottom w:val="single" w:sz="8" w:space="0" w:color="CF0A2C"/>
            </w:tcBorders>
            <w:shd w:val="clear" w:color="auto" w:fill="FAE6E9"/>
            <w:vAlign w:val="bottom"/>
          </w:tcPr>
          <w:p w:rsidR="00A621E3" w:rsidRDefault="00EC630E">
            <w:pPr>
              <w:ind w:right="171"/>
              <w:jc w:val="right"/>
              <w:rPr>
                <w:sz w:val="20"/>
                <w:szCs w:val="20"/>
              </w:rPr>
            </w:pPr>
            <w:r>
              <w:rPr>
                <w:rFonts w:ascii="Arial" w:eastAsia="Arial" w:hAnsi="Arial" w:cs="Arial"/>
                <w:b/>
                <w:bCs/>
                <w:color w:val="CF0A2C"/>
                <w:sz w:val="14"/>
                <w:szCs w:val="14"/>
              </w:rPr>
              <w:t>($)</w:t>
            </w:r>
          </w:p>
        </w:tc>
      </w:tr>
      <w:tr w:rsidR="00A621E3">
        <w:trPr>
          <w:trHeight w:val="169"/>
        </w:trPr>
        <w:tc>
          <w:tcPr>
            <w:tcW w:w="3060" w:type="dxa"/>
            <w:vAlign w:val="bottom"/>
          </w:tcPr>
          <w:p w:rsidR="00A621E3" w:rsidRDefault="00EC630E">
            <w:pPr>
              <w:ind w:left="60"/>
              <w:rPr>
                <w:sz w:val="20"/>
                <w:szCs w:val="20"/>
              </w:rPr>
            </w:pPr>
            <w:r>
              <w:rPr>
                <w:rFonts w:ascii="Arial" w:eastAsia="Arial" w:hAnsi="Arial" w:cs="Arial"/>
                <w:b/>
                <w:bCs/>
                <w:color w:val="CF0A2C"/>
                <w:sz w:val="14"/>
                <w:szCs w:val="14"/>
              </w:rPr>
              <w:t>(a)</w:t>
            </w:r>
          </w:p>
        </w:tc>
        <w:tc>
          <w:tcPr>
            <w:tcW w:w="3320" w:type="dxa"/>
            <w:vAlign w:val="bottom"/>
          </w:tcPr>
          <w:p w:rsidR="00A621E3" w:rsidRDefault="00EC630E">
            <w:pPr>
              <w:ind w:left="1231"/>
              <w:jc w:val="center"/>
              <w:rPr>
                <w:sz w:val="20"/>
                <w:szCs w:val="20"/>
              </w:rPr>
            </w:pPr>
            <w:r>
              <w:rPr>
                <w:rFonts w:ascii="Arial" w:eastAsia="Arial" w:hAnsi="Arial" w:cs="Arial"/>
                <w:b/>
                <w:bCs/>
                <w:color w:val="CF0A2C"/>
                <w:sz w:val="14"/>
                <w:szCs w:val="14"/>
              </w:rPr>
              <w:t>(b)</w:t>
            </w:r>
          </w:p>
        </w:tc>
        <w:tc>
          <w:tcPr>
            <w:tcW w:w="1760" w:type="dxa"/>
            <w:vAlign w:val="bottom"/>
          </w:tcPr>
          <w:p w:rsidR="00A621E3" w:rsidRDefault="00EC630E">
            <w:pPr>
              <w:ind w:right="751"/>
              <w:jc w:val="right"/>
              <w:rPr>
                <w:sz w:val="20"/>
                <w:szCs w:val="20"/>
              </w:rPr>
            </w:pPr>
            <w:r>
              <w:rPr>
                <w:rFonts w:ascii="Arial" w:eastAsia="Arial" w:hAnsi="Arial" w:cs="Arial"/>
                <w:b/>
                <w:bCs/>
                <w:color w:val="CF0A2C"/>
                <w:sz w:val="14"/>
                <w:szCs w:val="14"/>
              </w:rPr>
              <w:t>(c)</w:t>
            </w:r>
          </w:p>
        </w:tc>
        <w:tc>
          <w:tcPr>
            <w:tcW w:w="1940" w:type="dxa"/>
            <w:vAlign w:val="bottom"/>
          </w:tcPr>
          <w:p w:rsidR="00A621E3" w:rsidRDefault="00EC630E">
            <w:pPr>
              <w:ind w:right="31"/>
              <w:jc w:val="center"/>
              <w:rPr>
                <w:sz w:val="20"/>
                <w:szCs w:val="20"/>
              </w:rPr>
            </w:pPr>
            <w:r>
              <w:rPr>
                <w:rFonts w:ascii="Arial" w:eastAsia="Arial" w:hAnsi="Arial" w:cs="Arial"/>
                <w:b/>
                <w:bCs/>
                <w:color w:val="CF0A2C"/>
                <w:sz w:val="14"/>
                <w:szCs w:val="14"/>
              </w:rPr>
              <w:t>(d)</w:t>
            </w:r>
          </w:p>
        </w:tc>
        <w:tc>
          <w:tcPr>
            <w:tcW w:w="940" w:type="dxa"/>
            <w:vAlign w:val="bottom"/>
          </w:tcPr>
          <w:p w:rsidR="00A621E3" w:rsidRDefault="00EC630E">
            <w:pPr>
              <w:ind w:right="171"/>
              <w:jc w:val="right"/>
              <w:rPr>
                <w:sz w:val="20"/>
                <w:szCs w:val="20"/>
              </w:rPr>
            </w:pPr>
            <w:r>
              <w:rPr>
                <w:rFonts w:ascii="Arial" w:eastAsia="Arial" w:hAnsi="Arial" w:cs="Arial"/>
                <w:b/>
                <w:bCs/>
                <w:color w:val="CF0A2C"/>
                <w:sz w:val="14"/>
                <w:szCs w:val="14"/>
              </w:rPr>
              <w:t>(e)</w:t>
            </w:r>
          </w:p>
        </w:tc>
      </w:tr>
      <w:tr w:rsidR="00A621E3">
        <w:trPr>
          <w:trHeight w:val="189"/>
        </w:trPr>
        <w:tc>
          <w:tcPr>
            <w:tcW w:w="3060" w:type="dxa"/>
            <w:vAlign w:val="bottom"/>
          </w:tcPr>
          <w:p w:rsidR="00A621E3" w:rsidRDefault="00EC630E">
            <w:pPr>
              <w:rPr>
                <w:sz w:val="20"/>
                <w:szCs w:val="20"/>
              </w:rPr>
            </w:pPr>
            <w:r>
              <w:rPr>
                <w:rFonts w:ascii="Arial" w:eastAsia="Arial" w:hAnsi="Arial" w:cs="Arial"/>
                <w:b/>
                <w:bCs/>
                <w:color w:val="CF0A2C"/>
                <w:sz w:val="14"/>
                <w:szCs w:val="14"/>
              </w:rPr>
              <w:t>Peter A. Bassi</w:t>
            </w:r>
          </w:p>
        </w:tc>
        <w:tc>
          <w:tcPr>
            <w:tcW w:w="3320" w:type="dxa"/>
            <w:vAlign w:val="bottom"/>
          </w:tcPr>
          <w:p w:rsidR="00A621E3" w:rsidRDefault="00EC630E">
            <w:pPr>
              <w:spacing w:line="189" w:lineRule="exact"/>
              <w:ind w:right="291"/>
              <w:jc w:val="right"/>
              <w:rPr>
                <w:sz w:val="20"/>
                <w:szCs w:val="20"/>
              </w:rPr>
            </w:pPr>
            <w:r>
              <w:rPr>
                <w:rFonts w:ascii="Arial" w:eastAsia="Arial" w:hAnsi="Arial" w:cs="Arial"/>
                <w:sz w:val="13"/>
                <w:szCs w:val="13"/>
              </w:rPr>
              <w:t>137,500</w:t>
            </w:r>
            <w:r>
              <w:rPr>
                <w:rFonts w:ascii="Arial" w:eastAsia="Arial" w:hAnsi="Arial" w:cs="Arial"/>
                <w:sz w:val="20"/>
                <w:szCs w:val="20"/>
                <w:vertAlign w:val="superscript"/>
              </w:rPr>
              <w:t>(1)</w:t>
            </w:r>
          </w:p>
        </w:tc>
        <w:tc>
          <w:tcPr>
            <w:tcW w:w="1760" w:type="dxa"/>
            <w:vAlign w:val="bottom"/>
          </w:tcPr>
          <w:p w:rsidR="00A621E3" w:rsidRDefault="00EC630E">
            <w:pPr>
              <w:ind w:right="371"/>
              <w:jc w:val="right"/>
              <w:rPr>
                <w:sz w:val="20"/>
                <w:szCs w:val="20"/>
              </w:rPr>
            </w:pPr>
            <w:r>
              <w:rPr>
                <w:rFonts w:ascii="Arial" w:eastAsia="Arial" w:hAnsi="Arial" w:cs="Arial"/>
                <w:sz w:val="13"/>
                <w:szCs w:val="13"/>
              </w:rPr>
              <w:t>167,500</w:t>
            </w:r>
          </w:p>
        </w:tc>
        <w:tc>
          <w:tcPr>
            <w:tcW w:w="1940" w:type="dxa"/>
            <w:vAlign w:val="bottom"/>
          </w:tcPr>
          <w:p w:rsidR="00A621E3" w:rsidRDefault="00EC630E">
            <w:pPr>
              <w:spacing w:line="189" w:lineRule="exact"/>
              <w:ind w:right="311"/>
              <w:jc w:val="right"/>
              <w:rPr>
                <w:sz w:val="20"/>
                <w:szCs w:val="20"/>
              </w:rPr>
            </w:pPr>
            <w:r>
              <w:rPr>
                <w:rFonts w:ascii="Arial" w:eastAsia="Arial" w:hAnsi="Arial" w:cs="Arial"/>
                <w:sz w:val="13"/>
                <w:szCs w:val="13"/>
              </w:rPr>
              <w:t>25,000</w:t>
            </w:r>
            <w:r>
              <w:rPr>
                <w:rFonts w:ascii="Arial" w:eastAsia="Arial" w:hAnsi="Arial" w:cs="Arial"/>
                <w:sz w:val="20"/>
                <w:szCs w:val="20"/>
                <w:vertAlign w:val="superscript"/>
              </w:rPr>
              <w:t>(4)</w:t>
            </w:r>
          </w:p>
        </w:tc>
        <w:tc>
          <w:tcPr>
            <w:tcW w:w="940" w:type="dxa"/>
            <w:vAlign w:val="bottom"/>
          </w:tcPr>
          <w:p w:rsidR="00A621E3" w:rsidRDefault="00EC630E">
            <w:pPr>
              <w:jc w:val="right"/>
              <w:rPr>
                <w:sz w:val="20"/>
                <w:szCs w:val="20"/>
              </w:rPr>
            </w:pPr>
            <w:r>
              <w:rPr>
                <w:rFonts w:ascii="Arial" w:eastAsia="Arial" w:hAnsi="Arial" w:cs="Arial"/>
                <w:sz w:val="13"/>
                <w:szCs w:val="13"/>
              </w:rPr>
              <w:t>330,000</w:t>
            </w:r>
          </w:p>
        </w:tc>
      </w:tr>
      <w:tr w:rsidR="00A621E3">
        <w:trPr>
          <w:trHeight w:val="189"/>
        </w:trPr>
        <w:tc>
          <w:tcPr>
            <w:tcW w:w="3060" w:type="dxa"/>
            <w:vAlign w:val="bottom"/>
          </w:tcPr>
          <w:p w:rsidR="00A621E3" w:rsidRDefault="00EC630E">
            <w:pPr>
              <w:rPr>
                <w:sz w:val="20"/>
                <w:szCs w:val="20"/>
              </w:rPr>
            </w:pPr>
            <w:r>
              <w:rPr>
                <w:rFonts w:ascii="Arial" w:eastAsia="Arial" w:hAnsi="Arial" w:cs="Arial"/>
                <w:b/>
                <w:bCs/>
                <w:color w:val="CF0A2C"/>
                <w:sz w:val="14"/>
                <w:szCs w:val="14"/>
              </w:rPr>
              <w:t>Edouard Ettedgui</w:t>
            </w:r>
          </w:p>
        </w:tc>
        <w:tc>
          <w:tcPr>
            <w:tcW w:w="3320" w:type="dxa"/>
            <w:vAlign w:val="bottom"/>
          </w:tcPr>
          <w:p w:rsidR="00A621E3" w:rsidRDefault="00EC630E">
            <w:pPr>
              <w:ind w:right="411"/>
              <w:jc w:val="right"/>
              <w:rPr>
                <w:sz w:val="20"/>
                <w:szCs w:val="20"/>
              </w:rPr>
            </w:pPr>
            <w:r>
              <w:rPr>
                <w:rFonts w:ascii="Arial" w:eastAsia="Arial" w:hAnsi="Arial" w:cs="Arial"/>
                <w:sz w:val="13"/>
                <w:szCs w:val="13"/>
              </w:rPr>
              <w:t>—</w:t>
            </w:r>
          </w:p>
        </w:tc>
        <w:tc>
          <w:tcPr>
            <w:tcW w:w="1760" w:type="dxa"/>
            <w:vAlign w:val="bottom"/>
          </w:tcPr>
          <w:p w:rsidR="00A621E3" w:rsidRDefault="00EC630E">
            <w:pPr>
              <w:ind w:right="371"/>
              <w:jc w:val="right"/>
              <w:rPr>
                <w:sz w:val="20"/>
                <w:szCs w:val="20"/>
              </w:rPr>
            </w:pPr>
            <w:r>
              <w:rPr>
                <w:rFonts w:ascii="Arial" w:eastAsia="Arial" w:hAnsi="Arial" w:cs="Arial"/>
                <w:sz w:val="13"/>
                <w:szCs w:val="13"/>
              </w:rPr>
              <w:t>275,000</w:t>
            </w:r>
          </w:p>
        </w:tc>
        <w:tc>
          <w:tcPr>
            <w:tcW w:w="1940" w:type="dxa"/>
            <w:vAlign w:val="bottom"/>
          </w:tcPr>
          <w:p w:rsidR="00A621E3" w:rsidRDefault="00EC630E">
            <w:pPr>
              <w:ind w:right="451"/>
              <w:jc w:val="right"/>
              <w:rPr>
                <w:sz w:val="20"/>
                <w:szCs w:val="20"/>
              </w:rPr>
            </w:pPr>
            <w:r>
              <w:rPr>
                <w:rFonts w:ascii="Arial" w:eastAsia="Arial" w:hAnsi="Arial" w:cs="Arial"/>
                <w:sz w:val="13"/>
                <w:szCs w:val="13"/>
              </w:rPr>
              <w:t>—</w:t>
            </w:r>
          </w:p>
        </w:tc>
        <w:tc>
          <w:tcPr>
            <w:tcW w:w="940" w:type="dxa"/>
            <w:vAlign w:val="bottom"/>
          </w:tcPr>
          <w:p w:rsidR="00A621E3" w:rsidRDefault="00EC630E">
            <w:pPr>
              <w:jc w:val="right"/>
              <w:rPr>
                <w:sz w:val="20"/>
                <w:szCs w:val="20"/>
              </w:rPr>
            </w:pPr>
            <w:r>
              <w:rPr>
                <w:rFonts w:ascii="Arial" w:eastAsia="Arial" w:hAnsi="Arial" w:cs="Arial"/>
                <w:sz w:val="13"/>
                <w:szCs w:val="13"/>
              </w:rPr>
              <w:t>275,000</w:t>
            </w:r>
          </w:p>
        </w:tc>
      </w:tr>
      <w:tr w:rsidR="00A621E3">
        <w:trPr>
          <w:trHeight w:val="189"/>
        </w:trPr>
        <w:tc>
          <w:tcPr>
            <w:tcW w:w="3060" w:type="dxa"/>
            <w:vAlign w:val="bottom"/>
          </w:tcPr>
          <w:p w:rsidR="00A621E3" w:rsidRDefault="00EC630E">
            <w:pPr>
              <w:rPr>
                <w:sz w:val="20"/>
                <w:szCs w:val="20"/>
              </w:rPr>
            </w:pPr>
            <w:r>
              <w:rPr>
                <w:rFonts w:ascii="Arial" w:eastAsia="Arial" w:hAnsi="Arial" w:cs="Arial"/>
                <w:b/>
                <w:bCs/>
                <w:color w:val="CF0A2C"/>
                <w:sz w:val="14"/>
                <w:szCs w:val="14"/>
              </w:rPr>
              <w:t>Cyril Han</w:t>
            </w:r>
          </w:p>
        </w:tc>
        <w:tc>
          <w:tcPr>
            <w:tcW w:w="3320" w:type="dxa"/>
            <w:vAlign w:val="bottom"/>
          </w:tcPr>
          <w:p w:rsidR="00A621E3" w:rsidRDefault="00EC630E">
            <w:pPr>
              <w:ind w:right="411"/>
              <w:jc w:val="right"/>
              <w:rPr>
                <w:sz w:val="20"/>
                <w:szCs w:val="20"/>
              </w:rPr>
            </w:pPr>
            <w:r>
              <w:rPr>
                <w:rFonts w:ascii="Arial" w:eastAsia="Arial" w:hAnsi="Arial" w:cs="Arial"/>
                <w:sz w:val="13"/>
                <w:szCs w:val="13"/>
              </w:rPr>
              <w:t>—</w:t>
            </w:r>
          </w:p>
        </w:tc>
        <w:tc>
          <w:tcPr>
            <w:tcW w:w="1760" w:type="dxa"/>
            <w:vAlign w:val="bottom"/>
          </w:tcPr>
          <w:p w:rsidR="00A621E3" w:rsidRDefault="00EC630E">
            <w:pPr>
              <w:ind w:right="371"/>
              <w:jc w:val="right"/>
              <w:rPr>
                <w:sz w:val="20"/>
                <w:szCs w:val="20"/>
              </w:rPr>
            </w:pPr>
            <w:r>
              <w:rPr>
                <w:rFonts w:ascii="Arial" w:eastAsia="Arial" w:hAnsi="Arial" w:cs="Arial"/>
                <w:sz w:val="13"/>
                <w:szCs w:val="13"/>
              </w:rPr>
              <w:t>275,000</w:t>
            </w:r>
          </w:p>
        </w:tc>
        <w:tc>
          <w:tcPr>
            <w:tcW w:w="1940" w:type="dxa"/>
            <w:vAlign w:val="bottom"/>
          </w:tcPr>
          <w:p w:rsidR="00A621E3" w:rsidRDefault="00EC630E">
            <w:pPr>
              <w:ind w:right="451"/>
              <w:jc w:val="right"/>
              <w:rPr>
                <w:sz w:val="20"/>
                <w:szCs w:val="20"/>
              </w:rPr>
            </w:pPr>
            <w:r>
              <w:rPr>
                <w:rFonts w:ascii="Arial" w:eastAsia="Arial" w:hAnsi="Arial" w:cs="Arial"/>
                <w:sz w:val="13"/>
                <w:szCs w:val="13"/>
              </w:rPr>
              <w:t>—</w:t>
            </w:r>
          </w:p>
        </w:tc>
        <w:tc>
          <w:tcPr>
            <w:tcW w:w="940" w:type="dxa"/>
            <w:vAlign w:val="bottom"/>
          </w:tcPr>
          <w:p w:rsidR="00A621E3" w:rsidRDefault="00EC630E">
            <w:pPr>
              <w:jc w:val="right"/>
              <w:rPr>
                <w:sz w:val="20"/>
                <w:szCs w:val="20"/>
              </w:rPr>
            </w:pPr>
            <w:r>
              <w:rPr>
                <w:rFonts w:ascii="Arial" w:eastAsia="Arial" w:hAnsi="Arial" w:cs="Arial"/>
                <w:sz w:val="13"/>
                <w:szCs w:val="13"/>
              </w:rPr>
              <w:t>275,000</w:t>
            </w:r>
          </w:p>
        </w:tc>
      </w:tr>
      <w:tr w:rsidR="00A621E3">
        <w:trPr>
          <w:trHeight w:val="189"/>
        </w:trPr>
        <w:tc>
          <w:tcPr>
            <w:tcW w:w="3060" w:type="dxa"/>
            <w:vAlign w:val="bottom"/>
          </w:tcPr>
          <w:p w:rsidR="00A621E3" w:rsidRDefault="00EC630E">
            <w:pPr>
              <w:rPr>
                <w:sz w:val="20"/>
                <w:szCs w:val="20"/>
              </w:rPr>
            </w:pPr>
            <w:r>
              <w:rPr>
                <w:rFonts w:ascii="Arial" w:eastAsia="Arial" w:hAnsi="Arial" w:cs="Arial"/>
                <w:b/>
                <w:bCs/>
                <w:color w:val="CF0A2C"/>
                <w:sz w:val="14"/>
                <w:szCs w:val="14"/>
              </w:rPr>
              <w:t>Louis T. Hsieh</w:t>
            </w:r>
          </w:p>
        </w:tc>
        <w:tc>
          <w:tcPr>
            <w:tcW w:w="3320" w:type="dxa"/>
            <w:vAlign w:val="bottom"/>
          </w:tcPr>
          <w:p w:rsidR="00A621E3" w:rsidRDefault="00EC630E">
            <w:pPr>
              <w:spacing w:line="189" w:lineRule="exact"/>
              <w:ind w:right="291"/>
              <w:jc w:val="right"/>
              <w:rPr>
                <w:sz w:val="20"/>
                <w:szCs w:val="20"/>
              </w:rPr>
            </w:pPr>
            <w:r>
              <w:rPr>
                <w:rFonts w:ascii="Arial" w:eastAsia="Arial" w:hAnsi="Arial" w:cs="Arial"/>
                <w:sz w:val="13"/>
                <w:szCs w:val="13"/>
              </w:rPr>
              <w:t>137,500</w:t>
            </w:r>
            <w:r>
              <w:rPr>
                <w:rFonts w:ascii="Arial" w:eastAsia="Arial" w:hAnsi="Arial" w:cs="Arial"/>
                <w:sz w:val="20"/>
                <w:szCs w:val="20"/>
                <w:vertAlign w:val="superscript"/>
              </w:rPr>
              <w:t>(1)</w:t>
            </w:r>
          </w:p>
        </w:tc>
        <w:tc>
          <w:tcPr>
            <w:tcW w:w="1760" w:type="dxa"/>
            <w:vAlign w:val="bottom"/>
          </w:tcPr>
          <w:p w:rsidR="00A621E3" w:rsidRDefault="00EC630E">
            <w:pPr>
              <w:ind w:right="371"/>
              <w:jc w:val="right"/>
              <w:rPr>
                <w:sz w:val="20"/>
                <w:szCs w:val="20"/>
              </w:rPr>
            </w:pPr>
            <w:r>
              <w:rPr>
                <w:rFonts w:ascii="Arial" w:eastAsia="Arial" w:hAnsi="Arial" w:cs="Arial"/>
                <w:sz w:val="13"/>
                <w:szCs w:val="13"/>
              </w:rPr>
              <w:t>137,500</w:t>
            </w:r>
          </w:p>
        </w:tc>
        <w:tc>
          <w:tcPr>
            <w:tcW w:w="1940" w:type="dxa"/>
            <w:vAlign w:val="bottom"/>
          </w:tcPr>
          <w:p w:rsidR="00A621E3" w:rsidRDefault="00EC630E">
            <w:pPr>
              <w:ind w:right="451"/>
              <w:jc w:val="right"/>
              <w:rPr>
                <w:sz w:val="20"/>
                <w:szCs w:val="20"/>
              </w:rPr>
            </w:pPr>
            <w:r>
              <w:rPr>
                <w:rFonts w:ascii="Arial" w:eastAsia="Arial" w:hAnsi="Arial" w:cs="Arial"/>
                <w:sz w:val="13"/>
                <w:szCs w:val="13"/>
              </w:rPr>
              <w:t>—</w:t>
            </w:r>
          </w:p>
        </w:tc>
        <w:tc>
          <w:tcPr>
            <w:tcW w:w="940" w:type="dxa"/>
            <w:vAlign w:val="bottom"/>
          </w:tcPr>
          <w:p w:rsidR="00A621E3" w:rsidRDefault="00EC630E">
            <w:pPr>
              <w:jc w:val="right"/>
              <w:rPr>
                <w:sz w:val="20"/>
                <w:szCs w:val="20"/>
              </w:rPr>
            </w:pPr>
            <w:r>
              <w:rPr>
                <w:rFonts w:ascii="Arial" w:eastAsia="Arial" w:hAnsi="Arial" w:cs="Arial"/>
                <w:sz w:val="13"/>
                <w:szCs w:val="13"/>
              </w:rPr>
              <w:t>275,000</w:t>
            </w:r>
          </w:p>
        </w:tc>
      </w:tr>
      <w:tr w:rsidR="00A621E3">
        <w:trPr>
          <w:trHeight w:val="189"/>
        </w:trPr>
        <w:tc>
          <w:tcPr>
            <w:tcW w:w="3060" w:type="dxa"/>
            <w:vAlign w:val="bottom"/>
          </w:tcPr>
          <w:p w:rsidR="00A621E3" w:rsidRDefault="00EC630E">
            <w:pPr>
              <w:rPr>
                <w:sz w:val="20"/>
                <w:szCs w:val="20"/>
              </w:rPr>
            </w:pPr>
            <w:r>
              <w:rPr>
                <w:rFonts w:ascii="Arial" w:eastAsia="Arial" w:hAnsi="Arial" w:cs="Arial"/>
                <w:b/>
                <w:bCs/>
                <w:color w:val="CF0A2C"/>
                <w:sz w:val="14"/>
                <w:szCs w:val="14"/>
              </w:rPr>
              <w:t>Fred Hu</w:t>
            </w:r>
          </w:p>
        </w:tc>
        <w:tc>
          <w:tcPr>
            <w:tcW w:w="3320" w:type="dxa"/>
            <w:vAlign w:val="bottom"/>
          </w:tcPr>
          <w:p w:rsidR="00A621E3" w:rsidRDefault="00EC630E">
            <w:pPr>
              <w:spacing w:line="189" w:lineRule="exact"/>
              <w:ind w:right="291"/>
              <w:jc w:val="right"/>
              <w:rPr>
                <w:sz w:val="20"/>
                <w:szCs w:val="20"/>
              </w:rPr>
            </w:pPr>
            <w:r>
              <w:rPr>
                <w:rFonts w:ascii="Arial" w:eastAsia="Arial" w:hAnsi="Arial" w:cs="Arial"/>
                <w:sz w:val="13"/>
                <w:szCs w:val="13"/>
              </w:rPr>
              <w:t>225,000</w:t>
            </w:r>
            <w:r>
              <w:rPr>
                <w:rFonts w:ascii="Arial" w:eastAsia="Arial" w:hAnsi="Arial" w:cs="Arial"/>
                <w:sz w:val="20"/>
                <w:szCs w:val="20"/>
                <w:vertAlign w:val="superscript"/>
              </w:rPr>
              <w:t>(2)</w:t>
            </w:r>
          </w:p>
        </w:tc>
        <w:tc>
          <w:tcPr>
            <w:tcW w:w="1760" w:type="dxa"/>
            <w:vAlign w:val="bottom"/>
          </w:tcPr>
          <w:p w:rsidR="00A621E3" w:rsidRDefault="00EC630E">
            <w:pPr>
              <w:ind w:right="371"/>
              <w:jc w:val="right"/>
              <w:rPr>
                <w:sz w:val="20"/>
                <w:szCs w:val="20"/>
              </w:rPr>
            </w:pPr>
            <w:r>
              <w:rPr>
                <w:rFonts w:ascii="Arial" w:eastAsia="Arial" w:hAnsi="Arial" w:cs="Arial"/>
                <w:sz w:val="13"/>
                <w:szCs w:val="13"/>
              </w:rPr>
              <w:t>290,000</w:t>
            </w:r>
          </w:p>
        </w:tc>
        <w:tc>
          <w:tcPr>
            <w:tcW w:w="1940" w:type="dxa"/>
            <w:vAlign w:val="bottom"/>
          </w:tcPr>
          <w:p w:rsidR="00A621E3" w:rsidRDefault="00EC630E">
            <w:pPr>
              <w:ind w:right="451"/>
              <w:jc w:val="right"/>
              <w:rPr>
                <w:sz w:val="20"/>
                <w:szCs w:val="20"/>
              </w:rPr>
            </w:pPr>
            <w:r>
              <w:rPr>
                <w:rFonts w:ascii="Arial" w:eastAsia="Arial" w:hAnsi="Arial" w:cs="Arial"/>
                <w:sz w:val="13"/>
                <w:szCs w:val="13"/>
              </w:rPr>
              <w:t>—</w:t>
            </w:r>
          </w:p>
        </w:tc>
        <w:tc>
          <w:tcPr>
            <w:tcW w:w="940" w:type="dxa"/>
            <w:vAlign w:val="bottom"/>
          </w:tcPr>
          <w:p w:rsidR="00A621E3" w:rsidRDefault="00EC630E">
            <w:pPr>
              <w:jc w:val="right"/>
              <w:rPr>
                <w:sz w:val="20"/>
                <w:szCs w:val="20"/>
              </w:rPr>
            </w:pPr>
            <w:r>
              <w:rPr>
                <w:rFonts w:ascii="Arial" w:eastAsia="Arial" w:hAnsi="Arial" w:cs="Arial"/>
                <w:sz w:val="13"/>
                <w:szCs w:val="13"/>
              </w:rPr>
              <w:t>515,000</w:t>
            </w:r>
          </w:p>
        </w:tc>
      </w:tr>
      <w:tr w:rsidR="00A621E3">
        <w:trPr>
          <w:trHeight w:val="189"/>
        </w:trPr>
        <w:tc>
          <w:tcPr>
            <w:tcW w:w="3060" w:type="dxa"/>
            <w:vAlign w:val="bottom"/>
          </w:tcPr>
          <w:p w:rsidR="00A621E3" w:rsidRDefault="00EC630E">
            <w:pPr>
              <w:rPr>
                <w:sz w:val="20"/>
                <w:szCs w:val="20"/>
              </w:rPr>
            </w:pPr>
            <w:r>
              <w:rPr>
                <w:rFonts w:ascii="Arial" w:eastAsia="Arial" w:hAnsi="Arial" w:cs="Arial"/>
                <w:b/>
                <w:bCs/>
                <w:color w:val="CF0A2C"/>
                <w:sz w:val="14"/>
                <w:szCs w:val="14"/>
              </w:rPr>
              <w:t>Ruby Lu</w:t>
            </w:r>
          </w:p>
        </w:tc>
        <w:tc>
          <w:tcPr>
            <w:tcW w:w="3320" w:type="dxa"/>
            <w:vAlign w:val="bottom"/>
          </w:tcPr>
          <w:p w:rsidR="00A621E3" w:rsidRDefault="00EC630E">
            <w:pPr>
              <w:ind w:right="411"/>
              <w:jc w:val="right"/>
              <w:rPr>
                <w:sz w:val="20"/>
                <w:szCs w:val="20"/>
              </w:rPr>
            </w:pPr>
            <w:r>
              <w:rPr>
                <w:rFonts w:ascii="Arial" w:eastAsia="Arial" w:hAnsi="Arial" w:cs="Arial"/>
                <w:sz w:val="13"/>
                <w:szCs w:val="13"/>
              </w:rPr>
              <w:t>—</w:t>
            </w:r>
          </w:p>
        </w:tc>
        <w:tc>
          <w:tcPr>
            <w:tcW w:w="1760" w:type="dxa"/>
            <w:vAlign w:val="bottom"/>
          </w:tcPr>
          <w:p w:rsidR="00A621E3" w:rsidRDefault="00EC630E">
            <w:pPr>
              <w:ind w:right="371"/>
              <w:jc w:val="right"/>
              <w:rPr>
                <w:sz w:val="20"/>
                <w:szCs w:val="20"/>
              </w:rPr>
            </w:pPr>
            <w:r>
              <w:rPr>
                <w:rFonts w:ascii="Arial" w:eastAsia="Arial" w:hAnsi="Arial" w:cs="Arial"/>
                <w:sz w:val="13"/>
                <w:szCs w:val="13"/>
              </w:rPr>
              <w:t>295,000</w:t>
            </w:r>
          </w:p>
        </w:tc>
        <w:tc>
          <w:tcPr>
            <w:tcW w:w="1940" w:type="dxa"/>
            <w:vAlign w:val="bottom"/>
          </w:tcPr>
          <w:p w:rsidR="00A621E3" w:rsidRDefault="00EC630E">
            <w:pPr>
              <w:ind w:right="451"/>
              <w:jc w:val="right"/>
              <w:rPr>
                <w:sz w:val="20"/>
                <w:szCs w:val="20"/>
              </w:rPr>
            </w:pPr>
            <w:r>
              <w:rPr>
                <w:rFonts w:ascii="Arial" w:eastAsia="Arial" w:hAnsi="Arial" w:cs="Arial"/>
                <w:sz w:val="13"/>
                <w:szCs w:val="13"/>
              </w:rPr>
              <w:t>—</w:t>
            </w:r>
          </w:p>
        </w:tc>
        <w:tc>
          <w:tcPr>
            <w:tcW w:w="940" w:type="dxa"/>
            <w:vAlign w:val="bottom"/>
          </w:tcPr>
          <w:p w:rsidR="00A621E3" w:rsidRDefault="00EC630E">
            <w:pPr>
              <w:jc w:val="right"/>
              <w:rPr>
                <w:sz w:val="20"/>
                <w:szCs w:val="20"/>
              </w:rPr>
            </w:pPr>
            <w:r>
              <w:rPr>
                <w:rFonts w:ascii="Arial" w:eastAsia="Arial" w:hAnsi="Arial" w:cs="Arial"/>
                <w:sz w:val="13"/>
                <w:szCs w:val="13"/>
              </w:rPr>
              <w:t>295,000</w:t>
            </w:r>
          </w:p>
        </w:tc>
      </w:tr>
      <w:tr w:rsidR="00A621E3">
        <w:trPr>
          <w:trHeight w:val="189"/>
        </w:trPr>
        <w:tc>
          <w:tcPr>
            <w:tcW w:w="3060" w:type="dxa"/>
            <w:vAlign w:val="bottom"/>
          </w:tcPr>
          <w:p w:rsidR="00A621E3" w:rsidRDefault="00EC630E">
            <w:pPr>
              <w:rPr>
                <w:sz w:val="20"/>
                <w:szCs w:val="20"/>
              </w:rPr>
            </w:pPr>
            <w:r>
              <w:rPr>
                <w:rFonts w:ascii="Arial" w:eastAsia="Arial" w:hAnsi="Arial" w:cs="Arial"/>
                <w:b/>
                <w:bCs/>
                <w:color w:val="CF0A2C"/>
                <w:sz w:val="14"/>
                <w:szCs w:val="14"/>
              </w:rPr>
              <w:t>Zili Shao</w:t>
            </w:r>
          </w:p>
        </w:tc>
        <w:tc>
          <w:tcPr>
            <w:tcW w:w="3320" w:type="dxa"/>
            <w:vAlign w:val="bottom"/>
          </w:tcPr>
          <w:p w:rsidR="00A621E3" w:rsidRDefault="00EC630E">
            <w:pPr>
              <w:ind w:right="411"/>
              <w:jc w:val="right"/>
              <w:rPr>
                <w:sz w:val="20"/>
                <w:szCs w:val="20"/>
              </w:rPr>
            </w:pPr>
            <w:r>
              <w:rPr>
                <w:rFonts w:ascii="Arial" w:eastAsia="Arial" w:hAnsi="Arial" w:cs="Arial"/>
                <w:sz w:val="13"/>
                <w:szCs w:val="13"/>
              </w:rPr>
              <w:t>—</w:t>
            </w:r>
          </w:p>
        </w:tc>
        <w:tc>
          <w:tcPr>
            <w:tcW w:w="1760" w:type="dxa"/>
            <w:vAlign w:val="bottom"/>
          </w:tcPr>
          <w:p w:rsidR="00A621E3" w:rsidRDefault="00EC630E">
            <w:pPr>
              <w:ind w:right="371"/>
              <w:jc w:val="right"/>
              <w:rPr>
                <w:sz w:val="20"/>
                <w:szCs w:val="20"/>
              </w:rPr>
            </w:pPr>
            <w:r>
              <w:rPr>
                <w:rFonts w:ascii="Arial" w:eastAsia="Arial" w:hAnsi="Arial" w:cs="Arial"/>
                <w:sz w:val="13"/>
                <w:szCs w:val="13"/>
              </w:rPr>
              <w:t>290,000</w:t>
            </w:r>
          </w:p>
        </w:tc>
        <w:tc>
          <w:tcPr>
            <w:tcW w:w="1940" w:type="dxa"/>
            <w:vAlign w:val="bottom"/>
          </w:tcPr>
          <w:p w:rsidR="00A621E3" w:rsidRDefault="00EC630E">
            <w:pPr>
              <w:ind w:right="451"/>
              <w:jc w:val="right"/>
              <w:rPr>
                <w:sz w:val="20"/>
                <w:szCs w:val="20"/>
              </w:rPr>
            </w:pPr>
            <w:r>
              <w:rPr>
                <w:rFonts w:ascii="Arial" w:eastAsia="Arial" w:hAnsi="Arial" w:cs="Arial"/>
                <w:sz w:val="13"/>
                <w:szCs w:val="13"/>
              </w:rPr>
              <w:t>—</w:t>
            </w:r>
          </w:p>
        </w:tc>
        <w:tc>
          <w:tcPr>
            <w:tcW w:w="940" w:type="dxa"/>
            <w:vAlign w:val="bottom"/>
          </w:tcPr>
          <w:p w:rsidR="00A621E3" w:rsidRDefault="00EC630E">
            <w:pPr>
              <w:jc w:val="right"/>
              <w:rPr>
                <w:sz w:val="20"/>
                <w:szCs w:val="20"/>
              </w:rPr>
            </w:pPr>
            <w:r>
              <w:rPr>
                <w:rFonts w:ascii="Arial" w:eastAsia="Arial" w:hAnsi="Arial" w:cs="Arial"/>
                <w:sz w:val="13"/>
                <w:szCs w:val="13"/>
              </w:rPr>
              <w:t>290,000</w:t>
            </w:r>
          </w:p>
        </w:tc>
      </w:tr>
      <w:tr w:rsidR="00A621E3">
        <w:trPr>
          <w:trHeight w:val="189"/>
        </w:trPr>
        <w:tc>
          <w:tcPr>
            <w:tcW w:w="3060" w:type="dxa"/>
            <w:vAlign w:val="bottom"/>
          </w:tcPr>
          <w:p w:rsidR="00A621E3" w:rsidRDefault="00EC630E">
            <w:pPr>
              <w:rPr>
                <w:sz w:val="20"/>
                <w:szCs w:val="20"/>
              </w:rPr>
            </w:pPr>
            <w:r>
              <w:rPr>
                <w:rFonts w:ascii="Arial" w:eastAsia="Arial" w:hAnsi="Arial" w:cs="Arial"/>
                <w:b/>
                <w:bCs/>
                <w:color w:val="CF0A2C"/>
                <w:sz w:val="14"/>
                <w:szCs w:val="14"/>
              </w:rPr>
              <w:t>William Wang</w:t>
            </w:r>
          </w:p>
        </w:tc>
        <w:tc>
          <w:tcPr>
            <w:tcW w:w="3320" w:type="dxa"/>
            <w:vAlign w:val="bottom"/>
          </w:tcPr>
          <w:p w:rsidR="00A621E3" w:rsidRDefault="00EC630E">
            <w:pPr>
              <w:ind w:right="411"/>
              <w:jc w:val="right"/>
              <w:rPr>
                <w:sz w:val="20"/>
                <w:szCs w:val="20"/>
              </w:rPr>
            </w:pPr>
            <w:r>
              <w:rPr>
                <w:rFonts w:ascii="Arial" w:eastAsia="Arial" w:hAnsi="Arial" w:cs="Arial"/>
                <w:sz w:val="13"/>
                <w:szCs w:val="13"/>
              </w:rPr>
              <w:t>—</w:t>
            </w:r>
          </w:p>
        </w:tc>
        <w:tc>
          <w:tcPr>
            <w:tcW w:w="1760" w:type="dxa"/>
            <w:vAlign w:val="bottom"/>
          </w:tcPr>
          <w:p w:rsidR="00A621E3" w:rsidRDefault="00EC630E">
            <w:pPr>
              <w:ind w:right="371"/>
              <w:jc w:val="right"/>
              <w:rPr>
                <w:sz w:val="20"/>
                <w:szCs w:val="20"/>
              </w:rPr>
            </w:pPr>
            <w:r>
              <w:rPr>
                <w:rFonts w:ascii="Arial" w:eastAsia="Arial" w:hAnsi="Arial" w:cs="Arial"/>
                <w:sz w:val="13"/>
                <w:szCs w:val="13"/>
              </w:rPr>
              <w:t>275,000</w:t>
            </w:r>
          </w:p>
        </w:tc>
        <w:tc>
          <w:tcPr>
            <w:tcW w:w="1940" w:type="dxa"/>
            <w:vAlign w:val="bottom"/>
          </w:tcPr>
          <w:p w:rsidR="00A621E3" w:rsidRDefault="00EC630E">
            <w:pPr>
              <w:ind w:right="451"/>
              <w:jc w:val="right"/>
              <w:rPr>
                <w:sz w:val="20"/>
                <w:szCs w:val="20"/>
              </w:rPr>
            </w:pPr>
            <w:r>
              <w:rPr>
                <w:rFonts w:ascii="Arial" w:eastAsia="Arial" w:hAnsi="Arial" w:cs="Arial"/>
                <w:sz w:val="13"/>
                <w:szCs w:val="13"/>
              </w:rPr>
              <w:t>—</w:t>
            </w:r>
          </w:p>
        </w:tc>
        <w:tc>
          <w:tcPr>
            <w:tcW w:w="940" w:type="dxa"/>
            <w:vAlign w:val="bottom"/>
          </w:tcPr>
          <w:p w:rsidR="00A621E3" w:rsidRDefault="00EC630E">
            <w:pPr>
              <w:jc w:val="right"/>
              <w:rPr>
                <w:sz w:val="20"/>
                <w:szCs w:val="20"/>
              </w:rPr>
            </w:pPr>
            <w:r>
              <w:rPr>
                <w:rFonts w:ascii="Arial" w:eastAsia="Arial" w:hAnsi="Arial" w:cs="Arial"/>
                <w:sz w:val="13"/>
                <w:szCs w:val="13"/>
              </w:rPr>
              <w:t>275,000</w:t>
            </w:r>
          </w:p>
        </w:tc>
      </w:tr>
      <w:tr w:rsidR="00A621E3">
        <w:trPr>
          <w:trHeight w:val="175"/>
        </w:trPr>
        <w:tc>
          <w:tcPr>
            <w:tcW w:w="3060" w:type="dxa"/>
            <w:tcBorders>
              <w:bottom w:val="single" w:sz="8" w:space="0" w:color="CF0A2C"/>
            </w:tcBorders>
            <w:vAlign w:val="bottom"/>
          </w:tcPr>
          <w:p w:rsidR="00A621E3" w:rsidRDefault="00EC630E">
            <w:pPr>
              <w:rPr>
                <w:sz w:val="20"/>
                <w:szCs w:val="20"/>
              </w:rPr>
            </w:pPr>
            <w:r>
              <w:rPr>
                <w:rFonts w:ascii="Arial" w:eastAsia="Arial" w:hAnsi="Arial" w:cs="Arial"/>
                <w:b/>
                <w:bCs/>
                <w:color w:val="CF0A2C"/>
                <w:sz w:val="14"/>
                <w:szCs w:val="14"/>
              </w:rPr>
              <w:t>Min (Jenny) Zhang</w:t>
            </w:r>
          </w:p>
        </w:tc>
        <w:tc>
          <w:tcPr>
            <w:tcW w:w="3320" w:type="dxa"/>
            <w:tcBorders>
              <w:bottom w:val="single" w:sz="8" w:space="0" w:color="CF0A2C"/>
            </w:tcBorders>
            <w:vAlign w:val="bottom"/>
          </w:tcPr>
          <w:p w:rsidR="00A621E3" w:rsidRDefault="00EC630E">
            <w:pPr>
              <w:spacing w:line="175" w:lineRule="exact"/>
              <w:ind w:right="291"/>
              <w:jc w:val="right"/>
              <w:rPr>
                <w:sz w:val="20"/>
                <w:szCs w:val="20"/>
              </w:rPr>
            </w:pPr>
            <w:r>
              <w:rPr>
                <w:rFonts w:ascii="Arial" w:eastAsia="Arial" w:hAnsi="Arial" w:cs="Arial"/>
                <w:sz w:val="13"/>
                <w:szCs w:val="13"/>
              </w:rPr>
              <w:t>137,500</w:t>
            </w:r>
            <w:r>
              <w:rPr>
                <w:rFonts w:ascii="Arial" w:eastAsia="Arial" w:hAnsi="Arial" w:cs="Arial"/>
                <w:sz w:val="20"/>
                <w:szCs w:val="20"/>
                <w:vertAlign w:val="superscript"/>
              </w:rPr>
              <w:t>(1)</w:t>
            </w:r>
          </w:p>
        </w:tc>
        <w:tc>
          <w:tcPr>
            <w:tcW w:w="1760" w:type="dxa"/>
            <w:tcBorders>
              <w:bottom w:val="single" w:sz="8" w:space="0" w:color="CF0A2C"/>
            </w:tcBorders>
            <w:vAlign w:val="bottom"/>
          </w:tcPr>
          <w:p w:rsidR="00A621E3" w:rsidRDefault="00EC630E">
            <w:pPr>
              <w:ind w:right="371"/>
              <w:jc w:val="right"/>
              <w:rPr>
                <w:sz w:val="20"/>
                <w:szCs w:val="20"/>
              </w:rPr>
            </w:pPr>
            <w:r>
              <w:rPr>
                <w:rFonts w:ascii="Arial" w:eastAsia="Arial" w:hAnsi="Arial" w:cs="Arial"/>
                <w:sz w:val="13"/>
                <w:szCs w:val="13"/>
              </w:rPr>
              <w:t>137,500</w:t>
            </w:r>
          </w:p>
        </w:tc>
        <w:tc>
          <w:tcPr>
            <w:tcW w:w="1940" w:type="dxa"/>
            <w:tcBorders>
              <w:bottom w:val="single" w:sz="8" w:space="0" w:color="CF0A2C"/>
            </w:tcBorders>
            <w:vAlign w:val="bottom"/>
          </w:tcPr>
          <w:p w:rsidR="00A621E3" w:rsidRDefault="00EC630E">
            <w:pPr>
              <w:ind w:right="451"/>
              <w:jc w:val="right"/>
              <w:rPr>
                <w:sz w:val="20"/>
                <w:szCs w:val="20"/>
              </w:rPr>
            </w:pPr>
            <w:r>
              <w:rPr>
                <w:rFonts w:ascii="Arial" w:eastAsia="Arial" w:hAnsi="Arial" w:cs="Arial"/>
                <w:sz w:val="13"/>
                <w:szCs w:val="13"/>
              </w:rPr>
              <w:t>—</w:t>
            </w:r>
          </w:p>
        </w:tc>
        <w:tc>
          <w:tcPr>
            <w:tcW w:w="940" w:type="dxa"/>
            <w:tcBorders>
              <w:bottom w:val="single" w:sz="8" w:space="0" w:color="CF0A2C"/>
            </w:tcBorders>
            <w:vAlign w:val="bottom"/>
          </w:tcPr>
          <w:p w:rsidR="00A621E3" w:rsidRDefault="00EC630E">
            <w:pPr>
              <w:jc w:val="right"/>
              <w:rPr>
                <w:sz w:val="20"/>
                <w:szCs w:val="20"/>
              </w:rPr>
            </w:pPr>
            <w:r>
              <w:rPr>
                <w:rFonts w:ascii="Arial" w:eastAsia="Arial" w:hAnsi="Arial" w:cs="Arial"/>
                <w:sz w:val="13"/>
                <w:szCs w:val="13"/>
              </w:rPr>
              <w:t>275,000</w:t>
            </w:r>
          </w:p>
        </w:tc>
      </w:tr>
    </w:tbl>
    <w:p w:rsidR="00A621E3" w:rsidRDefault="00A621E3">
      <w:pPr>
        <w:spacing w:line="280" w:lineRule="exact"/>
        <w:rPr>
          <w:sz w:val="20"/>
          <w:szCs w:val="20"/>
        </w:rPr>
      </w:pPr>
    </w:p>
    <w:p w:rsidR="00A621E3" w:rsidRDefault="00EC630E">
      <w:pPr>
        <w:numPr>
          <w:ilvl w:val="0"/>
          <w:numId w:val="131"/>
        </w:numPr>
        <w:tabs>
          <w:tab w:val="left" w:pos="760"/>
        </w:tabs>
        <w:spacing w:line="260" w:lineRule="auto"/>
        <w:ind w:left="760" w:right="20" w:hanging="644"/>
        <w:rPr>
          <w:rFonts w:ascii="Arial" w:eastAsia="Arial" w:hAnsi="Arial" w:cs="Arial"/>
          <w:color w:val="CF0A2C"/>
          <w:sz w:val="20"/>
          <w:szCs w:val="20"/>
        </w:rPr>
      </w:pPr>
      <w:r>
        <w:rPr>
          <w:rFonts w:ascii="Arial" w:eastAsia="Arial" w:hAnsi="Arial" w:cs="Arial"/>
          <w:sz w:val="20"/>
          <w:szCs w:val="20"/>
        </w:rPr>
        <w:t xml:space="preserve">Represents the portion of the annual retainer that Messrs. Bassi and Hsieh and Ms. Zhang elected to receive in cash rather than </w:t>
      </w:r>
      <w:r>
        <w:rPr>
          <w:rFonts w:ascii="Arial" w:eastAsia="Arial" w:hAnsi="Arial" w:cs="Arial"/>
          <w:sz w:val="20"/>
          <w:szCs w:val="20"/>
        </w:rPr>
        <w:t>equity.</w:t>
      </w:r>
    </w:p>
    <w:p w:rsidR="00A621E3" w:rsidRDefault="00A621E3">
      <w:pPr>
        <w:spacing w:line="257" w:lineRule="exact"/>
        <w:rPr>
          <w:rFonts w:ascii="Arial" w:eastAsia="Arial" w:hAnsi="Arial" w:cs="Arial"/>
          <w:color w:val="CF0A2C"/>
          <w:sz w:val="20"/>
          <w:szCs w:val="20"/>
        </w:rPr>
      </w:pPr>
    </w:p>
    <w:p w:rsidR="00A621E3" w:rsidRDefault="00EC630E">
      <w:pPr>
        <w:numPr>
          <w:ilvl w:val="0"/>
          <w:numId w:val="131"/>
        </w:numPr>
        <w:tabs>
          <w:tab w:val="left" w:pos="760"/>
        </w:tabs>
        <w:ind w:left="760" w:hanging="644"/>
        <w:rPr>
          <w:rFonts w:ascii="Arial" w:eastAsia="Arial" w:hAnsi="Arial" w:cs="Arial"/>
          <w:color w:val="CF0A2C"/>
          <w:sz w:val="20"/>
          <w:szCs w:val="20"/>
        </w:rPr>
      </w:pPr>
      <w:r>
        <w:rPr>
          <w:rFonts w:ascii="Arial" w:eastAsia="Arial" w:hAnsi="Arial" w:cs="Arial"/>
          <w:sz w:val="20"/>
          <w:szCs w:val="20"/>
        </w:rPr>
        <w:t>Represents the annual cash retainer paid to Dr. Hu as Chairman of the Board.</w:t>
      </w:r>
    </w:p>
    <w:p w:rsidR="00A621E3" w:rsidRDefault="00A621E3">
      <w:pPr>
        <w:spacing w:line="156" w:lineRule="exact"/>
        <w:rPr>
          <w:sz w:val="20"/>
          <w:szCs w:val="20"/>
        </w:rPr>
      </w:pPr>
    </w:p>
    <w:p w:rsidR="00A621E3" w:rsidRDefault="00EC630E">
      <w:pPr>
        <w:numPr>
          <w:ilvl w:val="0"/>
          <w:numId w:val="132"/>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2045312"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100" w:name="page100"/>
      <w:bookmarkEnd w:id="100"/>
      <w:r>
        <w:rPr>
          <w:rFonts w:ascii="Arial" w:eastAsia="Arial" w:hAnsi="Arial" w:cs="Arial"/>
          <w:b/>
          <w:bCs/>
          <w:noProof/>
          <w:color w:val="0000EE"/>
          <w:sz w:val="18"/>
          <w:szCs w:val="18"/>
          <w:u w:val="single"/>
        </w:rPr>
        <w:drawing>
          <wp:anchor distT="0" distB="0" distL="114300" distR="114300" simplePos="0" relativeHeight="252046336"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47360" behindDoc="1" locked="0" layoutInCell="0" allowOverlap="1">
            <wp:simplePos x="0" y="0"/>
            <wp:positionH relativeFrom="column">
              <wp:posOffset>5362575</wp:posOffset>
            </wp:positionH>
            <wp:positionV relativeFrom="paragraph">
              <wp:posOffset>205740</wp:posOffset>
            </wp:positionV>
            <wp:extent cx="1705610" cy="205740"/>
            <wp:effectExtent l="0" t="0" r="0" b="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9">
                      <a:extLst/>
                    </a:blip>
                    <a:srcRect/>
                    <a:stretch>
                      <a:fillRect/>
                    </a:stretch>
                  </pic:blipFill>
                  <pic:spPr bwMode="auto">
                    <a:xfrm>
                      <a:off x="0" y="0"/>
                      <a:ext cx="170561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680"/>
        <w:rPr>
          <w:sz w:val="20"/>
          <w:szCs w:val="20"/>
        </w:rPr>
      </w:pPr>
      <w:r>
        <w:rPr>
          <w:rFonts w:ascii="Arial" w:eastAsia="Arial" w:hAnsi="Arial" w:cs="Arial"/>
          <w:b/>
          <w:bCs/>
          <w:color w:val="FFFFFF"/>
          <w:sz w:val="16"/>
          <w:szCs w:val="16"/>
        </w:rPr>
        <w:t>EXECUTIVE COMPENSATION</w:t>
      </w:r>
    </w:p>
    <w:p w:rsidR="00A621E3" w:rsidRDefault="00A621E3">
      <w:pPr>
        <w:spacing w:line="209" w:lineRule="exact"/>
        <w:rPr>
          <w:sz w:val="20"/>
          <w:szCs w:val="20"/>
        </w:rPr>
      </w:pPr>
    </w:p>
    <w:p w:rsidR="00A621E3" w:rsidRDefault="00EC630E">
      <w:pPr>
        <w:numPr>
          <w:ilvl w:val="0"/>
          <w:numId w:val="133"/>
        </w:numPr>
        <w:tabs>
          <w:tab w:val="left" w:pos="760"/>
        </w:tabs>
        <w:spacing w:line="250" w:lineRule="auto"/>
        <w:ind w:left="760" w:hanging="644"/>
        <w:jc w:val="both"/>
        <w:rPr>
          <w:rFonts w:ascii="Arial" w:eastAsia="Arial" w:hAnsi="Arial" w:cs="Arial"/>
          <w:color w:val="CF0A2C"/>
          <w:sz w:val="20"/>
          <w:szCs w:val="20"/>
        </w:rPr>
      </w:pPr>
      <w:r>
        <w:rPr>
          <w:rFonts w:ascii="Arial" w:eastAsia="Arial" w:hAnsi="Arial" w:cs="Arial"/>
          <w:sz w:val="20"/>
          <w:szCs w:val="20"/>
        </w:rPr>
        <w:t xml:space="preserve">Represents the grant date fair value for annual stock retainer </w:t>
      </w:r>
      <w:r>
        <w:rPr>
          <w:rFonts w:ascii="Arial" w:eastAsia="Arial" w:hAnsi="Arial" w:cs="Arial"/>
          <w:sz w:val="20"/>
          <w:szCs w:val="20"/>
        </w:rPr>
        <w:t>awards granted in 2022. Each director received shares of Company common stock determined by dividing the applicable annual retainer by the closing market price of a share of Company common stock on the date of grant, with any fractional shares paid in cash</w:t>
      </w:r>
      <w:r>
        <w:rPr>
          <w:rFonts w:ascii="Arial" w:eastAsia="Arial" w:hAnsi="Arial" w:cs="Arial"/>
          <w:sz w:val="20"/>
          <w:szCs w:val="20"/>
        </w:rPr>
        <w:t xml:space="preserve"> rather than equity.</w:t>
      </w:r>
    </w:p>
    <w:p w:rsidR="00A621E3" w:rsidRDefault="00A621E3">
      <w:pPr>
        <w:spacing w:line="266" w:lineRule="exact"/>
        <w:rPr>
          <w:rFonts w:ascii="Arial" w:eastAsia="Arial" w:hAnsi="Arial" w:cs="Arial"/>
          <w:color w:val="CF0A2C"/>
          <w:sz w:val="20"/>
          <w:szCs w:val="20"/>
        </w:rPr>
      </w:pPr>
    </w:p>
    <w:p w:rsidR="00A621E3" w:rsidRDefault="00EC630E">
      <w:pPr>
        <w:numPr>
          <w:ilvl w:val="0"/>
          <w:numId w:val="133"/>
        </w:numPr>
        <w:tabs>
          <w:tab w:val="left" w:pos="760"/>
        </w:tabs>
        <w:spacing w:line="260" w:lineRule="auto"/>
        <w:ind w:left="760" w:hanging="644"/>
        <w:rPr>
          <w:rFonts w:ascii="Arial" w:eastAsia="Arial" w:hAnsi="Arial" w:cs="Arial"/>
          <w:color w:val="CF0A2C"/>
          <w:sz w:val="20"/>
          <w:szCs w:val="20"/>
        </w:rPr>
      </w:pPr>
      <w:r>
        <w:rPr>
          <w:rFonts w:ascii="Arial" w:eastAsia="Arial" w:hAnsi="Arial" w:cs="Arial"/>
          <w:sz w:val="20"/>
          <w:szCs w:val="20"/>
        </w:rPr>
        <w:t>Represents an award in the amount of $25,000 for Mr. Bassi’s contribution to a project in 2022 at the request of the Board, payable in 2023.</w:t>
      </w:r>
    </w:p>
    <w:p w:rsidR="00A621E3" w:rsidRDefault="00A621E3">
      <w:pPr>
        <w:sectPr w:rsidR="00A621E3">
          <w:pgSz w:w="11900" w:h="16838"/>
          <w:pgMar w:top="486" w:right="459" w:bottom="1440" w:left="320" w:header="0" w:footer="0" w:gutter="0"/>
          <w:cols w:space="720" w:equalWidth="0">
            <w:col w:w="11120"/>
          </w:cols>
        </w:sectPr>
      </w:pPr>
    </w:p>
    <w:p w:rsidR="00A621E3" w:rsidRDefault="00A621E3">
      <w:pPr>
        <w:spacing w:line="306" w:lineRule="exact"/>
        <w:rPr>
          <w:sz w:val="20"/>
          <w:szCs w:val="20"/>
        </w:rPr>
      </w:pPr>
    </w:p>
    <w:p w:rsidR="00A621E3" w:rsidRDefault="00EC630E">
      <w:pPr>
        <w:spacing w:line="246" w:lineRule="auto"/>
        <w:ind w:left="120"/>
        <w:jc w:val="both"/>
        <w:rPr>
          <w:sz w:val="20"/>
          <w:szCs w:val="20"/>
        </w:rPr>
      </w:pPr>
      <w:r>
        <w:rPr>
          <w:rFonts w:ascii="Arial" w:eastAsia="Arial" w:hAnsi="Arial" w:cs="Arial"/>
          <w:b/>
          <w:bCs/>
          <w:sz w:val="20"/>
          <w:szCs w:val="20"/>
        </w:rPr>
        <w:t xml:space="preserve">Stock Ownership Requirements. </w:t>
      </w:r>
      <w:r>
        <w:rPr>
          <w:rFonts w:ascii="Arial" w:eastAsia="Arial" w:hAnsi="Arial" w:cs="Arial"/>
          <w:sz w:val="20"/>
          <w:szCs w:val="20"/>
        </w:rPr>
        <w:t>Although our directors are not</w:t>
      </w:r>
      <w:r>
        <w:rPr>
          <w:rFonts w:ascii="Arial" w:eastAsia="Arial" w:hAnsi="Arial" w:cs="Arial"/>
          <w:b/>
          <w:bCs/>
          <w:sz w:val="20"/>
          <w:szCs w:val="20"/>
        </w:rPr>
        <w:t xml:space="preserve"> </w:t>
      </w:r>
      <w:r>
        <w:rPr>
          <w:rFonts w:ascii="Arial" w:eastAsia="Arial" w:hAnsi="Arial" w:cs="Arial"/>
          <w:sz w:val="20"/>
          <w:szCs w:val="20"/>
        </w:rPr>
        <w:t xml:space="preserve">subject to </w:t>
      </w:r>
      <w:r>
        <w:rPr>
          <w:rFonts w:ascii="Arial" w:eastAsia="Arial" w:hAnsi="Arial" w:cs="Arial"/>
          <w:sz w:val="20"/>
          <w:szCs w:val="20"/>
        </w:rPr>
        <w:t>the Stock Ownership Guidelines, we nevertheless expect our directors to own a meaningful number of shares of Company common stock, and we have a share retention policy in place for directors. Pursu-</w:t>
      </w:r>
    </w:p>
    <w:p w:rsidR="00A621E3" w:rsidRDefault="00EC630E">
      <w:pPr>
        <w:spacing w:line="20" w:lineRule="exact"/>
        <w:rPr>
          <w:sz w:val="20"/>
          <w:szCs w:val="20"/>
        </w:rPr>
      </w:pPr>
      <w:r>
        <w:rPr>
          <w:sz w:val="20"/>
          <w:szCs w:val="20"/>
        </w:rPr>
        <w:br w:type="column"/>
      </w:r>
    </w:p>
    <w:p w:rsidR="00A621E3" w:rsidRDefault="00A621E3">
      <w:pPr>
        <w:spacing w:line="292" w:lineRule="exact"/>
        <w:rPr>
          <w:sz w:val="20"/>
          <w:szCs w:val="20"/>
        </w:rPr>
      </w:pPr>
    </w:p>
    <w:p w:rsidR="00A621E3" w:rsidRDefault="00EC630E">
      <w:pPr>
        <w:spacing w:line="291" w:lineRule="auto"/>
        <w:jc w:val="both"/>
        <w:rPr>
          <w:sz w:val="20"/>
          <w:szCs w:val="20"/>
        </w:rPr>
      </w:pPr>
      <w:r>
        <w:rPr>
          <w:rFonts w:ascii="Arial" w:eastAsia="Arial" w:hAnsi="Arial" w:cs="Arial"/>
          <w:sz w:val="18"/>
          <w:szCs w:val="18"/>
        </w:rPr>
        <w:t>ant to the share retention policy, no director may sel</w:t>
      </w:r>
      <w:r>
        <w:rPr>
          <w:rFonts w:ascii="Arial" w:eastAsia="Arial" w:hAnsi="Arial" w:cs="Arial"/>
          <w:sz w:val="18"/>
          <w:szCs w:val="18"/>
        </w:rPr>
        <w:t>l any shares received as director compensation until at least 12 months following the director’s retirement or departure from the Board.</w:t>
      </w:r>
    </w:p>
    <w:p w:rsidR="00A621E3" w:rsidRDefault="00A621E3">
      <w:pPr>
        <w:spacing w:line="619" w:lineRule="exact"/>
        <w:rPr>
          <w:sz w:val="20"/>
          <w:szCs w:val="20"/>
        </w:rPr>
      </w:pPr>
    </w:p>
    <w:p w:rsidR="00A621E3" w:rsidRDefault="00A621E3">
      <w:pPr>
        <w:sectPr w:rsidR="00A621E3">
          <w:type w:val="continuous"/>
          <w:pgSz w:w="11900" w:h="16838"/>
          <w:pgMar w:top="486" w:right="459" w:bottom="1440" w:left="320" w:header="0" w:footer="0" w:gutter="0"/>
          <w:cols w:num="2" w:space="720" w:equalWidth="0">
            <w:col w:w="5400" w:space="340"/>
            <w:col w:w="5380"/>
          </w:cols>
        </w:sectPr>
      </w:pPr>
    </w:p>
    <w:p w:rsidR="00A621E3" w:rsidRDefault="00A621E3">
      <w:pPr>
        <w:spacing w:line="75"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95</w:t>
      </w:r>
    </w:p>
    <w:p w:rsidR="00A621E3" w:rsidRDefault="00EC630E">
      <w:pPr>
        <w:spacing w:line="20" w:lineRule="exact"/>
        <w:rPr>
          <w:sz w:val="20"/>
          <w:szCs w:val="20"/>
        </w:rPr>
      </w:pPr>
      <w:r>
        <w:rPr>
          <w:noProof/>
          <w:sz w:val="20"/>
          <w:szCs w:val="20"/>
        </w:rPr>
        <w:drawing>
          <wp:anchor distT="0" distB="0" distL="114300" distR="114300" simplePos="0" relativeHeight="252048384"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59" w:bottom="1440" w:left="320" w:header="0" w:footer="0" w:gutter="0"/>
          <w:cols w:space="720" w:equalWidth="0">
            <w:col w:w="11120"/>
          </w:cols>
        </w:sectPr>
      </w:pPr>
    </w:p>
    <w:p w:rsidR="00A621E3" w:rsidRDefault="00EC630E">
      <w:pPr>
        <w:rPr>
          <w:sz w:val="20"/>
          <w:szCs w:val="20"/>
        </w:rPr>
      </w:pPr>
      <w:bookmarkStart w:id="101" w:name="page101"/>
      <w:bookmarkEnd w:id="101"/>
      <w:r>
        <w:rPr>
          <w:rFonts w:ascii="Arial" w:eastAsia="Arial" w:hAnsi="Arial" w:cs="Arial"/>
          <w:b/>
          <w:bCs/>
          <w:noProof/>
          <w:color w:val="0000EE"/>
          <w:sz w:val="18"/>
          <w:szCs w:val="18"/>
          <w:u w:val="single"/>
        </w:rPr>
        <w:drawing>
          <wp:anchor distT="0" distB="0" distL="114300" distR="114300" simplePos="0" relativeHeight="252049408"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50432" behindDoc="1" locked="0" layoutInCell="0" allowOverlap="1">
            <wp:simplePos x="0" y="0"/>
            <wp:positionH relativeFrom="column">
              <wp:posOffset>73660</wp:posOffset>
            </wp:positionH>
            <wp:positionV relativeFrom="paragraph">
              <wp:posOffset>205740</wp:posOffset>
            </wp:positionV>
            <wp:extent cx="6995160" cy="506095"/>
            <wp:effectExtent l="0" t="0" r="0" b="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2">
                      <a:extLst/>
                    </a:blip>
                    <a:srcRect/>
                    <a:stretch>
                      <a:fillRect/>
                    </a:stretch>
                  </pic:blipFill>
                  <pic:spPr bwMode="auto">
                    <a:xfrm>
                      <a:off x="0" y="0"/>
                      <a:ext cx="6995160" cy="50609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11" w:lineRule="exact"/>
        <w:rPr>
          <w:sz w:val="20"/>
          <w:szCs w:val="20"/>
        </w:rPr>
      </w:pPr>
    </w:p>
    <w:p w:rsidR="00A621E3" w:rsidRDefault="00EC630E">
      <w:pPr>
        <w:ind w:left="200"/>
        <w:rPr>
          <w:sz w:val="20"/>
          <w:szCs w:val="20"/>
        </w:rPr>
      </w:pPr>
      <w:r>
        <w:rPr>
          <w:rFonts w:ascii="Arial" w:eastAsia="Arial" w:hAnsi="Arial" w:cs="Arial"/>
          <w:b/>
          <w:bCs/>
          <w:color w:val="FFFFFF"/>
          <w:sz w:val="32"/>
          <w:szCs w:val="32"/>
        </w:rPr>
        <w:t>EQUITY COMPENSATION PLANS INFORMATION</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45" w:lineRule="exact"/>
        <w:rPr>
          <w:sz w:val="20"/>
          <w:szCs w:val="20"/>
        </w:rPr>
      </w:pPr>
    </w:p>
    <w:p w:rsidR="00A621E3" w:rsidRDefault="00EC630E">
      <w:pPr>
        <w:spacing w:line="246" w:lineRule="auto"/>
        <w:ind w:left="120" w:right="20"/>
        <w:jc w:val="both"/>
        <w:rPr>
          <w:sz w:val="20"/>
          <w:szCs w:val="20"/>
        </w:rPr>
      </w:pPr>
      <w:r>
        <w:rPr>
          <w:rFonts w:ascii="Arial" w:eastAsia="Arial" w:hAnsi="Arial" w:cs="Arial"/>
          <w:sz w:val="20"/>
          <w:szCs w:val="20"/>
        </w:rPr>
        <w:t>The following table summarizes, as of December 31, 2022, the equity compensation we may issue to our directors, officers, employees and other persons under (i) the Company’s 2016 LTIP, which was approved by YUM as t</w:t>
      </w:r>
      <w:r>
        <w:rPr>
          <w:rFonts w:ascii="Arial" w:eastAsia="Arial" w:hAnsi="Arial" w:cs="Arial"/>
          <w:sz w:val="20"/>
          <w:szCs w:val="20"/>
        </w:rPr>
        <w:t>he Company’s sole stockholder prior to the Company’s spin-off from YUM; and (ii) the Company’s 2022 Long Term Incentive Plan approved by its stockholders in 2022 (the “</w:t>
      </w:r>
      <w:r>
        <w:rPr>
          <w:rFonts w:ascii="Arial" w:eastAsia="Arial" w:hAnsi="Arial" w:cs="Arial"/>
          <w:b/>
          <w:bCs/>
          <w:i/>
          <w:iCs/>
          <w:sz w:val="20"/>
          <w:szCs w:val="20"/>
        </w:rPr>
        <w:t>2022</w:t>
      </w:r>
      <w:r>
        <w:rPr>
          <w:rFonts w:ascii="Arial" w:eastAsia="Arial" w:hAnsi="Arial" w:cs="Arial"/>
          <w:sz w:val="20"/>
          <w:szCs w:val="20"/>
        </w:rPr>
        <w:t xml:space="preserve"> </w:t>
      </w:r>
      <w:r>
        <w:rPr>
          <w:rFonts w:ascii="Arial" w:eastAsia="Arial" w:hAnsi="Arial" w:cs="Arial"/>
          <w:b/>
          <w:bCs/>
          <w:i/>
          <w:iCs/>
          <w:sz w:val="20"/>
          <w:szCs w:val="20"/>
        </w:rPr>
        <w:t>LTIP</w:t>
      </w:r>
      <w:r>
        <w:rPr>
          <w:rFonts w:ascii="Arial" w:eastAsia="Arial" w:hAnsi="Arial" w:cs="Arial"/>
          <w:sz w:val="20"/>
          <w:szCs w:val="20"/>
        </w:rPr>
        <w:t>”).</w:t>
      </w:r>
    </w:p>
    <w:p w:rsidR="00A621E3" w:rsidRDefault="00A621E3">
      <w:pPr>
        <w:spacing w:line="215"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960"/>
        <w:gridCol w:w="2180"/>
        <w:gridCol w:w="1880"/>
        <w:gridCol w:w="1780"/>
        <w:gridCol w:w="220"/>
      </w:tblGrid>
      <w:tr w:rsidR="00A621E3">
        <w:trPr>
          <w:trHeight w:val="162"/>
        </w:trPr>
        <w:tc>
          <w:tcPr>
            <w:tcW w:w="4960" w:type="dxa"/>
            <w:tcBorders>
              <w:top w:val="single" w:sz="8" w:space="0" w:color="CF0A2C"/>
            </w:tcBorders>
            <w:shd w:val="clear" w:color="auto" w:fill="FAE6E9"/>
            <w:vAlign w:val="bottom"/>
          </w:tcPr>
          <w:p w:rsidR="00A621E3" w:rsidRDefault="00A621E3">
            <w:pPr>
              <w:rPr>
                <w:sz w:val="14"/>
                <w:szCs w:val="14"/>
              </w:rPr>
            </w:pPr>
          </w:p>
        </w:tc>
        <w:tc>
          <w:tcPr>
            <w:tcW w:w="2180" w:type="dxa"/>
            <w:tcBorders>
              <w:top w:val="single" w:sz="8" w:space="0" w:color="CF0A2C"/>
            </w:tcBorders>
            <w:shd w:val="clear" w:color="auto" w:fill="FAE6E9"/>
            <w:vAlign w:val="bottom"/>
          </w:tcPr>
          <w:p w:rsidR="00A621E3" w:rsidRDefault="00A621E3">
            <w:pPr>
              <w:rPr>
                <w:sz w:val="14"/>
                <w:szCs w:val="14"/>
              </w:rPr>
            </w:pPr>
          </w:p>
        </w:tc>
        <w:tc>
          <w:tcPr>
            <w:tcW w:w="1880" w:type="dxa"/>
            <w:tcBorders>
              <w:top w:val="single" w:sz="8" w:space="0" w:color="CF0A2C"/>
            </w:tcBorders>
            <w:shd w:val="clear" w:color="auto" w:fill="FAE6E9"/>
            <w:vAlign w:val="bottom"/>
          </w:tcPr>
          <w:p w:rsidR="00A621E3" w:rsidRDefault="00A621E3">
            <w:pPr>
              <w:rPr>
                <w:sz w:val="14"/>
                <w:szCs w:val="14"/>
              </w:rPr>
            </w:pPr>
          </w:p>
        </w:tc>
        <w:tc>
          <w:tcPr>
            <w:tcW w:w="2000" w:type="dxa"/>
            <w:gridSpan w:val="2"/>
            <w:tcBorders>
              <w:top w:val="single" w:sz="8" w:space="0" w:color="CF0A2C"/>
            </w:tcBorders>
            <w:shd w:val="clear" w:color="auto" w:fill="FAE6E9"/>
            <w:vAlign w:val="bottom"/>
          </w:tcPr>
          <w:p w:rsidR="00A621E3" w:rsidRDefault="00EC630E">
            <w:pPr>
              <w:ind w:left="49"/>
              <w:jc w:val="center"/>
              <w:rPr>
                <w:sz w:val="20"/>
                <w:szCs w:val="20"/>
              </w:rPr>
            </w:pPr>
            <w:r>
              <w:rPr>
                <w:rFonts w:ascii="Arial" w:eastAsia="Arial" w:hAnsi="Arial" w:cs="Arial"/>
                <w:b/>
                <w:bCs/>
                <w:color w:val="CF0A2C"/>
                <w:sz w:val="14"/>
                <w:szCs w:val="14"/>
              </w:rPr>
              <w:t>Number of Securities</w:t>
            </w:r>
          </w:p>
        </w:tc>
      </w:tr>
      <w:tr w:rsidR="00A621E3">
        <w:trPr>
          <w:trHeight w:val="162"/>
        </w:trPr>
        <w:tc>
          <w:tcPr>
            <w:tcW w:w="4960" w:type="dxa"/>
            <w:shd w:val="clear" w:color="auto" w:fill="FAE6E9"/>
            <w:vAlign w:val="bottom"/>
          </w:tcPr>
          <w:p w:rsidR="00A621E3" w:rsidRDefault="00A621E3">
            <w:pPr>
              <w:rPr>
                <w:sz w:val="14"/>
                <w:szCs w:val="14"/>
              </w:rPr>
            </w:pPr>
          </w:p>
        </w:tc>
        <w:tc>
          <w:tcPr>
            <w:tcW w:w="2180" w:type="dxa"/>
            <w:shd w:val="clear" w:color="auto" w:fill="FAE6E9"/>
            <w:vAlign w:val="bottom"/>
          </w:tcPr>
          <w:p w:rsidR="00A621E3" w:rsidRDefault="00A621E3">
            <w:pPr>
              <w:rPr>
                <w:sz w:val="14"/>
                <w:szCs w:val="14"/>
              </w:rPr>
            </w:pPr>
          </w:p>
        </w:tc>
        <w:tc>
          <w:tcPr>
            <w:tcW w:w="1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Weighted-</w:t>
            </w:r>
          </w:p>
        </w:tc>
        <w:tc>
          <w:tcPr>
            <w:tcW w:w="2000" w:type="dxa"/>
            <w:gridSpan w:val="2"/>
            <w:shd w:val="clear" w:color="auto" w:fill="FAE6E9"/>
            <w:vAlign w:val="bottom"/>
          </w:tcPr>
          <w:p w:rsidR="00A621E3" w:rsidRDefault="00EC630E">
            <w:pPr>
              <w:ind w:left="49"/>
              <w:jc w:val="center"/>
              <w:rPr>
                <w:sz w:val="20"/>
                <w:szCs w:val="20"/>
              </w:rPr>
            </w:pPr>
            <w:r>
              <w:rPr>
                <w:rFonts w:ascii="Arial" w:eastAsia="Arial" w:hAnsi="Arial" w:cs="Arial"/>
                <w:b/>
                <w:bCs/>
                <w:color w:val="CF0A2C"/>
                <w:sz w:val="14"/>
                <w:szCs w:val="14"/>
              </w:rPr>
              <w:t>Remaining Available</w:t>
            </w:r>
          </w:p>
        </w:tc>
      </w:tr>
      <w:tr w:rsidR="00A621E3">
        <w:trPr>
          <w:trHeight w:val="162"/>
        </w:trPr>
        <w:tc>
          <w:tcPr>
            <w:tcW w:w="4960" w:type="dxa"/>
            <w:shd w:val="clear" w:color="auto" w:fill="FAE6E9"/>
            <w:vAlign w:val="bottom"/>
          </w:tcPr>
          <w:p w:rsidR="00A621E3" w:rsidRDefault="00A621E3">
            <w:pPr>
              <w:rPr>
                <w:sz w:val="14"/>
                <w:szCs w:val="14"/>
              </w:rPr>
            </w:pPr>
          </w:p>
        </w:tc>
        <w:tc>
          <w:tcPr>
            <w:tcW w:w="2180" w:type="dxa"/>
            <w:shd w:val="clear" w:color="auto" w:fill="FAE6E9"/>
            <w:vAlign w:val="bottom"/>
          </w:tcPr>
          <w:p w:rsidR="00A621E3" w:rsidRDefault="00A621E3">
            <w:pPr>
              <w:rPr>
                <w:sz w:val="14"/>
                <w:szCs w:val="14"/>
              </w:rPr>
            </w:pPr>
          </w:p>
        </w:tc>
        <w:tc>
          <w:tcPr>
            <w:tcW w:w="1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Average</w:t>
            </w:r>
          </w:p>
        </w:tc>
        <w:tc>
          <w:tcPr>
            <w:tcW w:w="2000" w:type="dxa"/>
            <w:gridSpan w:val="2"/>
            <w:shd w:val="clear" w:color="auto" w:fill="FAE6E9"/>
            <w:vAlign w:val="bottom"/>
          </w:tcPr>
          <w:p w:rsidR="00A621E3" w:rsidRDefault="00EC630E">
            <w:pPr>
              <w:ind w:left="29"/>
              <w:jc w:val="center"/>
              <w:rPr>
                <w:sz w:val="20"/>
                <w:szCs w:val="20"/>
              </w:rPr>
            </w:pPr>
            <w:r>
              <w:rPr>
                <w:rFonts w:ascii="Arial" w:eastAsia="Arial" w:hAnsi="Arial" w:cs="Arial"/>
                <w:b/>
                <w:bCs/>
                <w:color w:val="CF0A2C"/>
                <w:sz w:val="14"/>
                <w:szCs w:val="14"/>
              </w:rPr>
              <w:t xml:space="preserve">For </w:t>
            </w:r>
            <w:r>
              <w:rPr>
                <w:rFonts w:ascii="Arial" w:eastAsia="Arial" w:hAnsi="Arial" w:cs="Arial"/>
                <w:b/>
                <w:bCs/>
                <w:color w:val="CF0A2C"/>
                <w:sz w:val="14"/>
                <w:szCs w:val="14"/>
              </w:rPr>
              <w:t>Future Issuance</w:t>
            </w:r>
          </w:p>
        </w:tc>
      </w:tr>
      <w:tr w:rsidR="00A621E3">
        <w:trPr>
          <w:trHeight w:val="162"/>
        </w:trPr>
        <w:tc>
          <w:tcPr>
            <w:tcW w:w="4960" w:type="dxa"/>
            <w:shd w:val="clear" w:color="auto" w:fill="FAE6E9"/>
            <w:vAlign w:val="bottom"/>
          </w:tcPr>
          <w:p w:rsidR="00A621E3" w:rsidRDefault="00A621E3">
            <w:pPr>
              <w:rPr>
                <w:sz w:val="14"/>
                <w:szCs w:val="14"/>
              </w:rPr>
            </w:pPr>
          </w:p>
        </w:tc>
        <w:tc>
          <w:tcPr>
            <w:tcW w:w="2180" w:type="dxa"/>
            <w:shd w:val="clear" w:color="auto" w:fill="FAE6E9"/>
            <w:vAlign w:val="bottom"/>
          </w:tcPr>
          <w:p w:rsidR="00A621E3" w:rsidRDefault="00EC630E">
            <w:pPr>
              <w:ind w:right="450"/>
              <w:jc w:val="center"/>
              <w:rPr>
                <w:sz w:val="20"/>
                <w:szCs w:val="20"/>
              </w:rPr>
            </w:pPr>
            <w:r>
              <w:rPr>
                <w:rFonts w:ascii="Arial" w:eastAsia="Arial" w:hAnsi="Arial" w:cs="Arial"/>
                <w:b/>
                <w:bCs/>
                <w:color w:val="CF0A2C"/>
                <w:sz w:val="14"/>
                <w:szCs w:val="14"/>
              </w:rPr>
              <w:t>Number of Securities to</w:t>
            </w:r>
          </w:p>
        </w:tc>
        <w:tc>
          <w:tcPr>
            <w:tcW w:w="1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Exercise Price</w:t>
            </w:r>
          </w:p>
        </w:tc>
        <w:tc>
          <w:tcPr>
            <w:tcW w:w="2000" w:type="dxa"/>
            <w:gridSpan w:val="2"/>
            <w:shd w:val="clear" w:color="auto" w:fill="FAE6E9"/>
            <w:vAlign w:val="bottom"/>
          </w:tcPr>
          <w:p w:rsidR="00A621E3" w:rsidRDefault="00EC630E">
            <w:pPr>
              <w:ind w:left="29"/>
              <w:jc w:val="center"/>
              <w:rPr>
                <w:sz w:val="20"/>
                <w:szCs w:val="20"/>
              </w:rPr>
            </w:pPr>
            <w:r>
              <w:rPr>
                <w:rFonts w:ascii="Arial" w:eastAsia="Arial" w:hAnsi="Arial" w:cs="Arial"/>
                <w:b/>
                <w:bCs/>
                <w:color w:val="CF0A2C"/>
                <w:sz w:val="14"/>
                <w:szCs w:val="14"/>
              </w:rPr>
              <w:t>Under Equity</w:t>
            </w:r>
          </w:p>
        </w:tc>
      </w:tr>
      <w:tr w:rsidR="00A621E3">
        <w:trPr>
          <w:trHeight w:val="162"/>
        </w:trPr>
        <w:tc>
          <w:tcPr>
            <w:tcW w:w="4960" w:type="dxa"/>
            <w:shd w:val="clear" w:color="auto" w:fill="FAE6E9"/>
            <w:vAlign w:val="bottom"/>
          </w:tcPr>
          <w:p w:rsidR="00A621E3" w:rsidRDefault="00A621E3">
            <w:pPr>
              <w:rPr>
                <w:sz w:val="14"/>
                <w:szCs w:val="14"/>
              </w:rPr>
            </w:pPr>
          </w:p>
        </w:tc>
        <w:tc>
          <w:tcPr>
            <w:tcW w:w="2180" w:type="dxa"/>
            <w:shd w:val="clear" w:color="auto" w:fill="FAE6E9"/>
            <w:vAlign w:val="bottom"/>
          </w:tcPr>
          <w:p w:rsidR="00A621E3" w:rsidRDefault="00EC630E">
            <w:pPr>
              <w:ind w:right="450"/>
              <w:jc w:val="center"/>
              <w:rPr>
                <w:sz w:val="20"/>
                <w:szCs w:val="20"/>
              </w:rPr>
            </w:pPr>
            <w:r>
              <w:rPr>
                <w:rFonts w:ascii="Arial" w:eastAsia="Arial" w:hAnsi="Arial" w:cs="Arial"/>
                <w:b/>
                <w:bCs/>
                <w:color w:val="CF0A2C"/>
                <w:sz w:val="14"/>
                <w:szCs w:val="14"/>
              </w:rPr>
              <w:t>be Issued Upon</w:t>
            </w:r>
          </w:p>
        </w:tc>
        <w:tc>
          <w:tcPr>
            <w:tcW w:w="1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of Outstanding</w:t>
            </w:r>
          </w:p>
        </w:tc>
        <w:tc>
          <w:tcPr>
            <w:tcW w:w="2000" w:type="dxa"/>
            <w:gridSpan w:val="2"/>
            <w:shd w:val="clear" w:color="auto" w:fill="FAE6E9"/>
            <w:vAlign w:val="bottom"/>
          </w:tcPr>
          <w:p w:rsidR="00A621E3" w:rsidRDefault="00EC630E">
            <w:pPr>
              <w:ind w:left="29"/>
              <w:jc w:val="center"/>
              <w:rPr>
                <w:sz w:val="20"/>
                <w:szCs w:val="20"/>
              </w:rPr>
            </w:pPr>
            <w:r>
              <w:rPr>
                <w:rFonts w:ascii="Arial" w:eastAsia="Arial" w:hAnsi="Arial" w:cs="Arial"/>
                <w:b/>
                <w:bCs/>
                <w:color w:val="CF0A2C"/>
                <w:sz w:val="14"/>
                <w:szCs w:val="14"/>
              </w:rPr>
              <w:t>Compensation Plans</w:t>
            </w:r>
          </w:p>
        </w:tc>
      </w:tr>
      <w:tr w:rsidR="00A621E3">
        <w:trPr>
          <w:trHeight w:val="162"/>
        </w:trPr>
        <w:tc>
          <w:tcPr>
            <w:tcW w:w="4960" w:type="dxa"/>
            <w:shd w:val="clear" w:color="auto" w:fill="FAE6E9"/>
            <w:vAlign w:val="bottom"/>
          </w:tcPr>
          <w:p w:rsidR="00A621E3" w:rsidRDefault="00A621E3">
            <w:pPr>
              <w:rPr>
                <w:sz w:val="14"/>
                <w:szCs w:val="14"/>
              </w:rPr>
            </w:pPr>
          </w:p>
        </w:tc>
        <w:tc>
          <w:tcPr>
            <w:tcW w:w="2180" w:type="dxa"/>
            <w:shd w:val="clear" w:color="auto" w:fill="FAE6E9"/>
            <w:vAlign w:val="bottom"/>
          </w:tcPr>
          <w:p w:rsidR="00A621E3" w:rsidRDefault="00EC630E">
            <w:pPr>
              <w:ind w:right="450"/>
              <w:jc w:val="center"/>
              <w:rPr>
                <w:sz w:val="20"/>
                <w:szCs w:val="20"/>
              </w:rPr>
            </w:pPr>
            <w:r>
              <w:rPr>
                <w:rFonts w:ascii="Arial" w:eastAsia="Arial" w:hAnsi="Arial" w:cs="Arial"/>
                <w:b/>
                <w:bCs/>
                <w:color w:val="CF0A2C"/>
                <w:sz w:val="14"/>
                <w:szCs w:val="14"/>
              </w:rPr>
              <w:t>Exercise of Outstanding</w:t>
            </w:r>
          </w:p>
        </w:tc>
        <w:tc>
          <w:tcPr>
            <w:tcW w:w="1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Options,</w:t>
            </w:r>
          </w:p>
        </w:tc>
        <w:tc>
          <w:tcPr>
            <w:tcW w:w="2000" w:type="dxa"/>
            <w:gridSpan w:val="2"/>
            <w:shd w:val="clear" w:color="auto" w:fill="FAE6E9"/>
            <w:vAlign w:val="bottom"/>
          </w:tcPr>
          <w:p w:rsidR="00A621E3" w:rsidRDefault="00EC630E">
            <w:pPr>
              <w:ind w:left="29"/>
              <w:jc w:val="center"/>
              <w:rPr>
                <w:sz w:val="20"/>
                <w:szCs w:val="20"/>
              </w:rPr>
            </w:pPr>
            <w:r>
              <w:rPr>
                <w:rFonts w:ascii="Arial" w:eastAsia="Arial" w:hAnsi="Arial" w:cs="Arial"/>
                <w:b/>
                <w:bCs/>
                <w:color w:val="CF0A2C"/>
                <w:sz w:val="14"/>
                <w:szCs w:val="14"/>
              </w:rPr>
              <w:t>(Excluding Securities</w:t>
            </w:r>
          </w:p>
        </w:tc>
      </w:tr>
      <w:tr w:rsidR="00A621E3">
        <w:trPr>
          <w:trHeight w:val="162"/>
        </w:trPr>
        <w:tc>
          <w:tcPr>
            <w:tcW w:w="4960" w:type="dxa"/>
            <w:shd w:val="clear" w:color="auto" w:fill="FAE6E9"/>
            <w:vAlign w:val="bottom"/>
          </w:tcPr>
          <w:p w:rsidR="00A621E3" w:rsidRDefault="00A621E3">
            <w:pPr>
              <w:rPr>
                <w:sz w:val="14"/>
                <w:szCs w:val="14"/>
              </w:rPr>
            </w:pPr>
          </w:p>
        </w:tc>
        <w:tc>
          <w:tcPr>
            <w:tcW w:w="2180" w:type="dxa"/>
            <w:shd w:val="clear" w:color="auto" w:fill="FAE6E9"/>
            <w:vAlign w:val="bottom"/>
          </w:tcPr>
          <w:p w:rsidR="00A621E3" w:rsidRDefault="00EC630E">
            <w:pPr>
              <w:ind w:right="450"/>
              <w:jc w:val="center"/>
              <w:rPr>
                <w:sz w:val="20"/>
                <w:szCs w:val="20"/>
              </w:rPr>
            </w:pPr>
            <w:r>
              <w:rPr>
                <w:rFonts w:ascii="Arial" w:eastAsia="Arial" w:hAnsi="Arial" w:cs="Arial"/>
                <w:b/>
                <w:bCs/>
                <w:color w:val="CF0A2C"/>
                <w:sz w:val="14"/>
                <w:szCs w:val="14"/>
              </w:rPr>
              <w:t>Options, Warrants and</w:t>
            </w:r>
          </w:p>
        </w:tc>
        <w:tc>
          <w:tcPr>
            <w:tcW w:w="1880" w:type="dxa"/>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Warrants and</w:t>
            </w:r>
          </w:p>
        </w:tc>
        <w:tc>
          <w:tcPr>
            <w:tcW w:w="2000" w:type="dxa"/>
            <w:gridSpan w:val="2"/>
            <w:shd w:val="clear" w:color="auto" w:fill="FAE6E9"/>
            <w:vAlign w:val="bottom"/>
          </w:tcPr>
          <w:p w:rsidR="00A621E3" w:rsidRDefault="00EC630E">
            <w:pPr>
              <w:ind w:left="29"/>
              <w:jc w:val="center"/>
              <w:rPr>
                <w:sz w:val="20"/>
                <w:szCs w:val="20"/>
              </w:rPr>
            </w:pPr>
            <w:r>
              <w:rPr>
                <w:rFonts w:ascii="Arial" w:eastAsia="Arial" w:hAnsi="Arial" w:cs="Arial"/>
                <w:b/>
                <w:bCs/>
                <w:color w:val="CF0A2C"/>
                <w:sz w:val="14"/>
                <w:szCs w:val="14"/>
              </w:rPr>
              <w:t>Reflected in</w:t>
            </w:r>
          </w:p>
        </w:tc>
      </w:tr>
      <w:tr w:rsidR="00A621E3">
        <w:trPr>
          <w:trHeight w:val="189"/>
        </w:trPr>
        <w:tc>
          <w:tcPr>
            <w:tcW w:w="4960" w:type="dxa"/>
            <w:tcBorders>
              <w:bottom w:val="single" w:sz="8" w:space="0" w:color="CF0A2C"/>
            </w:tcBorders>
            <w:shd w:val="clear" w:color="auto" w:fill="FAE6E9"/>
            <w:vAlign w:val="bottom"/>
          </w:tcPr>
          <w:p w:rsidR="00A621E3" w:rsidRDefault="00EC630E">
            <w:pPr>
              <w:ind w:left="60"/>
              <w:rPr>
                <w:sz w:val="20"/>
                <w:szCs w:val="20"/>
              </w:rPr>
            </w:pPr>
            <w:r>
              <w:rPr>
                <w:rFonts w:ascii="Arial" w:eastAsia="Arial" w:hAnsi="Arial" w:cs="Arial"/>
                <w:b/>
                <w:bCs/>
                <w:color w:val="CF0A2C"/>
                <w:sz w:val="14"/>
                <w:szCs w:val="14"/>
              </w:rPr>
              <w:t>Plan Category</w:t>
            </w:r>
          </w:p>
        </w:tc>
        <w:tc>
          <w:tcPr>
            <w:tcW w:w="2180" w:type="dxa"/>
            <w:tcBorders>
              <w:bottom w:val="single" w:sz="8" w:space="0" w:color="CF0A2C"/>
            </w:tcBorders>
            <w:shd w:val="clear" w:color="auto" w:fill="FAE6E9"/>
            <w:vAlign w:val="bottom"/>
          </w:tcPr>
          <w:p w:rsidR="00A621E3" w:rsidRDefault="00EC630E">
            <w:pPr>
              <w:ind w:right="430"/>
              <w:jc w:val="center"/>
              <w:rPr>
                <w:sz w:val="20"/>
                <w:szCs w:val="20"/>
              </w:rPr>
            </w:pPr>
            <w:r>
              <w:rPr>
                <w:rFonts w:ascii="Arial" w:eastAsia="Arial" w:hAnsi="Arial" w:cs="Arial"/>
                <w:b/>
                <w:bCs/>
                <w:color w:val="CF0A2C"/>
                <w:sz w:val="14"/>
                <w:szCs w:val="14"/>
              </w:rPr>
              <w:t>Rights</w:t>
            </w:r>
          </w:p>
        </w:tc>
        <w:tc>
          <w:tcPr>
            <w:tcW w:w="1880" w:type="dxa"/>
            <w:tcBorders>
              <w:bottom w:val="single" w:sz="8" w:space="0" w:color="CF0A2C"/>
            </w:tcBorders>
            <w:shd w:val="clear" w:color="auto" w:fill="FAE6E9"/>
            <w:vAlign w:val="bottom"/>
          </w:tcPr>
          <w:p w:rsidR="00A621E3" w:rsidRDefault="00EC630E">
            <w:pPr>
              <w:jc w:val="center"/>
              <w:rPr>
                <w:sz w:val="20"/>
                <w:szCs w:val="20"/>
              </w:rPr>
            </w:pPr>
            <w:r>
              <w:rPr>
                <w:rFonts w:ascii="Arial" w:eastAsia="Arial" w:hAnsi="Arial" w:cs="Arial"/>
                <w:b/>
                <w:bCs/>
                <w:color w:val="CF0A2C"/>
                <w:sz w:val="14"/>
                <w:szCs w:val="14"/>
              </w:rPr>
              <w:t>Rights</w:t>
            </w:r>
          </w:p>
        </w:tc>
        <w:tc>
          <w:tcPr>
            <w:tcW w:w="2000" w:type="dxa"/>
            <w:gridSpan w:val="2"/>
            <w:tcBorders>
              <w:bottom w:val="single" w:sz="8" w:space="0" w:color="CF0A2C"/>
            </w:tcBorders>
            <w:shd w:val="clear" w:color="auto" w:fill="FAE6E9"/>
            <w:vAlign w:val="bottom"/>
          </w:tcPr>
          <w:p w:rsidR="00A621E3" w:rsidRDefault="00EC630E">
            <w:pPr>
              <w:ind w:left="49"/>
              <w:jc w:val="center"/>
              <w:rPr>
                <w:sz w:val="20"/>
                <w:szCs w:val="20"/>
              </w:rPr>
            </w:pPr>
            <w:r>
              <w:rPr>
                <w:rFonts w:ascii="Arial" w:eastAsia="Arial" w:hAnsi="Arial" w:cs="Arial"/>
                <w:b/>
                <w:bCs/>
                <w:color w:val="CF0A2C"/>
                <w:sz w:val="14"/>
                <w:szCs w:val="14"/>
              </w:rPr>
              <w:t>Column (a))</w:t>
            </w:r>
          </w:p>
        </w:tc>
      </w:tr>
      <w:tr w:rsidR="00A621E3">
        <w:trPr>
          <w:trHeight w:val="184"/>
        </w:trPr>
        <w:tc>
          <w:tcPr>
            <w:tcW w:w="4960" w:type="dxa"/>
            <w:vAlign w:val="bottom"/>
          </w:tcPr>
          <w:p w:rsidR="00A621E3" w:rsidRDefault="00A621E3">
            <w:pPr>
              <w:rPr>
                <w:sz w:val="15"/>
                <w:szCs w:val="15"/>
              </w:rPr>
            </w:pPr>
          </w:p>
        </w:tc>
        <w:tc>
          <w:tcPr>
            <w:tcW w:w="2180" w:type="dxa"/>
            <w:vAlign w:val="bottom"/>
          </w:tcPr>
          <w:p w:rsidR="00A621E3" w:rsidRDefault="00EC630E">
            <w:pPr>
              <w:ind w:right="450"/>
              <w:jc w:val="center"/>
              <w:rPr>
                <w:sz w:val="20"/>
                <w:szCs w:val="20"/>
              </w:rPr>
            </w:pPr>
            <w:r>
              <w:rPr>
                <w:rFonts w:ascii="Arial" w:eastAsia="Arial" w:hAnsi="Arial" w:cs="Arial"/>
                <w:b/>
                <w:bCs/>
                <w:color w:val="CF0A2C"/>
                <w:sz w:val="14"/>
                <w:szCs w:val="14"/>
              </w:rPr>
              <w:t>(a)</w:t>
            </w:r>
          </w:p>
        </w:tc>
        <w:tc>
          <w:tcPr>
            <w:tcW w:w="1880" w:type="dxa"/>
            <w:vAlign w:val="bottom"/>
          </w:tcPr>
          <w:p w:rsidR="00A621E3" w:rsidRDefault="00EC630E">
            <w:pPr>
              <w:jc w:val="center"/>
              <w:rPr>
                <w:sz w:val="20"/>
                <w:szCs w:val="20"/>
              </w:rPr>
            </w:pPr>
            <w:r>
              <w:rPr>
                <w:rFonts w:ascii="Arial" w:eastAsia="Arial" w:hAnsi="Arial" w:cs="Arial"/>
                <w:b/>
                <w:bCs/>
                <w:color w:val="CF0A2C"/>
                <w:sz w:val="14"/>
                <w:szCs w:val="14"/>
              </w:rPr>
              <w:t>(b)</w:t>
            </w:r>
          </w:p>
        </w:tc>
        <w:tc>
          <w:tcPr>
            <w:tcW w:w="2000" w:type="dxa"/>
            <w:gridSpan w:val="2"/>
            <w:vAlign w:val="bottom"/>
          </w:tcPr>
          <w:p w:rsidR="00A621E3" w:rsidRDefault="00EC630E">
            <w:pPr>
              <w:ind w:left="29"/>
              <w:jc w:val="center"/>
              <w:rPr>
                <w:sz w:val="20"/>
                <w:szCs w:val="20"/>
              </w:rPr>
            </w:pPr>
            <w:r>
              <w:rPr>
                <w:rFonts w:ascii="Arial" w:eastAsia="Arial" w:hAnsi="Arial" w:cs="Arial"/>
                <w:b/>
                <w:bCs/>
                <w:color w:val="CF0A2C"/>
                <w:sz w:val="14"/>
                <w:szCs w:val="14"/>
              </w:rPr>
              <w:t>(c)</w:t>
            </w:r>
          </w:p>
        </w:tc>
      </w:tr>
      <w:tr w:rsidR="00A621E3">
        <w:trPr>
          <w:trHeight w:val="193"/>
        </w:trPr>
        <w:tc>
          <w:tcPr>
            <w:tcW w:w="4960" w:type="dxa"/>
            <w:vAlign w:val="bottom"/>
          </w:tcPr>
          <w:p w:rsidR="00A621E3" w:rsidRDefault="00EC630E">
            <w:pPr>
              <w:rPr>
                <w:sz w:val="20"/>
                <w:szCs w:val="20"/>
              </w:rPr>
            </w:pPr>
            <w:r>
              <w:rPr>
                <w:rFonts w:ascii="Arial" w:eastAsia="Arial" w:hAnsi="Arial" w:cs="Arial"/>
                <w:color w:val="CF0A2C"/>
                <w:sz w:val="14"/>
                <w:szCs w:val="14"/>
              </w:rPr>
              <w:t>Equity compensation plans approved by security holders</w:t>
            </w:r>
          </w:p>
        </w:tc>
        <w:tc>
          <w:tcPr>
            <w:tcW w:w="2180" w:type="dxa"/>
            <w:vAlign w:val="bottom"/>
          </w:tcPr>
          <w:p w:rsidR="00A621E3" w:rsidRDefault="00EC630E">
            <w:pPr>
              <w:spacing w:line="192" w:lineRule="exact"/>
              <w:ind w:right="330"/>
              <w:jc w:val="right"/>
              <w:rPr>
                <w:sz w:val="20"/>
                <w:szCs w:val="20"/>
              </w:rPr>
            </w:pPr>
            <w:r>
              <w:rPr>
                <w:rFonts w:ascii="Arial" w:eastAsia="Arial" w:hAnsi="Arial" w:cs="Arial"/>
                <w:sz w:val="13"/>
                <w:szCs w:val="13"/>
              </w:rPr>
              <w:t>11,730,923</w:t>
            </w:r>
            <w:r>
              <w:rPr>
                <w:rFonts w:ascii="Arial" w:eastAsia="Arial" w:hAnsi="Arial" w:cs="Arial"/>
                <w:sz w:val="20"/>
                <w:szCs w:val="20"/>
                <w:vertAlign w:val="superscript"/>
              </w:rPr>
              <w:t>(1)</w:t>
            </w:r>
          </w:p>
        </w:tc>
        <w:tc>
          <w:tcPr>
            <w:tcW w:w="1880" w:type="dxa"/>
            <w:vAlign w:val="bottom"/>
          </w:tcPr>
          <w:p w:rsidR="00A621E3" w:rsidRDefault="00EC630E">
            <w:pPr>
              <w:spacing w:line="192" w:lineRule="exact"/>
              <w:ind w:right="249"/>
              <w:jc w:val="right"/>
              <w:rPr>
                <w:sz w:val="20"/>
                <w:szCs w:val="20"/>
              </w:rPr>
            </w:pPr>
            <w:r>
              <w:rPr>
                <w:rFonts w:ascii="Arial" w:eastAsia="Arial" w:hAnsi="Arial" w:cs="Arial"/>
                <w:sz w:val="13"/>
                <w:szCs w:val="13"/>
              </w:rPr>
              <w:t>34.71</w:t>
            </w:r>
            <w:r>
              <w:rPr>
                <w:rFonts w:ascii="Arial" w:eastAsia="Arial" w:hAnsi="Arial" w:cs="Arial"/>
                <w:sz w:val="20"/>
                <w:szCs w:val="20"/>
                <w:vertAlign w:val="superscript"/>
              </w:rPr>
              <w:t>(2)</w:t>
            </w:r>
          </w:p>
        </w:tc>
        <w:tc>
          <w:tcPr>
            <w:tcW w:w="2000" w:type="dxa"/>
            <w:gridSpan w:val="2"/>
            <w:vAlign w:val="bottom"/>
          </w:tcPr>
          <w:p w:rsidR="00A621E3" w:rsidRDefault="00EC630E">
            <w:pPr>
              <w:spacing w:line="192" w:lineRule="exact"/>
              <w:ind w:left="1120"/>
              <w:rPr>
                <w:sz w:val="20"/>
                <w:szCs w:val="20"/>
              </w:rPr>
            </w:pPr>
            <w:r>
              <w:rPr>
                <w:rFonts w:ascii="Arial" w:eastAsia="Arial" w:hAnsi="Arial" w:cs="Arial"/>
                <w:sz w:val="13"/>
                <w:szCs w:val="13"/>
              </w:rPr>
              <w:t>30,706,464</w:t>
            </w:r>
            <w:r>
              <w:rPr>
                <w:rFonts w:ascii="Arial" w:eastAsia="Arial" w:hAnsi="Arial" w:cs="Arial"/>
                <w:sz w:val="20"/>
                <w:szCs w:val="20"/>
                <w:vertAlign w:val="superscript"/>
              </w:rPr>
              <w:t>(3)</w:t>
            </w:r>
          </w:p>
        </w:tc>
      </w:tr>
      <w:tr w:rsidR="00A621E3">
        <w:trPr>
          <w:trHeight w:val="157"/>
        </w:trPr>
        <w:tc>
          <w:tcPr>
            <w:tcW w:w="4960" w:type="dxa"/>
            <w:vAlign w:val="bottom"/>
          </w:tcPr>
          <w:p w:rsidR="00A621E3" w:rsidRDefault="00EC630E">
            <w:pPr>
              <w:spacing w:line="157" w:lineRule="exact"/>
              <w:rPr>
                <w:sz w:val="20"/>
                <w:szCs w:val="20"/>
              </w:rPr>
            </w:pPr>
            <w:r>
              <w:rPr>
                <w:rFonts w:ascii="Arial" w:eastAsia="Arial" w:hAnsi="Arial" w:cs="Arial"/>
                <w:color w:val="CF0A2C"/>
                <w:sz w:val="14"/>
                <w:szCs w:val="14"/>
              </w:rPr>
              <w:t>Equity compensation plans not approved by security holders</w:t>
            </w:r>
          </w:p>
        </w:tc>
        <w:tc>
          <w:tcPr>
            <w:tcW w:w="2180" w:type="dxa"/>
            <w:vAlign w:val="bottom"/>
          </w:tcPr>
          <w:p w:rsidR="00A621E3" w:rsidRDefault="00EC630E">
            <w:pPr>
              <w:ind w:right="450"/>
              <w:jc w:val="right"/>
              <w:rPr>
                <w:sz w:val="20"/>
                <w:szCs w:val="20"/>
              </w:rPr>
            </w:pPr>
            <w:r>
              <w:rPr>
                <w:rFonts w:ascii="Arial" w:eastAsia="Arial" w:hAnsi="Arial" w:cs="Arial"/>
                <w:sz w:val="13"/>
                <w:szCs w:val="13"/>
              </w:rPr>
              <w:t>—</w:t>
            </w:r>
          </w:p>
        </w:tc>
        <w:tc>
          <w:tcPr>
            <w:tcW w:w="1880" w:type="dxa"/>
            <w:vAlign w:val="bottom"/>
          </w:tcPr>
          <w:p w:rsidR="00A621E3" w:rsidRDefault="00EC630E">
            <w:pPr>
              <w:ind w:right="389"/>
              <w:jc w:val="right"/>
              <w:rPr>
                <w:sz w:val="20"/>
                <w:szCs w:val="20"/>
              </w:rPr>
            </w:pPr>
            <w:r>
              <w:rPr>
                <w:rFonts w:ascii="Arial" w:eastAsia="Arial" w:hAnsi="Arial" w:cs="Arial"/>
                <w:sz w:val="13"/>
                <w:szCs w:val="13"/>
              </w:rPr>
              <w:t>—</w:t>
            </w:r>
          </w:p>
        </w:tc>
        <w:tc>
          <w:tcPr>
            <w:tcW w:w="2000" w:type="dxa"/>
            <w:gridSpan w:val="2"/>
            <w:vAlign w:val="bottom"/>
          </w:tcPr>
          <w:p w:rsidR="00A621E3" w:rsidRDefault="00EC630E">
            <w:pPr>
              <w:ind w:left="1660"/>
              <w:rPr>
                <w:sz w:val="20"/>
                <w:szCs w:val="20"/>
              </w:rPr>
            </w:pPr>
            <w:r>
              <w:rPr>
                <w:rFonts w:ascii="Arial" w:eastAsia="Arial" w:hAnsi="Arial" w:cs="Arial"/>
                <w:sz w:val="13"/>
                <w:szCs w:val="13"/>
              </w:rPr>
              <w:t>—</w:t>
            </w:r>
          </w:p>
        </w:tc>
      </w:tr>
      <w:tr w:rsidR="00A621E3">
        <w:trPr>
          <w:trHeight w:val="196"/>
        </w:trPr>
        <w:tc>
          <w:tcPr>
            <w:tcW w:w="4960" w:type="dxa"/>
            <w:vAlign w:val="bottom"/>
          </w:tcPr>
          <w:p w:rsidR="00A621E3" w:rsidRDefault="00EC630E">
            <w:pPr>
              <w:rPr>
                <w:sz w:val="20"/>
                <w:szCs w:val="20"/>
              </w:rPr>
            </w:pPr>
            <w:r>
              <w:rPr>
                <w:rFonts w:ascii="Arial" w:eastAsia="Arial" w:hAnsi="Arial" w:cs="Arial"/>
                <w:b/>
                <w:bCs/>
                <w:sz w:val="14"/>
                <w:szCs w:val="14"/>
              </w:rPr>
              <w:t>TOTAL</w:t>
            </w:r>
          </w:p>
        </w:tc>
        <w:tc>
          <w:tcPr>
            <w:tcW w:w="2180" w:type="dxa"/>
            <w:tcBorders>
              <w:top w:val="single" w:sz="8" w:space="0" w:color="CF0A2C"/>
              <w:bottom w:val="single" w:sz="8" w:space="0" w:color="CF0A2C"/>
            </w:tcBorders>
            <w:vAlign w:val="bottom"/>
          </w:tcPr>
          <w:p w:rsidR="00A621E3" w:rsidRDefault="00EC630E">
            <w:pPr>
              <w:ind w:right="450"/>
              <w:jc w:val="right"/>
              <w:rPr>
                <w:sz w:val="20"/>
                <w:szCs w:val="20"/>
              </w:rPr>
            </w:pPr>
            <w:r>
              <w:rPr>
                <w:rFonts w:ascii="Arial" w:eastAsia="Arial" w:hAnsi="Arial" w:cs="Arial"/>
                <w:sz w:val="13"/>
                <w:szCs w:val="13"/>
              </w:rPr>
              <w:t>11,730,923</w:t>
            </w:r>
          </w:p>
        </w:tc>
        <w:tc>
          <w:tcPr>
            <w:tcW w:w="1880" w:type="dxa"/>
            <w:tcBorders>
              <w:top w:val="single" w:sz="8" w:space="0" w:color="CF0A2C"/>
              <w:bottom w:val="single" w:sz="8" w:space="0" w:color="CF0A2C"/>
            </w:tcBorders>
            <w:vAlign w:val="bottom"/>
          </w:tcPr>
          <w:p w:rsidR="00A621E3" w:rsidRDefault="00A621E3">
            <w:pPr>
              <w:rPr>
                <w:sz w:val="17"/>
                <w:szCs w:val="17"/>
              </w:rPr>
            </w:pPr>
          </w:p>
        </w:tc>
        <w:tc>
          <w:tcPr>
            <w:tcW w:w="1780" w:type="dxa"/>
            <w:tcBorders>
              <w:top w:val="single" w:sz="8" w:space="0" w:color="CF0A2C"/>
              <w:bottom w:val="single" w:sz="8" w:space="0" w:color="CF0A2C"/>
            </w:tcBorders>
            <w:vAlign w:val="bottom"/>
          </w:tcPr>
          <w:p w:rsidR="00A621E3" w:rsidRDefault="00EC630E">
            <w:pPr>
              <w:ind w:left="1120"/>
              <w:rPr>
                <w:sz w:val="20"/>
                <w:szCs w:val="20"/>
              </w:rPr>
            </w:pPr>
            <w:r>
              <w:rPr>
                <w:rFonts w:ascii="Arial" w:eastAsia="Arial" w:hAnsi="Arial" w:cs="Arial"/>
                <w:w w:val="98"/>
                <w:sz w:val="13"/>
                <w:szCs w:val="13"/>
              </w:rPr>
              <w:t>30,706,464</w:t>
            </w:r>
          </w:p>
        </w:tc>
        <w:tc>
          <w:tcPr>
            <w:tcW w:w="220" w:type="dxa"/>
            <w:vAlign w:val="bottom"/>
          </w:tcPr>
          <w:p w:rsidR="00A621E3" w:rsidRDefault="00A621E3">
            <w:pPr>
              <w:rPr>
                <w:sz w:val="17"/>
                <w:szCs w:val="17"/>
              </w:rPr>
            </w:pPr>
          </w:p>
        </w:tc>
      </w:tr>
      <w:tr w:rsidR="00A621E3">
        <w:trPr>
          <w:trHeight w:val="20"/>
        </w:trPr>
        <w:tc>
          <w:tcPr>
            <w:tcW w:w="4960" w:type="dxa"/>
            <w:vAlign w:val="bottom"/>
          </w:tcPr>
          <w:p w:rsidR="00A621E3" w:rsidRDefault="00A621E3">
            <w:pPr>
              <w:spacing w:line="20" w:lineRule="exact"/>
              <w:rPr>
                <w:sz w:val="1"/>
                <w:szCs w:val="1"/>
              </w:rPr>
            </w:pPr>
          </w:p>
        </w:tc>
        <w:tc>
          <w:tcPr>
            <w:tcW w:w="2180" w:type="dxa"/>
            <w:tcBorders>
              <w:bottom w:val="single" w:sz="8" w:space="0" w:color="CF0A2C"/>
            </w:tcBorders>
            <w:vAlign w:val="bottom"/>
          </w:tcPr>
          <w:p w:rsidR="00A621E3" w:rsidRDefault="00A621E3">
            <w:pPr>
              <w:spacing w:line="20" w:lineRule="exact"/>
              <w:rPr>
                <w:sz w:val="1"/>
                <w:szCs w:val="1"/>
              </w:rPr>
            </w:pPr>
          </w:p>
        </w:tc>
        <w:tc>
          <w:tcPr>
            <w:tcW w:w="1880" w:type="dxa"/>
            <w:tcBorders>
              <w:bottom w:val="single" w:sz="8" w:space="0" w:color="CF0A2C"/>
            </w:tcBorders>
            <w:vAlign w:val="bottom"/>
          </w:tcPr>
          <w:p w:rsidR="00A621E3" w:rsidRDefault="00A621E3">
            <w:pPr>
              <w:spacing w:line="20" w:lineRule="exact"/>
              <w:rPr>
                <w:sz w:val="1"/>
                <w:szCs w:val="1"/>
              </w:rPr>
            </w:pPr>
          </w:p>
        </w:tc>
        <w:tc>
          <w:tcPr>
            <w:tcW w:w="1780" w:type="dxa"/>
            <w:tcBorders>
              <w:bottom w:val="single" w:sz="8" w:space="0" w:color="CF0A2C"/>
            </w:tcBorders>
            <w:vAlign w:val="bottom"/>
          </w:tcPr>
          <w:p w:rsidR="00A621E3" w:rsidRDefault="00A621E3">
            <w:pPr>
              <w:spacing w:line="20" w:lineRule="exact"/>
              <w:rPr>
                <w:sz w:val="1"/>
                <w:szCs w:val="1"/>
              </w:rPr>
            </w:pPr>
          </w:p>
        </w:tc>
        <w:tc>
          <w:tcPr>
            <w:tcW w:w="220" w:type="dxa"/>
            <w:vAlign w:val="bottom"/>
          </w:tcPr>
          <w:p w:rsidR="00A621E3" w:rsidRDefault="00A621E3">
            <w:pPr>
              <w:spacing w:line="20" w:lineRule="exact"/>
              <w:rPr>
                <w:sz w:val="1"/>
                <w:szCs w:val="1"/>
              </w:rPr>
            </w:pPr>
          </w:p>
        </w:tc>
      </w:tr>
    </w:tbl>
    <w:p w:rsidR="00A621E3" w:rsidRDefault="00A621E3">
      <w:pPr>
        <w:spacing w:line="294" w:lineRule="exact"/>
        <w:rPr>
          <w:sz w:val="20"/>
          <w:szCs w:val="20"/>
        </w:rPr>
      </w:pPr>
    </w:p>
    <w:p w:rsidR="00A621E3" w:rsidRDefault="00EC630E">
      <w:pPr>
        <w:numPr>
          <w:ilvl w:val="0"/>
          <w:numId w:val="134"/>
        </w:numPr>
        <w:tabs>
          <w:tab w:val="left" w:pos="760"/>
        </w:tabs>
        <w:ind w:left="760" w:hanging="644"/>
        <w:rPr>
          <w:rFonts w:ascii="Arial" w:eastAsia="Arial" w:hAnsi="Arial" w:cs="Arial"/>
          <w:sz w:val="20"/>
          <w:szCs w:val="20"/>
        </w:rPr>
      </w:pPr>
      <w:r>
        <w:rPr>
          <w:rFonts w:ascii="Arial" w:eastAsia="Arial" w:hAnsi="Arial" w:cs="Arial"/>
          <w:sz w:val="20"/>
          <w:szCs w:val="20"/>
        </w:rPr>
        <w:t xml:space="preserve">Includes 2,126,112 shares </w:t>
      </w:r>
      <w:r>
        <w:rPr>
          <w:rFonts w:ascii="Arial" w:eastAsia="Arial" w:hAnsi="Arial" w:cs="Arial"/>
          <w:sz w:val="20"/>
          <w:szCs w:val="20"/>
        </w:rPr>
        <w:t>issuable in respect of RSUs and PSUs.</w:t>
      </w:r>
    </w:p>
    <w:p w:rsidR="00A621E3" w:rsidRDefault="00A621E3">
      <w:pPr>
        <w:spacing w:line="296" w:lineRule="exact"/>
        <w:rPr>
          <w:rFonts w:ascii="Arial" w:eastAsia="Arial" w:hAnsi="Arial" w:cs="Arial"/>
          <w:sz w:val="20"/>
          <w:szCs w:val="20"/>
        </w:rPr>
      </w:pPr>
    </w:p>
    <w:p w:rsidR="00A621E3" w:rsidRDefault="00EC630E">
      <w:pPr>
        <w:numPr>
          <w:ilvl w:val="0"/>
          <w:numId w:val="134"/>
        </w:numPr>
        <w:tabs>
          <w:tab w:val="left" w:pos="760"/>
        </w:tabs>
        <w:spacing w:line="260" w:lineRule="auto"/>
        <w:ind w:left="760" w:right="20" w:hanging="644"/>
        <w:rPr>
          <w:rFonts w:ascii="Arial" w:eastAsia="Arial" w:hAnsi="Arial" w:cs="Arial"/>
          <w:sz w:val="20"/>
          <w:szCs w:val="20"/>
        </w:rPr>
      </w:pPr>
      <w:r>
        <w:rPr>
          <w:rFonts w:ascii="Arial" w:eastAsia="Arial" w:hAnsi="Arial" w:cs="Arial"/>
          <w:sz w:val="20"/>
          <w:szCs w:val="20"/>
        </w:rPr>
        <w:t>RSUs and PSUs do not have an exercise price. Accordingly, this amount represents the weighted-average exercise price of outstanding SARs and stock options.</w:t>
      </w:r>
    </w:p>
    <w:p w:rsidR="00A621E3" w:rsidRDefault="00A621E3">
      <w:pPr>
        <w:spacing w:line="257" w:lineRule="exact"/>
        <w:rPr>
          <w:rFonts w:ascii="Arial" w:eastAsia="Arial" w:hAnsi="Arial" w:cs="Arial"/>
          <w:sz w:val="20"/>
          <w:szCs w:val="20"/>
        </w:rPr>
      </w:pPr>
    </w:p>
    <w:p w:rsidR="00A621E3" w:rsidRDefault="00EC630E">
      <w:pPr>
        <w:numPr>
          <w:ilvl w:val="0"/>
          <w:numId w:val="134"/>
        </w:numPr>
        <w:tabs>
          <w:tab w:val="left" w:pos="760"/>
        </w:tabs>
        <w:spacing w:line="260" w:lineRule="auto"/>
        <w:ind w:left="760" w:right="20" w:hanging="644"/>
        <w:jc w:val="both"/>
        <w:rPr>
          <w:rFonts w:ascii="Arial" w:eastAsia="Arial" w:hAnsi="Arial" w:cs="Arial"/>
          <w:sz w:val="19"/>
          <w:szCs w:val="19"/>
        </w:rPr>
      </w:pPr>
      <w:r>
        <w:rPr>
          <w:rFonts w:ascii="Arial" w:eastAsia="Arial" w:hAnsi="Arial" w:cs="Arial"/>
          <w:sz w:val="19"/>
          <w:szCs w:val="19"/>
        </w:rPr>
        <w:t xml:space="preserve">While certain equity awards remain outstanding under the </w:t>
      </w:r>
      <w:r>
        <w:rPr>
          <w:rFonts w:ascii="Arial" w:eastAsia="Arial" w:hAnsi="Arial" w:cs="Arial"/>
          <w:sz w:val="19"/>
          <w:szCs w:val="19"/>
        </w:rPr>
        <w:t>Company’s 2016 LTIP, no future equity awards may be granted under such plan. The number represents the number of Company common stock remaining available for future grants under the 2022 LTIP only. Full value awards granted to the Company’s employees under</w:t>
      </w:r>
      <w:r>
        <w:rPr>
          <w:rFonts w:ascii="Arial" w:eastAsia="Arial" w:hAnsi="Arial" w:cs="Arial"/>
          <w:sz w:val="19"/>
          <w:szCs w:val="19"/>
        </w:rPr>
        <w:t xml:space="preserve"> the 2022 LTIP, including RSUs and PSUs, will reduce the number of shares available for issuance by two shares. SARs granted to the Company’s employees under the 2022 LTIP will reduce the number of shares available for issuance only by one share.</w:t>
      </w:r>
    </w:p>
    <w:p w:rsidR="00A621E3" w:rsidRDefault="00A621E3">
      <w:pPr>
        <w:spacing w:line="120" w:lineRule="exact"/>
        <w:rPr>
          <w:sz w:val="20"/>
          <w:szCs w:val="20"/>
        </w:rPr>
      </w:pPr>
    </w:p>
    <w:p w:rsidR="00A621E3" w:rsidRDefault="00EC630E">
      <w:pPr>
        <w:numPr>
          <w:ilvl w:val="0"/>
          <w:numId w:val="135"/>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YUM CHIN</w:t>
      </w:r>
      <w:r>
        <w:rPr>
          <w:rFonts w:ascii="Arial" w:eastAsia="Arial" w:hAnsi="Arial" w:cs="Arial"/>
          <w:color w:val="4C4C4C"/>
          <w:sz w:val="14"/>
          <w:szCs w:val="14"/>
        </w:rPr>
        <w:t xml:space="preserve">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2051456"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EC630E">
      <w:pPr>
        <w:rPr>
          <w:sz w:val="20"/>
          <w:szCs w:val="20"/>
        </w:rPr>
      </w:pPr>
      <w:bookmarkStart w:id="102" w:name="page102"/>
      <w:bookmarkEnd w:id="102"/>
      <w:r>
        <w:rPr>
          <w:rFonts w:ascii="Arial" w:eastAsia="Arial" w:hAnsi="Arial" w:cs="Arial"/>
          <w:b/>
          <w:bCs/>
          <w:noProof/>
          <w:color w:val="0000EE"/>
          <w:sz w:val="18"/>
          <w:szCs w:val="18"/>
          <w:u w:val="single"/>
        </w:rPr>
        <w:drawing>
          <wp:anchor distT="0" distB="0" distL="114300" distR="114300" simplePos="0" relativeHeight="252052480"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53504" behindDoc="1" locked="0" layoutInCell="0" allowOverlap="1">
            <wp:simplePos x="0" y="0"/>
            <wp:positionH relativeFrom="column">
              <wp:posOffset>73660</wp:posOffset>
            </wp:positionH>
            <wp:positionV relativeFrom="paragraph">
              <wp:posOffset>205740</wp:posOffset>
            </wp:positionV>
            <wp:extent cx="6995160" cy="506095"/>
            <wp:effectExtent l="0" t="0" r="0" b="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2">
                      <a:extLst/>
                    </a:blip>
                    <a:srcRect/>
                    <a:stretch>
                      <a:fillRect/>
                    </a:stretch>
                  </pic:blipFill>
                  <pic:spPr bwMode="auto">
                    <a:xfrm>
                      <a:off x="0" y="0"/>
                      <a:ext cx="6995160" cy="50609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11" w:lineRule="exact"/>
        <w:rPr>
          <w:sz w:val="20"/>
          <w:szCs w:val="20"/>
        </w:rPr>
      </w:pPr>
    </w:p>
    <w:p w:rsidR="00A621E3" w:rsidRDefault="00EC630E">
      <w:pPr>
        <w:ind w:left="200"/>
        <w:rPr>
          <w:sz w:val="20"/>
          <w:szCs w:val="20"/>
        </w:rPr>
      </w:pPr>
      <w:r>
        <w:rPr>
          <w:rFonts w:ascii="Arial" w:eastAsia="Arial" w:hAnsi="Arial" w:cs="Arial"/>
          <w:b/>
          <w:bCs/>
          <w:color w:val="FFFFFF"/>
          <w:sz w:val="32"/>
          <w:szCs w:val="32"/>
        </w:rPr>
        <w:t>AUDIT COMMITTEE REPORT</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26" w:lineRule="exact"/>
        <w:rPr>
          <w:sz w:val="20"/>
          <w:szCs w:val="20"/>
        </w:rPr>
      </w:pPr>
    </w:p>
    <w:p w:rsidR="00A621E3" w:rsidRDefault="00EC630E">
      <w:pPr>
        <w:ind w:left="120"/>
        <w:rPr>
          <w:sz w:val="20"/>
          <w:szCs w:val="20"/>
        </w:rPr>
      </w:pPr>
      <w:r>
        <w:rPr>
          <w:rFonts w:ascii="Arial" w:eastAsia="Arial" w:hAnsi="Arial" w:cs="Arial"/>
          <w:b/>
          <w:bCs/>
          <w:color w:val="CF0A2C"/>
          <w:sz w:val="32"/>
          <w:szCs w:val="32"/>
        </w:rPr>
        <w:t>Who serves on the Audit Committee of the Board of Directors?</w:t>
      </w:r>
    </w:p>
    <w:p w:rsidR="00A621E3" w:rsidRDefault="00EC630E">
      <w:pPr>
        <w:spacing w:line="20" w:lineRule="exact"/>
        <w:rPr>
          <w:sz w:val="20"/>
          <w:szCs w:val="20"/>
        </w:rPr>
      </w:pPr>
      <w:r>
        <w:rPr>
          <w:noProof/>
          <w:sz w:val="20"/>
          <w:szCs w:val="20"/>
        </w:rPr>
        <w:drawing>
          <wp:anchor distT="0" distB="0" distL="114300" distR="114300" simplePos="0" relativeHeight="252054528"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91" w:lineRule="exact"/>
        <w:rPr>
          <w:sz w:val="20"/>
          <w:szCs w:val="20"/>
        </w:rPr>
      </w:pPr>
    </w:p>
    <w:p w:rsidR="00A621E3" w:rsidRDefault="00EC630E">
      <w:pPr>
        <w:spacing w:line="246" w:lineRule="auto"/>
        <w:ind w:left="120"/>
        <w:jc w:val="both"/>
        <w:rPr>
          <w:sz w:val="20"/>
          <w:szCs w:val="20"/>
        </w:rPr>
      </w:pPr>
      <w:r>
        <w:rPr>
          <w:rFonts w:ascii="Arial" w:eastAsia="Arial" w:hAnsi="Arial" w:cs="Arial"/>
          <w:sz w:val="20"/>
          <w:szCs w:val="20"/>
        </w:rPr>
        <w:t xml:space="preserve">The members of the Audit Committee are Peter A. Bassi (Chair), Cyril Han, </w:t>
      </w:r>
      <w:r>
        <w:rPr>
          <w:rFonts w:ascii="Arial" w:eastAsia="Arial" w:hAnsi="Arial" w:cs="Arial"/>
          <w:sz w:val="20"/>
          <w:szCs w:val="20"/>
        </w:rPr>
        <w:t>Louis T. Hsieh, Zili Shao and Min (Jenny) Zhang, each of whom are independent within the meaning of applicable SEC regulations, the listing stan-</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71" w:lineRule="exact"/>
        <w:rPr>
          <w:sz w:val="20"/>
          <w:szCs w:val="20"/>
        </w:rPr>
      </w:pPr>
    </w:p>
    <w:p w:rsidR="00A621E3" w:rsidRDefault="00EC630E">
      <w:pPr>
        <w:spacing w:line="246" w:lineRule="auto"/>
        <w:ind w:right="20"/>
        <w:jc w:val="both"/>
        <w:rPr>
          <w:sz w:val="20"/>
          <w:szCs w:val="20"/>
        </w:rPr>
      </w:pPr>
      <w:r>
        <w:rPr>
          <w:rFonts w:ascii="Arial" w:eastAsia="Arial" w:hAnsi="Arial" w:cs="Arial"/>
          <w:sz w:val="20"/>
          <w:szCs w:val="20"/>
        </w:rPr>
        <w:t>dards of the NYSE and the Hong Kong Listing Rules. For additional information about the members of the Au</w:t>
      </w:r>
      <w:r>
        <w:rPr>
          <w:rFonts w:ascii="Arial" w:eastAsia="Arial" w:hAnsi="Arial" w:cs="Arial"/>
          <w:sz w:val="20"/>
          <w:szCs w:val="20"/>
        </w:rPr>
        <w:t>dit Committee, see “Governance of the Company—What are the Committees of the Board?”</w:t>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69" w:lineRule="exact"/>
        <w:rPr>
          <w:sz w:val="20"/>
          <w:szCs w:val="20"/>
        </w:rPr>
      </w:pPr>
    </w:p>
    <w:p w:rsidR="00A621E3" w:rsidRDefault="00EC630E">
      <w:pPr>
        <w:ind w:left="120"/>
        <w:rPr>
          <w:sz w:val="20"/>
          <w:szCs w:val="20"/>
        </w:rPr>
      </w:pPr>
      <w:r>
        <w:rPr>
          <w:rFonts w:ascii="Arial" w:eastAsia="Arial" w:hAnsi="Arial" w:cs="Arial"/>
          <w:b/>
          <w:bCs/>
          <w:color w:val="CF0A2C"/>
          <w:sz w:val="32"/>
          <w:szCs w:val="32"/>
        </w:rPr>
        <w:t>What document governs the activities of the Audit Committee?</w:t>
      </w:r>
    </w:p>
    <w:p w:rsidR="00A621E3" w:rsidRDefault="00EC630E">
      <w:pPr>
        <w:spacing w:line="20" w:lineRule="exact"/>
        <w:rPr>
          <w:sz w:val="20"/>
          <w:szCs w:val="20"/>
        </w:rPr>
      </w:pPr>
      <w:r>
        <w:rPr>
          <w:noProof/>
          <w:sz w:val="20"/>
          <w:szCs w:val="20"/>
        </w:rPr>
        <w:drawing>
          <wp:anchor distT="0" distB="0" distL="114300" distR="114300" simplePos="0" relativeHeight="252055552"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96" w:lineRule="exact"/>
        <w:rPr>
          <w:sz w:val="20"/>
          <w:szCs w:val="20"/>
        </w:rPr>
      </w:pPr>
    </w:p>
    <w:p w:rsidR="00A621E3" w:rsidRDefault="00EC630E">
      <w:pPr>
        <w:spacing w:line="246" w:lineRule="auto"/>
        <w:ind w:left="120"/>
        <w:jc w:val="both"/>
        <w:rPr>
          <w:sz w:val="20"/>
          <w:szCs w:val="20"/>
        </w:rPr>
      </w:pPr>
      <w:r>
        <w:rPr>
          <w:rFonts w:ascii="Arial" w:eastAsia="Arial" w:hAnsi="Arial" w:cs="Arial"/>
          <w:sz w:val="20"/>
          <w:szCs w:val="20"/>
        </w:rPr>
        <w:t xml:space="preserve">The Audit Committee operates under a written charter </w:t>
      </w:r>
      <w:r>
        <w:rPr>
          <w:rFonts w:ascii="Arial" w:eastAsia="Arial" w:hAnsi="Arial" w:cs="Arial"/>
          <w:sz w:val="20"/>
          <w:szCs w:val="20"/>
        </w:rPr>
        <w:t>adopted by the Board of Directors. The Audit Committee’s responsibilities are set forth in the charter. The Audit Committee annually reviews and reassesses the adequacy</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6" w:lineRule="exact"/>
        <w:rPr>
          <w:sz w:val="20"/>
          <w:szCs w:val="20"/>
        </w:rPr>
      </w:pPr>
    </w:p>
    <w:p w:rsidR="00A621E3" w:rsidRDefault="00EC630E">
      <w:pPr>
        <w:spacing w:line="250" w:lineRule="auto"/>
        <w:ind w:right="20"/>
        <w:jc w:val="both"/>
        <w:rPr>
          <w:sz w:val="20"/>
          <w:szCs w:val="20"/>
        </w:rPr>
      </w:pPr>
      <w:r>
        <w:rPr>
          <w:rFonts w:ascii="Arial" w:eastAsia="Arial" w:hAnsi="Arial" w:cs="Arial"/>
          <w:sz w:val="20"/>
          <w:szCs w:val="20"/>
        </w:rPr>
        <w:t xml:space="preserve">of its charter and recommends any proposed changes to the Board for approval. The charter is available on our website at </w:t>
      </w:r>
      <w:r>
        <w:rPr>
          <w:rFonts w:ascii="Arial" w:eastAsia="Arial" w:hAnsi="Arial" w:cs="Arial"/>
          <w:i/>
          <w:iCs/>
          <w:sz w:val="20"/>
          <w:szCs w:val="20"/>
        </w:rPr>
        <w:t>ir.yumchina.com.</w:t>
      </w:r>
    </w:p>
    <w:p w:rsidR="00A621E3" w:rsidRDefault="00A621E3">
      <w:pPr>
        <w:spacing w:line="424"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69" w:lineRule="exact"/>
        <w:rPr>
          <w:sz w:val="20"/>
          <w:szCs w:val="20"/>
        </w:rPr>
      </w:pPr>
    </w:p>
    <w:p w:rsidR="00A621E3" w:rsidRDefault="00EC630E">
      <w:pPr>
        <w:ind w:left="120"/>
        <w:rPr>
          <w:sz w:val="20"/>
          <w:szCs w:val="20"/>
        </w:rPr>
      </w:pPr>
      <w:r>
        <w:rPr>
          <w:rFonts w:ascii="Arial" w:eastAsia="Arial" w:hAnsi="Arial" w:cs="Arial"/>
          <w:b/>
          <w:bCs/>
          <w:color w:val="CF0A2C"/>
          <w:sz w:val="32"/>
          <w:szCs w:val="32"/>
        </w:rPr>
        <w:t>What are the responsibilities of the Audit Committee?</w:t>
      </w:r>
    </w:p>
    <w:p w:rsidR="00A621E3" w:rsidRDefault="00EC630E">
      <w:pPr>
        <w:spacing w:line="20" w:lineRule="exact"/>
        <w:rPr>
          <w:sz w:val="20"/>
          <w:szCs w:val="20"/>
        </w:rPr>
      </w:pPr>
      <w:r>
        <w:rPr>
          <w:noProof/>
          <w:sz w:val="20"/>
          <w:szCs w:val="20"/>
        </w:rPr>
        <w:drawing>
          <wp:anchor distT="0" distB="0" distL="114300" distR="114300" simplePos="0" relativeHeight="252056576" behindDoc="1" locked="0" layoutInCell="0" allowOverlap="1">
            <wp:simplePos x="0" y="0"/>
            <wp:positionH relativeFrom="column">
              <wp:posOffset>73660</wp:posOffset>
            </wp:positionH>
            <wp:positionV relativeFrom="paragraph">
              <wp:posOffset>140970</wp:posOffset>
            </wp:positionV>
            <wp:extent cx="6995160" cy="8255"/>
            <wp:effectExtent l="0" t="0" r="0"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10" w:lineRule="exact"/>
        <w:rPr>
          <w:sz w:val="20"/>
          <w:szCs w:val="20"/>
        </w:rPr>
      </w:pPr>
    </w:p>
    <w:p w:rsidR="00A621E3" w:rsidRDefault="00EC630E">
      <w:pPr>
        <w:spacing w:line="269" w:lineRule="auto"/>
        <w:ind w:left="120"/>
        <w:jc w:val="both"/>
        <w:rPr>
          <w:sz w:val="20"/>
          <w:szCs w:val="20"/>
        </w:rPr>
      </w:pPr>
      <w:r>
        <w:rPr>
          <w:rFonts w:ascii="Arial" w:eastAsia="Arial" w:hAnsi="Arial" w:cs="Arial"/>
          <w:sz w:val="18"/>
          <w:szCs w:val="18"/>
        </w:rPr>
        <w:t>The Au</w:t>
      </w:r>
      <w:r>
        <w:rPr>
          <w:rFonts w:ascii="Arial" w:eastAsia="Arial" w:hAnsi="Arial" w:cs="Arial"/>
          <w:sz w:val="18"/>
          <w:szCs w:val="18"/>
        </w:rPr>
        <w:t>dit Committee assists the Board in fulfilling its responsibilities for general oversight of the integrity of the Company’s financial statements, the adequacy of the Company’s system of internal controls and procedures and disclosure controls and procedures</w:t>
      </w:r>
      <w:r>
        <w:rPr>
          <w:rFonts w:ascii="Arial" w:eastAsia="Arial" w:hAnsi="Arial" w:cs="Arial"/>
          <w:sz w:val="18"/>
          <w:szCs w:val="18"/>
        </w:rPr>
        <w:t>, the Company’s risk management, the Company’s compliance with legal and regulatory requirements, the independent auditors’ qualifications and independence and the performance of the Company’s internal audit function and independent auditors. The Audit Com</w:t>
      </w:r>
      <w:r>
        <w:rPr>
          <w:rFonts w:ascii="Arial" w:eastAsia="Arial" w:hAnsi="Arial" w:cs="Arial"/>
          <w:sz w:val="18"/>
          <w:szCs w:val="18"/>
        </w:rPr>
        <w:t>mittee has the authority to obtain advice and assistance from independent legal, accounting or other advisors as the Audit Committee deems necessary or appropriate to carry out its duties and receive appropriate funding, as determined by the Audit Committe</w:t>
      </w:r>
      <w:r>
        <w:rPr>
          <w:rFonts w:ascii="Arial" w:eastAsia="Arial" w:hAnsi="Arial" w:cs="Arial"/>
          <w:sz w:val="18"/>
          <w:szCs w:val="18"/>
        </w:rPr>
        <w:t>e, from the Company for such advice and assistance.</w:t>
      </w:r>
    </w:p>
    <w:p w:rsidR="00A621E3" w:rsidRDefault="00A621E3">
      <w:pPr>
        <w:spacing w:line="181" w:lineRule="exact"/>
        <w:rPr>
          <w:sz w:val="20"/>
          <w:szCs w:val="20"/>
        </w:rPr>
      </w:pPr>
    </w:p>
    <w:p w:rsidR="00A621E3" w:rsidRDefault="00EC630E">
      <w:pPr>
        <w:spacing w:line="259" w:lineRule="auto"/>
        <w:ind w:left="120"/>
        <w:jc w:val="both"/>
        <w:rPr>
          <w:sz w:val="20"/>
          <w:szCs w:val="20"/>
        </w:rPr>
      </w:pPr>
      <w:r>
        <w:rPr>
          <w:rFonts w:ascii="Arial" w:eastAsia="Arial" w:hAnsi="Arial" w:cs="Arial"/>
          <w:sz w:val="19"/>
          <w:szCs w:val="19"/>
        </w:rPr>
        <w:t xml:space="preserve">The Audit Committee has sole authority to appoint and replace the independent auditors, and is directly responsible for the compensation of the independent auditors, subject to stockholder approval. The </w:t>
      </w:r>
      <w:r>
        <w:rPr>
          <w:rFonts w:ascii="Arial" w:eastAsia="Arial" w:hAnsi="Arial" w:cs="Arial"/>
          <w:sz w:val="19"/>
          <w:szCs w:val="19"/>
        </w:rPr>
        <w:t>Audit Committee manages the Company’s relationship with its independent auditors, which reports directly to the Audit Committee.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90" w:lineRule="exact"/>
        <w:rPr>
          <w:sz w:val="20"/>
          <w:szCs w:val="20"/>
        </w:rPr>
      </w:pPr>
    </w:p>
    <w:p w:rsidR="00A621E3" w:rsidRDefault="00EC630E">
      <w:pPr>
        <w:spacing w:line="243" w:lineRule="auto"/>
        <w:jc w:val="both"/>
        <w:rPr>
          <w:sz w:val="20"/>
          <w:szCs w:val="20"/>
        </w:rPr>
      </w:pPr>
      <w:r>
        <w:rPr>
          <w:rFonts w:ascii="Arial" w:eastAsia="Arial" w:hAnsi="Arial" w:cs="Arial"/>
          <w:sz w:val="20"/>
          <w:szCs w:val="20"/>
        </w:rPr>
        <w:t>Each year, the Audit Committee evaluates the performance, qualifications and independence of the independent auditors. In d</w:t>
      </w:r>
      <w:r>
        <w:rPr>
          <w:rFonts w:ascii="Arial" w:eastAsia="Arial" w:hAnsi="Arial" w:cs="Arial"/>
          <w:sz w:val="20"/>
          <w:szCs w:val="20"/>
        </w:rPr>
        <w:t>oing so, the Audit Committee considers whether the independent auditors’ quality controls are adequate and the provision of permitted non-audit services is compatible with maintaining the auditor’s independence, taking into account the opinions of manageme</w:t>
      </w:r>
      <w:r>
        <w:rPr>
          <w:rFonts w:ascii="Arial" w:eastAsia="Arial" w:hAnsi="Arial" w:cs="Arial"/>
          <w:sz w:val="20"/>
          <w:szCs w:val="20"/>
        </w:rPr>
        <w:t>nt and internal auditor.</w:t>
      </w:r>
    </w:p>
    <w:p w:rsidR="00A621E3" w:rsidRDefault="00A621E3">
      <w:pPr>
        <w:spacing w:line="193" w:lineRule="exact"/>
        <w:rPr>
          <w:sz w:val="20"/>
          <w:szCs w:val="20"/>
        </w:rPr>
      </w:pPr>
    </w:p>
    <w:p w:rsidR="00A621E3" w:rsidRDefault="00EC630E">
      <w:pPr>
        <w:spacing w:line="255" w:lineRule="auto"/>
        <w:jc w:val="both"/>
        <w:rPr>
          <w:sz w:val="20"/>
          <w:szCs w:val="20"/>
        </w:rPr>
      </w:pPr>
      <w:r>
        <w:rPr>
          <w:rFonts w:ascii="Arial" w:eastAsia="Arial" w:hAnsi="Arial" w:cs="Arial"/>
          <w:sz w:val="19"/>
          <w:szCs w:val="19"/>
        </w:rPr>
        <w:t>The members of the Audit Committee meet periodically in separate executive sessions with management (including the Company’s Chief Financial Officer, Chief Legal Officer and Principal Accounting Officer), the internal auditors and</w:t>
      </w:r>
      <w:r>
        <w:rPr>
          <w:rFonts w:ascii="Arial" w:eastAsia="Arial" w:hAnsi="Arial" w:cs="Arial"/>
          <w:sz w:val="19"/>
          <w:szCs w:val="19"/>
        </w:rPr>
        <w:t xml:space="preserve"> the independent auditors, and have such other direct and independent interaction with such persons from time to time as the members of the Audit Committee deem appropriate. The Audit Committee may request any officer or employee of the Company or the Comp</w:t>
      </w:r>
      <w:r>
        <w:rPr>
          <w:rFonts w:ascii="Arial" w:eastAsia="Arial" w:hAnsi="Arial" w:cs="Arial"/>
          <w:sz w:val="19"/>
          <w:szCs w:val="19"/>
        </w:rPr>
        <w:t>any’s outside counsel or independent auditors to attend a meeting of the Audit Committee or to meet with any members of, or consultants to, the Audit Committee.</w:t>
      </w:r>
    </w:p>
    <w:p w:rsidR="00A621E3" w:rsidRDefault="00A621E3">
      <w:pPr>
        <w:spacing w:line="667"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49"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97</w:t>
      </w:r>
    </w:p>
    <w:p w:rsidR="00A621E3" w:rsidRDefault="00EC630E">
      <w:pPr>
        <w:spacing w:line="20" w:lineRule="exact"/>
        <w:rPr>
          <w:sz w:val="20"/>
          <w:szCs w:val="20"/>
        </w:rPr>
      </w:pPr>
      <w:r>
        <w:rPr>
          <w:noProof/>
          <w:sz w:val="20"/>
          <w:szCs w:val="20"/>
        </w:rPr>
        <w:drawing>
          <wp:anchor distT="0" distB="0" distL="114300" distR="114300" simplePos="0" relativeHeight="252057600"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103" w:name="page103"/>
      <w:bookmarkEnd w:id="103"/>
      <w:r>
        <w:rPr>
          <w:rFonts w:ascii="Arial" w:eastAsia="Arial" w:hAnsi="Arial" w:cs="Arial"/>
          <w:b/>
          <w:bCs/>
          <w:noProof/>
          <w:color w:val="0000EE"/>
          <w:sz w:val="18"/>
          <w:szCs w:val="18"/>
          <w:u w:val="single"/>
        </w:rPr>
        <w:drawing>
          <wp:anchor distT="0" distB="0" distL="114300" distR="114300" simplePos="0" relativeHeight="25205862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59648" behindDoc="1" locked="0" layoutInCell="0" allowOverlap="1">
            <wp:simplePos x="0" y="0"/>
            <wp:positionH relativeFrom="column">
              <wp:posOffset>73660</wp:posOffset>
            </wp:positionH>
            <wp:positionV relativeFrom="paragraph">
              <wp:posOffset>205740</wp:posOffset>
            </wp:positionV>
            <wp:extent cx="1560195" cy="205740"/>
            <wp:effectExtent l="0" t="0" r="0" b="0"/>
            <wp:wrapNone/>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57">
                      <a:extLst/>
                    </a:blip>
                    <a:srcRect/>
                    <a:stretch>
                      <a:fillRect/>
                    </a:stretch>
                  </pic:blipFill>
                  <pic:spPr bwMode="auto">
                    <a:xfrm>
                      <a:off x="0" y="0"/>
                      <a:ext cx="1560195"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200"/>
        <w:rPr>
          <w:sz w:val="20"/>
          <w:szCs w:val="20"/>
        </w:rPr>
      </w:pPr>
      <w:r>
        <w:rPr>
          <w:rFonts w:ascii="Arial" w:eastAsia="Arial" w:hAnsi="Arial" w:cs="Arial"/>
          <w:b/>
          <w:bCs/>
          <w:color w:val="FFFFFF"/>
          <w:sz w:val="16"/>
          <w:szCs w:val="16"/>
        </w:rPr>
        <w:t>AUDIT COMMITTEE REPORT</w:t>
      </w:r>
    </w:p>
    <w:p w:rsidR="00A621E3" w:rsidRDefault="00A621E3">
      <w:pPr>
        <w:spacing w:line="189" w:lineRule="exact"/>
        <w:rPr>
          <w:sz w:val="20"/>
          <w:szCs w:val="20"/>
        </w:rPr>
      </w:pPr>
    </w:p>
    <w:p w:rsidR="00A621E3" w:rsidRDefault="00EC630E">
      <w:pPr>
        <w:spacing w:line="286" w:lineRule="auto"/>
        <w:ind w:left="120" w:right="540"/>
        <w:rPr>
          <w:sz w:val="20"/>
          <w:szCs w:val="20"/>
        </w:rPr>
      </w:pPr>
      <w:r>
        <w:rPr>
          <w:rFonts w:ascii="Arial" w:eastAsia="Arial" w:hAnsi="Arial" w:cs="Arial"/>
          <w:b/>
          <w:bCs/>
          <w:color w:val="CF0A2C"/>
          <w:sz w:val="32"/>
          <w:szCs w:val="32"/>
        </w:rPr>
        <w:t>What matters have members of the Audit Committee discussed with management and the independent auditors?</w:t>
      </w:r>
    </w:p>
    <w:p w:rsidR="00A621E3" w:rsidRDefault="00EC630E">
      <w:pPr>
        <w:spacing w:line="20" w:lineRule="exact"/>
        <w:rPr>
          <w:sz w:val="20"/>
          <w:szCs w:val="20"/>
        </w:rPr>
      </w:pPr>
      <w:r>
        <w:rPr>
          <w:noProof/>
          <w:sz w:val="20"/>
          <w:szCs w:val="20"/>
        </w:rPr>
        <w:drawing>
          <wp:anchor distT="0" distB="0" distL="114300" distR="114300" simplePos="0" relativeHeight="252060672" behindDoc="1" locked="0" layoutInCell="0" allowOverlap="1">
            <wp:simplePos x="0" y="0"/>
            <wp:positionH relativeFrom="column">
              <wp:posOffset>73660</wp:posOffset>
            </wp:positionH>
            <wp:positionV relativeFrom="paragraph">
              <wp:posOffset>109220</wp:posOffset>
            </wp:positionV>
            <wp:extent cx="6995160" cy="8255"/>
            <wp:effectExtent l="0" t="0" r="0" b="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60" w:lineRule="exact"/>
        <w:rPr>
          <w:sz w:val="20"/>
          <w:szCs w:val="20"/>
        </w:rPr>
      </w:pPr>
    </w:p>
    <w:p w:rsidR="00A621E3" w:rsidRDefault="00EC630E">
      <w:pPr>
        <w:spacing w:line="268" w:lineRule="auto"/>
        <w:ind w:left="120"/>
        <w:jc w:val="both"/>
        <w:rPr>
          <w:sz w:val="20"/>
          <w:szCs w:val="20"/>
        </w:rPr>
      </w:pPr>
      <w:r>
        <w:rPr>
          <w:rFonts w:ascii="Arial" w:eastAsia="Arial" w:hAnsi="Arial" w:cs="Arial"/>
          <w:sz w:val="18"/>
          <w:szCs w:val="18"/>
        </w:rPr>
        <w:t>As part of its oversight of the Company’s financial statements, the Audit Committe</w:t>
      </w:r>
      <w:r>
        <w:rPr>
          <w:rFonts w:ascii="Arial" w:eastAsia="Arial" w:hAnsi="Arial" w:cs="Arial"/>
          <w:sz w:val="18"/>
          <w:szCs w:val="18"/>
        </w:rPr>
        <w:t>e reviews and discusses with both management and the Company’s independent auditors all annual and quarterly financial statements prior to their issuance. During 2022, management advised the Audit Committee that each set of financial statements reviewed ha</w:t>
      </w:r>
      <w:r>
        <w:rPr>
          <w:rFonts w:ascii="Arial" w:eastAsia="Arial" w:hAnsi="Arial" w:cs="Arial"/>
          <w:sz w:val="18"/>
          <w:szCs w:val="18"/>
        </w:rPr>
        <w:t>d been prepared in accordance with accounting principles generally accepted in the U.S. and reviewed significant accounting and disclosure issues with the Audit Committee. These reviews included discussions with the independent auditors of matters required</w:t>
      </w:r>
      <w:r>
        <w:rPr>
          <w:rFonts w:ascii="Arial" w:eastAsia="Arial" w:hAnsi="Arial" w:cs="Arial"/>
          <w:sz w:val="18"/>
          <w:szCs w:val="18"/>
        </w:rPr>
        <w:t xml:space="preserve"> to be discussed pursuant to applicable requirements of the PCAOB and the SEC, including the quality (not merely the acceptability) of the Company’s accounting principles, the reasonableness of significant judgments, the clarity of disclosures in the finan</w:t>
      </w:r>
      <w:r>
        <w:rPr>
          <w:rFonts w:ascii="Arial" w:eastAsia="Arial" w:hAnsi="Arial" w:cs="Arial"/>
          <w:sz w:val="18"/>
          <w:szCs w:val="18"/>
        </w:rPr>
        <w:t>cial statements, disclosures related to critical accounting practices, and critical audit matters during the course of the audit. The Audit Committee has also discussed with KPMG matters relating to their independence, including a review of audit and non-a</w:t>
      </w:r>
      <w:r>
        <w:rPr>
          <w:rFonts w:ascii="Arial" w:eastAsia="Arial" w:hAnsi="Arial" w:cs="Arial"/>
          <w:sz w:val="18"/>
          <w:szCs w:val="18"/>
        </w:rPr>
        <w:t>udit fees and the written disclosures and letter received from KPMG required by applicable require-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40" w:lineRule="exact"/>
        <w:rPr>
          <w:sz w:val="20"/>
          <w:szCs w:val="20"/>
        </w:rPr>
      </w:pPr>
    </w:p>
    <w:p w:rsidR="00A621E3" w:rsidRDefault="00EC630E">
      <w:pPr>
        <w:spacing w:line="273" w:lineRule="auto"/>
        <w:ind w:right="20"/>
        <w:jc w:val="both"/>
        <w:rPr>
          <w:sz w:val="20"/>
          <w:szCs w:val="20"/>
        </w:rPr>
      </w:pPr>
      <w:r>
        <w:rPr>
          <w:rFonts w:ascii="Arial" w:eastAsia="Arial" w:hAnsi="Arial" w:cs="Arial"/>
          <w:sz w:val="18"/>
          <w:szCs w:val="18"/>
        </w:rPr>
        <w:t xml:space="preserve">ments of the PCAOB regarding KPMG’s communications with the Audit Committee concerning independence. The Audit Committee also considered whether </w:t>
      </w:r>
      <w:r>
        <w:rPr>
          <w:rFonts w:ascii="Arial" w:eastAsia="Arial" w:hAnsi="Arial" w:cs="Arial"/>
          <w:sz w:val="18"/>
          <w:szCs w:val="18"/>
        </w:rPr>
        <w:t>non-audit services provided by the independent auditors are compatible with the independent auditors’ independence. The Audit Committee also received regular updates, and written summaries as required by the PCAOB rules (for tax and other services), on the</w:t>
      </w:r>
      <w:r>
        <w:rPr>
          <w:rFonts w:ascii="Arial" w:eastAsia="Arial" w:hAnsi="Arial" w:cs="Arial"/>
          <w:sz w:val="18"/>
          <w:szCs w:val="18"/>
        </w:rPr>
        <w:t xml:space="preserve"> amount of fees and scope of audit, audit-related, tax and other services provided.</w:t>
      </w:r>
    </w:p>
    <w:p w:rsidR="00A621E3" w:rsidRDefault="00A621E3">
      <w:pPr>
        <w:spacing w:line="168" w:lineRule="exact"/>
        <w:rPr>
          <w:sz w:val="20"/>
          <w:szCs w:val="20"/>
        </w:rPr>
      </w:pPr>
    </w:p>
    <w:p w:rsidR="00A621E3" w:rsidRDefault="00EC630E">
      <w:pPr>
        <w:spacing w:line="241" w:lineRule="auto"/>
        <w:jc w:val="both"/>
        <w:rPr>
          <w:sz w:val="20"/>
          <w:szCs w:val="20"/>
        </w:rPr>
      </w:pPr>
      <w:r>
        <w:rPr>
          <w:rFonts w:ascii="Arial" w:eastAsia="Arial" w:hAnsi="Arial" w:cs="Arial"/>
          <w:sz w:val="20"/>
          <w:szCs w:val="20"/>
        </w:rPr>
        <w:t>In addition, the Audit Committee reviewed key initiatives and programs aimed at strengthening the effectiveness of the Company’s internal and disclosure control structure.</w:t>
      </w:r>
      <w:r>
        <w:rPr>
          <w:rFonts w:ascii="Arial" w:eastAsia="Arial" w:hAnsi="Arial" w:cs="Arial"/>
          <w:sz w:val="20"/>
          <w:szCs w:val="20"/>
        </w:rPr>
        <w:t xml:space="preserve"> As part of this process, the Audit Committee monitored the scope and adequacy of the Company’s internal auditing program, reviewing staffing levels and steps taken to implement recommended improvements in internal procedures and controls. The Audit Commit</w:t>
      </w:r>
      <w:r>
        <w:rPr>
          <w:rFonts w:ascii="Arial" w:eastAsia="Arial" w:hAnsi="Arial" w:cs="Arial"/>
          <w:sz w:val="20"/>
          <w:szCs w:val="20"/>
        </w:rPr>
        <w:t>tee also reviewed and discussed legal and compliance matters with management, and, as necessary or advisable, the Company’s independent auditor.</w:t>
      </w:r>
    </w:p>
    <w:p w:rsidR="00A621E3" w:rsidRDefault="00A621E3">
      <w:pPr>
        <w:spacing w:line="461"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61" w:lineRule="exact"/>
        <w:rPr>
          <w:sz w:val="20"/>
          <w:szCs w:val="20"/>
        </w:rPr>
      </w:pPr>
    </w:p>
    <w:p w:rsidR="00A621E3" w:rsidRDefault="00EC630E">
      <w:pPr>
        <w:spacing w:line="286" w:lineRule="auto"/>
        <w:ind w:left="120" w:right="1100"/>
        <w:rPr>
          <w:sz w:val="20"/>
          <w:szCs w:val="20"/>
        </w:rPr>
      </w:pPr>
      <w:r>
        <w:rPr>
          <w:rFonts w:ascii="Arial" w:eastAsia="Arial" w:hAnsi="Arial" w:cs="Arial"/>
          <w:b/>
          <w:bCs/>
          <w:color w:val="CF0A2C"/>
          <w:sz w:val="32"/>
          <w:szCs w:val="32"/>
        </w:rPr>
        <w:t>Has the Audit Committee made a recommendation regarding the audited financial st</w:t>
      </w:r>
      <w:r>
        <w:rPr>
          <w:rFonts w:ascii="Arial" w:eastAsia="Arial" w:hAnsi="Arial" w:cs="Arial"/>
          <w:b/>
          <w:bCs/>
          <w:color w:val="CF0A2C"/>
          <w:sz w:val="32"/>
          <w:szCs w:val="32"/>
        </w:rPr>
        <w:t>atements for fiscal 2022?</w:t>
      </w:r>
    </w:p>
    <w:p w:rsidR="00A621E3" w:rsidRDefault="00EC630E">
      <w:pPr>
        <w:spacing w:line="20" w:lineRule="exact"/>
        <w:rPr>
          <w:sz w:val="20"/>
          <w:szCs w:val="20"/>
        </w:rPr>
      </w:pPr>
      <w:r>
        <w:rPr>
          <w:noProof/>
          <w:sz w:val="20"/>
          <w:szCs w:val="20"/>
        </w:rPr>
        <w:drawing>
          <wp:anchor distT="0" distB="0" distL="114300" distR="114300" simplePos="0" relativeHeight="252061696" behindDoc="1" locked="0" layoutInCell="0" allowOverlap="1">
            <wp:simplePos x="0" y="0"/>
            <wp:positionH relativeFrom="column">
              <wp:posOffset>73660</wp:posOffset>
            </wp:positionH>
            <wp:positionV relativeFrom="paragraph">
              <wp:posOffset>109220</wp:posOffset>
            </wp:positionV>
            <wp:extent cx="6995160" cy="8255"/>
            <wp:effectExtent l="0" t="0" r="0" b="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46" w:lineRule="exact"/>
        <w:rPr>
          <w:sz w:val="20"/>
          <w:szCs w:val="20"/>
        </w:rPr>
      </w:pPr>
    </w:p>
    <w:p w:rsidR="00A621E3" w:rsidRDefault="00EC630E">
      <w:pPr>
        <w:spacing w:line="276" w:lineRule="auto"/>
        <w:ind w:left="120"/>
        <w:jc w:val="both"/>
        <w:rPr>
          <w:sz w:val="20"/>
          <w:szCs w:val="20"/>
        </w:rPr>
      </w:pPr>
      <w:r>
        <w:rPr>
          <w:rFonts w:ascii="Arial" w:eastAsia="Arial" w:hAnsi="Arial" w:cs="Arial"/>
          <w:sz w:val="18"/>
          <w:szCs w:val="18"/>
        </w:rPr>
        <w:t xml:space="preserve">Based on the Audit Committee’s discussions with management and the independent auditors and the Audit Committee’s review of the representations of management and the report of the independent auditors to </w:t>
      </w:r>
      <w:r>
        <w:rPr>
          <w:rFonts w:ascii="Arial" w:eastAsia="Arial" w:hAnsi="Arial" w:cs="Arial"/>
          <w:sz w:val="18"/>
          <w:szCs w:val="18"/>
        </w:rPr>
        <w:t>the Board of Directors, and subject to the limitations on the Audit Committee’s role and responsibilities referred to above and in the Audit Committee Charter, the Audit</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26" w:lineRule="exact"/>
        <w:rPr>
          <w:sz w:val="20"/>
          <w:szCs w:val="20"/>
        </w:rPr>
      </w:pPr>
    </w:p>
    <w:p w:rsidR="00A621E3" w:rsidRDefault="00EC630E">
      <w:pPr>
        <w:spacing w:line="243" w:lineRule="auto"/>
        <w:ind w:right="20"/>
        <w:jc w:val="both"/>
        <w:rPr>
          <w:sz w:val="20"/>
          <w:szCs w:val="20"/>
        </w:rPr>
      </w:pPr>
      <w:r>
        <w:rPr>
          <w:rFonts w:ascii="Arial" w:eastAsia="Arial" w:hAnsi="Arial" w:cs="Arial"/>
          <w:sz w:val="20"/>
          <w:szCs w:val="20"/>
        </w:rPr>
        <w:t xml:space="preserve">Committee recommended to the Board of Directors that it include the audited </w:t>
      </w:r>
      <w:r>
        <w:rPr>
          <w:rFonts w:ascii="Arial" w:eastAsia="Arial" w:hAnsi="Arial" w:cs="Arial"/>
          <w:sz w:val="20"/>
          <w:szCs w:val="20"/>
        </w:rPr>
        <w:t>consolidated financial statements in the Company’s Annual Report on Form 10-K for the fiscal year ended December 31, 2022 for filing with the SEC and the Company’s Annual Report for the year ended December 31, 2022 to be filed with the HKEX.</w:t>
      </w:r>
    </w:p>
    <w:p w:rsidR="00A621E3" w:rsidRDefault="00A621E3">
      <w:pPr>
        <w:spacing w:line="231"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53" w:lineRule="exact"/>
        <w:rPr>
          <w:sz w:val="20"/>
          <w:szCs w:val="20"/>
        </w:rPr>
      </w:pPr>
    </w:p>
    <w:p w:rsidR="00A621E3" w:rsidRDefault="00EC630E">
      <w:pPr>
        <w:numPr>
          <w:ilvl w:val="0"/>
          <w:numId w:val="136"/>
        </w:numPr>
        <w:tabs>
          <w:tab w:val="left" w:pos="680"/>
        </w:tabs>
        <w:ind w:left="680" w:hanging="412"/>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2062720" behindDoc="1" locked="0" layoutInCell="0" allowOverlap="1">
            <wp:simplePos x="0" y="0"/>
            <wp:positionH relativeFrom="column">
              <wp:posOffset>321945</wp:posOffset>
            </wp:positionH>
            <wp:positionV relativeFrom="paragraph">
              <wp:posOffset>-95885</wp:posOffset>
            </wp:positionV>
            <wp:extent cx="8255" cy="102870"/>
            <wp:effectExtent l="0" t="0" r="0" b="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104" w:name="page104"/>
      <w:bookmarkEnd w:id="104"/>
      <w:r>
        <w:rPr>
          <w:rFonts w:ascii="Arial" w:eastAsia="Arial" w:hAnsi="Arial" w:cs="Arial"/>
          <w:b/>
          <w:bCs/>
          <w:noProof/>
          <w:color w:val="0000EE"/>
          <w:sz w:val="18"/>
          <w:szCs w:val="18"/>
          <w:u w:val="single"/>
        </w:rPr>
        <w:drawing>
          <wp:anchor distT="0" distB="0" distL="114300" distR="114300" simplePos="0" relativeHeight="252063744"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64768" behindDoc="1" locked="0" layoutInCell="0" allowOverlap="1">
            <wp:simplePos x="0" y="0"/>
            <wp:positionH relativeFrom="column">
              <wp:posOffset>5396865</wp:posOffset>
            </wp:positionH>
            <wp:positionV relativeFrom="paragraph">
              <wp:posOffset>205740</wp:posOffset>
            </wp:positionV>
            <wp:extent cx="1671320" cy="205740"/>
            <wp:effectExtent l="0" t="0" r="0" b="0"/>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58">
                      <a:extLst/>
                    </a:blip>
                    <a:srcRect/>
                    <a:stretch>
                      <a:fillRect/>
                    </a:stretch>
                  </pic:blipFill>
                  <pic:spPr bwMode="auto">
                    <a:xfrm>
                      <a:off x="0" y="0"/>
                      <a:ext cx="167132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740"/>
        <w:rPr>
          <w:sz w:val="20"/>
          <w:szCs w:val="20"/>
        </w:rPr>
      </w:pPr>
      <w:r>
        <w:rPr>
          <w:rFonts w:ascii="Arial" w:eastAsia="Arial" w:hAnsi="Arial" w:cs="Arial"/>
          <w:b/>
          <w:bCs/>
          <w:color w:val="FFFFFF"/>
          <w:sz w:val="16"/>
          <w:szCs w:val="16"/>
        </w:rPr>
        <w:t>AUDIT COMMITTEE REPORT</w:t>
      </w:r>
    </w:p>
    <w:p w:rsidR="00A621E3" w:rsidRDefault="00A621E3">
      <w:pPr>
        <w:spacing w:line="189" w:lineRule="exact"/>
        <w:rPr>
          <w:sz w:val="20"/>
          <w:szCs w:val="20"/>
        </w:rPr>
      </w:pPr>
    </w:p>
    <w:p w:rsidR="00A621E3" w:rsidRDefault="00EC630E">
      <w:pPr>
        <w:ind w:left="120"/>
        <w:rPr>
          <w:sz w:val="20"/>
          <w:szCs w:val="20"/>
        </w:rPr>
      </w:pPr>
      <w:r>
        <w:rPr>
          <w:rFonts w:ascii="Arial" w:eastAsia="Arial" w:hAnsi="Arial" w:cs="Arial"/>
          <w:b/>
          <w:bCs/>
          <w:color w:val="CF0A2C"/>
          <w:sz w:val="32"/>
          <w:szCs w:val="32"/>
        </w:rPr>
        <w:t>Who prepared this report?</w:t>
      </w:r>
    </w:p>
    <w:p w:rsidR="00A621E3" w:rsidRDefault="00EC630E">
      <w:pPr>
        <w:spacing w:line="20" w:lineRule="exact"/>
        <w:rPr>
          <w:sz w:val="20"/>
          <w:szCs w:val="20"/>
        </w:rPr>
      </w:pPr>
      <w:r>
        <w:rPr>
          <w:noProof/>
          <w:sz w:val="20"/>
          <w:szCs w:val="20"/>
        </w:rPr>
        <w:drawing>
          <wp:anchor distT="0" distB="0" distL="114300" distR="114300" simplePos="0" relativeHeight="252065792"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36" w:lineRule="exact"/>
        <w:rPr>
          <w:sz w:val="20"/>
          <w:szCs w:val="20"/>
        </w:rPr>
      </w:pPr>
    </w:p>
    <w:p w:rsidR="00A621E3" w:rsidRDefault="00EC630E">
      <w:pPr>
        <w:ind w:left="120"/>
        <w:rPr>
          <w:sz w:val="20"/>
          <w:szCs w:val="20"/>
        </w:rPr>
      </w:pPr>
      <w:r>
        <w:rPr>
          <w:rFonts w:ascii="Arial" w:eastAsia="Arial" w:hAnsi="Arial" w:cs="Arial"/>
          <w:sz w:val="20"/>
          <w:szCs w:val="20"/>
        </w:rPr>
        <w:t>This report has been furnished by the members of the Audit Committee:</w:t>
      </w:r>
    </w:p>
    <w:p w:rsidR="00A621E3" w:rsidRDefault="00A621E3">
      <w:pPr>
        <w:spacing w:line="216" w:lineRule="exact"/>
        <w:rPr>
          <w:sz w:val="20"/>
          <w:szCs w:val="20"/>
        </w:rPr>
      </w:pPr>
    </w:p>
    <w:p w:rsidR="00A621E3" w:rsidRDefault="00EC630E">
      <w:pPr>
        <w:ind w:left="120"/>
        <w:rPr>
          <w:sz w:val="20"/>
          <w:szCs w:val="20"/>
        </w:rPr>
      </w:pPr>
      <w:r>
        <w:rPr>
          <w:rFonts w:ascii="Arial" w:eastAsia="Arial" w:hAnsi="Arial" w:cs="Arial"/>
          <w:sz w:val="20"/>
          <w:szCs w:val="20"/>
        </w:rPr>
        <w:t xml:space="preserve">Peter A. Bassi, </w:t>
      </w:r>
      <w:r>
        <w:rPr>
          <w:rFonts w:ascii="Arial" w:eastAsia="Arial" w:hAnsi="Arial" w:cs="Arial"/>
          <w:i/>
          <w:iCs/>
          <w:sz w:val="20"/>
          <w:szCs w:val="20"/>
        </w:rPr>
        <w:t>Chair</w:t>
      </w:r>
    </w:p>
    <w:p w:rsidR="00A621E3" w:rsidRDefault="00A621E3">
      <w:pPr>
        <w:spacing w:line="15" w:lineRule="exact"/>
        <w:rPr>
          <w:sz w:val="20"/>
          <w:szCs w:val="20"/>
        </w:rPr>
      </w:pPr>
    </w:p>
    <w:p w:rsidR="00A621E3" w:rsidRDefault="00EC630E">
      <w:pPr>
        <w:ind w:left="120"/>
        <w:rPr>
          <w:sz w:val="20"/>
          <w:szCs w:val="20"/>
        </w:rPr>
      </w:pPr>
      <w:r>
        <w:rPr>
          <w:rFonts w:ascii="Arial" w:eastAsia="Arial" w:hAnsi="Arial" w:cs="Arial"/>
          <w:sz w:val="20"/>
          <w:szCs w:val="20"/>
        </w:rPr>
        <w:t>Cyril Han</w:t>
      </w:r>
    </w:p>
    <w:p w:rsidR="00A621E3" w:rsidRDefault="00EC630E">
      <w:pPr>
        <w:ind w:left="120"/>
        <w:rPr>
          <w:sz w:val="20"/>
          <w:szCs w:val="20"/>
        </w:rPr>
      </w:pPr>
      <w:r>
        <w:rPr>
          <w:rFonts w:ascii="Arial" w:eastAsia="Arial" w:hAnsi="Arial" w:cs="Arial"/>
          <w:sz w:val="20"/>
          <w:szCs w:val="20"/>
        </w:rPr>
        <w:t>Louis T. Hsieh</w:t>
      </w:r>
    </w:p>
    <w:p w:rsidR="00A621E3" w:rsidRDefault="00EC630E">
      <w:pPr>
        <w:ind w:left="120"/>
        <w:rPr>
          <w:sz w:val="20"/>
          <w:szCs w:val="20"/>
        </w:rPr>
      </w:pPr>
      <w:r>
        <w:rPr>
          <w:rFonts w:ascii="Arial" w:eastAsia="Arial" w:hAnsi="Arial" w:cs="Arial"/>
          <w:sz w:val="20"/>
          <w:szCs w:val="20"/>
        </w:rPr>
        <w:t>Zili Shao</w:t>
      </w:r>
    </w:p>
    <w:p w:rsidR="00A621E3" w:rsidRDefault="00EC630E">
      <w:pPr>
        <w:ind w:left="120"/>
        <w:rPr>
          <w:sz w:val="20"/>
          <w:szCs w:val="20"/>
        </w:rPr>
      </w:pPr>
      <w:r>
        <w:rPr>
          <w:rFonts w:ascii="Arial" w:eastAsia="Arial" w:hAnsi="Arial" w:cs="Arial"/>
          <w:sz w:val="20"/>
          <w:szCs w:val="20"/>
        </w:rPr>
        <w:t>Min (Jenny) Zhang</w:t>
      </w:r>
    </w:p>
    <w:p w:rsidR="00A621E3" w:rsidRDefault="00A621E3">
      <w:pPr>
        <w:spacing w:line="136" w:lineRule="exact"/>
        <w:rPr>
          <w:sz w:val="20"/>
          <w:szCs w:val="20"/>
        </w:rPr>
      </w:pPr>
    </w:p>
    <w:p w:rsidR="00A621E3" w:rsidRDefault="00EC630E">
      <w:pPr>
        <w:tabs>
          <w:tab w:val="left" w:pos="140"/>
        </w:tabs>
        <w:jc w:val="right"/>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99</w:t>
      </w:r>
    </w:p>
    <w:p w:rsidR="00A621E3" w:rsidRDefault="00EC630E">
      <w:pPr>
        <w:spacing w:line="20" w:lineRule="exact"/>
        <w:rPr>
          <w:sz w:val="20"/>
          <w:szCs w:val="20"/>
        </w:rPr>
      </w:pPr>
      <w:r>
        <w:rPr>
          <w:noProof/>
          <w:sz w:val="20"/>
          <w:szCs w:val="20"/>
        </w:rPr>
        <w:drawing>
          <wp:anchor distT="0" distB="0" distL="114300" distR="114300" simplePos="0" relativeHeight="252066816"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539" w:bottom="1440" w:left="320" w:header="0" w:footer="0" w:gutter="0"/>
          <w:cols w:space="720" w:equalWidth="0">
            <w:col w:w="11040"/>
          </w:cols>
        </w:sectPr>
      </w:pPr>
    </w:p>
    <w:p w:rsidR="00A621E3" w:rsidRDefault="00EC630E">
      <w:pPr>
        <w:rPr>
          <w:sz w:val="20"/>
          <w:szCs w:val="20"/>
        </w:rPr>
      </w:pPr>
      <w:bookmarkStart w:id="105" w:name="page105"/>
      <w:bookmarkEnd w:id="105"/>
      <w:r>
        <w:rPr>
          <w:rFonts w:ascii="Arial" w:eastAsia="Arial" w:hAnsi="Arial" w:cs="Arial"/>
          <w:b/>
          <w:bCs/>
          <w:noProof/>
          <w:color w:val="0000EE"/>
          <w:sz w:val="18"/>
          <w:szCs w:val="18"/>
          <w:u w:val="single"/>
        </w:rPr>
        <w:drawing>
          <wp:anchor distT="0" distB="0" distL="114300" distR="114300" simplePos="0" relativeHeight="252067840"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68864" behindDoc="1" locked="0" layoutInCell="0" allowOverlap="1">
            <wp:simplePos x="0" y="0"/>
            <wp:positionH relativeFrom="column">
              <wp:posOffset>73660</wp:posOffset>
            </wp:positionH>
            <wp:positionV relativeFrom="paragraph">
              <wp:posOffset>205740</wp:posOffset>
            </wp:positionV>
            <wp:extent cx="6995160" cy="506095"/>
            <wp:effectExtent l="0" t="0" r="0" b="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2">
                      <a:extLst/>
                    </a:blip>
                    <a:srcRect/>
                    <a:stretch>
                      <a:fillRect/>
                    </a:stretch>
                  </pic:blipFill>
                  <pic:spPr bwMode="auto">
                    <a:xfrm>
                      <a:off x="0" y="0"/>
                      <a:ext cx="6995160" cy="506095"/>
                    </a:xfrm>
                    <a:prstGeom prst="rect">
                      <a:avLst/>
                    </a:prstGeom>
                    <a:noFill/>
                  </pic:spPr>
                </pic:pic>
              </a:graphicData>
            </a:graphic>
          </wp:anchor>
        </w:drawing>
      </w:r>
    </w:p>
    <w:p w:rsidR="00A621E3" w:rsidRDefault="00A621E3">
      <w:pPr>
        <w:spacing w:line="200" w:lineRule="exact"/>
        <w:rPr>
          <w:sz w:val="20"/>
          <w:szCs w:val="20"/>
        </w:rPr>
      </w:pPr>
    </w:p>
    <w:p w:rsidR="00A621E3" w:rsidRDefault="00A621E3">
      <w:pPr>
        <w:spacing w:line="311" w:lineRule="exact"/>
        <w:rPr>
          <w:sz w:val="20"/>
          <w:szCs w:val="20"/>
        </w:rPr>
      </w:pPr>
    </w:p>
    <w:p w:rsidR="00A621E3" w:rsidRDefault="00EC630E">
      <w:pPr>
        <w:ind w:left="200"/>
        <w:rPr>
          <w:sz w:val="20"/>
          <w:szCs w:val="20"/>
        </w:rPr>
      </w:pPr>
      <w:r>
        <w:rPr>
          <w:rFonts w:ascii="Arial" w:eastAsia="Arial" w:hAnsi="Arial" w:cs="Arial"/>
          <w:b/>
          <w:bCs/>
          <w:color w:val="FFFFFF"/>
          <w:sz w:val="32"/>
          <w:szCs w:val="32"/>
        </w:rPr>
        <w:t>ADDITIONAL INFORMATION</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26" w:lineRule="exact"/>
        <w:rPr>
          <w:sz w:val="20"/>
          <w:szCs w:val="20"/>
        </w:rPr>
      </w:pPr>
    </w:p>
    <w:p w:rsidR="00A621E3" w:rsidRDefault="00EC630E">
      <w:pPr>
        <w:spacing w:line="286" w:lineRule="auto"/>
        <w:ind w:left="120" w:right="260"/>
        <w:rPr>
          <w:sz w:val="20"/>
          <w:szCs w:val="20"/>
        </w:rPr>
      </w:pPr>
      <w:r>
        <w:rPr>
          <w:rFonts w:ascii="Arial" w:eastAsia="Arial" w:hAnsi="Arial" w:cs="Arial"/>
          <w:b/>
          <w:bCs/>
          <w:color w:val="CF0A2C"/>
          <w:sz w:val="32"/>
          <w:szCs w:val="32"/>
        </w:rPr>
        <w:t>Who pays the expenses incurred in connection with the solicitation of proxies?</w:t>
      </w:r>
    </w:p>
    <w:p w:rsidR="00A621E3" w:rsidRDefault="00EC630E">
      <w:pPr>
        <w:spacing w:line="20" w:lineRule="exact"/>
        <w:rPr>
          <w:sz w:val="20"/>
          <w:szCs w:val="20"/>
        </w:rPr>
      </w:pPr>
      <w:r>
        <w:rPr>
          <w:noProof/>
          <w:sz w:val="20"/>
          <w:szCs w:val="20"/>
        </w:rPr>
        <w:drawing>
          <wp:anchor distT="0" distB="0" distL="114300" distR="114300" simplePos="0" relativeHeight="252069888" behindDoc="1" locked="0" layoutInCell="0" allowOverlap="1">
            <wp:simplePos x="0" y="0"/>
            <wp:positionH relativeFrom="column">
              <wp:posOffset>73660</wp:posOffset>
            </wp:positionH>
            <wp:positionV relativeFrom="paragraph">
              <wp:posOffset>109220</wp:posOffset>
            </wp:positionV>
            <wp:extent cx="6995160" cy="8255"/>
            <wp:effectExtent l="0" t="0" r="0"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06" w:lineRule="exact"/>
        <w:rPr>
          <w:sz w:val="20"/>
          <w:szCs w:val="20"/>
        </w:rPr>
      </w:pPr>
    </w:p>
    <w:p w:rsidR="00A621E3" w:rsidRDefault="00EC630E">
      <w:pPr>
        <w:spacing w:line="243" w:lineRule="auto"/>
        <w:ind w:left="120"/>
        <w:jc w:val="both"/>
        <w:rPr>
          <w:sz w:val="20"/>
          <w:szCs w:val="20"/>
        </w:rPr>
      </w:pPr>
      <w:r>
        <w:rPr>
          <w:rFonts w:ascii="Arial" w:eastAsia="Arial" w:hAnsi="Arial" w:cs="Arial"/>
          <w:sz w:val="20"/>
          <w:szCs w:val="20"/>
        </w:rPr>
        <w:t>Expenses in connection with the solicitation of proxies will be paid by us. Proxies are being solicited principally by mail, by telephone and through the Internet. We have retained Georgeson Inc. to act as a proxy solicitor for a fee</w:t>
      </w:r>
      <w:r>
        <w:rPr>
          <w:rFonts w:ascii="Arial" w:eastAsia="Arial" w:hAnsi="Arial" w:cs="Arial"/>
          <w:sz w:val="20"/>
          <w:szCs w:val="20"/>
        </w:rPr>
        <w:t xml:space="preserve"> estimated to be $10,000, plus reimbursement of out-of-pocket expenses. In addition, our directors, officers</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86" w:lineRule="exact"/>
        <w:rPr>
          <w:sz w:val="20"/>
          <w:szCs w:val="20"/>
        </w:rPr>
      </w:pPr>
    </w:p>
    <w:p w:rsidR="00A621E3" w:rsidRDefault="00EC630E">
      <w:pPr>
        <w:spacing w:line="244" w:lineRule="auto"/>
        <w:ind w:right="20"/>
        <w:jc w:val="both"/>
        <w:rPr>
          <w:sz w:val="20"/>
          <w:szCs w:val="20"/>
        </w:rPr>
      </w:pPr>
      <w:r>
        <w:rPr>
          <w:rFonts w:ascii="Arial" w:eastAsia="Arial" w:hAnsi="Arial" w:cs="Arial"/>
          <w:sz w:val="20"/>
          <w:szCs w:val="20"/>
        </w:rPr>
        <w:t>and regular employees, without additional compensation, may solicit proxies personally, by e-mail, telephone, fax or special letter. We will re</w:t>
      </w:r>
      <w:r>
        <w:rPr>
          <w:rFonts w:ascii="Arial" w:eastAsia="Arial" w:hAnsi="Arial" w:cs="Arial"/>
          <w:sz w:val="20"/>
          <w:szCs w:val="20"/>
        </w:rPr>
        <w:t>imburse brokerage firms and others for their expenses in forwarding proxy materials to the beneficial owners of shares of Company common stock.</w:t>
      </w:r>
    </w:p>
    <w:p w:rsidR="00A621E3" w:rsidRDefault="00A621E3">
      <w:pPr>
        <w:spacing w:line="428"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00" w:lineRule="exact"/>
        <w:rPr>
          <w:sz w:val="20"/>
          <w:szCs w:val="20"/>
        </w:rPr>
      </w:pPr>
    </w:p>
    <w:p w:rsidR="00A621E3" w:rsidRDefault="00A621E3">
      <w:pPr>
        <w:spacing w:line="208" w:lineRule="exact"/>
        <w:rPr>
          <w:sz w:val="20"/>
          <w:szCs w:val="20"/>
        </w:rPr>
      </w:pPr>
    </w:p>
    <w:p w:rsidR="00A621E3" w:rsidRDefault="00EC630E">
      <w:pPr>
        <w:ind w:left="120"/>
        <w:rPr>
          <w:sz w:val="20"/>
          <w:szCs w:val="20"/>
        </w:rPr>
      </w:pPr>
      <w:r>
        <w:rPr>
          <w:rFonts w:ascii="Arial" w:eastAsia="Arial" w:hAnsi="Arial" w:cs="Arial"/>
          <w:b/>
          <w:bCs/>
          <w:color w:val="CF0A2C"/>
          <w:sz w:val="32"/>
          <w:szCs w:val="32"/>
        </w:rPr>
        <w:t>How may I elect to receive stockholder materials?</w:t>
      </w:r>
    </w:p>
    <w:p w:rsidR="00A621E3" w:rsidRDefault="00EC630E">
      <w:pPr>
        <w:spacing w:line="20" w:lineRule="exact"/>
        <w:rPr>
          <w:sz w:val="20"/>
          <w:szCs w:val="20"/>
        </w:rPr>
      </w:pPr>
      <w:r>
        <w:rPr>
          <w:noProof/>
          <w:sz w:val="20"/>
          <w:szCs w:val="20"/>
        </w:rPr>
        <w:drawing>
          <wp:anchor distT="0" distB="0" distL="114300" distR="114300" simplePos="0" relativeHeight="252070912"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71" w:lineRule="exact"/>
        <w:rPr>
          <w:sz w:val="20"/>
          <w:szCs w:val="20"/>
        </w:rPr>
      </w:pPr>
    </w:p>
    <w:p w:rsidR="00A621E3" w:rsidRDefault="00EC630E">
      <w:pPr>
        <w:spacing w:line="267" w:lineRule="auto"/>
        <w:ind w:left="120"/>
        <w:jc w:val="both"/>
        <w:rPr>
          <w:sz w:val="20"/>
          <w:szCs w:val="20"/>
        </w:rPr>
      </w:pPr>
      <w:r>
        <w:rPr>
          <w:rFonts w:ascii="Arial" w:eastAsia="Arial" w:hAnsi="Arial" w:cs="Arial"/>
          <w:b/>
          <w:bCs/>
          <w:color w:val="CF0A2C"/>
          <w:sz w:val="20"/>
          <w:szCs w:val="20"/>
        </w:rPr>
        <w:t>For</w:t>
      </w:r>
      <w:r>
        <w:rPr>
          <w:rFonts w:ascii="Arial" w:eastAsia="Arial" w:hAnsi="Arial" w:cs="Arial"/>
          <w:b/>
          <w:bCs/>
          <w:color w:val="CF0A2C"/>
          <w:sz w:val="20"/>
          <w:szCs w:val="20"/>
        </w:rPr>
        <w:t xml:space="preserve"> stockholders of our common stock registered on our U.S. register</w:t>
      </w:r>
    </w:p>
    <w:p w:rsidR="00A621E3" w:rsidRDefault="00A621E3">
      <w:pPr>
        <w:spacing w:line="210" w:lineRule="exact"/>
        <w:rPr>
          <w:sz w:val="20"/>
          <w:szCs w:val="20"/>
        </w:rPr>
      </w:pPr>
    </w:p>
    <w:p w:rsidR="00A621E3" w:rsidRDefault="00EC630E">
      <w:pPr>
        <w:spacing w:line="242" w:lineRule="auto"/>
        <w:ind w:left="120"/>
        <w:jc w:val="both"/>
        <w:rPr>
          <w:sz w:val="20"/>
          <w:szCs w:val="20"/>
        </w:rPr>
      </w:pPr>
      <w:r>
        <w:rPr>
          <w:rFonts w:ascii="Arial" w:eastAsia="Arial" w:hAnsi="Arial" w:cs="Arial"/>
          <w:sz w:val="20"/>
          <w:szCs w:val="20"/>
        </w:rPr>
        <w:t>Stockholders with shares registered directly in their name who received stockholder materials in the mail may elect to receive future annual reports and proxy statements from us and to vote</w:t>
      </w:r>
      <w:r>
        <w:rPr>
          <w:rFonts w:ascii="Arial" w:eastAsia="Arial" w:hAnsi="Arial" w:cs="Arial"/>
          <w:sz w:val="20"/>
          <w:szCs w:val="20"/>
        </w:rPr>
        <w:t xml:space="preserve"> their shares through the Internet instead of receiving copies through the mail. We are offering this service to provide stockholders with added convenience, to reduce our environmental impact and to reduce annual report printing and mailing costs.</w:t>
      </w:r>
    </w:p>
    <w:p w:rsidR="00A621E3" w:rsidRDefault="00A621E3">
      <w:pPr>
        <w:spacing w:line="237" w:lineRule="exact"/>
        <w:rPr>
          <w:sz w:val="20"/>
          <w:szCs w:val="20"/>
        </w:rPr>
      </w:pPr>
    </w:p>
    <w:p w:rsidR="00A621E3" w:rsidRDefault="00EC630E">
      <w:pPr>
        <w:spacing w:line="278" w:lineRule="auto"/>
        <w:ind w:left="120"/>
        <w:jc w:val="both"/>
        <w:rPr>
          <w:sz w:val="20"/>
          <w:szCs w:val="20"/>
        </w:rPr>
      </w:pPr>
      <w:r>
        <w:rPr>
          <w:rFonts w:ascii="Arial" w:eastAsia="Arial" w:hAnsi="Arial" w:cs="Arial"/>
          <w:sz w:val="18"/>
          <w:szCs w:val="18"/>
        </w:rPr>
        <w:t>To ele</w:t>
      </w:r>
      <w:r>
        <w:rPr>
          <w:rFonts w:ascii="Arial" w:eastAsia="Arial" w:hAnsi="Arial" w:cs="Arial"/>
          <w:sz w:val="18"/>
          <w:szCs w:val="18"/>
        </w:rPr>
        <w:t xml:space="preserve">ct this option, go to </w:t>
      </w:r>
      <w:r>
        <w:rPr>
          <w:rFonts w:ascii="Arial" w:eastAsia="Arial" w:hAnsi="Arial" w:cs="Arial"/>
          <w:i/>
          <w:iCs/>
          <w:sz w:val="18"/>
          <w:szCs w:val="18"/>
        </w:rPr>
        <w:t>www.computershare.com</w:t>
      </w:r>
      <w:r>
        <w:rPr>
          <w:rFonts w:ascii="Arial" w:eastAsia="Arial" w:hAnsi="Arial" w:cs="Arial"/>
          <w:sz w:val="18"/>
          <w:szCs w:val="18"/>
        </w:rPr>
        <w:t>, click on Login to Investor Center, log in and locate the option to receive Company mailings via e-mail. Stockholders who elect this option will be notified by mail how to access the proxy materials and how to vo</w:t>
      </w:r>
      <w:r>
        <w:rPr>
          <w:rFonts w:ascii="Arial" w:eastAsia="Arial" w:hAnsi="Arial" w:cs="Arial"/>
          <w:sz w:val="18"/>
          <w:szCs w:val="18"/>
        </w:rPr>
        <w:t>te their shares on the Internet or by phone.</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57" w:lineRule="exact"/>
        <w:rPr>
          <w:sz w:val="20"/>
          <w:szCs w:val="20"/>
        </w:rPr>
      </w:pPr>
    </w:p>
    <w:p w:rsidR="00A621E3" w:rsidRDefault="00EC630E">
      <w:pPr>
        <w:spacing w:line="257" w:lineRule="auto"/>
        <w:jc w:val="both"/>
        <w:rPr>
          <w:sz w:val="20"/>
          <w:szCs w:val="20"/>
        </w:rPr>
      </w:pPr>
      <w:r>
        <w:rPr>
          <w:rFonts w:ascii="Arial" w:eastAsia="Arial" w:hAnsi="Arial" w:cs="Arial"/>
          <w:sz w:val="19"/>
          <w:szCs w:val="19"/>
        </w:rPr>
        <w:t>If you consent to receive future proxy materials electronically, your consent will remain in effect unless it is withdrawn by writing our transfer agent, Computershare Trust Company, N.A., P.O. Box 43078, P</w:t>
      </w:r>
      <w:r>
        <w:rPr>
          <w:rFonts w:ascii="Arial" w:eastAsia="Arial" w:hAnsi="Arial" w:cs="Arial"/>
          <w:sz w:val="19"/>
          <w:szCs w:val="19"/>
        </w:rPr>
        <w:t xml:space="preserve">rovidence, RI 02940-3078, or by logging onto </w:t>
      </w:r>
      <w:r>
        <w:rPr>
          <w:rFonts w:ascii="Arial" w:eastAsia="Arial" w:hAnsi="Arial" w:cs="Arial"/>
          <w:i/>
          <w:iCs/>
          <w:sz w:val="19"/>
          <w:szCs w:val="19"/>
        </w:rPr>
        <w:t xml:space="preserve">www.computershare.com </w:t>
      </w:r>
      <w:r>
        <w:rPr>
          <w:rFonts w:ascii="Arial" w:eastAsia="Arial" w:hAnsi="Arial" w:cs="Arial"/>
          <w:sz w:val="19"/>
          <w:szCs w:val="19"/>
        </w:rPr>
        <w:t>and following the applicable instructions.</w:t>
      </w:r>
      <w:r>
        <w:rPr>
          <w:rFonts w:ascii="Arial" w:eastAsia="Arial" w:hAnsi="Arial" w:cs="Arial"/>
          <w:i/>
          <w:iCs/>
          <w:sz w:val="19"/>
          <w:szCs w:val="19"/>
        </w:rPr>
        <w:t xml:space="preserve"> </w:t>
      </w:r>
      <w:r>
        <w:rPr>
          <w:rFonts w:ascii="Arial" w:eastAsia="Arial" w:hAnsi="Arial" w:cs="Arial"/>
          <w:sz w:val="19"/>
          <w:szCs w:val="19"/>
        </w:rPr>
        <w:t xml:space="preserve">Also, while this consent is in effect, if you decide you would like to receive a hard copy of the proxy materials, you may call, write or e-mail </w:t>
      </w:r>
      <w:r>
        <w:rPr>
          <w:rFonts w:ascii="Arial" w:eastAsia="Arial" w:hAnsi="Arial" w:cs="Arial"/>
          <w:sz w:val="19"/>
          <w:szCs w:val="19"/>
        </w:rPr>
        <w:t>Computershare Trust Company, N.A.</w:t>
      </w:r>
    </w:p>
    <w:p w:rsidR="00A621E3" w:rsidRDefault="00A621E3">
      <w:pPr>
        <w:spacing w:line="215" w:lineRule="exact"/>
        <w:rPr>
          <w:sz w:val="20"/>
          <w:szCs w:val="20"/>
        </w:rPr>
      </w:pPr>
    </w:p>
    <w:p w:rsidR="00A621E3" w:rsidRDefault="00EC630E">
      <w:pPr>
        <w:spacing w:line="267" w:lineRule="auto"/>
        <w:ind w:right="20"/>
        <w:jc w:val="both"/>
        <w:rPr>
          <w:sz w:val="20"/>
          <w:szCs w:val="20"/>
        </w:rPr>
      </w:pPr>
      <w:r>
        <w:rPr>
          <w:rFonts w:ascii="Arial" w:eastAsia="Arial" w:hAnsi="Arial" w:cs="Arial"/>
          <w:b/>
          <w:bCs/>
          <w:color w:val="CF0A2C"/>
          <w:sz w:val="20"/>
          <w:szCs w:val="20"/>
        </w:rPr>
        <w:t>For stockholders of our common stock registered on our Hong Kong register</w:t>
      </w:r>
    </w:p>
    <w:p w:rsidR="00A621E3" w:rsidRDefault="00A621E3">
      <w:pPr>
        <w:spacing w:line="210" w:lineRule="exact"/>
        <w:rPr>
          <w:sz w:val="20"/>
          <w:szCs w:val="20"/>
        </w:rPr>
      </w:pPr>
    </w:p>
    <w:p w:rsidR="00A621E3" w:rsidRDefault="00EC630E">
      <w:pPr>
        <w:spacing w:line="269" w:lineRule="auto"/>
        <w:ind w:right="20"/>
        <w:jc w:val="both"/>
        <w:rPr>
          <w:sz w:val="20"/>
          <w:szCs w:val="20"/>
        </w:rPr>
      </w:pPr>
      <w:r>
        <w:rPr>
          <w:rFonts w:ascii="Arial" w:eastAsia="Arial" w:hAnsi="Arial" w:cs="Arial"/>
          <w:sz w:val="19"/>
          <w:szCs w:val="19"/>
        </w:rPr>
        <w:t>We publish annual reports and proxy statements on our website and on HKEX’s website in English and Chinese. We will provide printed copies of prox</w:t>
      </w:r>
      <w:r>
        <w:rPr>
          <w:rFonts w:ascii="Arial" w:eastAsia="Arial" w:hAnsi="Arial" w:cs="Arial"/>
          <w:sz w:val="19"/>
          <w:szCs w:val="19"/>
        </w:rPr>
        <w:t>y materials in English and Chinese.</w:t>
      </w:r>
    </w:p>
    <w:p w:rsidR="00A621E3" w:rsidRDefault="00A621E3">
      <w:pPr>
        <w:spacing w:line="664"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40" w:lineRule="exact"/>
        <w:rPr>
          <w:sz w:val="20"/>
          <w:szCs w:val="20"/>
        </w:rPr>
      </w:pPr>
    </w:p>
    <w:p w:rsidR="00A621E3" w:rsidRDefault="00EC630E">
      <w:pPr>
        <w:numPr>
          <w:ilvl w:val="0"/>
          <w:numId w:val="137"/>
        </w:numPr>
        <w:tabs>
          <w:tab w:val="left" w:pos="760"/>
        </w:tabs>
        <w:ind w:left="760" w:hanging="491"/>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2023 Proxy Statement</w:t>
      </w:r>
    </w:p>
    <w:p w:rsidR="00A621E3" w:rsidRDefault="00EC630E">
      <w:pPr>
        <w:spacing w:line="20" w:lineRule="exact"/>
        <w:rPr>
          <w:sz w:val="20"/>
          <w:szCs w:val="20"/>
        </w:rPr>
      </w:pPr>
      <w:r>
        <w:rPr>
          <w:noProof/>
          <w:sz w:val="20"/>
          <w:szCs w:val="20"/>
        </w:rPr>
        <w:drawing>
          <wp:anchor distT="0" distB="0" distL="114300" distR="114300" simplePos="0" relativeHeight="252071936" behindDoc="1" locked="0" layoutInCell="0" allowOverlap="1">
            <wp:simplePos x="0" y="0"/>
            <wp:positionH relativeFrom="column">
              <wp:posOffset>373380</wp:posOffset>
            </wp:positionH>
            <wp:positionV relativeFrom="paragraph">
              <wp:posOffset>-95885</wp:posOffset>
            </wp:positionV>
            <wp:extent cx="8255" cy="102870"/>
            <wp:effectExtent l="0" t="0" r="0" b="0"/>
            <wp:wrapNone/>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106" w:name="page106"/>
      <w:bookmarkEnd w:id="106"/>
      <w:r>
        <w:rPr>
          <w:rFonts w:ascii="Arial" w:eastAsia="Arial" w:hAnsi="Arial" w:cs="Arial"/>
          <w:b/>
          <w:bCs/>
          <w:noProof/>
          <w:color w:val="0000EE"/>
          <w:sz w:val="18"/>
          <w:szCs w:val="18"/>
          <w:u w:val="single"/>
        </w:rPr>
        <w:drawing>
          <wp:anchor distT="0" distB="0" distL="114300" distR="114300" simplePos="0" relativeHeight="252072960"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8"/>
          <w:szCs w:val="18"/>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73984" behindDoc="1" locked="0" layoutInCell="0" allowOverlap="1">
            <wp:simplePos x="0" y="0"/>
            <wp:positionH relativeFrom="column">
              <wp:posOffset>5431155</wp:posOffset>
            </wp:positionH>
            <wp:positionV relativeFrom="paragraph">
              <wp:posOffset>205740</wp:posOffset>
            </wp:positionV>
            <wp:extent cx="1637030" cy="205740"/>
            <wp:effectExtent l="0" t="0" r="0" b="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59">
                      <a:extLst/>
                    </a:blip>
                    <a:srcRect/>
                    <a:stretch>
                      <a:fillRect/>
                    </a:stretch>
                  </pic:blipFill>
                  <pic:spPr bwMode="auto">
                    <a:xfrm>
                      <a:off x="0" y="0"/>
                      <a:ext cx="1637030" cy="205740"/>
                    </a:xfrm>
                    <a:prstGeom prst="rect">
                      <a:avLst/>
                    </a:prstGeom>
                    <a:noFill/>
                  </pic:spPr>
                </pic:pic>
              </a:graphicData>
            </a:graphic>
          </wp:anchor>
        </w:drawing>
      </w:r>
    </w:p>
    <w:p w:rsidR="00A621E3" w:rsidRDefault="00A621E3">
      <w:pPr>
        <w:spacing w:line="367" w:lineRule="exact"/>
        <w:rPr>
          <w:sz w:val="20"/>
          <w:szCs w:val="20"/>
        </w:rPr>
      </w:pPr>
    </w:p>
    <w:p w:rsidR="00A621E3" w:rsidRDefault="00EC630E">
      <w:pPr>
        <w:ind w:left="8800"/>
        <w:rPr>
          <w:sz w:val="20"/>
          <w:szCs w:val="20"/>
        </w:rPr>
      </w:pPr>
      <w:r>
        <w:rPr>
          <w:rFonts w:ascii="Arial" w:eastAsia="Arial" w:hAnsi="Arial" w:cs="Arial"/>
          <w:b/>
          <w:bCs/>
          <w:color w:val="FFFFFF"/>
          <w:sz w:val="16"/>
          <w:szCs w:val="16"/>
        </w:rPr>
        <w:t>ADDITIONAL INFORMATION</w:t>
      </w:r>
    </w:p>
    <w:p w:rsidR="00A621E3" w:rsidRDefault="00A621E3">
      <w:pPr>
        <w:spacing w:line="189" w:lineRule="exact"/>
        <w:rPr>
          <w:sz w:val="20"/>
          <w:szCs w:val="20"/>
        </w:rPr>
      </w:pPr>
    </w:p>
    <w:p w:rsidR="00A621E3" w:rsidRDefault="00EC630E">
      <w:pPr>
        <w:spacing w:line="266" w:lineRule="auto"/>
        <w:ind w:left="120" w:right="60"/>
        <w:jc w:val="both"/>
        <w:rPr>
          <w:sz w:val="20"/>
          <w:szCs w:val="20"/>
        </w:rPr>
      </w:pPr>
      <w:r>
        <w:rPr>
          <w:rFonts w:ascii="Arial" w:eastAsia="Arial" w:hAnsi="Arial" w:cs="Arial"/>
          <w:b/>
          <w:bCs/>
          <w:color w:val="CF0A2C"/>
          <w:sz w:val="32"/>
          <w:szCs w:val="32"/>
        </w:rPr>
        <w:t xml:space="preserve">I share an address with another stockholder, and we received only one paper copy of </w:t>
      </w:r>
      <w:r>
        <w:rPr>
          <w:rFonts w:ascii="Arial" w:eastAsia="Arial" w:hAnsi="Arial" w:cs="Arial"/>
          <w:b/>
          <w:bCs/>
          <w:color w:val="CF0A2C"/>
          <w:sz w:val="32"/>
          <w:szCs w:val="32"/>
        </w:rPr>
        <w:t>the proxy materials. How may I obtain an additional copy of the proxy materials?</w:t>
      </w:r>
    </w:p>
    <w:p w:rsidR="00A621E3" w:rsidRDefault="00EC630E">
      <w:pPr>
        <w:spacing w:line="20" w:lineRule="exact"/>
        <w:rPr>
          <w:sz w:val="20"/>
          <w:szCs w:val="20"/>
        </w:rPr>
      </w:pPr>
      <w:r>
        <w:rPr>
          <w:noProof/>
          <w:sz w:val="20"/>
          <w:szCs w:val="20"/>
        </w:rPr>
        <w:drawing>
          <wp:anchor distT="0" distB="0" distL="114300" distR="114300" simplePos="0" relativeHeight="252075008" behindDoc="1" locked="0" layoutInCell="0" allowOverlap="1">
            <wp:simplePos x="0" y="0"/>
            <wp:positionH relativeFrom="column">
              <wp:posOffset>73660</wp:posOffset>
            </wp:positionH>
            <wp:positionV relativeFrom="paragraph">
              <wp:posOffset>128905</wp:posOffset>
            </wp:positionV>
            <wp:extent cx="6995160" cy="8255"/>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91" w:lineRule="exact"/>
        <w:rPr>
          <w:sz w:val="20"/>
          <w:szCs w:val="20"/>
        </w:rPr>
      </w:pPr>
    </w:p>
    <w:p w:rsidR="00A621E3" w:rsidRDefault="00EC630E">
      <w:pPr>
        <w:spacing w:line="274" w:lineRule="auto"/>
        <w:ind w:left="120"/>
        <w:jc w:val="both"/>
        <w:rPr>
          <w:sz w:val="20"/>
          <w:szCs w:val="20"/>
        </w:rPr>
      </w:pPr>
      <w:r>
        <w:rPr>
          <w:rFonts w:ascii="Arial" w:eastAsia="Arial" w:hAnsi="Arial" w:cs="Arial"/>
          <w:sz w:val="18"/>
          <w:szCs w:val="18"/>
        </w:rPr>
        <w:t xml:space="preserve">The Company has adopted a procedure called “householding,” which has been approved by the SEC. The Company and some brokers household proxy materials, </w:t>
      </w:r>
      <w:r>
        <w:rPr>
          <w:rFonts w:ascii="Arial" w:eastAsia="Arial" w:hAnsi="Arial" w:cs="Arial"/>
          <w:sz w:val="18"/>
          <w:szCs w:val="18"/>
        </w:rPr>
        <w:t>delivering a single Notice and, if applicable, this proxy statement and the annual report, to multiple stockholders sharing an address unless contrary instructions have been received from the affected stockholders or they participate in electronic delivery</w:t>
      </w:r>
      <w:r>
        <w:rPr>
          <w:rFonts w:ascii="Arial" w:eastAsia="Arial" w:hAnsi="Arial" w:cs="Arial"/>
          <w:sz w:val="18"/>
          <w:szCs w:val="18"/>
        </w:rPr>
        <w:t xml:space="preserve"> of proxy materials.</w:t>
      </w:r>
    </w:p>
    <w:p w:rsidR="00A621E3" w:rsidRDefault="00A621E3">
      <w:pPr>
        <w:spacing w:line="168" w:lineRule="exact"/>
        <w:rPr>
          <w:sz w:val="20"/>
          <w:szCs w:val="20"/>
        </w:rPr>
      </w:pPr>
    </w:p>
    <w:p w:rsidR="00A621E3" w:rsidRDefault="00EC630E">
      <w:pPr>
        <w:spacing w:line="250" w:lineRule="auto"/>
        <w:ind w:left="120"/>
        <w:jc w:val="both"/>
        <w:rPr>
          <w:sz w:val="20"/>
          <w:szCs w:val="20"/>
        </w:rPr>
      </w:pPr>
      <w:r>
        <w:rPr>
          <w:rFonts w:ascii="Arial" w:eastAsia="Arial" w:hAnsi="Arial" w:cs="Arial"/>
          <w:sz w:val="20"/>
          <w:szCs w:val="20"/>
        </w:rPr>
        <w:t>Stockholders who participate in householding will continue to access and receive separate proxy cards. This process will help reduce our printing and postage fees, as well</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1" w:lineRule="exact"/>
        <w:rPr>
          <w:sz w:val="20"/>
          <w:szCs w:val="20"/>
        </w:rPr>
      </w:pPr>
    </w:p>
    <w:p w:rsidR="00A621E3" w:rsidRDefault="00EC630E">
      <w:pPr>
        <w:spacing w:line="271" w:lineRule="auto"/>
        <w:ind w:right="20"/>
        <w:jc w:val="both"/>
        <w:rPr>
          <w:sz w:val="20"/>
          <w:szCs w:val="20"/>
        </w:rPr>
      </w:pPr>
      <w:r>
        <w:rPr>
          <w:rFonts w:ascii="Arial" w:eastAsia="Arial" w:hAnsi="Arial" w:cs="Arial"/>
          <w:sz w:val="18"/>
          <w:szCs w:val="18"/>
        </w:rPr>
        <w:t xml:space="preserve">as save natural resources. If at any time you no longer </w:t>
      </w:r>
      <w:r>
        <w:rPr>
          <w:rFonts w:ascii="Arial" w:eastAsia="Arial" w:hAnsi="Arial" w:cs="Arial"/>
          <w:sz w:val="18"/>
          <w:szCs w:val="18"/>
        </w:rPr>
        <w:t>wish to participate in householding and would prefer to receive a separate proxy statement, or if you are receiving multiple copies of the proxy statement and wish to receive only one, please notify your broker if your shares are held in a brokerage accoun</w:t>
      </w:r>
      <w:r>
        <w:rPr>
          <w:rFonts w:ascii="Arial" w:eastAsia="Arial" w:hAnsi="Arial" w:cs="Arial"/>
          <w:sz w:val="18"/>
          <w:szCs w:val="18"/>
        </w:rPr>
        <w:t>t or us if you hold registered shares. You can notify us by sending a written request to Yum China Holdings, Inc., 101 East Park Boulevard, Suite 805, Plano, Texas 75074, or to Yum China Holdings, Inc., Yum China Building, 20 Tian Yao Qiao Road, Shanghai 2</w:t>
      </w:r>
      <w:r>
        <w:rPr>
          <w:rFonts w:ascii="Arial" w:eastAsia="Arial" w:hAnsi="Arial" w:cs="Arial"/>
          <w:sz w:val="18"/>
          <w:szCs w:val="18"/>
        </w:rPr>
        <w:t>00030 People’s Republic of China, Attention: Investor Relations.</w:t>
      </w:r>
    </w:p>
    <w:p w:rsidR="00A621E3" w:rsidRDefault="00A621E3">
      <w:pPr>
        <w:spacing w:line="403"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398" w:lineRule="exact"/>
        <w:rPr>
          <w:sz w:val="20"/>
          <w:szCs w:val="20"/>
        </w:rPr>
      </w:pPr>
    </w:p>
    <w:p w:rsidR="00A621E3" w:rsidRDefault="00EC630E">
      <w:pPr>
        <w:spacing w:line="266" w:lineRule="auto"/>
        <w:ind w:left="120" w:right="260"/>
        <w:rPr>
          <w:sz w:val="20"/>
          <w:szCs w:val="20"/>
        </w:rPr>
      </w:pPr>
      <w:r>
        <w:rPr>
          <w:rFonts w:ascii="Arial" w:eastAsia="Arial" w:hAnsi="Arial" w:cs="Arial"/>
          <w:b/>
          <w:bCs/>
          <w:color w:val="CF0A2C"/>
          <w:sz w:val="32"/>
          <w:szCs w:val="32"/>
        </w:rPr>
        <w:t>May I propose actions for consideration at next year’s annual meeting of the Company’s stockholders or nominate individuals to serve as directors?</w:t>
      </w:r>
    </w:p>
    <w:p w:rsidR="00A621E3" w:rsidRDefault="00EC630E">
      <w:pPr>
        <w:spacing w:line="20" w:lineRule="exact"/>
        <w:rPr>
          <w:sz w:val="20"/>
          <w:szCs w:val="20"/>
        </w:rPr>
      </w:pPr>
      <w:r>
        <w:rPr>
          <w:noProof/>
          <w:sz w:val="20"/>
          <w:szCs w:val="20"/>
        </w:rPr>
        <w:drawing>
          <wp:anchor distT="0" distB="0" distL="114300" distR="114300" simplePos="0" relativeHeight="252076032" behindDoc="1" locked="0" layoutInCell="0" allowOverlap="1">
            <wp:simplePos x="0" y="0"/>
            <wp:positionH relativeFrom="column">
              <wp:posOffset>73660</wp:posOffset>
            </wp:positionH>
            <wp:positionV relativeFrom="paragraph">
              <wp:posOffset>128905</wp:posOffset>
            </wp:positionV>
            <wp:extent cx="6995160" cy="8255"/>
            <wp:effectExtent l="0" t="0" r="0"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78" w:lineRule="exact"/>
        <w:rPr>
          <w:sz w:val="20"/>
          <w:szCs w:val="20"/>
        </w:rPr>
      </w:pPr>
    </w:p>
    <w:p w:rsidR="00A621E3" w:rsidRDefault="00EC630E">
      <w:pPr>
        <w:spacing w:line="306" w:lineRule="auto"/>
        <w:ind w:left="120"/>
        <w:jc w:val="both"/>
        <w:rPr>
          <w:sz w:val="20"/>
          <w:szCs w:val="20"/>
        </w:rPr>
      </w:pPr>
      <w:r>
        <w:rPr>
          <w:rFonts w:ascii="Arial" w:eastAsia="Arial" w:hAnsi="Arial" w:cs="Arial"/>
          <w:sz w:val="16"/>
          <w:szCs w:val="16"/>
        </w:rPr>
        <w:t>Under the rules of the SEC, if a stockholder wants us to include a proposal in our proxy statement and proxy card for presentation at the 2024 annual meeting of the Company’s stockholders, the proposal must be received by our Corpo</w:t>
      </w:r>
      <w:r>
        <w:rPr>
          <w:rFonts w:ascii="Arial" w:eastAsia="Arial" w:hAnsi="Arial" w:cs="Arial"/>
          <w:sz w:val="16"/>
          <w:szCs w:val="16"/>
        </w:rPr>
        <w:t>rate Secretary at our principal executive offices, Yum China Holdings, Inc., 101 East Park Boulevard, Suite 805, Plano, Texas 75074, or Yum China Holdings, Inc., Yum China Building, 20 Tian Yao Qiao Road, Shanghai 200030, People’s Republic of China, by Dec</w:t>
      </w:r>
      <w:r>
        <w:rPr>
          <w:rFonts w:ascii="Arial" w:eastAsia="Arial" w:hAnsi="Arial" w:cs="Arial"/>
          <w:sz w:val="16"/>
          <w:szCs w:val="16"/>
        </w:rPr>
        <w:t>ember 14, 2023. We strongly encourage any stockholder interested in submitting a proposal to contact our Chief Legal Officer in advance of this deadline to discuss the proposal. Stockholders may want to consult knowledgeable counsel with regard to the deta</w:t>
      </w:r>
      <w:r>
        <w:rPr>
          <w:rFonts w:ascii="Arial" w:eastAsia="Arial" w:hAnsi="Arial" w:cs="Arial"/>
          <w:sz w:val="16"/>
          <w:szCs w:val="16"/>
        </w:rPr>
        <w:t>iled requirements of applicable securities laws. Submitting a proposal does not guarantee that we will include it in our proxy statement.</w:t>
      </w:r>
    </w:p>
    <w:p w:rsidR="00A621E3" w:rsidRDefault="00A621E3">
      <w:pPr>
        <w:spacing w:line="379" w:lineRule="exact"/>
        <w:rPr>
          <w:sz w:val="20"/>
          <w:szCs w:val="20"/>
        </w:rPr>
      </w:pPr>
    </w:p>
    <w:p w:rsidR="00A621E3" w:rsidRDefault="00EC630E">
      <w:pPr>
        <w:spacing w:line="250" w:lineRule="auto"/>
        <w:ind w:left="120"/>
        <w:jc w:val="both"/>
        <w:rPr>
          <w:sz w:val="20"/>
          <w:szCs w:val="20"/>
        </w:rPr>
      </w:pPr>
      <w:r>
        <w:rPr>
          <w:rFonts w:ascii="Arial" w:eastAsia="Arial" w:hAnsi="Arial" w:cs="Arial"/>
          <w:sz w:val="20"/>
          <w:szCs w:val="20"/>
        </w:rPr>
        <w:t>In addition, our Bylaws include provisions permitting, subject to certain terms and conditions, stockholders owning a</w:t>
      </w:r>
      <w:r>
        <w:rPr>
          <w:rFonts w:ascii="Arial" w:eastAsia="Arial" w:hAnsi="Arial" w:cs="Arial"/>
          <w:sz w:val="20"/>
          <w:szCs w:val="20"/>
        </w:rPr>
        <w:t>t least 3% of the outstanding shares of Company</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58" w:lineRule="exact"/>
        <w:rPr>
          <w:sz w:val="20"/>
          <w:szCs w:val="20"/>
        </w:rPr>
      </w:pPr>
    </w:p>
    <w:p w:rsidR="00A621E3" w:rsidRDefault="00EC630E">
      <w:pPr>
        <w:spacing w:line="269" w:lineRule="auto"/>
        <w:jc w:val="both"/>
        <w:rPr>
          <w:sz w:val="20"/>
          <w:szCs w:val="20"/>
        </w:rPr>
      </w:pPr>
      <w:r>
        <w:rPr>
          <w:rFonts w:ascii="Arial" w:eastAsia="Arial" w:hAnsi="Arial" w:cs="Arial"/>
          <w:sz w:val="18"/>
          <w:szCs w:val="18"/>
        </w:rPr>
        <w:t>common stock for at least three consecutive years to use our annual meeting proxy statement to nominate a number of director candidates not to exceed 20% of the number of directors in office, subject to r</w:t>
      </w:r>
      <w:r>
        <w:rPr>
          <w:rFonts w:ascii="Arial" w:eastAsia="Arial" w:hAnsi="Arial" w:cs="Arial"/>
          <w:sz w:val="18"/>
          <w:szCs w:val="18"/>
        </w:rPr>
        <w:t>eduction in certain circumstances (the “</w:t>
      </w:r>
      <w:r>
        <w:rPr>
          <w:rFonts w:ascii="Arial" w:eastAsia="Arial" w:hAnsi="Arial" w:cs="Arial"/>
          <w:b/>
          <w:bCs/>
          <w:i/>
          <w:iCs/>
          <w:sz w:val="18"/>
          <w:szCs w:val="18"/>
        </w:rPr>
        <w:t>Proxy Access</w:t>
      </w:r>
      <w:r>
        <w:rPr>
          <w:rFonts w:ascii="Arial" w:eastAsia="Arial" w:hAnsi="Arial" w:cs="Arial"/>
          <w:sz w:val="18"/>
          <w:szCs w:val="18"/>
        </w:rPr>
        <w:t xml:space="preserve">”). Pursuant to our Proxy Access bylaw, stockholder nomination of directors to be included in our proxy statement and proxy card for the 2024 annual meeting of the Company’s stockholders must be received </w:t>
      </w:r>
      <w:r>
        <w:rPr>
          <w:rFonts w:ascii="Arial" w:eastAsia="Arial" w:hAnsi="Arial" w:cs="Arial"/>
          <w:sz w:val="18"/>
          <w:szCs w:val="18"/>
        </w:rPr>
        <w:t>by our Corporate Secretary no earlier than November 14, 2023 and no later than December 14, 2023. Stockholders must also satisfy the other requirements specified in our Bylaws. You may contact the Company’s Corporate Secretary at the addresses mentioned ab</w:t>
      </w:r>
      <w:r>
        <w:rPr>
          <w:rFonts w:ascii="Arial" w:eastAsia="Arial" w:hAnsi="Arial" w:cs="Arial"/>
          <w:sz w:val="18"/>
          <w:szCs w:val="18"/>
        </w:rPr>
        <w:t>ove for a copy of the relevant bylaw provisions regarding the requirements for nominating director candidates pursuant to Proxy Access.</w:t>
      </w:r>
    </w:p>
    <w:p w:rsidR="00A621E3" w:rsidRDefault="00A621E3">
      <w:pPr>
        <w:spacing w:line="181" w:lineRule="exact"/>
        <w:rPr>
          <w:sz w:val="20"/>
          <w:szCs w:val="20"/>
        </w:rPr>
      </w:pPr>
    </w:p>
    <w:p w:rsidR="00A621E3" w:rsidRDefault="00EC630E">
      <w:pPr>
        <w:spacing w:line="246" w:lineRule="auto"/>
        <w:ind w:right="20"/>
        <w:jc w:val="both"/>
        <w:rPr>
          <w:sz w:val="20"/>
          <w:szCs w:val="20"/>
        </w:rPr>
      </w:pPr>
      <w:r>
        <w:rPr>
          <w:rFonts w:ascii="Arial" w:eastAsia="Arial" w:hAnsi="Arial" w:cs="Arial"/>
          <w:sz w:val="20"/>
          <w:szCs w:val="20"/>
        </w:rPr>
        <w:t>Under our Bylaws, stockholders may also nominate persons for election as directors at an annual meeting or introduce an</w:t>
      </w:r>
      <w:r>
        <w:rPr>
          <w:rFonts w:ascii="Arial" w:eastAsia="Arial" w:hAnsi="Arial" w:cs="Arial"/>
          <w:sz w:val="20"/>
          <w:szCs w:val="20"/>
        </w:rPr>
        <w:t xml:space="preserve"> item of business that is not included in our proxy statement. These procedures provide that nomina-</w:t>
      </w:r>
    </w:p>
    <w:p w:rsidR="00A621E3" w:rsidRDefault="00A621E3">
      <w:pPr>
        <w:spacing w:line="200"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76" w:lineRule="exact"/>
        <w:rPr>
          <w:sz w:val="20"/>
          <w:szCs w:val="20"/>
        </w:rPr>
      </w:pPr>
    </w:p>
    <w:p w:rsidR="00A621E3" w:rsidRDefault="00EC630E">
      <w:pPr>
        <w:tabs>
          <w:tab w:val="left" w:pos="10860"/>
        </w:tabs>
        <w:ind w:left="822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101</w:t>
      </w:r>
    </w:p>
    <w:p w:rsidR="00A621E3" w:rsidRDefault="00EC630E">
      <w:pPr>
        <w:spacing w:line="20" w:lineRule="exact"/>
        <w:rPr>
          <w:sz w:val="20"/>
          <w:szCs w:val="20"/>
        </w:rPr>
      </w:pPr>
      <w:r>
        <w:rPr>
          <w:noProof/>
          <w:sz w:val="20"/>
          <w:szCs w:val="20"/>
        </w:rPr>
        <w:drawing>
          <wp:anchor distT="0" distB="0" distL="114300" distR="114300" simplePos="0" relativeHeight="252077056" behindDoc="1" locked="0" layoutInCell="0" allowOverlap="1">
            <wp:simplePos x="0" y="0"/>
            <wp:positionH relativeFrom="column">
              <wp:posOffset>6794500</wp:posOffset>
            </wp:positionH>
            <wp:positionV relativeFrom="paragraph">
              <wp:posOffset>-93345</wp:posOffset>
            </wp:positionV>
            <wp:extent cx="8255" cy="102870"/>
            <wp:effectExtent l="0" t="0" r="0" b="0"/>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EC630E">
      <w:pPr>
        <w:rPr>
          <w:sz w:val="20"/>
          <w:szCs w:val="20"/>
        </w:rPr>
      </w:pPr>
      <w:bookmarkStart w:id="107" w:name="page107"/>
      <w:bookmarkEnd w:id="107"/>
      <w:r>
        <w:rPr>
          <w:rFonts w:ascii="Arial" w:eastAsia="Arial" w:hAnsi="Arial" w:cs="Arial"/>
          <w:b/>
          <w:bCs/>
          <w:color w:val="0000EE"/>
          <w:sz w:val="18"/>
          <w:szCs w:val="18"/>
          <w:u w:val="single"/>
        </w:rPr>
        <w:t>Table of Contents</w:t>
      </w:r>
    </w:p>
    <w:p w:rsidR="00A621E3" w:rsidRDefault="00A621E3">
      <w:pPr>
        <w:spacing w:line="387" w:lineRule="exact"/>
        <w:rPr>
          <w:sz w:val="20"/>
          <w:szCs w:val="20"/>
        </w:rPr>
      </w:pPr>
    </w:p>
    <w:p w:rsidR="00A621E3" w:rsidRDefault="00EC630E">
      <w:pPr>
        <w:ind w:left="200"/>
        <w:rPr>
          <w:sz w:val="20"/>
          <w:szCs w:val="20"/>
        </w:rPr>
      </w:pPr>
      <w:r>
        <w:rPr>
          <w:rFonts w:ascii="Arial" w:eastAsia="Arial" w:hAnsi="Arial" w:cs="Arial"/>
          <w:b/>
          <w:bCs/>
          <w:color w:val="FFFFFF"/>
          <w:sz w:val="16"/>
          <w:szCs w:val="16"/>
          <w:shd w:val="clear" w:color="auto" w:fill="CF0A2C"/>
        </w:rPr>
        <w:t>ADDITIONAL INFORMATION</w:t>
      </w:r>
    </w:p>
    <w:p w:rsidR="00A621E3" w:rsidRDefault="00A621E3">
      <w:pPr>
        <w:spacing w:line="263" w:lineRule="exact"/>
        <w:rPr>
          <w:sz w:val="20"/>
          <w:szCs w:val="20"/>
        </w:rPr>
      </w:pPr>
    </w:p>
    <w:p w:rsidR="00A621E3" w:rsidRDefault="00EC630E">
      <w:pPr>
        <w:spacing w:line="254" w:lineRule="auto"/>
        <w:ind w:left="120"/>
        <w:jc w:val="both"/>
        <w:rPr>
          <w:sz w:val="20"/>
          <w:szCs w:val="20"/>
        </w:rPr>
      </w:pPr>
      <w:r>
        <w:rPr>
          <w:rFonts w:ascii="Arial" w:eastAsia="Arial" w:hAnsi="Arial" w:cs="Arial"/>
          <w:sz w:val="19"/>
          <w:szCs w:val="19"/>
        </w:rPr>
        <w:t xml:space="preserve">tions for director </w:t>
      </w:r>
      <w:r>
        <w:rPr>
          <w:rFonts w:ascii="Arial" w:eastAsia="Arial" w:hAnsi="Arial" w:cs="Arial"/>
          <w:sz w:val="19"/>
          <w:szCs w:val="19"/>
        </w:rPr>
        <w:t>nominees and/or an item of business to be introduced at an annual meeting must be submitted in writing to our Corporate Secretary at our principal executive offices, and the stockholder submitting any such nomination or item of business must include inform</w:t>
      </w:r>
      <w:r>
        <w:rPr>
          <w:rFonts w:ascii="Arial" w:eastAsia="Arial" w:hAnsi="Arial" w:cs="Arial"/>
          <w:sz w:val="19"/>
          <w:szCs w:val="19"/>
        </w:rPr>
        <w:t>ation set forth in our Bylaws. For the 2024 annual meeting of the Company’s stockholders, we must receive the notice of your intention to introduce a nomination or to propose an item of business no earlier than January 26, 2024 and no later than February 2</w:t>
      </w:r>
      <w:r>
        <w:rPr>
          <w:rFonts w:ascii="Arial" w:eastAsia="Arial" w:hAnsi="Arial" w:cs="Arial"/>
          <w:sz w:val="19"/>
          <w:szCs w:val="19"/>
        </w:rPr>
        <w:t>5, 2024, unless we hold the 2024 annual meeting before April 25, 2024 or after June 25, 2024, in which case notice must be received no later than 10 days after notice of the date of the annual meeting is mailed or public disclosure of the date of the annua</w:t>
      </w:r>
      <w:r>
        <w:rPr>
          <w:rFonts w:ascii="Arial" w:eastAsia="Arial" w:hAnsi="Arial" w:cs="Arial"/>
          <w:sz w:val="19"/>
          <w:szCs w:val="19"/>
        </w:rPr>
        <w:t>l meeting is made, whichever first occurs. Stockholders must</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20" w:lineRule="exact"/>
        <w:rPr>
          <w:sz w:val="20"/>
          <w:szCs w:val="20"/>
        </w:rPr>
      </w:pPr>
    </w:p>
    <w:p w:rsidR="00A621E3" w:rsidRDefault="00EC630E">
      <w:pPr>
        <w:spacing w:line="244" w:lineRule="auto"/>
        <w:ind w:right="20"/>
        <w:jc w:val="both"/>
        <w:rPr>
          <w:sz w:val="20"/>
          <w:szCs w:val="20"/>
        </w:rPr>
      </w:pPr>
      <w:r>
        <w:rPr>
          <w:rFonts w:ascii="Arial" w:eastAsia="Arial" w:hAnsi="Arial" w:cs="Arial"/>
          <w:sz w:val="20"/>
          <w:szCs w:val="20"/>
        </w:rPr>
        <w:t xml:space="preserve">also satisfy the other requirements specified in our Bylaws. You may contact the Company’s Corporate Secretary at the addresses mentioned above for a copy of the relevant bylaw provisions </w:t>
      </w:r>
      <w:r>
        <w:rPr>
          <w:rFonts w:ascii="Arial" w:eastAsia="Arial" w:hAnsi="Arial" w:cs="Arial"/>
          <w:sz w:val="20"/>
          <w:szCs w:val="20"/>
        </w:rPr>
        <w:t>regarding the requirements for making stockholder proposals and nominating director candidates.</w:t>
      </w:r>
    </w:p>
    <w:p w:rsidR="00A621E3" w:rsidRDefault="00EC630E">
      <w:pPr>
        <w:spacing w:line="20" w:lineRule="exact"/>
        <w:rPr>
          <w:sz w:val="20"/>
          <w:szCs w:val="20"/>
        </w:rPr>
      </w:pPr>
      <w:r>
        <w:rPr>
          <w:noProof/>
          <w:sz w:val="20"/>
          <w:szCs w:val="20"/>
        </w:rPr>
        <w:drawing>
          <wp:anchor distT="0" distB="0" distL="114300" distR="114300" simplePos="0" relativeHeight="252078080" behindDoc="1" locked="0" layoutInCell="0" allowOverlap="1">
            <wp:simplePos x="0" y="0"/>
            <wp:positionH relativeFrom="column">
              <wp:posOffset>-3651885</wp:posOffset>
            </wp:positionH>
            <wp:positionV relativeFrom="paragraph">
              <wp:posOffset>-1622425</wp:posOffset>
            </wp:positionV>
            <wp:extent cx="7174865" cy="55245"/>
            <wp:effectExtent l="0" t="0" r="0" b="0"/>
            <wp:wrapNone/>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p>
    <w:p w:rsidR="00A621E3" w:rsidRDefault="00A621E3">
      <w:pPr>
        <w:spacing w:line="174" w:lineRule="exact"/>
        <w:rPr>
          <w:sz w:val="20"/>
          <w:szCs w:val="20"/>
        </w:rPr>
      </w:pPr>
    </w:p>
    <w:p w:rsidR="00A621E3" w:rsidRDefault="00EC630E">
      <w:pPr>
        <w:spacing w:line="276" w:lineRule="auto"/>
        <w:ind w:right="20"/>
        <w:jc w:val="both"/>
        <w:rPr>
          <w:sz w:val="20"/>
          <w:szCs w:val="20"/>
        </w:rPr>
      </w:pPr>
      <w:r>
        <w:rPr>
          <w:rFonts w:ascii="Arial" w:eastAsia="Arial" w:hAnsi="Arial" w:cs="Arial"/>
          <w:sz w:val="18"/>
          <w:szCs w:val="18"/>
        </w:rPr>
        <w:t xml:space="preserve">In addition to satisfying the foregoing requirements under our Bylaws, to comply with the universal proxy rules, stockholders who intend to solicit proxies </w:t>
      </w:r>
      <w:r>
        <w:rPr>
          <w:rFonts w:ascii="Arial" w:eastAsia="Arial" w:hAnsi="Arial" w:cs="Arial"/>
          <w:sz w:val="18"/>
          <w:szCs w:val="18"/>
        </w:rPr>
        <w:t>in support of director nominees other than our nominees must provide notice that sets forth the information required by Rule 14a-19 under the Securities Exchange Act of 1934, as amended, no later than March 26, 2024.</w:t>
      </w:r>
    </w:p>
    <w:p w:rsidR="00A621E3" w:rsidRDefault="00A621E3">
      <w:pPr>
        <w:spacing w:line="645" w:lineRule="exact"/>
        <w:rPr>
          <w:sz w:val="20"/>
          <w:szCs w:val="20"/>
        </w:rPr>
      </w:pPr>
    </w:p>
    <w:p w:rsidR="00A621E3" w:rsidRDefault="00A621E3">
      <w:pPr>
        <w:sectPr w:rsidR="00A621E3">
          <w:pgSz w:w="11900" w:h="16838"/>
          <w:pgMar w:top="486" w:right="439" w:bottom="1440" w:left="320" w:header="0" w:footer="0" w:gutter="0"/>
          <w:cols w:num="2" w:space="720" w:equalWidth="0">
            <w:col w:w="5400" w:space="340"/>
            <w:col w:w="5400"/>
          </w:cols>
        </w:sectPr>
      </w:pPr>
    </w:p>
    <w:p w:rsidR="00A621E3" w:rsidRDefault="00A621E3">
      <w:pPr>
        <w:spacing w:line="200" w:lineRule="exact"/>
        <w:rPr>
          <w:sz w:val="20"/>
          <w:szCs w:val="20"/>
        </w:rPr>
      </w:pPr>
    </w:p>
    <w:p w:rsidR="00A621E3" w:rsidRDefault="00A621E3">
      <w:pPr>
        <w:spacing w:line="204" w:lineRule="exact"/>
        <w:rPr>
          <w:sz w:val="20"/>
          <w:szCs w:val="20"/>
        </w:rPr>
      </w:pPr>
    </w:p>
    <w:p w:rsidR="00A621E3" w:rsidRDefault="00EC630E">
      <w:pPr>
        <w:spacing w:line="286" w:lineRule="auto"/>
        <w:ind w:left="120" w:right="1480"/>
        <w:rPr>
          <w:sz w:val="20"/>
          <w:szCs w:val="20"/>
        </w:rPr>
      </w:pPr>
      <w:r>
        <w:rPr>
          <w:rFonts w:ascii="Arial" w:eastAsia="Arial" w:hAnsi="Arial" w:cs="Arial"/>
          <w:b/>
          <w:bCs/>
          <w:color w:val="CF0A2C"/>
          <w:sz w:val="32"/>
          <w:szCs w:val="32"/>
        </w:rPr>
        <w:t xml:space="preserve">Is any </w:t>
      </w:r>
      <w:r>
        <w:rPr>
          <w:rFonts w:ascii="Arial" w:eastAsia="Arial" w:hAnsi="Arial" w:cs="Arial"/>
          <w:b/>
          <w:bCs/>
          <w:color w:val="CF0A2C"/>
          <w:sz w:val="32"/>
          <w:szCs w:val="32"/>
        </w:rPr>
        <w:t>other business expected to be conducted at the Annual Meeting?</w:t>
      </w:r>
    </w:p>
    <w:p w:rsidR="00A621E3" w:rsidRDefault="00EC630E">
      <w:pPr>
        <w:spacing w:line="20" w:lineRule="exact"/>
        <w:rPr>
          <w:sz w:val="20"/>
          <w:szCs w:val="20"/>
        </w:rPr>
      </w:pPr>
      <w:r>
        <w:rPr>
          <w:noProof/>
          <w:sz w:val="20"/>
          <w:szCs w:val="20"/>
        </w:rPr>
        <w:drawing>
          <wp:anchor distT="0" distB="0" distL="114300" distR="114300" simplePos="0" relativeHeight="252079104" behindDoc="1" locked="0" layoutInCell="0" allowOverlap="1">
            <wp:simplePos x="0" y="0"/>
            <wp:positionH relativeFrom="column">
              <wp:posOffset>73660</wp:posOffset>
            </wp:positionH>
            <wp:positionV relativeFrom="paragraph">
              <wp:posOffset>109220</wp:posOffset>
            </wp:positionV>
            <wp:extent cx="6995160" cy="8255"/>
            <wp:effectExtent l="0" t="0" r="0" b="0"/>
            <wp:wrapNone/>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360" w:lineRule="exact"/>
        <w:rPr>
          <w:sz w:val="20"/>
          <w:szCs w:val="20"/>
        </w:rPr>
      </w:pPr>
    </w:p>
    <w:p w:rsidR="00A621E3" w:rsidRDefault="00EC630E">
      <w:pPr>
        <w:spacing w:line="278" w:lineRule="auto"/>
        <w:ind w:left="120"/>
        <w:jc w:val="both"/>
        <w:rPr>
          <w:sz w:val="20"/>
          <w:szCs w:val="20"/>
        </w:rPr>
      </w:pPr>
      <w:r>
        <w:rPr>
          <w:rFonts w:ascii="Arial" w:eastAsia="Arial" w:hAnsi="Arial" w:cs="Arial"/>
          <w:sz w:val="18"/>
          <w:szCs w:val="18"/>
        </w:rPr>
        <w:t>The Board is not aware of any matters that are expected to come before the Annual Meeting other than those referred to in this proxy statement. If any other matter sho</w:t>
      </w:r>
      <w:r>
        <w:rPr>
          <w:rFonts w:ascii="Arial" w:eastAsia="Arial" w:hAnsi="Arial" w:cs="Arial"/>
          <w:sz w:val="18"/>
          <w:szCs w:val="18"/>
        </w:rPr>
        <w:t>uld come before the Annual Meeting, the individuals named on the form of proxy intend to vote the proxies in accordance with their best judgment.</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40" w:lineRule="exact"/>
        <w:rPr>
          <w:sz w:val="20"/>
          <w:szCs w:val="20"/>
        </w:rPr>
      </w:pPr>
    </w:p>
    <w:p w:rsidR="00A621E3" w:rsidRDefault="00EC630E">
      <w:pPr>
        <w:spacing w:line="291" w:lineRule="auto"/>
        <w:jc w:val="both"/>
        <w:rPr>
          <w:sz w:val="20"/>
          <w:szCs w:val="20"/>
        </w:rPr>
      </w:pPr>
      <w:r>
        <w:rPr>
          <w:rFonts w:ascii="Arial" w:eastAsia="Arial" w:hAnsi="Arial" w:cs="Arial"/>
          <w:sz w:val="18"/>
          <w:szCs w:val="18"/>
        </w:rPr>
        <w:t xml:space="preserve">The chairman of the Annual Meeting may refuse to allow the transaction of any business, or to acknowledge </w:t>
      </w:r>
      <w:r>
        <w:rPr>
          <w:rFonts w:ascii="Arial" w:eastAsia="Arial" w:hAnsi="Arial" w:cs="Arial"/>
          <w:sz w:val="18"/>
          <w:szCs w:val="18"/>
        </w:rPr>
        <w:t>the nomination of any person, not made in compliance with the foregoing procedures.</w:t>
      </w:r>
    </w:p>
    <w:p w:rsidR="00A621E3" w:rsidRDefault="00A621E3">
      <w:pPr>
        <w:spacing w:line="645" w:lineRule="exact"/>
        <w:rPr>
          <w:sz w:val="20"/>
          <w:szCs w:val="20"/>
        </w:rPr>
      </w:pP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7" w:lineRule="exact"/>
        <w:rPr>
          <w:sz w:val="20"/>
          <w:szCs w:val="20"/>
        </w:rPr>
      </w:pPr>
    </w:p>
    <w:p w:rsidR="00A621E3" w:rsidRDefault="00EC630E">
      <w:pPr>
        <w:ind w:left="120"/>
        <w:rPr>
          <w:sz w:val="20"/>
          <w:szCs w:val="20"/>
        </w:rPr>
      </w:pPr>
      <w:r>
        <w:rPr>
          <w:rFonts w:ascii="Arial" w:eastAsia="Arial" w:hAnsi="Arial" w:cs="Arial"/>
          <w:b/>
          <w:bCs/>
          <w:color w:val="CF0A2C"/>
          <w:sz w:val="32"/>
          <w:szCs w:val="32"/>
        </w:rPr>
        <w:t>Forward-Looking Statements</w:t>
      </w:r>
    </w:p>
    <w:p w:rsidR="00A621E3" w:rsidRDefault="00EC630E">
      <w:pPr>
        <w:spacing w:line="20" w:lineRule="exact"/>
        <w:rPr>
          <w:sz w:val="20"/>
          <w:szCs w:val="20"/>
        </w:rPr>
      </w:pPr>
      <w:r>
        <w:rPr>
          <w:noProof/>
          <w:sz w:val="20"/>
          <w:szCs w:val="20"/>
        </w:rPr>
        <w:drawing>
          <wp:anchor distT="0" distB="0" distL="114300" distR="114300" simplePos="0" relativeHeight="252080128" behindDoc="1" locked="0" layoutInCell="0" allowOverlap="1">
            <wp:simplePos x="0" y="0"/>
            <wp:positionH relativeFrom="column">
              <wp:posOffset>73660</wp:posOffset>
            </wp:positionH>
            <wp:positionV relativeFrom="paragraph">
              <wp:posOffset>192405</wp:posOffset>
            </wp:positionV>
            <wp:extent cx="6995160" cy="8255"/>
            <wp:effectExtent l="0" t="0" r="0" b="0"/>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20">
                      <a:extLst/>
                    </a:blip>
                    <a:srcRect/>
                    <a:stretch>
                      <a:fillRect/>
                    </a:stretch>
                  </pic:blipFill>
                  <pic:spPr bwMode="auto">
                    <a:xfrm>
                      <a:off x="0" y="0"/>
                      <a:ext cx="6995160" cy="8255"/>
                    </a:xfrm>
                    <a:prstGeom prst="rect">
                      <a:avLst/>
                    </a:prstGeom>
                    <a:noFill/>
                  </pic:spPr>
                </pic:pic>
              </a:graphicData>
            </a:graphic>
          </wp:anchor>
        </w:drawing>
      </w:r>
    </w:p>
    <w:p w:rsidR="00A621E3" w:rsidRDefault="00A621E3">
      <w:pPr>
        <w:sectPr w:rsidR="00A621E3">
          <w:type w:val="continuous"/>
          <w:pgSz w:w="11900" w:h="16838"/>
          <w:pgMar w:top="486" w:right="439" w:bottom="1440" w:left="320" w:header="0" w:footer="0" w:gutter="0"/>
          <w:cols w:space="720" w:equalWidth="0">
            <w:col w:w="11140"/>
          </w:cols>
        </w:sect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91" w:lineRule="exact"/>
        <w:rPr>
          <w:sz w:val="20"/>
          <w:szCs w:val="20"/>
        </w:rPr>
      </w:pPr>
    </w:p>
    <w:p w:rsidR="00A621E3" w:rsidRDefault="00EC630E">
      <w:pPr>
        <w:spacing w:line="270" w:lineRule="auto"/>
        <w:ind w:left="120"/>
        <w:jc w:val="both"/>
        <w:rPr>
          <w:sz w:val="20"/>
          <w:szCs w:val="20"/>
        </w:rPr>
      </w:pPr>
      <w:r>
        <w:rPr>
          <w:rFonts w:ascii="Arial" w:eastAsia="Arial" w:hAnsi="Arial" w:cs="Arial"/>
          <w:sz w:val="18"/>
          <w:szCs w:val="18"/>
        </w:rPr>
        <w:t xml:space="preserve">This proxy statement contains “forward-looking statements” within the meaning of </w:t>
      </w:r>
      <w:r>
        <w:rPr>
          <w:rFonts w:ascii="Arial" w:eastAsia="Arial" w:hAnsi="Arial" w:cs="Arial"/>
          <w:sz w:val="18"/>
          <w:szCs w:val="18"/>
        </w:rPr>
        <w:t xml:space="preserve">Section 27A of the Securities Act of 1933 and Section 21E of the Securities Exchange Act of 1934. We intend all forward-looking statements to be covered by the safe harbor provisions of the Private Securities Litigation Reform Act of 1995. Forward-looking </w:t>
      </w:r>
      <w:r>
        <w:rPr>
          <w:rFonts w:ascii="Arial" w:eastAsia="Arial" w:hAnsi="Arial" w:cs="Arial"/>
          <w:sz w:val="18"/>
          <w:szCs w:val="18"/>
        </w:rPr>
        <w:t>statements generally can be identified by the fact that they do not relate strictly to historical or current facts and by the use of forward-looking words such as “expect,” “expectation,” “believe,” “anticipate,” “may,” “could,” “intend,” “belief,” “plan,”</w:t>
      </w:r>
      <w:r>
        <w:rPr>
          <w:rFonts w:ascii="Arial" w:eastAsia="Arial" w:hAnsi="Arial" w:cs="Arial"/>
          <w:sz w:val="18"/>
          <w:szCs w:val="18"/>
        </w:rPr>
        <w:t xml:space="preserve"> “estimate,” “target,” “predict,” “project,” “likely,” “will,” “continue,” “should,” “forecast,” “outlook,” “commit” or similar terminology. These statements are based on current estimates and assumptions made by us in light of our</w:t>
      </w:r>
    </w:p>
    <w:p w:rsidR="00A621E3" w:rsidRDefault="00A621E3">
      <w:pPr>
        <w:spacing w:line="261" w:lineRule="exact"/>
        <w:rPr>
          <w:sz w:val="20"/>
          <w:szCs w:val="20"/>
        </w:rPr>
      </w:pPr>
    </w:p>
    <w:p w:rsidR="00A621E3" w:rsidRDefault="00EC630E">
      <w:pPr>
        <w:numPr>
          <w:ilvl w:val="0"/>
          <w:numId w:val="138"/>
        </w:numPr>
        <w:tabs>
          <w:tab w:val="left" w:pos="760"/>
        </w:tabs>
        <w:ind w:left="760" w:hanging="491"/>
        <w:rPr>
          <w:rFonts w:ascii="Arial" w:eastAsia="Arial" w:hAnsi="Arial" w:cs="Arial"/>
          <w:color w:val="CF0A2C"/>
          <w:sz w:val="14"/>
          <w:szCs w:val="14"/>
        </w:rPr>
      </w:pPr>
      <w:r>
        <w:rPr>
          <w:rFonts w:ascii="Arial" w:eastAsia="Arial" w:hAnsi="Arial" w:cs="Arial"/>
          <w:color w:val="4C4C4C"/>
          <w:sz w:val="14"/>
          <w:szCs w:val="14"/>
        </w:rPr>
        <w:t xml:space="preserve">YUM CHINA </w:t>
      </w:r>
      <w:r>
        <w:rPr>
          <w:rFonts w:ascii="Arial" w:eastAsia="Arial" w:hAnsi="Arial" w:cs="Arial"/>
          <w:i/>
          <w:iCs/>
          <w:color w:val="4C4C4C"/>
          <w:sz w:val="14"/>
          <w:szCs w:val="14"/>
        </w:rPr>
        <w:t xml:space="preserve">– 2023 Proxy </w:t>
      </w:r>
      <w:r>
        <w:rPr>
          <w:rFonts w:ascii="Arial" w:eastAsia="Arial" w:hAnsi="Arial" w:cs="Arial"/>
          <w:i/>
          <w:iCs/>
          <w:color w:val="4C4C4C"/>
          <w:sz w:val="14"/>
          <w:szCs w:val="14"/>
        </w:rPr>
        <w:t>Statement</w:t>
      </w:r>
    </w:p>
    <w:p w:rsidR="00A621E3" w:rsidRDefault="00EC630E">
      <w:pPr>
        <w:spacing w:line="20" w:lineRule="exact"/>
        <w:rPr>
          <w:sz w:val="20"/>
          <w:szCs w:val="20"/>
        </w:rPr>
      </w:pPr>
      <w:r>
        <w:rPr>
          <w:noProof/>
          <w:sz w:val="20"/>
          <w:szCs w:val="20"/>
        </w:rPr>
        <w:drawing>
          <wp:anchor distT="0" distB="0" distL="114300" distR="114300" simplePos="0" relativeHeight="252081152" behindDoc="1" locked="0" layoutInCell="0" allowOverlap="1">
            <wp:simplePos x="0" y="0"/>
            <wp:positionH relativeFrom="column">
              <wp:posOffset>373380</wp:posOffset>
            </wp:positionH>
            <wp:positionV relativeFrom="paragraph">
              <wp:posOffset>-95885</wp:posOffset>
            </wp:positionV>
            <wp:extent cx="8255" cy="102870"/>
            <wp:effectExtent l="0" t="0" r="0" b="0"/>
            <wp:wrapNone/>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71" w:lineRule="exact"/>
        <w:rPr>
          <w:sz w:val="20"/>
          <w:szCs w:val="20"/>
        </w:rPr>
      </w:pPr>
    </w:p>
    <w:p w:rsidR="00A621E3" w:rsidRDefault="00EC630E">
      <w:pPr>
        <w:spacing w:line="307" w:lineRule="auto"/>
        <w:jc w:val="both"/>
        <w:rPr>
          <w:sz w:val="20"/>
          <w:szCs w:val="20"/>
        </w:rPr>
      </w:pPr>
      <w:r>
        <w:rPr>
          <w:rFonts w:ascii="Arial" w:eastAsia="Arial" w:hAnsi="Arial" w:cs="Arial"/>
          <w:sz w:val="16"/>
          <w:szCs w:val="16"/>
        </w:rPr>
        <w:t>experience and perception of historical trends, current conditions and expected future developments, as well as other factors that we believe are appropriate and reasonable under the circumstances, but there can be no assurance that such e</w:t>
      </w:r>
      <w:r>
        <w:rPr>
          <w:rFonts w:ascii="Arial" w:eastAsia="Arial" w:hAnsi="Arial" w:cs="Arial"/>
          <w:sz w:val="16"/>
          <w:szCs w:val="16"/>
        </w:rPr>
        <w:t>stimates and assumptions will prove to be correct. Forward-looking statements include, without limitation, statements regarding the future strategies, growth and business plans of Yum China, including Yum China’s sustainability goals. Forward-looking state</w:t>
      </w:r>
      <w:r>
        <w:rPr>
          <w:rFonts w:ascii="Arial" w:eastAsia="Arial" w:hAnsi="Arial" w:cs="Arial"/>
          <w:sz w:val="16"/>
          <w:szCs w:val="16"/>
        </w:rPr>
        <w:t>ments are not guarantees of performance and are inherently subject to known and unknown risks and uncertainties that are difficult to predict and could cause our actual results or events to differ materially from those indicated by those statements. We can</w:t>
      </w:r>
      <w:r>
        <w:rPr>
          <w:rFonts w:ascii="Arial" w:eastAsia="Arial" w:hAnsi="Arial" w:cs="Arial"/>
          <w:sz w:val="16"/>
          <w:szCs w:val="16"/>
        </w:rPr>
        <w:t>not assure you that any of our expectations, estimates or assumptions will be achieved. The</w:t>
      </w:r>
    </w:p>
    <w:p w:rsidR="00A621E3" w:rsidRDefault="00A621E3">
      <w:pPr>
        <w:sectPr w:rsidR="00A621E3">
          <w:type w:val="continuous"/>
          <w:pgSz w:w="11900" w:h="16838"/>
          <w:pgMar w:top="486" w:right="439" w:bottom="1440" w:left="320" w:header="0" w:footer="0" w:gutter="0"/>
          <w:cols w:num="2" w:space="720" w:equalWidth="0">
            <w:col w:w="5400" w:space="340"/>
            <w:col w:w="5400"/>
          </w:cols>
        </w:sectPr>
      </w:pPr>
    </w:p>
    <w:p w:rsidR="00A621E3" w:rsidRDefault="00EC630E">
      <w:pPr>
        <w:rPr>
          <w:sz w:val="20"/>
          <w:szCs w:val="20"/>
        </w:rPr>
      </w:pPr>
      <w:bookmarkStart w:id="108" w:name="page108"/>
      <w:bookmarkEnd w:id="108"/>
      <w:r>
        <w:rPr>
          <w:rFonts w:ascii="Arial" w:eastAsia="Arial" w:hAnsi="Arial" w:cs="Arial"/>
          <w:b/>
          <w:bCs/>
          <w:color w:val="0000EE"/>
          <w:sz w:val="18"/>
          <w:szCs w:val="18"/>
          <w:u w:val="single"/>
        </w:rPr>
        <w:t>Table of Contents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233" w:lineRule="exact"/>
        <w:rPr>
          <w:sz w:val="20"/>
          <w:szCs w:val="20"/>
        </w:rPr>
      </w:pPr>
    </w:p>
    <w:p w:rsidR="00A621E3" w:rsidRDefault="00EC630E">
      <w:pPr>
        <w:spacing w:line="269" w:lineRule="auto"/>
        <w:ind w:left="120"/>
        <w:jc w:val="both"/>
        <w:rPr>
          <w:sz w:val="20"/>
          <w:szCs w:val="20"/>
        </w:rPr>
      </w:pPr>
      <w:r>
        <w:rPr>
          <w:rFonts w:ascii="Arial" w:eastAsia="Arial" w:hAnsi="Arial" w:cs="Arial"/>
          <w:sz w:val="18"/>
          <w:szCs w:val="18"/>
        </w:rPr>
        <w:t>forward-looking statements included in this proxy statement are only made as of the date of this proxy statement,</w:t>
      </w:r>
      <w:r>
        <w:rPr>
          <w:rFonts w:ascii="Arial" w:eastAsia="Arial" w:hAnsi="Arial" w:cs="Arial"/>
          <w:sz w:val="18"/>
          <w:szCs w:val="18"/>
        </w:rPr>
        <w:t xml:space="preserve"> and we disclaim any obligation to publicly update any forward-looking statement to reflect subsequent events or circumstances, except as required by law. Numerous factors could cause our actual results or events to differ materially from those expressed o</w:t>
      </w:r>
      <w:r>
        <w:rPr>
          <w:rFonts w:ascii="Arial" w:eastAsia="Arial" w:hAnsi="Arial" w:cs="Arial"/>
          <w:sz w:val="18"/>
          <w:szCs w:val="18"/>
        </w:rPr>
        <w:t>r implied by forward-looking statements, including, without limitation: whether we are able to achieve development goals at the times and in the amounts currently anticipated, if at all, the success of our marketing campaigns and product innovation, our ab</w:t>
      </w:r>
      <w:r>
        <w:rPr>
          <w:rFonts w:ascii="Arial" w:eastAsia="Arial" w:hAnsi="Arial" w:cs="Arial"/>
          <w:sz w:val="18"/>
          <w:szCs w:val="18"/>
        </w:rPr>
        <w:t>ility to maintain food safety and quality control systems, changes in public health conditions, including the COVID-19 pandemic and regional outbreaks caused by existing or new COVID-19 variants, our ability to control</w:t>
      </w:r>
    </w:p>
    <w:p w:rsidR="00A621E3" w:rsidRDefault="00EC630E">
      <w:pPr>
        <w:spacing w:line="20" w:lineRule="exact"/>
        <w:rPr>
          <w:sz w:val="20"/>
          <w:szCs w:val="20"/>
        </w:rPr>
      </w:pPr>
      <w:r>
        <w:rPr>
          <w:sz w:val="20"/>
          <w:szCs w:val="20"/>
        </w:rPr>
        <w:br w:type="column"/>
      </w:r>
    </w:p>
    <w:p w:rsidR="00A621E3" w:rsidRDefault="00A621E3">
      <w:pPr>
        <w:spacing w:line="200" w:lineRule="exact"/>
        <w:rPr>
          <w:sz w:val="20"/>
          <w:szCs w:val="20"/>
        </w:rPr>
      </w:pPr>
    </w:p>
    <w:p w:rsidR="00A621E3" w:rsidRDefault="00A621E3">
      <w:pPr>
        <w:spacing w:line="374" w:lineRule="exact"/>
        <w:rPr>
          <w:sz w:val="20"/>
          <w:szCs w:val="20"/>
        </w:rPr>
      </w:pPr>
    </w:p>
    <w:p w:rsidR="00A621E3" w:rsidRDefault="00EC630E">
      <w:pPr>
        <w:ind w:left="3060"/>
        <w:rPr>
          <w:sz w:val="20"/>
          <w:szCs w:val="20"/>
        </w:rPr>
      </w:pPr>
      <w:r>
        <w:rPr>
          <w:rFonts w:ascii="Arial" w:eastAsia="Arial" w:hAnsi="Arial" w:cs="Arial"/>
          <w:b/>
          <w:bCs/>
          <w:color w:val="FFFFFF"/>
          <w:sz w:val="16"/>
          <w:szCs w:val="16"/>
        </w:rPr>
        <w:t>ADDITIONAL INFORMATION</w:t>
      </w:r>
    </w:p>
    <w:p w:rsidR="00A621E3" w:rsidRDefault="00EC630E">
      <w:pPr>
        <w:spacing w:line="20" w:lineRule="exact"/>
        <w:rPr>
          <w:sz w:val="20"/>
          <w:szCs w:val="20"/>
        </w:rPr>
      </w:pPr>
      <w:r>
        <w:rPr>
          <w:noProof/>
          <w:sz w:val="20"/>
          <w:szCs w:val="20"/>
        </w:rPr>
        <w:drawing>
          <wp:anchor distT="0" distB="0" distL="114300" distR="114300" simplePos="0" relativeHeight="252082176" behindDoc="1" locked="0" layoutInCell="0" allowOverlap="1">
            <wp:simplePos x="0" y="0"/>
            <wp:positionH relativeFrom="column">
              <wp:posOffset>-3651885</wp:posOffset>
            </wp:positionH>
            <wp:positionV relativeFrom="paragraph">
              <wp:posOffset>-713105</wp:posOffset>
            </wp:positionV>
            <wp:extent cx="7174865" cy="55245"/>
            <wp:effectExtent l="0" t="0" r="0" b="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noProof/>
          <w:sz w:val="20"/>
          <w:szCs w:val="20"/>
        </w:rPr>
        <w:drawing>
          <wp:anchor distT="0" distB="0" distL="114300" distR="114300" simplePos="0" relativeHeight="252083200" behindDoc="1" locked="0" layoutInCell="0" allowOverlap="1">
            <wp:simplePos x="0" y="0"/>
            <wp:positionH relativeFrom="column">
              <wp:posOffset>1786255</wp:posOffset>
            </wp:positionH>
            <wp:positionV relativeFrom="paragraph">
              <wp:posOffset>-156210</wp:posOffset>
            </wp:positionV>
            <wp:extent cx="1637030" cy="205740"/>
            <wp:effectExtent l="0" t="0" r="0" b="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59">
                      <a:extLst/>
                    </a:blip>
                    <a:srcRect/>
                    <a:stretch>
                      <a:fillRect/>
                    </a:stretch>
                  </pic:blipFill>
                  <pic:spPr bwMode="auto">
                    <a:xfrm>
                      <a:off x="0" y="0"/>
                      <a:ext cx="1637030" cy="205740"/>
                    </a:xfrm>
                    <a:prstGeom prst="rect">
                      <a:avLst/>
                    </a:prstGeom>
                    <a:noFill/>
                  </pic:spPr>
                </pic:pic>
              </a:graphicData>
            </a:graphic>
          </wp:anchor>
        </w:drawing>
      </w:r>
    </w:p>
    <w:p w:rsidR="00A621E3" w:rsidRDefault="00A621E3">
      <w:pPr>
        <w:spacing w:line="243" w:lineRule="exact"/>
        <w:rPr>
          <w:sz w:val="20"/>
          <w:szCs w:val="20"/>
        </w:rPr>
      </w:pPr>
    </w:p>
    <w:p w:rsidR="00A621E3" w:rsidRDefault="00EC630E">
      <w:pPr>
        <w:spacing w:line="270" w:lineRule="auto"/>
        <w:jc w:val="both"/>
        <w:rPr>
          <w:sz w:val="20"/>
          <w:szCs w:val="20"/>
        </w:rPr>
      </w:pPr>
      <w:r>
        <w:rPr>
          <w:rFonts w:ascii="Arial" w:eastAsia="Arial" w:hAnsi="Arial" w:cs="Arial"/>
          <w:sz w:val="18"/>
          <w:szCs w:val="18"/>
        </w:rPr>
        <w:t xml:space="preserve">costs </w:t>
      </w:r>
      <w:r>
        <w:rPr>
          <w:rFonts w:ascii="Arial" w:eastAsia="Arial" w:hAnsi="Arial" w:cs="Arial"/>
          <w:sz w:val="18"/>
          <w:szCs w:val="18"/>
        </w:rPr>
        <w:t>and expenses, including tax costs, as well as changes in political, economic and regulatory conditions in China. In addition, other risks and uncertainties not presently known to us or that we currently believe to be immaterial could affect the accuracy of</w:t>
      </w:r>
      <w:r>
        <w:rPr>
          <w:rFonts w:ascii="Arial" w:eastAsia="Arial" w:hAnsi="Arial" w:cs="Arial"/>
          <w:sz w:val="18"/>
          <w:szCs w:val="18"/>
        </w:rPr>
        <w:t xml:space="preserve"> any such forward-looking statements. All forward-looking statements should be evaluated with the understanding of their inherent uncertainty. You should consult our filings with the SEC (including the information set forth under the captions “Risk Factors</w:t>
      </w:r>
      <w:r>
        <w:rPr>
          <w:rFonts w:ascii="Arial" w:eastAsia="Arial" w:hAnsi="Arial" w:cs="Arial"/>
          <w:sz w:val="18"/>
          <w:szCs w:val="18"/>
        </w:rPr>
        <w:t>” and “Management’s Discussion and Analysis of Financial Condition and Results of Operations” in our Annual Report on Form 10-K for the year ended December 31, 2022) for additional detail about factors that could affect our financial and other results.</w:t>
      </w:r>
    </w:p>
    <w:p w:rsidR="00A621E3" w:rsidRDefault="00A621E3">
      <w:pPr>
        <w:spacing w:line="200" w:lineRule="exact"/>
        <w:rPr>
          <w:sz w:val="20"/>
          <w:szCs w:val="20"/>
        </w:rPr>
      </w:pPr>
    </w:p>
    <w:p w:rsidR="00A621E3" w:rsidRDefault="00A621E3">
      <w:pPr>
        <w:spacing w:line="200" w:lineRule="exact"/>
        <w:rPr>
          <w:sz w:val="20"/>
          <w:szCs w:val="20"/>
        </w:rPr>
      </w:pPr>
    </w:p>
    <w:p w:rsidR="00A621E3" w:rsidRDefault="00A621E3">
      <w:pPr>
        <w:spacing w:line="319" w:lineRule="exact"/>
        <w:rPr>
          <w:sz w:val="20"/>
          <w:szCs w:val="20"/>
        </w:rPr>
      </w:pPr>
    </w:p>
    <w:p w:rsidR="00A621E3" w:rsidRDefault="00EC630E">
      <w:pPr>
        <w:tabs>
          <w:tab w:val="left" w:pos="5120"/>
        </w:tabs>
        <w:ind w:left="2480"/>
        <w:rPr>
          <w:sz w:val="20"/>
          <w:szCs w:val="20"/>
        </w:rPr>
      </w:pPr>
      <w:r>
        <w:rPr>
          <w:rFonts w:ascii="Arial" w:eastAsia="Arial" w:hAnsi="Arial" w:cs="Arial"/>
          <w:b/>
          <w:bCs/>
          <w:color w:val="4C4C4C"/>
          <w:sz w:val="14"/>
          <w:szCs w:val="14"/>
        </w:rPr>
        <w:t xml:space="preserve">YUM CHINA </w:t>
      </w:r>
      <w:r>
        <w:rPr>
          <w:rFonts w:ascii="Arial" w:eastAsia="Arial" w:hAnsi="Arial" w:cs="Arial"/>
          <w:i/>
          <w:iCs/>
          <w:color w:val="4C4C4C"/>
          <w:sz w:val="14"/>
          <w:szCs w:val="14"/>
        </w:rPr>
        <w:t>– 2023 Proxy Statement</w:t>
      </w:r>
      <w:r>
        <w:rPr>
          <w:sz w:val="20"/>
          <w:szCs w:val="20"/>
        </w:rPr>
        <w:tab/>
      </w:r>
      <w:r>
        <w:rPr>
          <w:rFonts w:ascii="Arial" w:eastAsia="Arial" w:hAnsi="Arial" w:cs="Arial"/>
          <w:color w:val="CF0A2C"/>
          <w:sz w:val="14"/>
          <w:szCs w:val="14"/>
        </w:rPr>
        <w:t>103</w:t>
      </w:r>
    </w:p>
    <w:p w:rsidR="00A621E3" w:rsidRDefault="00EC630E">
      <w:pPr>
        <w:spacing w:line="20" w:lineRule="exact"/>
        <w:rPr>
          <w:sz w:val="20"/>
          <w:szCs w:val="20"/>
        </w:rPr>
      </w:pPr>
      <w:r>
        <w:rPr>
          <w:noProof/>
          <w:sz w:val="20"/>
          <w:szCs w:val="20"/>
        </w:rPr>
        <w:drawing>
          <wp:anchor distT="0" distB="0" distL="114300" distR="114300" simplePos="0" relativeHeight="252084224" behindDoc="1" locked="0" layoutInCell="0" allowOverlap="1">
            <wp:simplePos x="0" y="0"/>
            <wp:positionH relativeFrom="column">
              <wp:posOffset>3149600</wp:posOffset>
            </wp:positionH>
            <wp:positionV relativeFrom="paragraph">
              <wp:posOffset>-93345</wp:posOffset>
            </wp:positionV>
            <wp:extent cx="8255" cy="102870"/>
            <wp:effectExtent l="0" t="0" r="0"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4">
                      <a:extLst/>
                    </a:blip>
                    <a:srcRect/>
                    <a:stretch>
                      <a:fillRect/>
                    </a:stretch>
                  </pic:blipFill>
                  <pic:spPr bwMode="auto">
                    <a:xfrm>
                      <a:off x="0" y="0"/>
                      <a:ext cx="8255" cy="102870"/>
                    </a:xfrm>
                    <a:prstGeom prst="rect">
                      <a:avLst/>
                    </a:prstGeom>
                    <a:noFill/>
                  </pic:spPr>
                </pic:pic>
              </a:graphicData>
            </a:graphic>
          </wp:anchor>
        </w:drawing>
      </w:r>
    </w:p>
    <w:p w:rsidR="00A621E3" w:rsidRDefault="00A621E3">
      <w:pPr>
        <w:sectPr w:rsidR="00A621E3">
          <w:pgSz w:w="11900" w:h="16838"/>
          <w:pgMar w:top="486" w:right="459" w:bottom="1440" w:left="320" w:header="0" w:footer="0" w:gutter="0"/>
          <w:cols w:num="2" w:space="720" w:equalWidth="0">
            <w:col w:w="5400" w:space="340"/>
            <w:col w:w="5380"/>
          </w:cols>
        </w:sectPr>
      </w:pPr>
    </w:p>
    <w:p w:rsidR="00A621E3" w:rsidRDefault="00EC630E">
      <w:pPr>
        <w:rPr>
          <w:sz w:val="20"/>
          <w:szCs w:val="20"/>
        </w:rPr>
      </w:pPr>
      <w:bookmarkStart w:id="109" w:name="page109"/>
      <w:bookmarkEnd w:id="109"/>
      <w:r>
        <w:rPr>
          <w:rFonts w:ascii="Arial" w:eastAsia="Arial" w:hAnsi="Arial" w:cs="Arial"/>
          <w:b/>
          <w:bCs/>
          <w:noProof/>
          <w:color w:val="0000EE"/>
          <w:sz w:val="16"/>
          <w:szCs w:val="16"/>
          <w:u w:val="single"/>
        </w:rPr>
        <w:drawing>
          <wp:anchor distT="0" distB="0" distL="114300" distR="114300" simplePos="0" relativeHeight="252085248"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6"/>
          <w:szCs w:val="16"/>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86272" behindDoc="1" locked="0" layoutInCell="0" allowOverlap="1">
            <wp:simplePos x="0" y="0"/>
            <wp:positionH relativeFrom="column">
              <wp:posOffset>390525</wp:posOffset>
            </wp:positionH>
            <wp:positionV relativeFrom="paragraph">
              <wp:posOffset>220345</wp:posOffset>
            </wp:positionV>
            <wp:extent cx="6360795" cy="8229600"/>
            <wp:effectExtent l="0" t="0" r="0"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60">
                      <a:extLst/>
                    </a:blip>
                    <a:srcRect/>
                    <a:stretch>
                      <a:fillRect/>
                    </a:stretch>
                  </pic:blipFill>
                  <pic:spPr bwMode="auto">
                    <a:xfrm>
                      <a:off x="0" y="0"/>
                      <a:ext cx="6360795" cy="8229600"/>
                    </a:xfrm>
                    <a:prstGeom prst="rect">
                      <a:avLst/>
                    </a:prstGeom>
                    <a:noFill/>
                  </pic:spPr>
                </pic:pic>
              </a:graphicData>
            </a:graphic>
          </wp:anchor>
        </w:drawing>
      </w:r>
    </w:p>
    <w:p w:rsidR="00A621E3" w:rsidRDefault="00A621E3">
      <w:pPr>
        <w:sectPr w:rsidR="00A621E3">
          <w:pgSz w:w="11900" w:h="16838"/>
          <w:pgMar w:top="486" w:right="1440" w:bottom="1440" w:left="320" w:header="0" w:footer="0" w:gutter="0"/>
          <w:cols w:space="720" w:equalWidth="0">
            <w:col w:w="10139"/>
          </w:cols>
        </w:sectPr>
      </w:pPr>
    </w:p>
    <w:p w:rsidR="00A621E3" w:rsidRDefault="00EC630E">
      <w:pPr>
        <w:rPr>
          <w:sz w:val="20"/>
          <w:szCs w:val="20"/>
        </w:rPr>
      </w:pPr>
      <w:bookmarkStart w:id="110" w:name="page110"/>
      <w:bookmarkEnd w:id="110"/>
      <w:r>
        <w:rPr>
          <w:rFonts w:ascii="Arial" w:eastAsia="Arial" w:hAnsi="Arial" w:cs="Arial"/>
          <w:b/>
          <w:bCs/>
          <w:noProof/>
          <w:color w:val="0000EE"/>
          <w:sz w:val="16"/>
          <w:szCs w:val="16"/>
          <w:u w:val="single"/>
        </w:rPr>
        <w:drawing>
          <wp:anchor distT="0" distB="0" distL="114300" distR="114300" simplePos="0" relativeHeight="252087296" behindDoc="1" locked="0" layoutInCell="0" allowOverlap="1">
            <wp:simplePos x="0" y="0"/>
            <wp:positionH relativeFrom="page">
              <wp:posOffset>195580</wp:posOffset>
            </wp:positionH>
            <wp:positionV relativeFrom="page">
              <wp:posOffset>88900</wp:posOffset>
            </wp:positionV>
            <wp:extent cx="7174865" cy="55245"/>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
                      <a:extLst/>
                    </a:blip>
                    <a:srcRect/>
                    <a:stretch>
                      <a:fillRect/>
                    </a:stretch>
                  </pic:blipFill>
                  <pic:spPr bwMode="auto">
                    <a:xfrm>
                      <a:off x="0" y="0"/>
                      <a:ext cx="7174865" cy="55245"/>
                    </a:xfrm>
                    <a:prstGeom prst="rect">
                      <a:avLst/>
                    </a:prstGeom>
                    <a:noFill/>
                  </pic:spPr>
                </pic:pic>
              </a:graphicData>
            </a:graphic>
          </wp:anchor>
        </w:drawing>
      </w:r>
      <w:r>
        <w:rPr>
          <w:rFonts w:ascii="Arial" w:eastAsia="Arial" w:hAnsi="Arial" w:cs="Arial"/>
          <w:b/>
          <w:bCs/>
          <w:color w:val="0000EE"/>
          <w:sz w:val="16"/>
          <w:szCs w:val="16"/>
          <w:u w:val="single"/>
        </w:rPr>
        <w:t>Table of Contents</w:t>
      </w:r>
    </w:p>
    <w:p w:rsidR="00A621E3" w:rsidRDefault="00EC630E">
      <w:pPr>
        <w:spacing w:line="20" w:lineRule="exact"/>
        <w:rPr>
          <w:sz w:val="20"/>
          <w:szCs w:val="20"/>
        </w:rPr>
      </w:pPr>
      <w:r>
        <w:rPr>
          <w:noProof/>
          <w:sz w:val="20"/>
          <w:szCs w:val="20"/>
        </w:rPr>
        <w:drawing>
          <wp:anchor distT="0" distB="0" distL="114300" distR="114300" simplePos="0" relativeHeight="252088320" behindDoc="1" locked="0" layoutInCell="0" allowOverlap="1">
            <wp:simplePos x="0" y="0"/>
            <wp:positionH relativeFrom="column">
              <wp:posOffset>73660</wp:posOffset>
            </wp:positionH>
            <wp:positionV relativeFrom="paragraph">
              <wp:posOffset>220345</wp:posOffset>
            </wp:positionV>
            <wp:extent cx="6360795" cy="8229600"/>
            <wp:effectExtent l="0" t="0" r="0"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61">
                      <a:extLst/>
                    </a:blip>
                    <a:srcRect/>
                    <a:stretch>
                      <a:fillRect/>
                    </a:stretch>
                  </pic:blipFill>
                  <pic:spPr bwMode="auto">
                    <a:xfrm>
                      <a:off x="0" y="0"/>
                      <a:ext cx="6360795" cy="8229600"/>
                    </a:xfrm>
                    <a:prstGeom prst="rect">
                      <a:avLst/>
                    </a:prstGeom>
                    <a:noFill/>
                  </pic:spPr>
                </pic:pic>
              </a:graphicData>
            </a:graphic>
          </wp:anchor>
        </w:drawing>
      </w:r>
    </w:p>
    <w:sectPr w:rsidR="00A621E3">
      <w:pgSz w:w="11900" w:h="16838"/>
      <w:pgMar w:top="486" w:right="1440" w:bottom="1440" w:left="320" w:header="0" w:footer="0" w:gutter="0"/>
      <w:cols w:space="720" w:equalWidth="0">
        <w:col w:w="1013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E373"/>
    <w:multiLevelType w:val="hybridMultilevel"/>
    <w:tmpl w:val="31BA395E"/>
    <w:lvl w:ilvl="0" w:tplc="1BB0B384">
      <w:start w:val="72"/>
      <w:numFmt w:val="decimal"/>
      <w:lvlText w:val="%1"/>
      <w:lvlJc w:val="left"/>
    </w:lvl>
    <w:lvl w:ilvl="1" w:tplc="7E343198">
      <w:numFmt w:val="decimal"/>
      <w:lvlText w:val=""/>
      <w:lvlJc w:val="left"/>
    </w:lvl>
    <w:lvl w:ilvl="2" w:tplc="ED40591C">
      <w:numFmt w:val="decimal"/>
      <w:lvlText w:val=""/>
      <w:lvlJc w:val="left"/>
    </w:lvl>
    <w:lvl w:ilvl="3" w:tplc="1224334E">
      <w:numFmt w:val="decimal"/>
      <w:lvlText w:val=""/>
      <w:lvlJc w:val="left"/>
    </w:lvl>
    <w:lvl w:ilvl="4" w:tplc="85101B78">
      <w:numFmt w:val="decimal"/>
      <w:lvlText w:val=""/>
      <w:lvlJc w:val="left"/>
    </w:lvl>
    <w:lvl w:ilvl="5" w:tplc="1FD21E02">
      <w:numFmt w:val="decimal"/>
      <w:lvlText w:val=""/>
      <w:lvlJc w:val="left"/>
    </w:lvl>
    <w:lvl w:ilvl="6" w:tplc="7B8878F8">
      <w:numFmt w:val="decimal"/>
      <w:lvlText w:val=""/>
      <w:lvlJc w:val="left"/>
    </w:lvl>
    <w:lvl w:ilvl="7" w:tplc="53DC8C6A">
      <w:numFmt w:val="decimal"/>
      <w:lvlText w:val=""/>
      <w:lvlJc w:val="left"/>
    </w:lvl>
    <w:lvl w:ilvl="8" w:tplc="2F321CA8">
      <w:numFmt w:val="decimal"/>
      <w:lvlText w:val=""/>
      <w:lvlJc w:val="left"/>
    </w:lvl>
  </w:abstractNum>
  <w:abstractNum w:abstractNumId="1">
    <w:nsid w:val="00885E1B"/>
    <w:multiLevelType w:val="hybridMultilevel"/>
    <w:tmpl w:val="2A3466A8"/>
    <w:lvl w:ilvl="0" w:tplc="91CEEEC0">
      <w:start w:val="24"/>
      <w:numFmt w:val="decimal"/>
      <w:lvlText w:val="%1"/>
      <w:lvlJc w:val="left"/>
    </w:lvl>
    <w:lvl w:ilvl="1" w:tplc="E4540872">
      <w:numFmt w:val="decimal"/>
      <w:lvlText w:val=""/>
      <w:lvlJc w:val="left"/>
    </w:lvl>
    <w:lvl w:ilvl="2" w:tplc="819EF0B4">
      <w:numFmt w:val="decimal"/>
      <w:lvlText w:val=""/>
      <w:lvlJc w:val="left"/>
    </w:lvl>
    <w:lvl w:ilvl="3" w:tplc="D2D0F890">
      <w:numFmt w:val="decimal"/>
      <w:lvlText w:val=""/>
      <w:lvlJc w:val="left"/>
    </w:lvl>
    <w:lvl w:ilvl="4" w:tplc="79426ECA">
      <w:numFmt w:val="decimal"/>
      <w:lvlText w:val=""/>
      <w:lvlJc w:val="left"/>
    </w:lvl>
    <w:lvl w:ilvl="5" w:tplc="9D0A08B8">
      <w:numFmt w:val="decimal"/>
      <w:lvlText w:val=""/>
      <w:lvlJc w:val="left"/>
    </w:lvl>
    <w:lvl w:ilvl="6" w:tplc="E2C6742E">
      <w:numFmt w:val="decimal"/>
      <w:lvlText w:val=""/>
      <w:lvlJc w:val="left"/>
    </w:lvl>
    <w:lvl w:ilvl="7" w:tplc="A934BD46">
      <w:numFmt w:val="decimal"/>
      <w:lvlText w:val=""/>
      <w:lvlJc w:val="left"/>
    </w:lvl>
    <w:lvl w:ilvl="8" w:tplc="D310A2F0">
      <w:numFmt w:val="decimal"/>
      <w:lvlText w:val=""/>
      <w:lvlJc w:val="left"/>
    </w:lvl>
  </w:abstractNum>
  <w:abstractNum w:abstractNumId="2">
    <w:nsid w:val="0488AC1A"/>
    <w:multiLevelType w:val="hybridMultilevel"/>
    <w:tmpl w:val="7F0423BE"/>
    <w:lvl w:ilvl="0" w:tplc="88A8F8BC">
      <w:start w:val="1"/>
      <w:numFmt w:val="bullet"/>
      <w:lvlText w:val="•"/>
      <w:lvlJc w:val="left"/>
    </w:lvl>
    <w:lvl w:ilvl="1" w:tplc="E8AE20F2">
      <w:numFmt w:val="decimal"/>
      <w:lvlText w:val=""/>
      <w:lvlJc w:val="left"/>
    </w:lvl>
    <w:lvl w:ilvl="2" w:tplc="522E2BD6">
      <w:numFmt w:val="decimal"/>
      <w:lvlText w:val=""/>
      <w:lvlJc w:val="left"/>
    </w:lvl>
    <w:lvl w:ilvl="3" w:tplc="0088A1FA">
      <w:numFmt w:val="decimal"/>
      <w:lvlText w:val=""/>
      <w:lvlJc w:val="left"/>
    </w:lvl>
    <w:lvl w:ilvl="4" w:tplc="A1302F0A">
      <w:numFmt w:val="decimal"/>
      <w:lvlText w:val=""/>
      <w:lvlJc w:val="left"/>
    </w:lvl>
    <w:lvl w:ilvl="5" w:tplc="11820568">
      <w:numFmt w:val="decimal"/>
      <w:lvlText w:val=""/>
      <w:lvlJc w:val="left"/>
    </w:lvl>
    <w:lvl w:ilvl="6" w:tplc="DD1E537A">
      <w:numFmt w:val="decimal"/>
      <w:lvlText w:val=""/>
      <w:lvlJc w:val="left"/>
    </w:lvl>
    <w:lvl w:ilvl="7" w:tplc="F676D3F8">
      <w:numFmt w:val="decimal"/>
      <w:lvlText w:val=""/>
      <w:lvlJc w:val="left"/>
    </w:lvl>
    <w:lvl w:ilvl="8" w:tplc="6EE01830">
      <w:numFmt w:val="decimal"/>
      <w:lvlText w:val=""/>
      <w:lvlJc w:val="left"/>
    </w:lvl>
  </w:abstractNum>
  <w:abstractNum w:abstractNumId="3">
    <w:nsid w:val="053B0A9E"/>
    <w:multiLevelType w:val="hybridMultilevel"/>
    <w:tmpl w:val="5010D5A2"/>
    <w:lvl w:ilvl="0" w:tplc="3C760ADE">
      <w:start w:val="1"/>
      <w:numFmt w:val="decimal"/>
      <w:lvlText w:val="(%1)"/>
      <w:lvlJc w:val="left"/>
    </w:lvl>
    <w:lvl w:ilvl="1" w:tplc="37A8A944">
      <w:numFmt w:val="decimal"/>
      <w:lvlText w:val=""/>
      <w:lvlJc w:val="left"/>
    </w:lvl>
    <w:lvl w:ilvl="2" w:tplc="2962E660">
      <w:numFmt w:val="decimal"/>
      <w:lvlText w:val=""/>
      <w:lvlJc w:val="left"/>
    </w:lvl>
    <w:lvl w:ilvl="3" w:tplc="91DE8654">
      <w:numFmt w:val="decimal"/>
      <w:lvlText w:val=""/>
      <w:lvlJc w:val="left"/>
    </w:lvl>
    <w:lvl w:ilvl="4" w:tplc="A4443662">
      <w:numFmt w:val="decimal"/>
      <w:lvlText w:val=""/>
      <w:lvlJc w:val="left"/>
    </w:lvl>
    <w:lvl w:ilvl="5" w:tplc="B3007EF6">
      <w:numFmt w:val="decimal"/>
      <w:lvlText w:val=""/>
      <w:lvlJc w:val="left"/>
    </w:lvl>
    <w:lvl w:ilvl="6" w:tplc="3F8C47D2">
      <w:numFmt w:val="decimal"/>
      <w:lvlText w:val=""/>
      <w:lvlJc w:val="left"/>
    </w:lvl>
    <w:lvl w:ilvl="7" w:tplc="B058C6D0">
      <w:numFmt w:val="decimal"/>
      <w:lvlText w:val=""/>
      <w:lvlJc w:val="left"/>
    </w:lvl>
    <w:lvl w:ilvl="8" w:tplc="B36E2E72">
      <w:numFmt w:val="decimal"/>
      <w:lvlText w:val=""/>
      <w:lvlJc w:val="left"/>
    </w:lvl>
  </w:abstractNum>
  <w:abstractNum w:abstractNumId="4">
    <w:nsid w:val="06A5EE64"/>
    <w:multiLevelType w:val="hybridMultilevel"/>
    <w:tmpl w:val="65C83BE4"/>
    <w:lvl w:ilvl="0" w:tplc="0714C6D8">
      <w:start w:val="1"/>
      <w:numFmt w:val="bullet"/>
      <w:lvlText w:val="•"/>
      <w:lvlJc w:val="left"/>
    </w:lvl>
    <w:lvl w:ilvl="1" w:tplc="DC089826">
      <w:numFmt w:val="decimal"/>
      <w:lvlText w:val=""/>
      <w:lvlJc w:val="left"/>
    </w:lvl>
    <w:lvl w:ilvl="2" w:tplc="6B18DB48">
      <w:numFmt w:val="decimal"/>
      <w:lvlText w:val=""/>
      <w:lvlJc w:val="left"/>
    </w:lvl>
    <w:lvl w:ilvl="3" w:tplc="0ADC1458">
      <w:numFmt w:val="decimal"/>
      <w:lvlText w:val=""/>
      <w:lvlJc w:val="left"/>
    </w:lvl>
    <w:lvl w:ilvl="4" w:tplc="EB9A20B2">
      <w:numFmt w:val="decimal"/>
      <w:lvlText w:val=""/>
      <w:lvlJc w:val="left"/>
    </w:lvl>
    <w:lvl w:ilvl="5" w:tplc="8E1650E0">
      <w:numFmt w:val="decimal"/>
      <w:lvlText w:val=""/>
      <w:lvlJc w:val="left"/>
    </w:lvl>
    <w:lvl w:ilvl="6" w:tplc="1A162A36">
      <w:numFmt w:val="decimal"/>
      <w:lvlText w:val=""/>
      <w:lvlJc w:val="left"/>
    </w:lvl>
    <w:lvl w:ilvl="7" w:tplc="CDCEE3FA">
      <w:numFmt w:val="decimal"/>
      <w:lvlText w:val=""/>
      <w:lvlJc w:val="left"/>
    </w:lvl>
    <w:lvl w:ilvl="8" w:tplc="7F682BC0">
      <w:numFmt w:val="decimal"/>
      <w:lvlText w:val=""/>
      <w:lvlJc w:val="left"/>
    </w:lvl>
  </w:abstractNum>
  <w:abstractNum w:abstractNumId="5">
    <w:nsid w:val="06B94764"/>
    <w:multiLevelType w:val="hybridMultilevel"/>
    <w:tmpl w:val="EA1A9442"/>
    <w:lvl w:ilvl="0" w:tplc="238AE24C">
      <w:start w:val="1"/>
      <w:numFmt w:val="bullet"/>
      <w:lvlText w:val="☐"/>
      <w:lvlJc w:val="left"/>
    </w:lvl>
    <w:lvl w:ilvl="1" w:tplc="355800B2">
      <w:numFmt w:val="decimal"/>
      <w:lvlText w:val=""/>
      <w:lvlJc w:val="left"/>
    </w:lvl>
    <w:lvl w:ilvl="2" w:tplc="01F8C076">
      <w:numFmt w:val="decimal"/>
      <w:lvlText w:val=""/>
      <w:lvlJc w:val="left"/>
    </w:lvl>
    <w:lvl w:ilvl="3" w:tplc="07DCDDB6">
      <w:numFmt w:val="decimal"/>
      <w:lvlText w:val=""/>
      <w:lvlJc w:val="left"/>
    </w:lvl>
    <w:lvl w:ilvl="4" w:tplc="4CFA71F4">
      <w:numFmt w:val="decimal"/>
      <w:lvlText w:val=""/>
      <w:lvlJc w:val="left"/>
    </w:lvl>
    <w:lvl w:ilvl="5" w:tplc="1C2C4B1A">
      <w:numFmt w:val="decimal"/>
      <w:lvlText w:val=""/>
      <w:lvlJc w:val="left"/>
    </w:lvl>
    <w:lvl w:ilvl="6" w:tplc="9138BF3C">
      <w:numFmt w:val="decimal"/>
      <w:lvlText w:val=""/>
      <w:lvlJc w:val="left"/>
    </w:lvl>
    <w:lvl w:ilvl="7" w:tplc="D292B452">
      <w:numFmt w:val="decimal"/>
      <w:lvlText w:val=""/>
      <w:lvlJc w:val="left"/>
    </w:lvl>
    <w:lvl w:ilvl="8" w:tplc="1AB29E3E">
      <w:numFmt w:val="decimal"/>
      <w:lvlText w:val=""/>
      <w:lvlJc w:val="left"/>
    </w:lvl>
  </w:abstractNum>
  <w:abstractNum w:abstractNumId="6">
    <w:nsid w:val="06EB5BD4"/>
    <w:multiLevelType w:val="hybridMultilevel"/>
    <w:tmpl w:val="E216EAE6"/>
    <w:lvl w:ilvl="0" w:tplc="F8BE2F04">
      <w:start w:val="20"/>
      <w:numFmt w:val="decimal"/>
      <w:lvlText w:val="%1"/>
      <w:lvlJc w:val="left"/>
    </w:lvl>
    <w:lvl w:ilvl="1" w:tplc="0FCEC608">
      <w:numFmt w:val="decimal"/>
      <w:lvlText w:val=""/>
      <w:lvlJc w:val="left"/>
    </w:lvl>
    <w:lvl w:ilvl="2" w:tplc="B6FC5A3C">
      <w:numFmt w:val="decimal"/>
      <w:lvlText w:val=""/>
      <w:lvlJc w:val="left"/>
    </w:lvl>
    <w:lvl w:ilvl="3" w:tplc="3392CAD2">
      <w:numFmt w:val="decimal"/>
      <w:lvlText w:val=""/>
      <w:lvlJc w:val="left"/>
    </w:lvl>
    <w:lvl w:ilvl="4" w:tplc="713A219A">
      <w:numFmt w:val="decimal"/>
      <w:lvlText w:val=""/>
      <w:lvlJc w:val="left"/>
    </w:lvl>
    <w:lvl w:ilvl="5" w:tplc="9DA662AE">
      <w:numFmt w:val="decimal"/>
      <w:lvlText w:val=""/>
      <w:lvlJc w:val="left"/>
    </w:lvl>
    <w:lvl w:ilvl="6" w:tplc="052CE676">
      <w:numFmt w:val="decimal"/>
      <w:lvlText w:val=""/>
      <w:lvlJc w:val="left"/>
    </w:lvl>
    <w:lvl w:ilvl="7" w:tplc="D632C3C4">
      <w:numFmt w:val="decimal"/>
      <w:lvlText w:val=""/>
      <w:lvlJc w:val="left"/>
    </w:lvl>
    <w:lvl w:ilvl="8" w:tplc="DF960EA0">
      <w:numFmt w:val="decimal"/>
      <w:lvlText w:val=""/>
      <w:lvlJc w:val="left"/>
    </w:lvl>
  </w:abstractNum>
  <w:abstractNum w:abstractNumId="7">
    <w:nsid w:val="08F2B15E"/>
    <w:multiLevelType w:val="hybridMultilevel"/>
    <w:tmpl w:val="E9AE355C"/>
    <w:lvl w:ilvl="0" w:tplc="76760228">
      <w:start w:val="877"/>
      <w:numFmt w:val="decimal"/>
      <w:lvlText w:val="(%1)"/>
      <w:lvlJc w:val="left"/>
    </w:lvl>
    <w:lvl w:ilvl="1" w:tplc="0ED66A5E">
      <w:numFmt w:val="decimal"/>
      <w:lvlText w:val=""/>
      <w:lvlJc w:val="left"/>
    </w:lvl>
    <w:lvl w:ilvl="2" w:tplc="1D246FF0">
      <w:numFmt w:val="decimal"/>
      <w:lvlText w:val=""/>
      <w:lvlJc w:val="left"/>
    </w:lvl>
    <w:lvl w:ilvl="3" w:tplc="D63C5C8E">
      <w:numFmt w:val="decimal"/>
      <w:lvlText w:val=""/>
      <w:lvlJc w:val="left"/>
    </w:lvl>
    <w:lvl w:ilvl="4" w:tplc="3E34C440">
      <w:numFmt w:val="decimal"/>
      <w:lvlText w:val=""/>
      <w:lvlJc w:val="left"/>
    </w:lvl>
    <w:lvl w:ilvl="5" w:tplc="47BC5D5C">
      <w:numFmt w:val="decimal"/>
      <w:lvlText w:val=""/>
      <w:lvlJc w:val="left"/>
    </w:lvl>
    <w:lvl w:ilvl="6" w:tplc="2BA6D1FE">
      <w:numFmt w:val="decimal"/>
      <w:lvlText w:val=""/>
      <w:lvlJc w:val="left"/>
    </w:lvl>
    <w:lvl w:ilvl="7" w:tplc="A99A0824">
      <w:numFmt w:val="decimal"/>
      <w:lvlText w:val=""/>
      <w:lvlJc w:val="left"/>
    </w:lvl>
    <w:lvl w:ilvl="8" w:tplc="C608B59E">
      <w:numFmt w:val="decimal"/>
      <w:lvlText w:val=""/>
      <w:lvlJc w:val="left"/>
    </w:lvl>
  </w:abstractNum>
  <w:abstractNum w:abstractNumId="8">
    <w:nsid w:val="094211F2"/>
    <w:multiLevelType w:val="hybridMultilevel"/>
    <w:tmpl w:val="F09C33F8"/>
    <w:lvl w:ilvl="0" w:tplc="1A742500">
      <w:start w:val="1"/>
      <w:numFmt w:val="bullet"/>
      <w:lvlText w:val="*"/>
      <w:lvlJc w:val="left"/>
    </w:lvl>
    <w:lvl w:ilvl="1" w:tplc="E110C450">
      <w:numFmt w:val="decimal"/>
      <w:lvlText w:val=""/>
      <w:lvlJc w:val="left"/>
    </w:lvl>
    <w:lvl w:ilvl="2" w:tplc="A394040E">
      <w:numFmt w:val="decimal"/>
      <w:lvlText w:val=""/>
      <w:lvlJc w:val="left"/>
    </w:lvl>
    <w:lvl w:ilvl="3" w:tplc="F31C3DE0">
      <w:numFmt w:val="decimal"/>
      <w:lvlText w:val=""/>
      <w:lvlJc w:val="left"/>
    </w:lvl>
    <w:lvl w:ilvl="4" w:tplc="0F2424DC">
      <w:numFmt w:val="decimal"/>
      <w:lvlText w:val=""/>
      <w:lvlJc w:val="left"/>
    </w:lvl>
    <w:lvl w:ilvl="5" w:tplc="942E447A">
      <w:numFmt w:val="decimal"/>
      <w:lvlText w:val=""/>
      <w:lvlJc w:val="left"/>
    </w:lvl>
    <w:lvl w:ilvl="6" w:tplc="7FD4872C">
      <w:numFmt w:val="decimal"/>
      <w:lvlText w:val=""/>
      <w:lvlJc w:val="left"/>
    </w:lvl>
    <w:lvl w:ilvl="7" w:tplc="2C8C721A">
      <w:numFmt w:val="decimal"/>
      <w:lvlText w:val=""/>
      <w:lvlJc w:val="left"/>
    </w:lvl>
    <w:lvl w:ilvl="8" w:tplc="D23840D8">
      <w:numFmt w:val="decimal"/>
      <w:lvlText w:val=""/>
      <w:lvlJc w:val="left"/>
    </w:lvl>
  </w:abstractNum>
  <w:abstractNum w:abstractNumId="9">
    <w:nsid w:val="097E1B4E"/>
    <w:multiLevelType w:val="hybridMultilevel"/>
    <w:tmpl w:val="E3CC8978"/>
    <w:lvl w:ilvl="0" w:tplc="638C5DFC">
      <w:start w:val="1"/>
      <w:numFmt w:val="bullet"/>
      <w:lvlText w:val="*"/>
      <w:lvlJc w:val="left"/>
    </w:lvl>
    <w:lvl w:ilvl="1" w:tplc="17662C86">
      <w:numFmt w:val="decimal"/>
      <w:lvlText w:val=""/>
      <w:lvlJc w:val="left"/>
    </w:lvl>
    <w:lvl w:ilvl="2" w:tplc="8CCC03A8">
      <w:numFmt w:val="decimal"/>
      <w:lvlText w:val=""/>
      <w:lvlJc w:val="left"/>
    </w:lvl>
    <w:lvl w:ilvl="3" w:tplc="A7D4041A">
      <w:numFmt w:val="decimal"/>
      <w:lvlText w:val=""/>
      <w:lvlJc w:val="left"/>
    </w:lvl>
    <w:lvl w:ilvl="4" w:tplc="AE6274B8">
      <w:numFmt w:val="decimal"/>
      <w:lvlText w:val=""/>
      <w:lvlJc w:val="left"/>
    </w:lvl>
    <w:lvl w:ilvl="5" w:tplc="25184F16">
      <w:numFmt w:val="decimal"/>
      <w:lvlText w:val=""/>
      <w:lvlJc w:val="left"/>
    </w:lvl>
    <w:lvl w:ilvl="6" w:tplc="5E9AA674">
      <w:numFmt w:val="decimal"/>
      <w:lvlText w:val=""/>
      <w:lvlJc w:val="left"/>
    </w:lvl>
    <w:lvl w:ilvl="7" w:tplc="2D44EAAA">
      <w:numFmt w:val="decimal"/>
      <w:lvlText w:val=""/>
      <w:lvlJc w:val="left"/>
    </w:lvl>
    <w:lvl w:ilvl="8" w:tplc="082E4E6E">
      <w:numFmt w:val="decimal"/>
      <w:lvlText w:val=""/>
      <w:lvlJc w:val="left"/>
    </w:lvl>
  </w:abstractNum>
  <w:abstractNum w:abstractNumId="10">
    <w:nsid w:val="098A3148"/>
    <w:multiLevelType w:val="hybridMultilevel"/>
    <w:tmpl w:val="A35C7E92"/>
    <w:lvl w:ilvl="0" w:tplc="0762A33C">
      <w:start w:val="1"/>
      <w:numFmt w:val="bullet"/>
      <w:lvlText w:val="☐"/>
      <w:lvlJc w:val="left"/>
    </w:lvl>
    <w:lvl w:ilvl="1" w:tplc="CC46472C">
      <w:numFmt w:val="decimal"/>
      <w:lvlText w:val=""/>
      <w:lvlJc w:val="left"/>
    </w:lvl>
    <w:lvl w:ilvl="2" w:tplc="EEAE2C40">
      <w:numFmt w:val="decimal"/>
      <w:lvlText w:val=""/>
      <w:lvlJc w:val="left"/>
    </w:lvl>
    <w:lvl w:ilvl="3" w:tplc="0EFACDE0">
      <w:numFmt w:val="decimal"/>
      <w:lvlText w:val=""/>
      <w:lvlJc w:val="left"/>
    </w:lvl>
    <w:lvl w:ilvl="4" w:tplc="CA4405A0">
      <w:numFmt w:val="decimal"/>
      <w:lvlText w:val=""/>
      <w:lvlJc w:val="left"/>
    </w:lvl>
    <w:lvl w:ilvl="5" w:tplc="0A12AA80">
      <w:numFmt w:val="decimal"/>
      <w:lvlText w:val=""/>
      <w:lvlJc w:val="left"/>
    </w:lvl>
    <w:lvl w:ilvl="6" w:tplc="78A4A4AA">
      <w:numFmt w:val="decimal"/>
      <w:lvlText w:val=""/>
      <w:lvlJc w:val="left"/>
    </w:lvl>
    <w:lvl w:ilvl="7" w:tplc="B2AE617A">
      <w:numFmt w:val="decimal"/>
      <w:lvlText w:val=""/>
      <w:lvlJc w:val="left"/>
    </w:lvl>
    <w:lvl w:ilvl="8" w:tplc="E30256D4">
      <w:numFmt w:val="decimal"/>
      <w:lvlText w:val=""/>
      <w:lvlJc w:val="left"/>
    </w:lvl>
  </w:abstractNum>
  <w:abstractNum w:abstractNumId="11">
    <w:nsid w:val="09DAF632"/>
    <w:multiLevelType w:val="hybridMultilevel"/>
    <w:tmpl w:val="E7B82F4C"/>
    <w:lvl w:ilvl="0" w:tplc="F5CA0ABE">
      <w:start w:val="3"/>
      <w:numFmt w:val="lowerRoman"/>
      <w:lvlText w:val="(%1)"/>
      <w:lvlJc w:val="left"/>
    </w:lvl>
    <w:lvl w:ilvl="1" w:tplc="9A30C878">
      <w:numFmt w:val="decimal"/>
      <w:lvlText w:val=""/>
      <w:lvlJc w:val="left"/>
    </w:lvl>
    <w:lvl w:ilvl="2" w:tplc="5524CCFC">
      <w:numFmt w:val="decimal"/>
      <w:lvlText w:val=""/>
      <w:lvlJc w:val="left"/>
    </w:lvl>
    <w:lvl w:ilvl="3" w:tplc="6980E070">
      <w:numFmt w:val="decimal"/>
      <w:lvlText w:val=""/>
      <w:lvlJc w:val="left"/>
    </w:lvl>
    <w:lvl w:ilvl="4" w:tplc="AF76E9E4">
      <w:numFmt w:val="decimal"/>
      <w:lvlText w:val=""/>
      <w:lvlJc w:val="left"/>
    </w:lvl>
    <w:lvl w:ilvl="5" w:tplc="8640C904">
      <w:numFmt w:val="decimal"/>
      <w:lvlText w:val=""/>
      <w:lvlJc w:val="left"/>
    </w:lvl>
    <w:lvl w:ilvl="6" w:tplc="5C28E8F8">
      <w:numFmt w:val="decimal"/>
      <w:lvlText w:val=""/>
      <w:lvlJc w:val="left"/>
    </w:lvl>
    <w:lvl w:ilvl="7" w:tplc="F5AA0782">
      <w:numFmt w:val="decimal"/>
      <w:lvlText w:val=""/>
      <w:lvlJc w:val="left"/>
    </w:lvl>
    <w:lvl w:ilvl="8" w:tplc="67FC93FA">
      <w:numFmt w:val="decimal"/>
      <w:lvlText w:val=""/>
      <w:lvlJc w:val="left"/>
    </w:lvl>
  </w:abstractNum>
  <w:abstractNum w:abstractNumId="12">
    <w:nsid w:val="0A0382C5"/>
    <w:multiLevelType w:val="hybridMultilevel"/>
    <w:tmpl w:val="FFCA78B4"/>
    <w:lvl w:ilvl="0" w:tplc="290AB77C">
      <w:start w:val="1"/>
      <w:numFmt w:val="bullet"/>
      <w:lvlText w:val="8"/>
      <w:lvlJc w:val="left"/>
    </w:lvl>
    <w:lvl w:ilvl="1" w:tplc="B4802F9A">
      <w:numFmt w:val="decimal"/>
      <w:lvlText w:val=""/>
      <w:lvlJc w:val="left"/>
    </w:lvl>
    <w:lvl w:ilvl="2" w:tplc="8BFEF7F6">
      <w:numFmt w:val="decimal"/>
      <w:lvlText w:val=""/>
      <w:lvlJc w:val="left"/>
    </w:lvl>
    <w:lvl w:ilvl="3" w:tplc="52563F88">
      <w:numFmt w:val="decimal"/>
      <w:lvlText w:val=""/>
      <w:lvlJc w:val="left"/>
    </w:lvl>
    <w:lvl w:ilvl="4" w:tplc="C47C5B82">
      <w:numFmt w:val="decimal"/>
      <w:lvlText w:val=""/>
      <w:lvlJc w:val="left"/>
    </w:lvl>
    <w:lvl w:ilvl="5" w:tplc="F6D4C610">
      <w:numFmt w:val="decimal"/>
      <w:lvlText w:val=""/>
      <w:lvlJc w:val="left"/>
    </w:lvl>
    <w:lvl w:ilvl="6" w:tplc="D624C416">
      <w:numFmt w:val="decimal"/>
      <w:lvlText w:val=""/>
      <w:lvlJc w:val="left"/>
    </w:lvl>
    <w:lvl w:ilvl="7" w:tplc="3654AA94">
      <w:numFmt w:val="decimal"/>
      <w:lvlText w:val=""/>
      <w:lvlJc w:val="left"/>
    </w:lvl>
    <w:lvl w:ilvl="8" w:tplc="80EA1138">
      <w:numFmt w:val="decimal"/>
      <w:lvlText w:val=""/>
      <w:lvlJc w:val="left"/>
    </w:lvl>
  </w:abstractNum>
  <w:abstractNum w:abstractNumId="13">
    <w:nsid w:val="0B37E80A"/>
    <w:multiLevelType w:val="hybridMultilevel"/>
    <w:tmpl w:val="460EE924"/>
    <w:lvl w:ilvl="0" w:tplc="A4ACC2A4">
      <w:start w:val="1"/>
      <w:numFmt w:val="bullet"/>
      <w:lvlText w:val="•"/>
      <w:lvlJc w:val="left"/>
    </w:lvl>
    <w:lvl w:ilvl="1" w:tplc="ADDA1BEA">
      <w:numFmt w:val="decimal"/>
      <w:lvlText w:val=""/>
      <w:lvlJc w:val="left"/>
    </w:lvl>
    <w:lvl w:ilvl="2" w:tplc="2A7A1448">
      <w:numFmt w:val="decimal"/>
      <w:lvlText w:val=""/>
      <w:lvlJc w:val="left"/>
    </w:lvl>
    <w:lvl w:ilvl="3" w:tplc="8BB8A1D0">
      <w:numFmt w:val="decimal"/>
      <w:lvlText w:val=""/>
      <w:lvlJc w:val="left"/>
    </w:lvl>
    <w:lvl w:ilvl="4" w:tplc="549414D6">
      <w:numFmt w:val="decimal"/>
      <w:lvlText w:val=""/>
      <w:lvlJc w:val="left"/>
    </w:lvl>
    <w:lvl w:ilvl="5" w:tplc="B46AE5CA">
      <w:numFmt w:val="decimal"/>
      <w:lvlText w:val=""/>
      <w:lvlJc w:val="left"/>
    </w:lvl>
    <w:lvl w:ilvl="6" w:tplc="0E88DA2C">
      <w:numFmt w:val="decimal"/>
      <w:lvlText w:val=""/>
      <w:lvlJc w:val="left"/>
    </w:lvl>
    <w:lvl w:ilvl="7" w:tplc="5F5A7F06">
      <w:numFmt w:val="decimal"/>
      <w:lvlText w:val=""/>
      <w:lvlJc w:val="left"/>
    </w:lvl>
    <w:lvl w:ilvl="8" w:tplc="7CFA0366">
      <w:numFmt w:val="decimal"/>
      <w:lvlText w:val=""/>
      <w:lvlJc w:val="left"/>
    </w:lvl>
  </w:abstractNum>
  <w:abstractNum w:abstractNumId="14">
    <w:nsid w:val="0BF72B14"/>
    <w:multiLevelType w:val="hybridMultilevel"/>
    <w:tmpl w:val="E054BA42"/>
    <w:lvl w:ilvl="0" w:tplc="14766032">
      <w:start w:val="1"/>
      <w:numFmt w:val="bullet"/>
      <w:lvlText w:val="•"/>
      <w:lvlJc w:val="left"/>
    </w:lvl>
    <w:lvl w:ilvl="1" w:tplc="C210810E">
      <w:numFmt w:val="decimal"/>
      <w:lvlText w:val=""/>
      <w:lvlJc w:val="left"/>
    </w:lvl>
    <w:lvl w:ilvl="2" w:tplc="98F80A92">
      <w:numFmt w:val="decimal"/>
      <w:lvlText w:val=""/>
      <w:lvlJc w:val="left"/>
    </w:lvl>
    <w:lvl w:ilvl="3" w:tplc="083E997C">
      <w:numFmt w:val="decimal"/>
      <w:lvlText w:val=""/>
      <w:lvlJc w:val="left"/>
    </w:lvl>
    <w:lvl w:ilvl="4" w:tplc="C4BA9E18">
      <w:numFmt w:val="decimal"/>
      <w:lvlText w:val=""/>
      <w:lvlJc w:val="left"/>
    </w:lvl>
    <w:lvl w:ilvl="5" w:tplc="A7E448D4">
      <w:numFmt w:val="decimal"/>
      <w:lvlText w:val=""/>
      <w:lvlJc w:val="left"/>
    </w:lvl>
    <w:lvl w:ilvl="6" w:tplc="7444ECE8">
      <w:numFmt w:val="decimal"/>
      <w:lvlText w:val=""/>
      <w:lvlJc w:val="left"/>
    </w:lvl>
    <w:lvl w:ilvl="7" w:tplc="15B64520">
      <w:numFmt w:val="decimal"/>
      <w:lvlText w:val=""/>
      <w:lvlJc w:val="left"/>
    </w:lvl>
    <w:lvl w:ilvl="8" w:tplc="42541F72">
      <w:numFmt w:val="decimal"/>
      <w:lvlText w:val=""/>
      <w:lvlJc w:val="left"/>
    </w:lvl>
  </w:abstractNum>
  <w:abstractNum w:abstractNumId="15">
    <w:nsid w:val="0BFFAE18"/>
    <w:multiLevelType w:val="hybridMultilevel"/>
    <w:tmpl w:val="6C70952A"/>
    <w:lvl w:ilvl="0" w:tplc="DCE4B50C">
      <w:start w:val="94"/>
      <w:numFmt w:val="decimal"/>
      <w:lvlText w:val="%1"/>
      <w:lvlJc w:val="left"/>
    </w:lvl>
    <w:lvl w:ilvl="1" w:tplc="3F422C2E">
      <w:numFmt w:val="decimal"/>
      <w:lvlText w:val=""/>
      <w:lvlJc w:val="left"/>
    </w:lvl>
    <w:lvl w:ilvl="2" w:tplc="37EA65F8">
      <w:numFmt w:val="decimal"/>
      <w:lvlText w:val=""/>
      <w:lvlJc w:val="left"/>
    </w:lvl>
    <w:lvl w:ilvl="3" w:tplc="38A0C43C">
      <w:numFmt w:val="decimal"/>
      <w:lvlText w:val=""/>
      <w:lvlJc w:val="left"/>
    </w:lvl>
    <w:lvl w:ilvl="4" w:tplc="E7960E50">
      <w:numFmt w:val="decimal"/>
      <w:lvlText w:val=""/>
      <w:lvlJc w:val="left"/>
    </w:lvl>
    <w:lvl w:ilvl="5" w:tplc="78525DD6">
      <w:numFmt w:val="decimal"/>
      <w:lvlText w:val=""/>
      <w:lvlJc w:val="left"/>
    </w:lvl>
    <w:lvl w:ilvl="6" w:tplc="58506814">
      <w:numFmt w:val="decimal"/>
      <w:lvlText w:val=""/>
      <w:lvlJc w:val="left"/>
    </w:lvl>
    <w:lvl w:ilvl="7" w:tplc="2A6E11E0">
      <w:numFmt w:val="decimal"/>
      <w:lvlText w:val=""/>
      <w:lvlJc w:val="left"/>
    </w:lvl>
    <w:lvl w:ilvl="8" w:tplc="399C87F4">
      <w:numFmt w:val="decimal"/>
      <w:lvlText w:val=""/>
      <w:lvlJc w:val="left"/>
    </w:lvl>
  </w:abstractNum>
  <w:abstractNum w:abstractNumId="16">
    <w:nsid w:val="0CC1016F"/>
    <w:multiLevelType w:val="hybridMultilevel"/>
    <w:tmpl w:val="F7725BFE"/>
    <w:lvl w:ilvl="0" w:tplc="A6D2729A">
      <w:start w:val="1"/>
      <w:numFmt w:val="decimal"/>
      <w:lvlText w:val="(%1)"/>
      <w:lvlJc w:val="left"/>
    </w:lvl>
    <w:lvl w:ilvl="1" w:tplc="D6C026F0">
      <w:numFmt w:val="decimal"/>
      <w:lvlText w:val=""/>
      <w:lvlJc w:val="left"/>
    </w:lvl>
    <w:lvl w:ilvl="2" w:tplc="4AE49932">
      <w:numFmt w:val="decimal"/>
      <w:lvlText w:val=""/>
      <w:lvlJc w:val="left"/>
    </w:lvl>
    <w:lvl w:ilvl="3" w:tplc="966EA7DC">
      <w:numFmt w:val="decimal"/>
      <w:lvlText w:val=""/>
      <w:lvlJc w:val="left"/>
    </w:lvl>
    <w:lvl w:ilvl="4" w:tplc="4D0885C0">
      <w:numFmt w:val="decimal"/>
      <w:lvlText w:val=""/>
      <w:lvlJc w:val="left"/>
    </w:lvl>
    <w:lvl w:ilvl="5" w:tplc="C040EA6C">
      <w:numFmt w:val="decimal"/>
      <w:lvlText w:val=""/>
      <w:lvlJc w:val="left"/>
    </w:lvl>
    <w:lvl w:ilvl="6" w:tplc="E17CF7FA">
      <w:numFmt w:val="decimal"/>
      <w:lvlText w:val=""/>
      <w:lvlJc w:val="left"/>
    </w:lvl>
    <w:lvl w:ilvl="7" w:tplc="E750AC1E">
      <w:numFmt w:val="decimal"/>
      <w:lvlText w:val=""/>
      <w:lvlJc w:val="left"/>
    </w:lvl>
    <w:lvl w:ilvl="8" w:tplc="7174E4C8">
      <w:numFmt w:val="decimal"/>
      <w:lvlText w:val=""/>
      <w:lvlJc w:val="left"/>
    </w:lvl>
  </w:abstractNum>
  <w:abstractNum w:abstractNumId="17">
    <w:nsid w:val="0E3E47A8"/>
    <w:multiLevelType w:val="hybridMultilevel"/>
    <w:tmpl w:val="2BFE3AF6"/>
    <w:lvl w:ilvl="0" w:tplc="716252B4">
      <w:start w:val="3"/>
      <w:numFmt w:val="decimal"/>
      <w:lvlText w:val="(%1)"/>
      <w:lvlJc w:val="left"/>
    </w:lvl>
    <w:lvl w:ilvl="1" w:tplc="2FB6C7CE">
      <w:numFmt w:val="decimal"/>
      <w:lvlText w:val=""/>
      <w:lvlJc w:val="left"/>
    </w:lvl>
    <w:lvl w:ilvl="2" w:tplc="CDD26B0A">
      <w:numFmt w:val="decimal"/>
      <w:lvlText w:val=""/>
      <w:lvlJc w:val="left"/>
    </w:lvl>
    <w:lvl w:ilvl="3" w:tplc="F216B860">
      <w:numFmt w:val="decimal"/>
      <w:lvlText w:val=""/>
      <w:lvlJc w:val="left"/>
    </w:lvl>
    <w:lvl w:ilvl="4" w:tplc="BC102F56">
      <w:numFmt w:val="decimal"/>
      <w:lvlText w:val=""/>
      <w:lvlJc w:val="left"/>
    </w:lvl>
    <w:lvl w:ilvl="5" w:tplc="76621230">
      <w:numFmt w:val="decimal"/>
      <w:lvlText w:val=""/>
      <w:lvlJc w:val="left"/>
    </w:lvl>
    <w:lvl w:ilvl="6" w:tplc="31F4C8A8">
      <w:numFmt w:val="decimal"/>
      <w:lvlText w:val=""/>
      <w:lvlJc w:val="left"/>
    </w:lvl>
    <w:lvl w:ilvl="7" w:tplc="85301E40">
      <w:numFmt w:val="decimal"/>
      <w:lvlText w:val=""/>
      <w:lvlJc w:val="left"/>
    </w:lvl>
    <w:lvl w:ilvl="8" w:tplc="F48C5E24">
      <w:numFmt w:val="decimal"/>
      <w:lvlText w:val=""/>
      <w:lvlJc w:val="left"/>
    </w:lvl>
  </w:abstractNum>
  <w:abstractNum w:abstractNumId="18">
    <w:nsid w:val="0E7FFA2B"/>
    <w:multiLevelType w:val="hybridMultilevel"/>
    <w:tmpl w:val="EDBAC030"/>
    <w:lvl w:ilvl="0" w:tplc="72E4FD24">
      <w:start w:val="1"/>
      <w:numFmt w:val="bullet"/>
      <w:lvlText w:val="•"/>
      <w:lvlJc w:val="left"/>
    </w:lvl>
    <w:lvl w:ilvl="1" w:tplc="E4B8F0E2">
      <w:numFmt w:val="decimal"/>
      <w:lvlText w:val=""/>
      <w:lvlJc w:val="left"/>
    </w:lvl>
    <w:lvl w:ilvl="2" w:tplc="ABD23BBE">
      <w:numFmt w:val="decimal"/>
      <w:lvlText w:val=""/>
      <w:lvlJc w:val="left"/>
    </w:lvl>
    <w:lvl w:ilvl="3" w:tplc="6B364EDA">
      <w:numFmt w:val="decimal"/>
      <w:lvlText w:val=""/>
      <w:lvlJc w:val="left"/>
    </w:lvl>
    <w:lvl w:ilvl="4" w:tplc="502AEBDE">
      <w:numFmt w:val="decimal"/>
      <w:lvlText w:val=""/>
      <w:lvlJc w:val="left"/>
    </w:lvl>
    <w:lvl w:ilvl="5" w:tplc="41FCB270">
      <w:numFmt w:val="decimal"/>
      <w:lvlText w:val=""/>
      <w:lvlJc w:val="left"/>
    </w:lvl>
    <w:lvl w:ilvl="6" w:tplc="FFB6A8B2">
      <w:numFmt w:val="decimal"/>
      <w:lvlText w:val=""/>
      <w:lvlJc w:val="left"/>
    </w:lvl>
    <w:lvl w:ilvl="7" w:tplc="48762CDE">
      <w:numFmt w:val="decimal"/>
      <w:lvlText w:val=""/>
      <w:lvlJc w:val="left"/>
    </w:lvl>
    <w:lvl w:ilvl="8" w:tplc="B2D8A9BE">
      <w:numFmt w:val="decimal"/>
      <w:lvlText w:val=""/>
      <w:lvlJc w:val="left"/>
    </w:lvl>
  </w:abstractNum>
  <w:abstractNum w:abstractNumId="19">
    <w:nsid w:val="100F59DC"/>
    <w:multiLevelType w:val="hybridMultilevel"/>
    <w:tmpl w:val="B43283BC"/>
    <w:lvl w:ilvl="0" w:tplc="39B2BE1C">
      <w:start w:val="16"/>
      <w:numFmt w:val="decimal"/>
      <w:lvlText w:val="%1"/>
      <w:lvlJc w:val="left"/>
    </w:lvl>
    <w:lvl w:ilvl="1" w:tplc="BF7EEC14">
      <w:numFmt w:val="decimal"/>
      <w:lvlText w:val=""/>
      <w:lvlJc w:val="left"/>
    </w:lvl>
    <w:lvl w:ilvl="2" w:tplc="6D909EA0">
      <w:numFmt w:val="decimal"/>
      <w:lvlText w:val=""/>
      <w:lvlJc w:val="left"/>
    </w:lvl>
    <w:lvl w:ilvl="3" w:tplc="DA02030A">
      <w:numFmt w:val="decimal"/>
      <w:lvlText w:val=""/>
      <w:lvlJc w:val="left"/>
    </w:lvl>
    <w:lvl w:ilvl="4" w:tplc="18EA48C6">
      <w:numFmt w:val="decimal"/>
      <w:lvlText w:val=""/>
      <w:lvlJc w:val="left"/>
    </w:lvl>
    <w:lvl w:ilvl="5" w:tplc="6BDEB3A8">
      <w:numFmt w:val="decimal"/>
      <w:lvlText w:val=""/>
      <w:lvlJc w:val="left"/>
    </w:lvl>
    <w:lvl w:ilvl="6" w:tplc="DE3C34C0">
      <w:numFmt w:val="decimal"/>
      <w:lvlText w:val=""/>
      <w:lvlJc w:val="left"/>
    </w:lvl>
    <w:lvl w:ilvl="7" w:tplc="27044092">
      <w:numFmt w:val="decimal"/>
      <w:lvlText w:val=""/>
      <w:lvlJc w:val="left"/>
    </w:lvl>
    <w:lvl w:ilvl="8" w:tplc="9FBED0D4">
      <w:numFmt w:val="decimal"/>
      <w:lvlText w:val=""/>
      <w:lvlJc w:val="left"/>
    </w:lvl>
  </w:abstractNum>
  <w:abstractNum w:abstractNumId="20">
    <w:nsid w:val="11447B73"/>
    <w:multiLevelType w:val="hybridMultilevel"/>
    <w:tmpl w:val="C80E6A64"/>
    <w:lvl w:ilvl="0" w:tplc="D63C7DEE">
      <w:start w:val="1"/>
      <w:numFmt w:val="bullet"/>
      <w:lvlText w:val="•"/>
      <w:lvlJc w:val="left"/>
    </w:lvl>
    <w:lvl w:ilvl="1" w:tplc="A614D34A">
      <w:numFmt w:val="decimal"/>
      <w:lvlText w:val=""/>
      <w:lvlJc w:val="left"/>
    </w:lvl>
    <w:lvl w:ilvl="2" w:tplc="59E4F07A">
      <w:numFmt w:val="decimal"/>
      <w:lvlText w:val=""/>
      <w:lvlJc w:val="left"/>
    </w:lvl>
    <w:lvl w:ilvl="3" w:tplc="412A5DDE">
      <w:numFmt w:val="decimal"/>
      <w:lvlText w:val=""/>
      <w:lvlJc w:val="left"/>
    </w:lvl>
    <w:lvl w:ilvl="4" w:tplc="956832B2">
      <w:numFmt w:val="decimal"/>
      <w:lvlText w:val=""/>
      <w:lvlJc w:val="left"/>
    </w:lvl>
    <w:lvl w:ilvl="5" w:tplc="24E02E0C">
      <w:numFmt w:val="decimal"/>
      <w:lvlText w:val=""/>
      <w:lvlJc w:val="left"/>
    </w:lvl>
    <w:lvl w:ilvl="6" w:tplc="DBA840E2">
      <w:numFmt w:val="decimal"/>
      <w:lvlText w:val=""/>
      <w:lvlJc w:val="left"/>
    </w:lvl>
    <w:lvl w:ilvl="7" w:tplc="A928CCF8">
      <w:numFmt w:val="decimal"/>
      <w:lvlText w:val=""/>
      <w:lvlJc w:val="left"/>
    </w:lvl>
    <w:lvl w:ilvl="8" w:tplc="EE1A10E8">
      <w:numFmt w:val="decimal"/>
      <w:lvlText w:val=""/>
      <w:lvlJc w:val="left"/>
    </w:lvl>
  </w:abstractNum>
  <w:abstractNum w:abstractNumId="21">
    <w:nsid w:val="14330624"/>
    <w:multiLevelType w:val="hybridMultilevel"/>
    <w:tmpl w:val="C802A6E8"/>
    <w:lvl w:ilvl="0" w:tplc="B7220BB8">
      <w:start w:val="1"/>
      <w:numFmt w:val="bullet"/>
      <w:lvlText w:val="•"/>
      <w:lvlJc w:val="left"/>
    </w:lvl>
    <w:lvl w:ilvl="1" w:tplc="178A7366">
      <w:numFmt w:val="decimal"/>
      <w:lvlText w:val=""/>
      <w:lvlJc w:val="left"/>
    </w:lvl>
    <w:lvl w:ilvl="2" w:tplc="AF90BEE8">
      <w:numFmt w:val="decimal"/>
      <w:lvlText w:val=""/>
      <w:lvlJc w:val="left"/>
    </w:lvl>
    <w:lvl w:ilvl="3" w:tplc="6D0006A2">
      <w:numFmt w:val="decimal"/>
      <w:lvlText w:val=""/>
      <w:lvlJc w:val="left"/>
    </w:lvl>
    <w:lvl w:ilvl="4" w:tplc="E2A095D8">
      <w:numFmt w:val="decimal"/>
      <w:lvlText w:val=""/>
      <w:lvlJc w:val="left"/>
    </w:lvl>
    <w:lvl w:ilvl="5" w:tplc="098228A4">
      <w:numFmt w:val="decimal"/>
      <w:lvlText w:val=""/>
      <w:lvlJc w:val="left"/>
    </w:lvl>
    <w:lvl w:ilvl="6" w:tplc="6F64DE62">
      <w:numFmt w:val="decimal"/>
      <w:lvlText w:val=""/>
      <w:lvlJc w:val="left"/>
    </w:lvl>
    <w:lvl w:ilvl="7" w:tplc="F738BFCE">
      <w:numFmt w:val="decimal"/>
      <w:lvlText w:val=""/>
      <w:lvlJc w:val="left"/>
    </w:lvl>
    <w:lvl w:ilvl="8" w:tplc="F09AD5FC">
      <w:numFmt w:val="decimal"/>
      <w:lvlText w:val=""/>
      <w:lvlJc w:val="left"/>
    </w:lvl>
  </w:abstractNum>
  <w:abstractNum w:abstractNumId="22">
    <w:nsid w:val="14E17E33"/>
    <w:multiLevelType w:val="hybridMultilevel"/>
    <w:tmpl w:val="124671F2"/>
    <w:lvl w:ilvl="0" w:tplc="BDC22F3E">
      <w:start w:val="1"/>
      <w:numFmt w:val="bullet"/>
      <w:lvlText w:val="•"/>
      <w:lvlJc w:val="left"/>
    </w:lvl>
    <w:lvl w:ilvl="1" w:tplc="B456EE2E">
      <w:numFmt w:val="decimal"/>
      <w:lvlText w:val=""/>
      <w:lvlJc w:val="left"/>
    </w:lvl>
    <w:lvl w:ilvl="2" w:tplc="F7005BA2">
      <w:numFmt w:val="decimal"/>
      <w:lvlText w:val=""/>
      <w:lvlJc w:val="left"/>
    </w:lvl>
    <w:lvl w:ilvl="3" w:tplc="D4AA2B2C">
      <w:numFmt w:val="decimal"/>
      <w:lvlText w:val=""/>
      <w:lvlJc w:val="left"/>
    </w:lvl>
    <w:lvl w:ilvl="4" w:tplc="AD8EADEA">
      <w:numFmt w:val="decimal"/>
      <w:lvlText w:val=""/>
      <w:lvlJc w:val="left"/>
    </w:lvl>
    <w:lvl w:ilvl="5" w:tplc="7F0681A2">
      <w:numFmt w:val="decimal"/>
      <w:lvlText w:val=""/>
      <w:lvlJc w:val="left"/>
    </w:lvl>
    <w:lvl w:ilvl="6" w:tplc="BA143664">
      <w:numFmt w:val="decimal"/>
      <w:lvlText w:val=""/>
      <w:lvlJc w:val="left"/>
    </w:lvl>
    <w:lvl w:ilvl="7" w:tplc="F4668798">
      <w:numFmt w:val="decimal"/>
      <w:lvlText w:val=""/>
      <w:lvlJc w:val="left"/>
    </w:lvl>
    <w:lvl w:ilvl="8" w:tplc="37F63662">
      <w:numFmt w:val="decimal"/>
      <w:lvlText w:val=""/>
      <w:lvlJc w:val="left"/>
    </w:lvl>
  </w:abstractNum>
  <w:abstractNum w:abstractNumId="23">
    <w:nsid w:val="14FCE74E"/>
    <w:multiLevelType w:val="hybridMultilevel"/>
    <w:tmpl w:val="4372D7D2"/>
    <w:lvl w:ilvl="0" w:tplc="518E0DE0">
      <w:start w:val="1"/>
      <w:numFmt w:val="bullet"/>
      <w:lvlText w:val="X"/>
      <w:lvlJc w:val="left"/>
    </w:lvl>
    <w:lvl w:ilvl="1" w:tplc="C94AA5C0">
      <w:numFmt w:val="decimal"/>
      <w:lvlText w:val=""/>
      <w:lvlJc w:val="left"/>
    </w:lvl>
    <w:lvl w:ilvl="2" w:tplc="3F7CCB76">
      <w:numFmt w:val="decimal"/>
      <w:lvlText w:val=""/>
      <w:lvlJc w:val="left"/>
    </w:lvl>
    <w:lvl w:ilvl="3" w:tplc="153285B2">
      <w:numFmt w:val="decimal"/>
      <w:lvlText w:val=""/>
      <w:lvlJc w:val="left"/>
    </w:lvl>
    <w:lvl w:ilvl="4" w:tplc="710092E8">
      <w:numFmt w:val="decimal"/>
      <w:lvlText w:val=""/>
      <w:lvlJc w:val="left"/>
    </w:lvl>
    <w:lvl w:ilvl="5" w:tplc="6B46F2E2">
      <w:numFmt w:val="decimal"/>
      <w:lvlText w:val=""/>
      <w:lvlJc w:val="left"/>
    </w:lvl>
    <w:lvl w:ilvl="6" w:tplc="818AF78E">
      <w:numFmt w:val="decimal"/>
      <w:lvlText w:val=""/>
      <w:lvlJc w:val="left"/>
    </w:lvl>
    <w:lvl w:ilvl="7" w:tplc="89E49472">
      <w:numFmt w:val="decimal"/>
      <w:lvlText w:val=""/>
      <w:lvlJc w:val="left"/>
    </w:lvl>
    <w:lvl w:ilvl="8" w:tplc="6FF2F46E">
      <w:numFmt w:val="decimal"/>
      <w:lvlText w:val=""/>
      <w:lvlJc w:val="left"/>
    </w:lvl>
  </w:abstractNum>
  <w:abstractNum w:abstractNumId="24">
    <w:nsid w:val="15014ACB"/>
    <w:multiLevelType w:val="hybridMultilevel"/>
    <w:tmpl w:val="C7FC9846"/>
    <w:lvl w:ilvl="0" w:tplc="633C5A2A">
      <w:start w:val="1"/>
      <w:numFmt w:val="bullet"/>
      <w:lvlText w:val="☐"/>
      <w:lvlJc w:val="left"/>
    </w:lvl>
    <w:lvl w:ilvl="1" w:tplc="9148E520">
      <w:numFmt w:val="decimal"/>
      <w:lvlText w:val=""/>
      <w:lvlJc w:val="left"/>
    </w:lvl>
    <w:lvl w:ilvl="2" w:tplc="AACE4F4E">
      <w:numFmt w:val="decimal"/>
      <w:lvlText w:val=""/>
      <w:lvlJc w:val="left"/>
    </w:lvl>
    <w:lvl w:ilvl="3" w:tplc="F7F4D458">
      <w:numFmt w:val="decimal"/>
      <w:lvlText w:val=""/>
      <w:lvlJc w:val="left"/>
    </w:lvl>
    <w:lvl w:ilvl="4" w:tplc="CCE6250E">
      <w:numFmt w:val="decimal"/>
      <w:lvlText w:val=""/>
      <w:lvlJc w:val="left"/>
    </w:lvl>
    <w:lvl w:ilvl="5" w:tplc="0A4C5A82">
      <w:numFmt w:val="decimal"/>
      <w:lvlText w:val=""/>
      <w:lvlJc w:val="left"/>
    </w:lvl>
    <w:lvl w:ilvl="6" w:tplc="B9E402A2">
      <w:numFmt w:val="decimal"/>
      <w:lvlText w:val=""/>
      <w:lvlJc w:val="left"/>
    </w:lvl>
    <w:lvl w:ilvl="7" w:tplc="7B2E1304">
      <w:numFmt w:val="decimal"/>
      <w:lvlText w:val=""/>
      <w:lvlJc w:val="left"/>
    </w:lvl>
    <w:lvl w:ilvl="8" w:tplc="D152E7F6">
      <w:numFmt w:val="decimal"/>
      <w:lvlText w:val=""/>
      <w:lvlJc w:val="left"/>
    </w:lvl>
  </w:abstractNum>
  <w:abstractNum w:abstractNumId="25">
    <w:nsid w:val="168E121F"/>
    <w:multiLevelType w:val="hybridMultilevel"/>
    <w:tmpl w:val="7BA83F52"/>
    <w:lvl w:ilvl="0" w:tplc="83E6A1BC">
      <w:start w:val="1"/>
      <w:numFmt w:val="bullet"/>
      <w:lvlText w:val="2"/>
      <w:lvlJc w:val="left"/>
    </w:lvl>
    <w:lvl w:ilvl="1" w:tplc="442E223E">
      <w:numFmt w:val="decimal"/>
      <w:lvlText w:val=""/>
      <w:lvlJc w:val="left"/>
    </w:lvl>
    <w:lvl w:ilvl="2" w:tplc="EF727DAC">
      <w:numFmt w:val="decimal"/>
      <w:lvlText w:val=""/>
      <w:lvlJc w:val="left"/>
    </w:lvl>
    <w:lvl w:ilvl="3" w:tplc="CAD2809C">
      <w:numFmt w:val="decimal"/>
      <w:lvlText w:val=""/>
      <w:lvlJc w:val="left"/>
    </w:lvl>
    <w:lvl w:ilvl="4" w:tplc="5B22973E">
      <w:numFmt w:val="decimal"/>
      <w:lvlText w:val=""/>
      <w:lvlJc w:val="left"/>
    </w:lvl>
    <w:lvl w:ilvl="5" w:tplc="9D1E36FE">
      <w:numFmt w:val="decimal"/>
      <w:lvlText w:val=""/>
      <w:lvlJc w:val="left"/>
    </w:lvl>
    <w:lvl w:ilvl="6" w:tplc="141E198E">
      <w:numFmt w:val="decimal"/>
      <w:lvlText w:val=""/>
      <w:lvlJc w:val="left"/>
    </w:lvl>
    <w:lvl w:ilvl="7" w:tplc="D1D43C1E">
      <w:numFmt w:val="decimal"/>
      <w:lvlText w:val=""/>
      <w:lvlJc w:val="left"/>
    </w:lvl>
    <w:lvl w:ilvl="8" w:tplc="A5C0271E">
      <w:numFmt w:val="decimal"/>
      <w:lvlText w:val=""/>
      <w:lvlJc w:val="left"/>
    </w:lvl>
  </w:abstractNum>
  <w:abstractNum w:abstractNumId="26">
    <w:nsid w:val="1716703B"/>
    <w:multiLevelType w:val="hybridMultilevel"/>
    <w:tmpl w:val="7C705BA2"/>
    <w:lvl w:ilvl="0" w:tplc="D73477B4">
      <w:start w:val="30"/>
      <w:numFmt w:val="decimal"/>
      <w:lvlText w:val="%1"/>
      <w:lvlJc w:val="left"/>
    </w:lvl>
    <w:lvl w:ilvl="1" w:tplc="A502E40E">
      <w:numFmt w:val="decimal"/>
      <w:lvlText w:val=""/>
      <w:lvlJc w:val="left"/>
    </w:lvl>
    <w:lvl w:ilvl="2" w:tplc="B3A8E234">
      <w:numFmt w:val="decimal"/>
      <w:lvlText w:val=""/>
      <w:lvlJc w:val="left"/>
    </w:lvl>
    <w:lvl w:ilvl="3" w:tplc="6C0EC236">
      <w:numFmt w:val="decimal"/>
      <w:lvlText w:val=""/>
      <w:lvlJc w:val="left"/>
    </w:lvl>
    <w:lvl w:ilvl="4" w:tplc="06D45018">
      <w:numFmt w:val="decimal"/>
      <w:lvlText w:val=""/>
      <w:lvlJc w:val="left"/>
    </w:lvl>
    <w:lvl w:ilvl="5" w:tplc="4050A740">
      <w:numFmt w:val="decimal"/>
      <w:lvlText w:val=""/>
      <w:lvlJc w:val="left"/>
    </w:lvl>
    <w:lvl w:ilvl="6" w:tplc="F4AACF06">
      <w:numFmt w:val="decimal"/>
      <w:lvlText w:val=""/>
      <w:lvlJc w:val="left"/>
    </w:lvl>
    <w:lvl w:ilvl="7" w:tplc="BCF48BF0">
      <w:numFmt w:val="decimal"/>
      <w:lvlText w:val=""/>
      <w:lvlJc w:val="left"/>
    </w:lvl>
    <w:lvl w:ilvl="8" w:tplc="DB68AC64">
      <w:numFmt w:val="decimal"/>
      <w:lvlText w:val=""/>
      <w:lvlJc w:val="left"/>
    </w:lvl>
  </w:abstractNum>
  <w:abstractNum w:abstractNumId="27">
    <w:nsid w:val="175DFCF0"/>
    <w:multiLevelType w:val="hybridMultilevel"/>
    <w:tmpl w:val="7D9AF1CC"/>
    <w:lvl w:ilvl="0" w:tplc="CBA86F26">
      <w:start w:val="80"/>
      <w:numFmt w:val="decimal"/>
      <w:lvlText w:val="%1"/>
      <w:lvlJc w:val="left"/>
    </w:lvl>
    <w:lvl w:ilvl="1" w:tplc="830AA34A">
      <w:numFmt w:val="decimal"/>
      <w:lvlText w:val=""/>
      <w:lvlJc w:val="left"/>
    </w:lvl>
    <w:lvl w:ilvl="2" w:tplc="DE32A962">
      <w:numFmt w:val="decimal"/>
      <w:lvlText w:val=""/>
      <w:lvlJc w:val="left"/>
    </w:lvl>
    <w:lvl w:ilvl="3" w:tplc="A22AA762">
      <w:numFmt w:val="decimal"/>
      <w:lvlText w:val=""/>
      <w:lvlJc w:val="left"/>
    </w:lvl>
    <w:lvl w:ilvl="4" w:tplc="FAF4F3D0">
      <w:numFmt w:val="decimal"/>
      <w:lvlText w:val=""/>
      <w:lvlJc w:val="left"/>
    </w:lvl>
    <w:lvl w:ilvl="5" w:tplc="310C1B98">
      <w:numFmt w:val="decimal"/>
      <w:lvlText w:val=""/>
      <w:lvlJc w:val="left"/>
    </w:lvl>
    <w:lvl w:ilvl="6" w:tplc="020A9C3A">
      <w:numFmt w:val="decimal"/>
      <w:lvlText w:val=""/>
      <w:lvlJc w:val="left"/>
    </w:lvl>
    <w:lvl w:ilvl="7" w:tplc="F65E2414">
      <w:numFmt w:val="decimal"/>
      <w:lvlText w:val=""/>
      <w:lvlJc w:val="left"/>
    </w:lvl>
    <w:lvl w:ilvl="8" w:tplc="62A4C370">
      <w:numFmt w:val="decimal"/>
      <w:lvlText w:val=""/>
      <w:lvlJc w:val="left"/>
    </w:lvl>
  </w:abstractNum>
  <w:abstractNum w:abstractNumId="28">
    <w:nsid w:val="17A1B582"/>
    <w:multiLevelType w:val="hybridMultilevel"/>
    <w:tmpl w:val="560A1E42"/>
    <w:lvl w:ilvl="0" w:tplc="53D6A93A">
      <w:start w:val="1"/>
      <w:numFmt w:val="bullet"/>
      <w:lvlText w:val="•"/>
      <w:lvlJc w:val="left"/>
    </w:lvl>
    <w:lvl w:ilvl="1" w:tplc="CB066328">
      <w:numFmt w:val="decimal"/>
      <w:lvlText w:val=""/>
      <w:lvlJc w:val="left"/>
    </w:lvl>
    <w:lvl w:ilvl="2" w:tplc="7DBC354A">
      <w:numFmt w:val="decimal"/>
      <w:lvlText w:val=""/>
      <w:lvlJc w:val="left"/>
    </w:lvl>
    <w:lvl w:ilvl="3" w:tplc="DA6294A4">
      <w:numFmt w:val="decimal"/>
      <w:lvlText w:val=""/>
      <w:lvlJc w:val="left"/>
    </w:lvl>
    <w:lvl w:ilvl="4" w:tplc="F0F23AE0">
      <w:numFmt w:val="decimal"/>
      <w:lvlText w:val=""/>
      <w:lvlJc w:val="left"/>
    </w:lvl>
    <w:lvl w:ilvl="5" w:tplc="F4E8220A">
      <w:numFmt w:val="decimal"/>
      <w:lvlText w:val=""/>
      <w:lvlJc w:val="left"/>
    </w:lvl>
    <w:lvl w:ilvl="6" w:tplc="4406FD78">
      <w:numFmt w:val="decimal"/>
      <w:lvlText w:val=""/>
      <w:lvlJc w:val="left"/>
    </w:lvl>
    <w:lvl w:ilvl="7" w:tplc="6826F03A">
      <w:numFmt w:val="decimal"/>
      <w:lvlText w:val=""/>
      <w:lvlJc w:val="left"/>
    </w:lvl>
    <w:lvl w:ilvl="8" w:tplc="A8D20092">
      <w:numFmt w:val="decimal"/>
      <w:lvlText w:val=""/>
      <w:lvlJc w:val="left"/>
    </w:lvl>
  </w:abstractNum>
  <w:abstractNum w:abstractNumId="29">
    <w:nsid w:val="19E21BB2"/>
    <w:multiLevelType w:val="hybridMultilevel"/>
    <w:tmpl w:val="08CCCDBC"/>
    <w:lvl w:ilvl="0" w:tplc="1A56DACA">
      <w:start w:val="1"/>
      <w:numFmt w:val="decimal"/>
      <w:lvlText w:val="(%1)"/>
      <w:lvlJc w:val="left"/>
    </w:lvl>
    <w:lvl w:ilvl="1" w:tplc="3076ACCE">
      <w:numFmt w:val="decimal"/>
      <w:lvlText w:val=""/>
      <w:lvlJc w:val="left"/>
    </w:lvl>
    <w:lvl w:ilvl="2" w:tplc="09D208BC">
      <w:numFmt w:val="decimal"/>
      <w:lvlText w:val=""/>
      <w:lvlJc w:val="left"/>
    </w:lvl>
    <w:lvl w:ilvl="3" w:tplc="5860AE10">
      <w:numFmt w:val="decimal"/>
      <w:lvlText w:val=""/>
      <w:lvlJc w:val="left"/>
    </w:lvl>
    <w:lvl w:ilvl="4" w:tplc="33F23CA0">
      <w:numFmt w:val="decimal"/>
      <w:lvlText w:val=""/>
      <w:lvlJc w:val="left"/>
    </w:lvl>
    <w:lvl w:ilvl="5" w:tplc="17AA3CD4">
      <w:numFmt w:val="decimal"/>
      <w:lvlText w:val=""/>
      <w:lvlJc w:val="left"/>
    </w:lvl>
    <w:lvl w:ilvl="6" w:tplc="E732F96A">
      <w:numFmt w:val="decimal"/>
      <w:lvlText w:val=""/>
      <w:lvlJc w:val="left"/>
    </w:lvl>
    <w:lvl w:ilvl="7" w:tplc="DC180E42">
      <w:numFmt w:val="decimal"/>
      <w:lvlText w:val=""/>
      <w:lvlJc w:val="left"/>
    </w:lvl>
    <w:lvl w:ilvl="8" w:tplc="4DC86646">
      <w:numFmt w:val="decimal"/>
      <w:lvlText w:val=""/>
      <w:lvlJc w:val="left"/>
    </w:lvl>
  </w:abstractNum>
  <w:abstractNum w:abstractNumId="30">
    <w:nsid w:val="1A27709E"/>
    <w:multiLevelType w:val="hybridMultilevel"/>
    <w:tmpl w:val="8BBAF75A"/>
    <w:lvl w:ilvl="0" w:tplc="DB587988">
      <w:start w:val="1"/>
      <w:numFmt w:val="bullet"/>
      <w:lvlText w:val="•"/>
      <w:lvlJc w:val="left"/>
    </w:lvl>
    <w:lvl w:ilvl="1" w:tplc="B11AA518">
      <w:numFmt w:val="decimal"/>
      <w:lvlText w:val=""/>
      <w:lvlJc w:val="left"/>
    </w:lvl>
    <w:lvl w:ilvl="2" w:tplc="2E306D6C">
      <w:numFmt w:val="decimal"/>
      <w:lvlText w:val=""/>
      <w:lvlJc w:val="left"/>
    </w:lvl>
    <w:lvl w:ilvl="3" w:tplc="58DC44A8">
      <w:numFmt w:val="decimal"/>
      <w:lvlText w:val=""/>
      <w:lvlJc w:val="left"/>
    </w:lvl>
    <w:lvl w:ilvl="4" w:tplc="68E810AE">
      <w:numFmt w:val="decimal"/>
      <w:lvlText w:val=""/>
      <w:lvlJc w:val="left"/>
    </w:lvl>
    <w:lvl w:ilvl="5" w:tplc="5B2C1CDA">
      <w:numFmt w:val="decimal"/>
      <w:lvlText w:val=""/>
      <w:lvlJc w:val="left"/>
    </w:lvl>
    <w:lvl w:ilvl="6" w:tplc="49BC384A">
      <w:numFmt w:val="decimal"/>
      <w:lvlText w:val=""/>
      <w:lvlJc w:val="left"/>
    </w:lvl>
    <w:lvl w:ilvl="7" w:tplc="F130467A">
      <w:numFmt w:val="decimal"/>
      <w:lvlText w:val=""/>
      <w:lvlJc w:val="left"/>
    </w:lvl>
    <w:lvl w:ilvl="8" w:tplc="1F267FE4">
      <w:numFmt w:val="decimal"/>
      <w:lvlText w:val=""/>
      <w:lvlJc w:val="left"/>
    </w:lvl>
  </w:abstractNum>
  <w:abstractNum w:abstractNumId="31">
    <w:nsid w:val="1A32234B"/>
    <w:multiLevelType w:val="hybridMultilevel"/>
    <w:tmpl w:val="22825FB6"/>
    <w:lvl w:ilvl="0" w:tplc="1CD8DB1C">
      <w:start w:val="10"/>
      <w:numFmt w:val="decimal"/>
      <w:lvlText w:val="%1"/>
      <w:lvlJc w:val="left"/>
    </w:lvl>
    <w:lvl w:ilvl="1" w:tplc="472CF7C6">
      <w:numFmt w:val="decimal"/>
      <w:lvlText w:val=""/>
      <w:lvlJc w:val="left"/>
    </w:lvl>
    <w:lvl w:ilvl="2" w:tplc="0E7E40D8">
      <w:numFmt w:val="decimal"/>
      <w:lvlText w:val=""/>
      <w:lvlJc w:val="left"/>
    </w:lvl>
    <w:lvl w:ilvl="3" w:tplc="F5A42312">
      <w:numFmt w:val="decimal"/>
      <w:lvlText w:val=""/>
      <w:lvlJc w:val="left"/>
    </w:lvl>
    <w:lvl w:ilvl="4" w:tplc="F4E22DEC">
      <w:numFmt w:val="decimal"/>
      <w:lvlText w:val=""/>
      <w:lvlJc w:val="left"/>
    </w:lvl>
    <w:lvl w:ilvl="5" w:tplc="3054702E">
      <w:numFmt w:val="decimal"/>
      <w:lvlText w:val=""/>
      <w:lvlJc w:val="left"/>
    </w:lvl>
    <w:lvl w:ilvl="6" w:tplc="F7400864">
      <w:numFmt w:val="decimal"/>
      <w:lvlText w:val=""/>
      <w:lvlJc w:val="left"/>
    </w:lvl>
    <w:lvl w:ilvl="7" w:tplc="68C4A174">
      <w:numFmt w:val="decimal"/>
      <w:lvlText w:val=""/>
      <w:lvlJc w:val="left"/>
    </w:lvl>
    <w:lvl w:ilvl="8" w:tplc="63DA2DA0">
      <w:numFmt w:val="decimal"/>
      <w:lvlText w:val=""/>
      <w:lvlJc w:val="left"/>
    </w:lvl>
  </w:abstractNum>
  <w:abstractNum w:abstractNumId="32">
    <w:nsid w:val="1CA0C5FA"/>
    <w:multiLevelType w:val="hybridMultilevel"/>
    <w:tmpl w:val="EC68F904"/>
    <w:lvl w:ilvl="0" w:tplc="C05ACE16">
      <w:start w:val="1"/>
      <w:numFmt w:val="bullet"/>
      <w:lvlText w:val="•"/>
      <w:lvlJc w:val="left"/>
    </w:lvl>
    <w:lvl w:ilvl="1" w:tplc="C6623D4E">
      <w:numFmt w:val="decimal"/>
      <w:lvlText w:val=""/>
      <w:lvlJc w:val="left"/>
    </w:lvl>
    <w:lvl w:ilvl="2" w:tplc="34C018FC">
      <w:numFmt w:val="decimal"/>
      <w:lvlText w:val=""/>
      <w:lvlJc w:val="left"/>
    </w:lvl>
    <w:lvl w:ilvl="3" w:tplc="F2C41474">
      <w:numFmt w:val="decimal"/>
      <w:lvlText w:val=""/>
      <w:lvlJc w:val="left"/>
    </w:lvl>
    <w:lvl w:ilvl="4" w:tplc="12D82AB6">
      <w:numFmt w:val="decimal"/>
      <w:lvlText w:val=""/>
      <w:lvlJc w:val="left"/>
    </w:lvl>
    <w:lvl w:ilvl="5" w:tplc="ECE47C24">
      <w:numFmt w:val="decimal"/>
      <w:lvlText w:val=""/>
      <w:lvlJc w:val="left"/>
    </w:lvl>
    <w:lvl w:ilvl="6" w:tplc="10AA8C2C">
      <w:numFmt w:val="decimal"/>
      <w:lvlText w:val=""/>
      <w:lvlJc w:val="left"/>
    </w:lvl>
    <w:lvl w:ilvl="7" w:tplc="19183610">
      <w:numFmt w:val="decimal"/>
      <w:lvlText w:val=""/>
      <w:lvlJc w:val="left"/>
    </w:lvl>
    <w:lvl w:ilvl="8" w:tplc="546869E6">
      <w:numFmt w:val="decimal"/>
      <w:lvlText w:val=""/>
      <w:lvlJc w:val="left"/>
    </w:lvl>
  </w:abstractNum>
  <w:abstractNum w:abstractNumId="33">
    <w:nsid w:val="1D545C4D"/>
    <w:multiLevelType w:val="hybridMultilevel"/>
    <w:tmpl w:val="FAC601E6"/>
    <w:lvl w:ilvl="0" w:tplc="4F8C2C48">
      <w:start w:val="58"/>
      <w:numFmt w:val="decimal"/>
      <w:lvlText w:val="%1"/>
      <w:lvlJc w:val="left"/>
    </w:lvl>
    <w:lvl w:ilvl="1" w:tplc="55308194">
      <w:numFmt w:val="decimal"/>
      <w:lvlText w:val=""/>
      <w:lvlJc w:val="left"/>
    </w:lvl>
    <w:lvl w:ilvl="2" w:tplc="AB4E5EBE">
      <w:numFmt w:val="decimal"/>
      <w:lvlText w:val=""/>
      <w:lvlJc w:val="left"/>
    </w:lvl>
    <w:lvl w:ilvl="3" w:tplc="1E7E0FE6">
      <w:numFmt w:val="decimal"/>
      <w:lvlText w:val=""/>
      <w:lvlJc w:val="left"/>
    </w:lvl>
    <w:lvl w:ilvl="4" w:tplc="51661410">
      <w:numFmt w:val="decimal"/>
      <w:lvlText w:val=""/>
      <w:lvlJc w:val="left"/>
    </w:lvl>
    <w:lvl w:ilvl="5" w:tplc="F1946096">
      <w:numFmt w:val="decimal"/>
      <w:lvlText w:val=""/>
      <w:lvlJc w:val="left"/>
    </w:lvl>
    <w:lvl w:ilvl="6" w:tplc="FA02E550">
      <w:numFmt w:val="decimal"/>
      <w:lvlText w:val=""/>
      <w:lvlJc w:val="left"/>
    </w:lvl>
    <w:lvl w:ilvl="7" w:tplc="B178ED50">
      <w:numFmt w:val="decimal"/>
      <w:lvlText w:val=""/>
      <w:lvlJc w:val="left"/>
    </w:lvl>
    <w:lvl w:ilvl="8" w:tplc="B7A4AA82">
      <w:numFmt w:val="decimal"/>
      <w:lvlText w:val=""/>
      <w:lvlJc w:val="left"/>
    </w:lvl>
  </w:abstractNum>
  <w:abstractNum w:abstractNumId="34">
    <w:nsid w:val="1D9F6E5F"/>
    <w:multiLevelType w:val="hybridMultilevel"/>
    <w:tmpl w:val="C90A1A36"/>
    <w:lvl w:ilvl="0" w:tplc="EF8A0F54">
      <w:start w:val="1"/>
      <w:numFmt w:val="decimal"/>
      <w:lvlText w:val="(%1)"/>
      <w:lvlJc w:val="left"/>
    </w:lvl>
    <w:lvl w:ilvl="1" w:tplc="614652F0">
      <w:numFmt w:val="decimal"/>
      <w:lvlText w:val=""/>
      <w:lvlJc w:val="left"/>
    </w:lvl>
    <w:lvl w:ilvl="2" w:tplc="48B4A5B0">
      <w:numFmt w:val="decimal"/>
      <w:lvlText w:val=""/>
      <w:lvlJc w:val="left"/>
    </w:lvl>
    <w:lvl w:ilvl="3" w:tplc="E76E1674">
      <w:numFmt w:val="decimal"/>
      <w:lvlText w:val=""/>
      <w:lvlJc w:val="left"/>
    </w:lvl>
    <w:lvl w:ilvl="4" w:tplc="AD66A128">
      <w:numFmt w:val="decimal"/>
      <w:lvlText w:val=""/>
      <w:lvlJc w:val="left"/>
    </w:lvl>
    <w:lvl w:ilvl="5" w:tplc="2DF4323A">
      <w:numFmt w:val="decimal"/>
      <w:lvlText w:val=""/>
      <w:lvlJc w:val="left"/>
    </w:lvl>
    <w:lvl w:ilvl="6" w:tplc="459CD60C">
      <w:numFmt w:val="decimal"/>
      <w:lvlText w:val=""/>
      <w:lvlJc w:val="left"/>
    </w:lvl>
    <w:lvl w:ilvl="7" w:tplc="42345ACE">
      <w:numFmt w:val="decimal"/>
      <w:lvlText w:val=""/>
      <w:lvlJc w:val="left"/>
    </w:lvl>
    <w:lvl w:ilvl="8" w:tplc="F53C9216">
      <w:numFmt w:val="decimal"/>
      <w:lvlText w:val=""/>
      <w:lvlJc w:val="left"/>
    </w:lvl>
  </w:abstractNum>
  <w:abstractNum w:abstractNumId="35">
    <w:nsid w:val="1DF029D3"/>
    <w:multiLevelType w:val="hybridMultilevel"/>
    <w:tmpl w:val="72780834"/>
    <w:lvl w:ilvl="0" w:tplc="03A8904E">
      <w:start w:val="1"/>
      <w:numFmt w:val="decimal"/>
      <w:lvlText w:val="(%1)"/>
      <w:lvlJc w:val="left"/>
    </w:lvl>
    <w:lvl w:ilvl="1" w:tplc="8660857C">
      <w:numFmt w:val="decimal"/>
      <w:lvlText w:val=""/>
      <w:lvlJc w:val="left"/>
    </w:lvl>
    <w:lvl w:ilvl="2" w:tplc="88802B7C">
      <w:numFmt w:val="decimal"/>
      <w:lvlText w:val=""/>
      <w:lvlJc w:val="left"/>
    </w:lvl>
    <w:lvl w:ilvl="3" w:tplc="B8BA4484">
      <w:numFmt w:val="decimal"/>
      <w:lvlText w:val=""/>
      <w:lvlJc w:val="left"/>
    </w:lvl>
    <w:lvl w:ilvl="4" w:tplc="E98AF884">
      <w:numFmt w:val="decimal"/>
      <w:lvlText w:val=""/>
      <w:lvlJc w:val="left"/>
    </w:lvl>
    <w:lvl w:ilvl="5" w:tplc="ACDAB506">
      <w:numFmt w:val="decimal"/>
      <w:lvlText w:val=""/>
      <w:lvlJc w:val="left"/>
    </w:lvl>
    <w:lvl w:ilvl="6" w:tplc="2850F2AA">
      <w:numFmt w:val="decimal"/>
      <w:lvlText w:val=""/>
      <w:lvlJc w:val="left"/>
    </w:lvl>
    <w:lvl w:ilvl="7" w:tplc="0F42A058">
      <w:numFmt w:val="decimal"/>
      <w:lvlText w:val=""/>
      <w:lvlJc w:val="left"/>
    </w:lvl>
    <w:lvl w:ilvl="8" w:tplc="D488EB8A">
      <w:numFmt w:val="decimal"/>
      <w:lvlText w:val=""/>
      <w:lvlJc w:val="left"/>
    </w:lvl>
  </w:abstractNum>
  <w:abstractNum w:abstractNumId="36">
    <w:nsid w:val="1EBA5D23"/>
    <w:multiLevelType w:val="hybridMultilevel"/>
    <w:tmpl w:val="F0E2AE72"/>
    <w:lvl w:ilvl="0" w:tplc="D5AA7366">
      <w:start w:val="1"/>
      <w:numFmt w:val="bullet"/>
      <w:lvlText w:val="*"/>
      <w:lvlJc w:val="left"/>
    </w:lvl>
    <w:lvl w:ilvl="1" w:tplc="A24228D4">
      <w:numFmt w:val="decimal"/>
      <w:lvlText w:val=""/>
      <w:lvlJc w:val="left"/>
    </w:lvl>
    <w:lvl w:ilvl="2" w:tplc="B650AA98">
      <w:numFmt w:val="decimal"/>
      <w:lvlText w:val=""/>
      <w:lvlJc w:val="left"/>
    </w:lvl>
    <w:lvl w:ilvl="3" w:tplc="04A6D40A">
      <w:numFmt w:val="decimal"/>
      <w:lvlText w:val=""/>
      <w:lvlJc w:val="left"/>
    </w:lvl>
    <w:lvl w:ilvl="4" w:tplc="04743686">
      <w:numFmt w:val="decimal"/>
      <w:lvlText w:val=""/>
      <w:lvlJc w:val="left"/>
    </w:lvl>
    <w:lvl w:ilvl="5" w:tplc="15748796">
      <w:numFmt w:val="decimal"/>
      <w:lvlText w:val=""/>
      <w:lvlJc w:val="left"/>
    </w:lvl>
    <w:lvl w:ilvl="6" w:tplc="FACE6FDC">
      <w:numFmt w:val="decimal"/>
      <w:lvlText w:val=""/>
      <w:lvlJc w:val="left"/>
    </w:lvl>
    <w:lvl w:ilvl="7" w:tplc="A7BA3968">
      <w:numFmt w:val="decimal"/>
      <w:lvlText w:val=""/>
      <w:lvlJc w:val="left"/>
    </w:lvl>
    <w:lvl w:ilvl="8" w:tplc="BF7C6B5C">
      <w:numFmt w:val="decimal"/>
      <w:lvlText w:val=""/>
      <w:lvlJc w:val="left"/>
    </w:lvl>
  </w:abstractNum>
  <w:abstractNum w:abstractNumId="37">
    <w:nsid w:val="1FBFE8E0"/>
    <w:multiLevelType w:val="hybridMultilevel"/>
    <w:tmpl w:val="1C4AB5CE"/>
    <w:lvl w:ilvl="0" w:tplc="1E5AEDF8">
      <w:start w:val="1"/>
      <w:numFmt w:val="bullet"/>
      <w:lvlText w:val="*"/>
      <w:lvlJc w:val="left"/>
    </w:lvl>
    <w:lvl w:ilvl="1" w:tplc="CB5E8EB0">
      <w:numFmt w:val="decimal"/>
      <w:lvlText w:val=""/>
      <w:lvlJc w:val="left"/>
    </w:lvl>
    <w:lvl w:ilvl="2" w:tplc="79B2356A">
      <w:numFmt w:val="decimal"/>
      <w:lvlText w:val=""/>
      <w:lvlJc w:val="left"/>
    </w:lvl>
    <w:lvl w:ilvl="3" w:tplc="6BD8BC32">
      <w:numFmt w:val="decimal"/>
      <w:lvlText w:val=""/>
      <w:lvlJc w:val="left"/>
    </w:lvl>
    <w:lvl w:ilvl="4" w:tplc="6A34ECA4">
      <w:numFmt w:val="decimal"/>
      <w:lvlText w:val=""/>
      <w:lvlJc w:val="left"/>
    </w:lvl>
    <w:lvl w:ilvl="5" w:tplc="EE5E2B98">
      <w:numFmt w:val="decimal"/>
      <w:lvlText w:val=""/>
      <w:lvlJc w:val="left"/>
    </w:lvl>
    <w:lvl w:ilvl="6" w:tplc="B1DCDF56">
      <w:numFmt w:val="decimal"/>
      <w:lvlText w:val=""/>
      <w:lvlJc w:val="left"/>
    </w:lvl>
    <w:lvl w:ilvl="7" w:tplc="A5705930">
      <w:numFmt w:val="decimal"/>
      <w:lvlText w:val=""/>
      <w:lvlJc w:val="left"/>
    </w:lvl>
    <w:lvl w:ilvl="8" w:tplc="1A9E6FDE">
      <w:numFmt w:val="decimal"/>
      <w:lvlText w:val=""/>
      <w:lvlJc w:val="left"/>
    </w:lvl>
  </w:abstractNum>
  <w:abstractNum w:abstractNumId="38">
    <w:nsid w:val="20EE1348"/>
    <w:multiLevelType w:val="hybridMultilevel"/>
    <w:tmpl w:val="320408FA"/>
    <w:lvl w:ilvl="0" w:tplc="B3AC4172">
      <w:start w:val="1"/>
      <w:numFmt w:val="bullet"/>
      <w:lvlText w:val="•"/>
      <w:lvlJc w:val="left"/>
    </w:lvl>
    <w:lvl w:ilvl="1" w:tplc="01BCDB5C">
      <w:numFmt w:val="decimal"/>
      <w:lvlText w:val=""/>
      <w:lvlJc w:val="left"/>
    </w:lvl>
    <w:lvl w:ilvl="2" w:tplc="1C22A7B6">
      <w:numFmt w:val="decimal"/>
      <w:lvlText w:val=""/>
      <w:lvlJc w:val="left"/>
    </w:lvl>
    <w:lvl w:ilvl="3" w:tplc="9098C456">
      <w:numFmt w:val="decimal"/>
      <w:lvlText w:val=""/>
      <w:lvlJc w:val="left"/>
    </w:lvl>
    <w:lvl w:ilvl="4" w:tplc="B3CE7B76">
      <w:numFmt w:val="decimal"/>
      <w:lvlText w:val=""/>
      <w:lvlJc w:val="left"/>
    </w:lvl>
    <w:lvl w:ilvl="5" w:tplc="002AC906">
      <w:numFmt w:val="decimal"/>
      <w:lvlText w:val=""/>
      <w:lvlJc w:val="left"/>
    </w:lvl>
    <w:lvl w:ilvl="6" w:tplc="5FEC5BC6">
      <w:numFmt w:val="decimal"/>
      <w:lvlText w:val=""/>
      <w:lvlJc w:val="left"/>
    </w:lvl>
    <w:lvl w:ilvl="7" w:tplc="3AAA1066">
      <w:numFmt w:val="decimal"/>
      <w:lvlText w:val=""/>
      <w:lvlJc w:val="left"/>
    </w:lvl>
    <w:lvl w:ilvl="8" w:tplc="5FAA710A">
      <w:numFmt w:val="decimal"/>
      <w:lvlText w:val=""/>
      <w:lvlJc w:val="left"/>
    </w:lvl>
  </w:abstractNum>
  <w:abstractNum w:abstractNumId="39">
    <w:nsid w:val="2157F6BC"/>
    <w:multiLevelType w:val="hybridMultilevel"/>
    <w:tmpl w:val="D9762816"/>
    <w:lvl w:ilvl="0" w:tplc="3522CF2A">
      <w:start w:val="92"/>
      <w:numFmt w:val="decimal"/>
      <w:lvlText w:val="%1"/>
      <w:lvlJc w:val="left"/>
    </w:lvl>
    <w:lvl w:ilvl="1" w:tplc="FB0A5098">
      <w:numFmt w:val="decimal"/>
      <w:lvlText w:val=""/>
      <w:lvlJc w:val="left"/>
    </w:lvl>
    <w:lvl w:ilvl="2" w:tplc="623AE010">
      <w:numFmt w:val="decimal"/>
      <w:lvlText w:val=""/>
      <w:lvlJc w:val="left"/>
    </w:lvl>
    <w:lvl w:ilvl="3" w:tplc="8AB0E510">
      <w:numFmt w:val="decimal"/>
      <w:lvlText w:val=""/>
      <w:lvlJc w:val="left"/>
    </w:lvl>
    <w:lvl w:ilvl="4" w:tplc="2F90EF42">
      <w:numFmt w:val="decimal"/>
      <w:lvlText w:val=""/>
      <w:lvlJc w:val="left"/>
    </w:lvl>
    <w:lvl w:ilvl="5" w:tplc="5BD2DFC8">
      <w:numFmt w:val="decimal"/>
      <w:lvlText w:val=""/>
      <w:lvlJc w:val="left"/>
    </w:lvl>
    <w:lvl w:ilvl="6" w:tplc="7D06D8C4">
      <w:numFmt w:val="decimal"/>
      <w:lvlText w:val=""/>
      <w:lvlJc w:val="left"/>
    </w:lvl>
    <w:lvl w:ilvl="7" w:tplc="63566BC0">
      <w:numFmt w:val="decimal"/>
      <w:lvlText w:val=""/>
      <w:lvlJc w:val="left"/>
    </w:lvl>
    <w:lvl w:ilvl="8" w:tplc="293C4EEE">
      <w:numFmt w:val="decimal"/>
      <w:lvlText w:val=""/>
      <w:lvlJc w:val="left"/>
    </w:lvl>
  </w:abstractNum>
  <w:abstractNum w:abstractNumId="40">
    <w:nsid w:val="23D86AAC"/>
    <w:multiLevelType w:val="hybridMultilevel"/>
    <w:tmpl w:val="08420540"/>
    <w:lvl w:ilvl="0" w:tplc="C2A819E4">
      <w:start w:val="66"/>
      <w:numFmt w:val="decimal"/>
      <w:lvlText w:val="%1"/>
      <w:lvlJc w:val="left"/>
    </w:lvl>
    <w:lvl w:ilvl="1" w:tplc="BC908D2E">
      <w:numFmt w:val="decimal"/>
      <w:lvlText w:val=""/>
      <w:lvlJc w:val="left"/>
    </w:lvl>
    <w:lvl w:ilvl="2" w:tplc="9E080794">
      <w:numFmt w:val="decimal"/>
      <w:lvlText w:val=""/>
      <w:lvlJc w:val="left"/>
    </w:lvl>
    <w:lvl w:ilvl="3" w:tplc="32BEEE84">
      <w:numFmt w:val="decimal"/>
      <w:lvlText w:val=""/>
      <w:lvlJc w:val="left"/>
    </w:lvl>
    <w:lvl w:ilvl="4" w:tplc="BBBA5916">
      <w:numFmt w:val="decimal"/>
      <w:lvlText w:val=""/>
      <w:lvlJc w:val="left"/>
    </w:lvl>
    <w:lvl w:ilvl="5" w:tplc="F852E386">
      <w:numFmt w:val="decimal"/>
      <w:lvlText w:val=""/>
      <w:lvlJc w:val="left"/>
    </w:lvl>
    <w:lvl w:ilvl="6" w:tplc="2B84F344">
      <w:numFmt w:val="decimal"/>
      <w:lvlText w:val=""/>
      <w:lvlJc w:val="left"/>
    </w:lvl>
    <w:lvl w:ilvl="7" w:tplc="3822C494">
      <w:numFmt w:val="decimal"/>
      <w:lvlText w:val=""/>
      <w:lvlJc w:val="left"/>
    </w:lvl>
    <w:lvl w:ilvl="8" w:tplc="FE6E8756">
      <w:numFmt w:val="decimal"/>
      <w:lvlText w:val=""/>
      <w:lvlJc w:val="left"/>
    </w:lvl>
  </w:abstractNum>
  <w:abstractNum w:abstractNumId="41">
    <w:nsid w:val="24F6AB8E"/>
    <w:multiLevelType w:val="hybridMultilevel"/>
    <w:tmpl w:val="705857D8"/>
    <w:lvl w:ilvl="0" w:tplc="6AB8B4A0">
      <w:start w:val="102"/>
      <w:numFmt w:val="decimal"/>
      <w:lvlText w:val="%1"/>
      <w:lvlJc w:val="left"/>
    </w:lvl>
    <w:lvl w:ilvl="1" w:tplc="0EF88E36">
      <w:numFmt w:val="decimal"/>
      <w:lvlText w:val=""/>
      <w:lvlJc w:val="left"/>
    </w:lvl>
    <w:lvl w:ilvl="2" w:tplc="109C9820">
      <w:numFmt w:val="decimal"/>
      <w:lvlText w:val=""/>
      <w:lvlJc w:val="left"/>
    </w:lvl>
    <w:lvl w:ilvl="3" w:tplc="9E1C0738">
      <w:numFmt w:val="decimal"/>
      <w:lvlText w:val=""/>
      <w:lvlJc w:val="left"/>
    </w:lvl>
    <w:lvl w:ilvl="4" w:tplc="306AC8C0">
      <w:numFmt w:val="decimal"/>
      <w:lvlText w:val=""/>
      <w:lvlJc w:val="left"/>
    </w:lvl>
    <w:lvl w:ilvl="5" w:tplc="29EA3992">
      <w:numFmt w:val="decimal"/>
      <w:lvlText w:val=""/>
      <w:lvlJc w:val="left"/>
    </w:lvl>
    <w:lvl w:ilvl="6" w:tplc="0DC24E0C">
      <w:numFmt w:val="decimal"/>
      <w:lvlText w:val=""/>
      <w:lvlJc w:val="left"/>
    </w:lvl>
    <w:lvl w:ilvl="7" w:tplc="8904DF9C">
      <w:numFmt w:val="decimal"/>
      <w:lvlText w:val=""/>
      <w:lvlJc w:val="left"/>
    </w:lvl>
    <w:lvl w:ilvl="8" w:tplc="E59AEFA6">
      <w:numFmt w:val="decimal"/>
      <w:lvlText w:val=""/>
      <w:lvlJc w:val="left"/>
    </w:lvl>
  </w:abstractNum>
  <w:abstractNum w:abstractNumId="42">
    <w:nsid w:val="26F324BA"/>
    <w:multiLevelType w:val="hybridMultilevel"/>
    <w:tmpl w:val="A7947DF8"/>
    <w:lvl w:ilvl="0" w:tplc="3438DA90">
      <w:start w:val="1"/>
      <w:numFmt w:val="bullet"/>
      <w:lvlText w:val="•"/>
      <w:lvlJc w:val="left"/>
    </w:lvl>
    <w:lvl w:ilvl="1" w:tplc="798429BE">
      <w:numFmt w:val="decimal"/>
      <w:lvlText w:val=""/>
      <w:lvlJc w:val="left"/>
    </w:lvl>
    <w:lvl w:ilvl="2" w:tplc="A8D44A74">
      <w:numFmt w:val="decimal"/>
      <w:lvlText w:val=""/>
      <w:lvlJc w:val="left"/>
    </w:lvl>
    <w:lvl w:ilvl="3" w:tplc="A04048FE">
      <w:numFmt w:val="decimal"/>
      <w:lvlText w:val=""/>
      <w:lvlJc w:val="left"/>
    </w:lvl>
    <w:lvl w:ilvl="4" w:tplc="A4C6ACCE">
      <w:numFmt w:val="decimal"/>
      <w:lvlText w:val=""/>
      <w:lvlJc w:val="left"/>
    </w:lvl>
    <w:lvl w:ilvl="5" w:tplc="E92CF390">
      <w:numFmt w:val="decimal"/>
      <w:lvlText w:val=""/>
      <w:lvlJc w:val="left"/>
    </w:lvl>
    <w:lvl w:ilvl="6" w:tplc="5ACCB164">
      <w:numFmt w:val="decimal"/>
      <w:lvlText w:val=""/>
      <w:lvlJc w:val="left"/>
    </w:lvl>
    <w:lvl w:ilvl="7" w:tplc="E6D2A294">
      <w:numFmt w:val="decimal"/>
      <w:lvlText w:val=""/>
      <w:lvlJc w:val="left"/>
    </w:lvl>
    <w:lvl w:ilvl="8" w:tplc="80629394">
      <w:numFmt w:val="decimal"/>
      <w:lvlText w:val=""/>
      <w:lvlJc w:val="left"/>
    </w:lvl>
  </w:abstractNum>
  <w:abstractNum w:abstractNumId="43">
    <w:nsid w:val="2708C9AF"/>
    <w:multiLevelType w:val="hybridMultilevel"/>
    <w:tmpl w:val="3BB0586E"/>
    <w:lvl w:ilvl="0" w:tplc="E764AA22">
      <w:start w:val="78"/>
      <w:numFmt w:val="decimal"/>
      <w:lvlText w:val="%1"/>
      <w:lvlJc w:val="left"/>
    </w:lvl>
    <w:lvl w:ilvl="1" w:tplc="7AA8E8CE">
      <w:numFmt w:val="decimal"/>
      <w:lvlText w:val=""/>
      <w:lvlJc w:val="left"/>
    </w:lvl>
    <w:lvl w:ilvl="2" w:tplc="E4BA3290">
      <w:numFmt w:val="decimal"/>
      <w:lvlText w:val=""/>
      <w:lvlJc w:val="left"/>
    </w:lvl>
    <w:lvl w:ilvl="3" w:tplc="2A068DE8">
      <w:numFmt w:val="decimal"/>
      <w:lvlText w:val=""/>
      <w:lvlJc w:val="left"/>
    </w:lvl>
    <w:lvl w:ilvl="4" w:tplc="80FCCC16">
      <w:numFmt w:val="decimal"/>
      <w:lvlText w:val=""/>
      <w:lvlJc w:val="left"/>
    </w:lvl>
    <w:lvl w:ilvl="5" w:tplc="0D168AC0">
      <w:numFmt w:val="decimal"/>
      <w:lvlText w:val=""/>
      <w:lvlJc w:val="left"/>
    </w:lvl>
    <w:lvl w:ilvl="6" w:tplc="85D4B78E">
      <w:numFmt w:val="decimal"/>
      <w:lvlText w:val=""/>
      <w:lvlJc w:val="left"/>
    </w:lvl>
    <w:lvl w:ilvl="7" w:tplc="65F295D4">
      <w:numFmt w:val="decimal"/>
      <w:lvlText w:val=""/>
      <w:lvlJc w:val="left"/>
    </w:lvl>
    <w:lvl w:ilvl="8" w:tplc="88B4F664">
      <w:numFmt w:val="decimal"/>
      <w:lvlText w:val=""/>
      <w:lvlJc w:val="left"/>
    </w:lvl>
  </w:abstractNum>
  <w:abstractNum w:abstractNumId="44">
    <w:nsid w:val="288F1A34"/>
    <w:multiLevelType w:val="hybridMultilevel"/>
    <w:tmpl w:val="C7463C50"/>
    <w:lvl w:ilvl="0" w:tplc="12F819DC">
      <w:start w:val="1"/>
      <w:numFmt w:val="bullet"/>
      <w:lvlText w:val="•"/>
      <w:lvlJc w:val="left"/>
    </w:lvl>
    <w:lvl w:ilvl="1" w:tplc="877C2E66">
      <w:numFmt w:val="decimal"/>
      <w:lvlText w:val=""/>
      <w:lvlJc w:val="left"/>
    </w:lvl>
    <w:lvl w:ilvl="2" w:tplc="46DA7566">
      <w:numFmt w:val="decimal"/>
      <w:lvlText w:val=""/>
      <w:lvlJc w:val="left"/>
    </w:lvl>
    <w:lvl w:ilvl="3" w:tplc="3034A8D2">
      <w:numFmt w:val="decimal"/>
      <w:lvlText w:val=""/>
      <w:lvlJc w:val="left"/>
    </w:lvl>
    <w:lvl w:ilvl="4" w:tplc="285E0AD2">
      <w:numFmt w:val="decimal"/>
      <w:lvlText w:val=""/>
      <w:lvlJc w:val="left"/>
    </w:lvl>
    <w:lvl w:ilvl="5" w:tplc="7D9E9104">
      <w:numFmt w:val="decimal"/>
      <w:lvlText w:val=""/>
      <w:lvlJc w:val="left"/>
    </w:lvl>
    <w:lvl w:ilvl="6" w:tplc="B8BEF2E6">
      <w:numFmt w:val="decimal"/>
      <w:lvlText w:val=""/>
      <w:lvlJc w:val="left"/>
    </w:lvl>
    <w:lvl w:ilvl="7" w:tplc="00CCC988">
      <w:numFmt w:val="decimal"/>
      <w:lvlText w:val=""/>
      <w:lvlJc w:val="left"/>
    </w:lvl>
    <w:lvl w:ilvl="8" w:tplc="F3D6FE78">
      <w:numFmt w:val="decimal"/>
      <w:lvlText w:val=""/>
      <w:lvlJc w:val="left"/>
    </w:lvl>
  </w:abstractNum>
  <w:abstractNum w:abstractNumId="45">
    <w:nsid w:val="2A082C70"/>
    <w:multiLevelType w:val="hybridMultilevel"/>
    <w:tmpl w:val="7F2ADE70"/>
    <w:lvl w:ilvl="0" w:tplc="29120456">
      <w:start w:val="1"/>
      <w:numFmt w:val="bullet"/>
      <w:lvlText w:val="•"/>
      <w:lvlJc w:val="left"/>
    </w:lvl>
    <w:lvl w:ilvl="1" w:tplc="937A5AEC">
      <w:numFmt w:val="decimal"/>
      <w:lvlText w:val=""/>
      <w:lvlJc w:val="left"/>
    </w:lvl>
    <w:lvl w:ilvl="2" w:tplc="6776748A">
      <w:numFmt w:val="decimal"/>
      <w:lvlText w:val=""/>
      <w:lvlJc w:val="left"/>
    </w:lvl>
    <w:lvl w:ilvl="3" w:tplc="49EC6F38">
      <w:numFmt w:val="decimal"/>
      <w:lvlText w:val=""/>
      <w:lvlJc w:val="left"/>
    </w:lvl>
    <w:lvl w:ilvl="4" w:tplc="3A3C7A14">
      <w:numFmt w:val="decimal"/>
      <w:lvlText w:val=""/>
      <w:lvlJc w:val="left"/>
    </w:lvl>
    <w:lvl w:ilvl="5" w:tplc="CAF478E2">
      <w:numFmt w:val="decimal"/>
      <w:lvlText w:val=""/>
      <w:lvlJc w:val="left"/>
    </w:lvl>
    <w:lvl w:ilvl="6" w:tplc="0A247F84">
      <w:numFmt w:val="decimal"/>
      <w:lvlText w:val=""/>
      <w:lvlJc w:val="left"/>
    </w:lvl>
    <w:lvl w:ilvl="7" w:tplc="47A27D2C">
      <w:numFmt w:val="decimal"/>
      <w:lvlText w:val=""/>
      <w:lvlJc w:val="left"/>
    </w:lvl>
    <w:lvl w:ilvl="8" w:tplc="8006CB9C">
      <w:numFmt w:val="decimal"/>
      <w:lvlText w:val=""/>
      <w:lvlJc w:val="left"/>
    </w:lvl>
  </w:abstractNum>
  <w:abstractNum w:abstractNumId="46">
    <w:nsid w:val="2A155DBC"/>
    <w:multiLevelType w:val="hybridMultilevel"/>
    <w:tmpl w:val="CCA42D1C"/>
    <w:lvl w:ilvl="0" w:tplc="0EB21350">
      <w:start w:val="60"/>
      <w:numFmt w:val="decimal"/>
      <w:lvlText w:val="%1"/>
      <w:lvlJc w:val="left"/>
    </w:lvl>
    <w:lvl w:ilvl="1" w:tplc="2F6C87DE">
      <w:numFmt w:val="decimal"/>
      <w:lvlText w:val=""/>
      <w:lvlJc w:val="left"/>
    </w:lvl>
    <w:lvl w:ilvl="2" w:tplc="F56012A8">
      <w:numFmt w:val="decimal"/>
      <w:lvlText w:val=""/>
      <w:lvlJc w:val="left"/>
    </w:lvl>
    <w:lvl w:ilvl="3" w:tplc="0078433A">
      <w:numFmt w:val="decimal"/>
      <w:lvlText w:val=""/>
      <w:lvlJc w:val="left"/>
    </w:lvl>
    <w:lvl w:ilvl="4" w:tplc="5B54FE04">
      <w:numFmt w:val="decimal"/>
      <w:lvlText w:val=""/>
      <w:lvlJc w:val="left"/>
    </w:lvl>
    <w:lvl w:ilvl="5" w:tplc="73F63EB6">
      <w:numFmt w:val="decimal"/>
      <w:lvlText w:val=""/>
      <w:lvlJc w:val="left"/>
    </w:lvl>
    <w:lvl w:ilvl="6" w:tplc="499EA2DC">
      <w:numFmt w:val="decimal"/>
      <w:lvlText w:val=""/>
      <w:lvlJc w:val="left"/>
    </w:lvl>
    <w:lvl w:ilvl="7" w:tplc="58DE8E4E">
      <w:numFmt w:val="decimal"/>
      <w:lvlText w:val=""/>
      <w:lvlJc w:val="left"/>
    </w:lvl>
    <w:lvl w:ilvl="8" w:tplc="B762BCDC">
      <w:numFmt w:val="decimal"/>
      <w:lvlText w:val=""/>
      <w:lvlJc w:val="left"/>
    </w:lvl>
  </w:abstractNum>
  <w:abstractNum w:abstractNumId="47">
    <w:nsid w:val="2B0D8DBE"/>
    <w:multiLevelType w:val="hybridMultilevel"/>
    <w:tmpl w:val="B9A48176"/>
    <w:lvl w:ilvl="0" w:tplc="2384D258">
      <w:start w:val="1"/>
      <w:numFmt w:val="bullet"/>
      <w:lvlText w:val="•"/>
      <w:lvlJc w:val="left"/>
    </w:lvl>
    <w:lvl w:ilvl="1" w:tplc="1D80024C">
      <w:numFmt w:val="decimal"/>
      <w:lvlText w:val=""/>
      <w:lvlJc w:val="left"/>
    </w:lvl>
    <w:lvl w:ilvl="2" w:tplc="5DC00616">
      <w:numFmt w:val="decimal"/>
      <w:lvlText w:val=""/>
      <w:lvlJc w:val="left"/>
    </w:lvl>
    <w:lvl w:ilvl="3" w:tplc="FC2487EC">
      <w:numFmt w:val="decimal"/>
      <w:lvlText w:val=""/>
      <w:lvlJc w:val="left"/>
    </w:lvl>
    <w:lvl w:ilvl="4" w:tplc="0B0E712E">
      <w:numFmt w:val="decimal"/>
      <w:lvlText w:val=""/>
      <w:lvlJc w:val="left"/>
    </w:lvl>
    <w:lvl w:ilvl="5" w:tplc="8E7E098C">
      <w:numFmt w:val="decimal"/>
      <w:lvlText w:val=""/>
      <w:lvlJc w:val="left"/>
    </w:lvl>
    <w:lvl w:ilvl="6" w:tplc="9FB45010">
      <w:numFmt w:val="decimal"/>
      <w:lvlText w:val=""/>
      <w:lvlJc w:val="left"/>
    </w:lvl>
    <w:lvl w:ilvl="7" w:tplc="F9C48FD4">
      <w:numFmt w:val="decimal"/>
      <w:lvlText w:val=""/>
      <w:lvlJc w:val="left"/>
    </w:lvl>
    <w:lvl w:ilvl="8" w:tplc="530ED4A2">
      <w:numFmt w:val="decimal"/>
      <w:lvlText w:val=""/>
      <w:lvlJc w:val="left"/>
    </w:lvl>
  </w:abstractNum>
  <w:abstractNum w:abstractNumId="48">
    <w:nsid w:val="2C27173B"/>
    <w:multiLevelType w:val="hybridMultilevel"/>
    <w:tmpl w:val="C51084D0"/>
    <w:lvl w:ilvl="0" w:tplc="A94426A0">
      <w:start w:val="1"/>
      <w:numFmt w:val="decimal"/>
      <w:lvlText w:val="(%1)"/>
      <w:lvlJc w:val="left"/>
    </w:lvl>
    <w:lvl w:ilvl="1" w:tplc="2048C89E">
      <w:numFmt w:val="decimal"/>
      <w:lvlText w:val=""/>
      <w:lvlJc w:val="left"/>
    </w:lvl>
    <w:lvl w:ilvl="2" w:tplc="05945B36">
      <w:numFmt w:val="decimal"/>
      <w:lvlText w:val=""/>
      <w:lvlJc w:val="left"/>
    </w:lvl>
    <w:lvl w:ilvl="3" w:tplc="8A8CB488">
      <w:numFmt w:val="decimal"/>
      <w:lvlText w:val=""/>
      <w:lvlJc w:val="left"/>
    </w:lvl>
    <w:lvl w:ilvl="4" w:tplc="3A5C3760">
      <w:numFmt w:val="decimal"/>
      <w:lvlText w:val=""/>
      <w:lvlJc w:val="left"/>
    </w:lvl>
    <w:lvl w:ilvl="5" w:tplc="E0FE144E">
      <w:numFmt w:val="decimal"/>
      <w:lvlText w:val=""/>
      <w:lvlJc w:val="left"/>
    </w:lvl>
    <w:lvl w:ilvl="6" w:tplc="6FB634D6">
      <w:numFmt w:val="decimal"/>
      <w:lvlText w:val=""/>
      <w:lvlJc w:val="left"/>
    </w:lvl>
    <w:lvl w:ilvl="7" w:tplc="86169E4E">
      <w:numFmt w:val="decimal"/>
      <w:lvlText w:val=""/>
      <w:lvlJc w:val="left"/>
    </w:lvl>
    <w:lvl w:ilvl="8" w:tplc="A58C9E08">
      <w:numFmt w:val="decimal"/>
      <w:lvlText w:val=""/>
      <w:lvlJc w:val="left"/>
    </w:lvl>
  </w:abstractNum>
  <w:abstractNum w:abstractNumId="49">
    <w:nsid w:val="2C6E4AFD"/>
    <w:multiLevelType w:val="hybridMultilevel"/>
    <w:tmpl w:val="B8D2FBCE"/>
    <w:lvl w:ilvl="0" w:tplc="97063198">
      <w:start w:val="84"/>
      <w:numFmt w:val="decimal"/>
      <w:lvlText w:val="%1"/>
      <w:lvlJc w:val="left"/>
    </w:lvl>
    <w:lvl w:ilvl="1" w:tplc="14765838">
      <w:numFmt w:val="decimal"/>
      <w:lvlText w:val=""/>
      <w:lvlJc w:val="left"/>
    </w:lvl>
    <w:lvl w:ilvl="2" w:tplc="DD92C7F2">
      <w:numFmt w:val="decimal"/>
      <w:lvlText w:val=""/>
      <w:lvlJc w:val="left"/>
    </w:lvl>
    <w:lvl w:ilvl="3" w:tplc="1054CC1C">
      <w:numFmt w:val="decimal"/>
      <w:lvlText w:val=""/>
      <w:lvlJc w:val="left"/>
    </w:lvl>
    <w:lvl w:ilvl="4" w:tplc="F3780B4A">
      <w:numFmt w:val="decimal"/>
      <w:lvlText w:val=""/>
      <w:lvlJc w:val="left"/>
    </w:lvl>
    <w:lvl w:ilvl="5" w:tplc="7054D08C">
      <w:numFmt w:val="decimal"/>
      <w:lvlText w:val=""/>
      <w:lvlJc w:val="left"/>
    </w:lvl>
    <w:lvl w:ilvl="6" w:tplc="2BF23C92">
      <w:numFmt w:val="decimal"/>
      <w:lvlText w:val=""/>
      <w:lvlJc w:val="left"/>
    </w:lvl>
    <w:lvl w:ilvl="7" w:tplc="1F380DE8">
      <w:numFmt w:val="decimal"/>
      <w:lvlText w:val=""/>
      <w:lvlJc w:val="left"/>
    </w:lvl>
    <w:lvl w:ilvl="8" w:tplc="BC7C71FC">
      <w:numFmt w:val="decimal"/>
      <w:lvlText w:val=""/>
      <w:lvlJc w:val="left"/>
    </w:lvl>
  </w:abstractNum>
  <w:abstractNum w:abstractNumId="50">
    <w:nsid w:val="2DF6D648"/>
    <w:multiLevelType w:val="hybridMultilevel"/>
    <w:tmpl w:val="A74EEB84"/>
    <w:lvl w:ilvl="0" w:tplc="D6F40658">
      <w:start w:val="3"/>
      <w:numFmt w:val="decimal"/>
      <w:lvlText w:val="(%1)"/>
      <w:lvlJc w:val="left"/>
    </w:lvl>
    <w:lvl w:ilvl="1" w:tplc="E038896C">
      <w:numFmt w:val="decimal"/>
      <w:lvlText w:val=""/>
      <w:lvlJc w:val="left"/>
    </w:lvl>
    <w:lvl w:ilvl="2" w:tplc="8044300A">
      <w:numFmt w:val="decimal"/>
      <w:lvlText w:val=""/>
      <w:lvlJc w:val="left"/>
    </w:lvl>
    <w:lvl w:ilvl="3" w:tplc="71E61DF4">
      <w:numFmt w:val="decimal"/>
      <w:lvlText w:val=""/>
      <w:lvlJc w:val="left"/>
    </w:lvl>
    <w:lvl w:ilvl="4" w:tplc="81AAC3A8">
      <w:numFmt w:val="decimal"/>
      <w:lvlText w:val=""/>
      <w:lvlJc w:val="left"/>
    </w:lvl>
    <w:lvl w:ilvl="5" w:tplc="8862A1D0">
      <w:numFmt w:val="decimal"/>
      <w:lvlText w:val=""/>
      <w:lvlJc w:val="left"/>
    </w:lvl>
    <w:lvl w:ilvl="6" w:tplc="10A85D24">
      <w:numFmt w:val="decimal"/>
      <w:lvlText w:val=""/>
      <w:lvlJc w:val="left"/>
    </w:lvl>
    <w:lvl w:ilvl="7" w:tplc="C5E46DAA">
      <w:numFmt w:val="decimal"/>
      <w:lvlText w:val=""/>
      <w:lvlJc w:val="left"/>
    </w:lvl>
    <w:lvl w:ilvl="8" w:tplc="86B06CF0">
      <w:numFmt w:val="decimal"/>
      <w:lvlText w:val=""/>
      <w:lvlJc w:val="left"/>
    </w:lvl>
  </w:abstractNum>
  <w:abstractNum w:abstractNumId="51">
    <w:nsid w:val="2E48F044"/>
    <w:multiLevelType w:val="hybridMultilevel"/>
    <w:tmpl w:val="EEE66D2A"/>
    <w:lvl w:ilvl="0" w:tplc="3BB4CC64">
      <w:start w:val="1"/>
      <w:numFmt w:val="decimal"/>
      <w:lvlText w:val="(%1)"/>
      <w:lvlJc w:val="left"/>
    </w:lvl>
    <w:lvl w:ilvl="1" w:tplc="C3FAC6BE">
      <w:numFmt w:val="decimal"/>
      <w:lvlText w:val=""/>
      <w:lvlJc w:val="left"/>
    </w:lvl>
    <w:lvl w:ilvl="2" w:tplc="EC74B54E">
      <w:numFmt w:val="decimal"/>
      <w:lvlText w:val=""/>
      <w:lvlJc w:val="left"/>
    </w:lvl>
    <w:lvl w:ilvl="3" w:tplc="27C639F4">
      <w:numFmt w:val="decimal"/>
      <w:lvlText w:val=""/>
      <w:lvlJc w:val="left"/>
    </w:lvl>
    <w:lvl w:ilvl="4" w:tplc="D60C1F12">
      <w:numFmt w:val="decimal"/>
      <w:lvlText w:val=""/>
      <w:lvlJc w:val="left"/>
    </w:lvl>
    <w:lvl w:ilvl="5" w:tplc="74E03B0A">
      <w:numFmt w:val="decimal"/>
      <w:lvlText w:val=""/>
      <w:lvlJc w:val="left"/>
    </w:lvl>
    <w:lvl w:ilvl="6" w:tplc="3F0AEDDE">
      <w:numFmt w:val="decimal"/>
      <w:lvlText w:val=""/>
      <w:lvlJc w:val="left"/>
    </w:lvl>
    <w:lvl w:ilvl="7" w:tplc="E21CD322">
      <w:numFmt w:val="decimal"/>
      <w:lvlText w:val=""/>
      <w:lvlJc w:val="left"/>
    </w:lvl>
    <w:lvl w:ilvl="8" w:tplc="6D362946">
      <w:numFmt w:val="decimal"/>
      <w:lvlText w:val=""/>
      <w:lvlJc w:val="left"/>
    </w:lvl>
  </w:abstractNum>
  <w:abstractNum w:abstractNumId="52">
    <w:nsid w:val="3222E7CD"/>
    <w:multiLevelType w:val="hybridMultilevel"/>
    <w:tmpl w:val="D7BC02B0"/>
    <w:lvl w:ilvl="0" w:tplc="548C0F82">
      <w:start w:val="1"/>
      <w:numFmt w:val="bullet"/>
      <w:lvlText w:val="•"/>
      <w:lvlJc w:val="left"/>
    </w:lvl>
    <w:lvl w:ilvl="1" w:tplc="583C6B86">
      <w:numFmt w:val="decimal"/>
      <w:lvlText w:val=""/>
      <w:lvlJc w:val="left"/>
    </w:lvl>
    <w:lvl w:ilvl="2" w:tplc="61DE1A28">
      <w:numFmt w:val="decimal"/>
      <w:lvlText w:val=""/>
      <w:lvlJc w:val="left"/>
    </w:lvl>
    <w:lvl w:ilvl="3" w:tplc="E3561576">
      <w:numFmt w:val="decimal"/>
      <w:lvlText w:val=""/>
      <w:lvlJc w:val="left"/>
    </w:lvl>
    <w:lvl w:ilvl="4" w:tplc="C9D4849C">
      <w:numFmt w:val="decimal"/>
      <w:lvlText w:val=""/>
      <w:lvlJc w:val="left"/>
    </w:lvl>
    <w:lvl w:ilvl="5" w:tplc="BBA4042A">
      <w:numFmt w:val="decimal"/>
      <w:lvlText w:val=""/>
      <w:lvlJc w:val="left"/>
    </w:lvl>
    <w:lvl w:ilvl="6" w:tplc="20A23F4A">
      <w:numFmt w:val="decimal"/>
      <w:lvlText w:val=""/>
      <w:lvlJc w:val="left"/>
    </w:lvl>
    <w:lvl w:ilvl="7" w:tplc="80B65D0E">
      <w:numFmt w:val="decimal"/>
      <w:lvlText w:val=""/>
      <w:lvlJc w:val="left"/>
    </w:lvl>
    <w:lvl w:ilvl="8" w:tplc="4634B166">
      <w:numFmt w:val="decimal"/>
      <w:lvlText w:val=""/>
      <w:lvlJc w:val="left"/>
    </w:lvl>
  </w:abstractNum>
  <w:abstractNum w:abstractNumId="53">
    <w:nsid w:val="34FD6B4F"/>
    <w:multiLevelType w:val="hybridMultilevel"/>
    <w:tmpl w:val="32626A86"/>
    <w:lvl w:ilvl="0" w:tplc="0D889A34">
      <w:start w:val="82"/>
      <w:numFmt w:val="decimal"/>
      <w:lvlText w:val="%1"/>
      <w:lvlJc w:val="left"/>
    </w:lvl>
    <w:lvl w:ilvl="1" w:tplc="42121DB8">
      <w:numFmt w:val="decimal"/>
      <w:lvlText w:val=""/>
      <w:lvlJc w:val="left"/>
    </w:lvl>
    <w:lvl w:ilvl="2" w:tplc="829AAD9A">
      <w:numFmt w:val="decimal"/>
      <w:lvlText w:val=""/>
      <w:lvlJc w:val="left"/>
    </w:lvl>
    <w:lvl w:ilvl="3" w:tplc="60BEAE42">
      <w:numFmt w:val="decimal"/>
      <w:lvlText w:val=""/>
      <w:lvlJc w:val="left"/>
    </w:lvl>
    <w:lvl w:ilvl="4" w:tplc="A4A60040">
      <w:numFmt w:val="decimal"/>
      <w:lvlText w:val=""/>
      <w:lvlJc w:val="left"/>
    </w:lvl>
    <w:lvl w:ilvl="5" w:tplc="12F6EED0">
      <w:numFmt w:val="decimal"/>
      <w:lvlText w:val=""/>
      <w:lvlJc w:val="left"/>
    </w:lvl>
    <w:lvl w:ilvl="6" w:tplc="276CCE96">
      <w:numFmt w:val="decimal"/>
      <w:lvlText w:val=""/>
      <w:lvlJc w:val="left"/>
    </w:lvl>
    <w:lvl w:ilvl="7" w:tplc="1018DB58">
      <w:numFmt w:val="decimal"/>
      <w:lvlText w:val=""/>
      <w:lvlJc w:val="left"/>
    </w:lvl>
    <w:lvl w:ilvl="8" w:tplc="5D4EE79C">
      <w:numFmt w:val="decimal"/>
      <w:lvlText w:val=""/>
      <w:lvlJc w:val="left"/>
    </w:lvl>
  </w:abstractNum>
  <w:abstractNum w:abstractNumId="54">
    <w:nsid w:val="379E21B5"/>
    <w:multiLevelType w:val="hybridMultilevel"/>
    <w:tmpl w:val="9D96F1C8"/>
    <w:lvl w:ilvl="0" w:tplc="14CC1F82">
      <w:start w:val="5"/>
      <w:numFmt w:val="lowerRoman"/>
      <w:lvlText w:val="(%1)"/>
      <w:lvlJc w:val="left"/>
    </w:lvl>
    <w:lvl w:ilvl="1" w:tplc="25187DC2">
      <w:numFmt w:val="decimal"/>
      <w:lvlText w:val=""/>
      <w:lvlJc w:val="left"/>
    </w:lvl>
    <w:lvl w:ilvl="2" w:tplc="E5E044D8">
      <w:numFmt w:val="decimal"/>
      <w:lvlText w:val=""/>
      <w:lvlJc w:val="left"/>
    </w:lvl>
    <w:lvl w:ilvl="3" w:tplc="9200A834">
      <w:numFmt w:val="decimal"/>
      <w:lvlText w:val=""/>
      <w:lvlJc w:val="left"/>
    </w:lvl>
    <w:lvl w:ilvl="4" w:tplc="60866E60">
      <w:numFmt w:val="decimal"/>
      <w:lvlText w:val=""/>
      <w:lvlJc w:val="left"/>
    </w:lvl>
    <w:lvl w:ilvl="5" w:tplc="F1FE1C2C">
      <w:numFmt w:val="decimal"/>
      <w:lvlText w:val=""/>
      <w:lvlJc w:val="left"/>
    </w:lvl>
    <w:lvl w:ilvl="6" w:tplc="3098C872">
      <w:numFmt w:val="decimal"/>
      <w:lvlText w:val=""/>
      <w:lvlJc w:val="left"/>
    </w:lvl>
    <w:lvl w:ilvl="7" w:tplc="30660AB0">
      <w:numFmt w:val="decimal"/>
      <w:lvlText w:val=""/>
      <w:lvlJc w:val="left"/>
    </w:lvl>
    <w:lvl w:ilvl="8" w:tplc="6326341A">
      <w:numFmt w:val="decimal"/>
      <w:lvlText w:val=""/>
      <w:lvlJc w:val="left"/>
    </w:lvl>
  </w:abstractNum>
  <w:abstractNum w:abstractNumId="55">
    <w:nsid w:val="39B7AAA2"/>
    <w:multiLevelType w:val="hybridMultilevel"/>
    <w:tmpl w:val="D5F26256"/>
    <w:lvl w:ilvl="0" w:tplc="E50EE93E">
      <w:start w:val="1"/>
      <w:numFmt w:val="bullet"/>
      <w:lvlText w:val="•"/>
      <w:lvlJc w:val="left"/>
    </w:lvl>
    <w:lvl w:ilvl="1" w:tplc="AB36A81E">
      <w:numFmt w:val="decimal"/>
      <w:lvlText w:val=""/>
      <w:lvlJc w:val="left"/>
    </w:lvl>
    <w:lvl w:ilvl="2" w:tplc="086A0DF4">
      <w:numFmt w:val="decimal"/>
      <w:lvlText w:val=""/>
      <w:lvlJc w:val="left"/>
    </w:lvl>
    <w:lvl w:ilvl="3" w:tplc="C528031C">
      <w:numFmt w:val="decimal"/>
      <w:lvlText w:val=""/>
      <w:lvlJc w:val="left"/>
    </w:lvl>
    <w:lvl w:ilvl="4" w:tplc="89BEC262">
      <w:numFmt w:val="decimal"/>
      <w:lvlText w:val=""/>
      <w:lvlJc w:val="left"/>
    </w:lvl>
    <w:lvl w:ilvl="5" w:tplc="B76EAACC">
      <w:numFmt w:val="decimal"/>
      <w:lvlText w:val=""/>
      <w:lvlJc w:val="left"/>
    </w:lvl>
    <w:lvl w:ilvl="6" w:tplc="F0768980">
      <w:numFmt w:val="decimal"/>
      <w:lvlText w:val=""/>
      <w:lvlJc w:val="left"/>
    </w:lvl>
    <w:lvl w:ilvl="7" w:tplc="5C989AD0">
      <w:numFmt w:val="decimal"/>
      <w:lvlText w:val=""/>
      <w:lvlJc w:val="left"/>
    </w:lvl>
    <w:lvl w:ilvl="8" w:tplc="9ADA4300">
      <w:numFmt w:val="decimal"/>
      <w:lvlText w:val=""/>
      <w:lvlJc w:val="left"/>
    </w:lvl>
  </w:abstractNum>
  <w:abstractNum w:abstractNumId="56">
    <w:nsid w:val="39EE015C"/>
    <w:multiLevelType w:val="hybridMultilevel"/>
    <w:tmpl w:val="68C6FF02"/>
    <w:lvl w:ilvl="0" w:tplc="A964D122">
      <w:start w:val="38"/>
      <w:numFmt w:val="decimal"/>
      <w:lvlText w:val="%1"/>
      <w:lvlJc w:val="left"/>
    </w:lvl>
    <w:lvl w:ilvl="1" w:tplc="82B03474">
      <w:numFmt w:val="decimal"/>
      <w:lvlText w:val=""/>
      <w:lvlJc w:val="left"/>
    </w:lvl>
    <w:lvl w:ilvl="2" w:tplc="BDBA1894">
      <w:numFmt w:val="decimal"/>
      <w:lvlText w:val=""/>
      <w:lvlJc w:val="left"/>
    </w:lvl>
    <w:lvl w:ilvl="3" w:tplc="291C784C">
      <w:numFmt w:val="decimal"/>
      <w:lvlText w:val=""/>
      <w:lvlJc w:val="left"/>
    </w:lvl>
    <w:lvl w:ilvl="4" w:tplc="6804EAC8">
      <w:numFmt w:val="decimal"/>
      <w:lvlText w:val=""/>
      <w:lvlJc w:val="left"/>
    </w:lvl>
    <w:lvl w:ilvl="5" w:tplc="B4DE3420">
      <w:numFmt w:val="decimal"/>
      <w:lvlText w:val=""/>
      <w:lvlJc w:val="left"/>
    </w:lvl>
    <w:lvl w:ilvl="6" w:tplc="F7E82A88">
      <w:numFmt w:val="decimal"/>
      <w:lvlText w:val=""/>
      <w:lvlJc w:val="left"/>
    </w:lvl>
    <w:lvl w:ilvl="7" w:tplc="E9B8F040">
      <w:numFmt w:val="decimal"/>
      <w:lvlText w:val=""/>
      <w:lvlJc w:val="left"/>
    </w:lvl>
    <w:lvl w:ilvl="8" w:tplc="6FC09E84">
      <w:numFmt w:val="decimal"/>
      <w:lvlText w:val=""/>
      <w:lvlJc w:val="left"/>
    </w:lvl>
  </w:abstractNum>
  <w:abstractNum w:abstractNumId="57">
    <w:nsid w:val="3B0FD379"/>
    <w:multiLevelType w:val="hybridMultilevel"/>
    <w:tmpl w:val="D44875AE"/>
    <w:lvl w:ilvl="0" w:tplc="37949AB0">
      <w:start w:val="12"/>
      <w:numFmt w:val="decimal"/>
      <w:lvlText w:val="%1"/>
      <w:lvlJc w:val="left"/>
    </w:lvl>
    <w:lvl w:ilvl="1" w:tplc="E7AA2BE4">
      <w:numFmt w:val="decimal"/>
      <w:lvlText w:val=""/>
      <w:lvlJc w:val="left"/>
    </w:lvl>
    <w:lvl w:ilvl="2" w:tplc="33267EF4">
      <w:numFmt w:val="decimal"/>
      <w:lvlText w:val=""/>
      <w:lvlJc w:val="left"/>
    </w:lvl>
    <w:lvl w:ilvl="3" w:tplc="BCCEAAC0">
      <w:numFmt w:val="decimal"/>
      <w:lvlText w:val=""/>
      <w:lvlJc w:val="left"/>
    </w:lvl>
    <w:lvl w:ilvl="4" w:tplc="27A8AD1E">
      <w:numFmt w:val="decimal"/>
      <w:lvlText w:val=""/>
      <w:lvlJc w:val="left"/>
    </w:lvl>
    <w:lvl w:ilvl="5" w:tplc="EEC0D2D0">
      <w:numFmt w:val="decimal"/>
      <w:lvlText w:val=""/>
      <w:lvlJc w:val="left"/>
    </w:lvl>
    <w:lvl w:ilvl="6" w:tplc="F4F8781A">
      <w:numFmt w:val="decimal"/>
      <w:lvlText w:val=""/>
      <w:lvlJc w:val="left"/>
    </w:lvl>
    <w:lvl w:ilvl="7" w:tplc="FF981FC2">
      <w:numFmt w:val="decimal"/>
      <w:lvlText w:val=""/>
      <w:lvlJc w:val="left"/>
    </w:lvl>
    <w:lvl w:ilvl="8" w:tplc="AAD8D144">
      <w:numFmt w:val="decimal"/>
      <w:lvlText w:val=""/>
      <w:lvlJc w:val="left"/>
    </w:lvl>
  </w:abstractNum>
  <w:abstractNum w:abstractNumId="58">
    <w:nsid w:val="3C5991AA"/>
    <w:multiLevelType w:val="hybridMultilevel"/>
    <w:tmpl w:val="7B60A4E8"/>
    <w:lvl w:ilvl="0" w:tplc="DC7E51DA">
      <w:start w:val="1"/>
      <w:numFmt w:val="bullet"/>
      <w:lvlText w:val="•"/>
      <w:lvlJc w:val="left"/>
    </w:lvl>
    <w:lvl w:ilvl="1" w:tplc="69BA5E1E">
      <w:numFmt w:val="decimal"/>
      <w:lvlText w:val=""/>
      <w:lvlJc w:val="left"/>
    </w:lvl>
    <w:lvl w:ilvl="2" w:tplc="4240F36A">
      <w:numFmt w:val="decimal"/>
      <w:lvlText w:val=""/>
      <w:lvlJc w:val="left"/>
    </w:lvl>
    <w:lvl w:ilvl="3" w:tplc="B55622E6">
      <w:numFmt w:val="decimal"/>
      <w:lvlText w:val=""/>
      <w:lvlJc w:val="left"/>
    </w:lvl>
    <w:lvl w:ilvl="4" w:tplc="38520D90">
      <w:numFmt w:val="decimal"/>
      <w:lvlText w:val=""/>
      <w:lvlJc w:val="left"/>
    </w:lvl>
    <w:lvl w:ilvl="5" w:tplc="9ADC5960">
      <w:numFmt w:val="decimal"/>
      <w:lvlText w:val=""/>
      <w:lvlJc w:val="left"/>
    </w:lvl>
    <w:lvl w:ilvl="6" w:tplc="133E7A42">
      <w:numFmt w:val="decimal"/>
      <w:lvlText w:val=""/>
      <w:lvlJc w:val="left"/>
    </w:lvl>
    <w:lvl w:ilvl="7" w:tplc="AB0EDD36">
      <w:numFmt w:val="decimal"/>
      <w:lvlText w:val=""/>
      <w:lvlJc w:val="left"/>
    </w:lvl>
    <w:lvl w:ilvl="8" w:tplc="F5FED54E">
      <w:numFmt w:val="decimal"/>
      <w:lvlText w:val=""/>
      <w:lvlJc w:val="left"/>
    </w:lvl>
  </w:abstractNum>
  <w:abstractNum w:abstractNumId="59">
    <w:nsid w:val="3DB012B3"/>
    <w:multiLevelType w:val="hybridMultilevel"/>
    <w:tmpl w:val="B9DE3210"/>
    <w:lvl w:ilvl="0" w:tplc="0F4078D4">
      <w:start w:val="2"/>
      <w:numFmt w:val="decimal"/>
      <w:lvlText w:val="(%1)"/>
      <w:lvlJc w:val="left"/>
    </w:lvl>
    <w:lvl w:ilvl="1" w:tplc="DA06950E">
      <w:numFmt w:val="decimal"/>
      <w:lvlText w:val=""/>
      <w:lvlJc w:val="left"/>
    </w:lvl>
    <w:lvl w:ilvl="2" w:tplc="C76C3558">
      <w:numFmt w:val="decimal"/>
      <w:lvlText w:val=""/>
      <w:lvlJc w:val="left"/>
    </w:lvl>
    <w:lvl w:ilvl="3" w:tplc="FFD4F7F0">
      <w:numFmt w:val="decimal"/>
      <w:lvlText w:val=""/>
      <w:lvlJc w:val="left"/>
    </w:lvl>
    <w:lvl w:ilvl="4" w:tplc="4CBE94C4">
      <w:numFmt w:val="decimal"/>
      <w:lvlText w:val=""/>
      <w:lvlJc w:val="left"/>
    </w:lvl>
    <w:lvl w:ilvl="5" w:tplc="8800042C">
      <w:numFmt w:val="decimal"/>
      <w:lvlText w:val=""/>
      <w:lvlJc w:val="left"/>
    </w:lvl>
    <w:lvl w:ilvl="6" w:tplc="754EBA6C">
      <w:numFmt w:val="decimal"/>
      <w:lvlText w:val=""/>
      <w:lvlJc w:val="left"/>
    </w:lvl>
    <w:lvl w:ilvl="7" w:tplc="6A140BB2">
      <w:numFmt w:val="decimal"/>
      <w:lvlText w:val=""/>
      <w:lvlJc w:val="left"/>
    </w:lvl>
    <w:lvl w:ilvl="8" w:tplc="1D0A52C2">
      <w:numFmt w:val="decimal"/>
      <w:lvlText w:val=""/>
      <w:lvlJc w:val="left"/>
    </w:lvl>
  </w:abstractNum>
  <w:abstractNum w:abstractNumId="60">
    <w:nsid w:val="3DD15094"/>
    <w:multiLevelType w:val="hybridMultilevel"/>
    <w:tmpl w:val="4FD897E2"/>
    <w:lvl w:ilvl="0" w:tplc="6336897A">
      <w:start w:val="1"/>
      <w:numFmt w:val="decimal"/>
      <w:lvlText w:val="(%1)"/>
      <w:lvlJc w:val="left"/>
    </w:lvl>
    <w:lvl w:ilvl="1" w:tplc="910629BC">
      <w:numFmt w:val="decimal"/>
      <w:lvlText w:val=""/>
      <w:lvlJc w:val="left"/>
    </w:lvl>
    <w:lvl w:ilvl="2" w:tplc="9E34BEFA">
      <w:numFmt w:val="decimal"/>
      <w:lvlText w:val=""/>
      <w:lvlJc w:val="left"/>
    </w:lvl>
    <w:lvl w:ilvl="3" w:tplc="F418DB56">
      <w:numFmt w:val="decimal"/>
      <w:lvlText w:val=""/>
      <w:lvlJc w:val="left"/>
    </w:lvl>
    <w:lvl w:ilvl="4" w:tplc="1C16E91C">
      <w:numFmt w:val="decimal"/>
      <w:lvlText w:val=""/>
      <w:lvlJc w:val="left"/>
    </w:lvl>
    <w:lvl w:ilvl="5" w:tplc="8CFE748A">
      <w:numFmt w:val="decimal"/>
      <w:lvlText w:val=""/>
      <w:lvlJc w:val="left"/>
    </w:lvl>
    <w:lvl w:ilvl="6" w:tplc="6D641B90">
      <w:numFmt w:val="decimal"/>
      <w:lvlText w:val=""/>
      <w:lvlJc w:val="left"/>
    </w:lvl>
    <w:lvl w:ilvl="7" w:tplc="AC6C4CD4">
      <w:numFmt w:val="decimal"/>
      <w:lvlText w:val=""/>
      <w:lvlJc w:val="left"/>
    </w:lvl>
    <w:lvl w:ilvl="8" w:tplc="F4F26D3A">
      <w:numFmt w:val="decimal"/>
      <w:lvlText w:val=""/>
      <w:lvlJc w:val="left"/>
    </w:lvl>
  </w:abstractNum>
  <w:abstractNum w:abstractNumId="61">
    <w:nsid w:val="3FA62ACA"/>
    <w:multiLevelType w:val="hybridMultilevel"/>
    <w:tmpl w:val="9A02D89E"/>
    <w:lvl w:ilvl="0" w:tplc="E0164160">
      <w:start w:val="1"/>
      <w:numFmt w:val="bullet"/>
      <w:lvlText w:val="✓"/>
      <w:lvlJc w:val="left"/>
    </w:lvl>
    <w:lvl w:ilvl="1" w:tplc="80FE216A">
      <w:numFmt w:val="decimal"/>
      <w:lvlText w:val=""/>
      <w:lvlJc w:val="left"/>
    </w:lvl>
    <w:lvl w:ilvl="2" w:tplc="40681F30">
      <w:numFmt w:val="decimal"/>
      <w:lvlText w:val=""/>
      <w:lvlJc w:val="left"/>
    </w:lvl>
    <w:lvl w:ilvl="3" w:tplc="F196AD38">
      <w:numFmt w:val="decimal"/>
      <w:lvlText w:val=""/>
      <w:lvlJc w:val="left"/>
    </w:lvl>
    <w:lvl w:ilvl="4" w:tplc="DEDE848A">
      <w:numFmt w:val="decimal"/>
      <w:lvlText w:val=""/>
      <w:lvlJc w:val="left"/>
    </w:lvl>
    <w:lvl w:ilvl="5" w:tplc="1FC4FDFA">
      <w:numFmt w:val="decimal"/>
      <w:lvlText w:val=""/>
      <w:lvlJc w:val="left"/>
    </w:lvl>
    <w:lvl w:ilvl="6" w:tplc="E6A4B1A2">
      <w:numFmt w:val="decimal"/>
      <w:lvlText w:val=""/>
      <w:lvlJc w:val="left"/>
    </w:lvl>
    <w:lvl w:ilvl="7" w:tplc="0B9E1E06">
      <w:numFmt w:val="decimal"/>
      <w:lvlText w:val=""/>
      <w:lvlJc w:val="left"/>
    </w:lvl>
    <w:lvl w:ilvl="8" w:tplc="2B301698">
      <w:numFmt w:val="decimal"/>
      <w:lvlText w:val=""/>
      <w:lvlJc w:val="left"/>
    </w:lvl>
  </w:abstractNum>
  <w:abstractNum w:abstractNumId="62">
    <w:nsid w:val="415E286C"/>
    <w:multiLevelType w:val="hybridMultilevel"/>
    <w:tmpl w:val="DD767B3E"/>
    <w:lvl w:ilvl="0" w:tplc="791CB4C0">
      <w:start w:val="1"/>
      <w:numFmt w:val="bullet"/>
      <w:lvlText w:val="•"/>
      <w:lvlJc w:val="left"/>
    </w:lvl>
    <w:lvl w:ilvl="1" w:tplc="CDC80B22">
      <w:start w:val="4"/>
      <w:numFmt w:val="lowerRoman"/>
      <w:lvlText w:val="(%2)"/>
      <w:lvlJc w:val="left"/>
    </w:lvl>
    <w:lvl w:ilvl="2" w:tplc="58C01FD4">
      <w:numFmt w:val="decimal"/>
      <w:lvlText w:val=""/>
      <w:lvlJc w:val="left"/>
    </w:lvl>
    <w:lvl w:ilvl="3" w:tplc="7E1ED4CA">
      <w:numFmt w:val="decimal"/>
      <w:lvlText w:val=""/>
      <w:lvlJc w:val="left"/>
    </w:lvl>
    <w:lvl w:ilvl="4" w:tplc="CB60C4A2">
      <w:numFmt w:val="decimal"/>
      <w:lvlText w:val=""/>
      <w:lvlJc w:val="left"/>
    </w:lvl>
    <w:lvl w:ilvl="5" w:tplc="1886171E">
      <w:numFmt w:val="decimal"/>
      <w:lvlText w:val=""/>
      <w:lvlJc w:val="left"/>
    </w:lvl>
    <w:lvl w:ilvl="6" w:tplc="53EC1670">
      <w:numFmt w:val="decimal"/>
      <w:lvlText w:val=""/>
      <w:lvlJc w:val="left"/>
    </w:lvl>
    <w:lvl w:ilvl="7" w:tplc="363E5082">
      <w:numFmt w:val="decimal"/>
      <w:lvlText w:val=""/>
      <w:lvlJc w:val="left"/>
    </w:lvl>
    <w:lvl w:ilvl="8" w:tplc="22D806AA">
      <w:numFmt w:val="decimal"/>
      <w:lvlText w:val=""/>
      <w:lvlJc w:val="left"/>
    </w:lvl>
  </w:abstractNum>
  <w:abstractNum w:abstractNumId="63">
    <w:nsid w:val="42963E5A"/>
    <w:multiLevelType w:val="hybridMultilevel"/>
    <w:tmpl w:val="160895D6"/>
    <w:lvl w:ilvl="0" w:tplc="A2204202">
      <w:start w:val="1"/>
      <w:numFmt w:val="bullet"/>
      <w:lvlText w:val="•"/>
      <w:lvlJc w:val="left"/>
    </w:lvl>
    <w:lvl w:ilvl="1" w:tplc="CE7874AC">
      <w:numFmt w:val="decimal"/>
      <w:lvlText w:val=""/>
      <w:lvlJc w:val="left"/>
    </w:lvl>
    <w:lvl w:ilvl="2" w:tplc="6E16CB62">
      <w:numFmt w:val="decimal"/>
      <w:lvlText w:val=""/>
      <w:lvlJc w:val="left"/>
    </w:lvl>
    <w:lvl w:ilvl="3" w:tplc="FA4856B6">
      <w:numFmt w:val="decimal"/>
      <w:lvlText w:val=""/>
      <w:lvlJc w:val="left"/>
    </w:lvl>
    <w:lvl w:ilvl="4" w:tplc="0D1C626A">
      <w:numFmt w:val="decimal"/>
      <w:lvlText w:val=""/>
      <w:lvlJc w:val="left"/>
    </w:lvl>
    <w:lvl w:ilvl="5" w:tplc="F2D22D8E">
      <w:numFmt w:val="decimal"/>
      <w:lvlText w:val=""/>
      <w:lvlJc w:val="left"/>
    </w:lvl>
    <w:lvl w:ilvl="6" w:tplc="0106817A">
      <w:numFmt w:val="decimal"/>
      <w:lvlText w:val=""/>
      <w:lvlJc w:val="left"/>
    </w:lvl>
    <w:lvl w:ilvl="7" w:tplc="BC105A94">
      <w:numFmt w:val="decimal"/>
      <w:lvlText w:val=""/>
      <w:lvlJc w:val="left"/>
    </w:lvl>
    <w:lvl w:ilvl="8" w:tplc="76FE83DC">
      <w:numFmt w:val="decimal"/>
      <w:lvlText w:val=""/>
      <w:lvlJc w:val="left"/>
    </w:lvl>
  </w:abstractNum>
  <w:abstractNum w:abstractNumId="64">
    <w:nsid w:val="42C296BD"/>
    <w:multiLevelType w:val="hybridMultilevel"/>
    <w:tmpl w:val="31A29206"/>
    <w:lvl w:ilvl="0" w:tplc="8CBC7808">
      <w:start w:val="1"/>
      <w:numFmt w:val="bullet"/>
      <w:lvlText w:val="•"/>
      <w:lvlJc w:val="left"/>
    </w:lvl>
    <w:lvl w:ilvl="1" w:tplc="4CDC02B8">
      <w:numFmt w:val="decimal"/>
      <w:lvlText w:val=""/>
      <w:lvlJc w:val="left"/>
    </w:lvl>
    <w:lvl w:ilvl="2" w:tplc="BE50844A">
      <w:numFmt w:val="decimal"/>
      <w:lvlText w:val=""/>
      <w:lvlJc w:val="left"/>
    </w:lvl>
    <w:lvl w:ilvl="3" w:tplc="8A961258">
      <w:numFmt w:val="decimal"/>
      <w:lvlText w:val=""/>
      <w:lvlJc w:val="left"/>
    </w:lvl>
    <w:lvl w:ilvl="4" w:tplc="F5F68646">
      <w:numFmt w:val="decimal"/>
      <w:lvlText w:val=""/>
      <w:lvlJc w:val="left"/>
    </w:lvl>
    <w:lvl w:ilvl="5" w:tplc="A6BE653C">
      <w:numFmt w:val="decimal"/>
      <w:lvlText w:val=""/>
      <w:lvlJc w:val="left"/>
    </w:lvl>
    <w:lvl w:ilvl="6" w:tplc="18F00816">
      <w:numFmt w:val="decimal"/>
      <w:lvlText w:val=""/>
      <w:lvlJc w:val="left"/>
    </w:lvl>
    <w:lvl w:ilvl="7" w:tplc="A1BAEB22">
      <w:numFmt w:val="decimal"/>
      <w:lvlText w:val=""/>
      <w:lvlJc w:val="left"/>
    </w:lvl>
    <w:lvl w:ilvl="8" w:tplc="11F68FA0">
      <w:numFmt w:val="decimal"/>
      <w:lvlText w:val=""/>
      <w:lvlJc w:val="left"/>
    </w:lvl>
  </w:abstractNum>
  <w:abstractNum w:abstractNumId="65">
    <w:nsid w:val="43F18422"/>
    <w:multiLevelType w:val="hybridMultilevel"/>
    <w:tmpl w:val="6082E666"/>
    <w:lvl w:ilvl="0" w:tplc="5A4CACB6">
      <w:start w:val="1"/>
      <w:numFmt w:val="bullet"/>
      <w:lvlText w:val="*"/>
      <w:lvlJc w:val="left"/>
    </w:lvl>
    <w:lvl w:ilvl="1" w:tplc="5E18370C">
      <w:numFmt w:val="decimal"/>
      <w:lvlText w:val=""/>
      <w:lvlJc w:val="left"/>
    </w:lvl>
    <w:lvl w:ilvl="2" w:tplc="121CFCB4">
      <w:numFmt w:val="decimal"/>
      <w:lvlText w:val=""/>
      <w:lvlJc w:val="left"/>
    </w:lvl>
    <w:lvl w:ilvl="3" w:tplc="2A8A6C1E">
      <w:numFmt w:val="decimal"/>
      <w:lvlText w:val=""/>
      <w:lvlJc w:val="left"/>
    </w:lvl>
    <w:lvl w:ilvl="4" w:tplc="5A04B8F6">
      <w:numFmt w:val="decimal"/>
      <w:lvlText w:val=""/>
      <w:lvlJc w:val="left"/>
    </w:lvl>
    <w:lvl w:ilvl="5" w:tplc="6AFE2724">
      <w:numFmt w:val="decimal"/>
      <w:lvlText w:val=""/>
      <w:lvlJc w:val="left"/>
    </w:lvl>
    <w:lvl w:ilvl="6" w:tplc="0DDE67AE">
      <w:numFmt w:val="decimal"/>
      <w:lvlText w:val=""/>
      <w:lvlJc w:val="left"/>
    </w:lvl>
    <w:lvl w:ilvl="7" w:tplc="1ADA6F52">
      <w:numFmt w:val="decimal"/>
      <w:lvlText w:val=""/>
      <w:lvlJc w:val="left"/>
    </w:lvl>
    <w:lvl w:ilvl="8" w:tplc="06346D62">
      <w:numFmt w:val="decimal"/>
      <w:lvlText w:val=""/>
      <w:lvlJc w:val="left"/>
    </w:lvl>
  </w:abstractNum>
  <w:abstractNum w:abstractNumId="66">
    <w:nsid w:val="4427069A"/>
    <w:multiLevelType w:val="hybridMultilevel"/>
    <w:tmpl w:val="00F2B4D2"/>
    <w:lvl w:ilvl="0" w:tplc="8A649560">
      <w:start w:val="1"/>
      <w:numFmt w:val="bullet"/>
      <w:lvlText w:val="•"/>
      <w:lvlJc w:val="left"/>
    </w:lvl>
    <w:lvl w:ilvl="1" w:tplc="0944E5BA">
      <w:numFmt w:val="decimal"/>
      <w:lvlText w:val=""/>
      <w:lvlJc w:val="left"/>
    </w:lvl>
    <w:lvl w:ilvl="2" w:tplc="B4A00628">
      <w:numFmt w:val="decimal"/>
      <w:lvlText w:val=""/>
      <w:lvlJc w:val="left"/>
    </w:lvl>
    <w:lvl w:ilvl="3" w:tplc="80B65BD8">
      <w:numFmt w:val="decimal"/>
      <w:lvlText w:val=""/>
      <w:lvlJc w:val="left"/>
    </w:lvl>
    <w:lvl w:ilvl="4" w:tplc="CA4AF3F2">
      <w:numFmt w:val="decimal"/>
      <w:lvlText w:val=""/>
      <w:lvlJc w:val="left"/>
    </w:lvl>
    <w:lvl w:ilvl="5" w:tplc="364A23AE">
      <w:numFmt w:val="decimal"/>
      <w:lvlText w:val=""/>
      <w:lvlJc w:val="left"/>
    </w:lvl>
    <w:lvl w:ilvl="6" w:tplc="33DE3400">
      <w:numFmt w:val="decimal"/>
      <w:lvlText w:val=""/>
      <w:lvlJc w:val="left"/>
    </w:lvl>
    <w:lvl w:ilvl="7" w:tplc="67EAEC72">
      <w:numFmt w:val="decimal"/>
      <w:lvlText w:val=""/>
      <w:lvlJc w:val="left"/>
    </w:lvl>
    <w:lvl w:ilvl="8" w:tplc="7B840CAA">
      <w:numFmt w:val="decimal"/>
      <w:lvlText w:val=""/>
      <w:lvlJc w:val="left"/>
    </w:lvl>
  </w:abstractNum>
  <w:abstractNum w:abstractNumId="67">
    <w:nsid w:val="45E6D486"/>
    <w:multiLevelType w:val="hybridMultilevel"/>
    <w:tmpl w:val="7C6E25E4"/>
    <w:lvl w:ilvl="0" w:tplc="1946E79C">
      <w:start w:val="1"/>
      <w:numFmt w:val="bullet"/>
      <w:lvlText w:val="•"/>
      <w:lvlJc w:val="left"/>
    </w:lvl>
    <w:lvl w:ilvl="1" w:tplc="D80843D2">
      <w:numFmt w:val="decimal"/>
      <w:lvlText w:val=""/>
      <w:lvlJc w:val="left"/>
    </w:lvl>
    <w:lvl w:ilvl="2" w:tplc="2612EF58">
      <w:numFmt w:val="decimal"/>
      <w:lvlText w:val=""/>
      <w:lvlJc w:val="left"/>
    </w:lvl>
    <w:lvl w:ilvl="3" w:tplc="98DE2A56">
      <w:numFmt w:val="decimal"/>
      <w:lvlText w:val=""/>
      <w:lvlJc w:val="left"/>
    </w:lvl>
    <w:lvl w:ilvl="4" w:tplc="6FEE9A50">
      <w:numFmt w:val="decimal"/>
      <w:lvlText w:val=""/>
      <w:lvlJc w:val="left"/>
    </w:lvl>
    <w:lvl w:ilvl="5" w:tplc="6C6A78A2">
      <w:numFmt w:val="decimal"/>
      <w:lvlText w:val=""/>
      <w:lvlJc w:val="left"/>
    </w:lvl>
    <w:lvl w:ilvl="6" w:tplc="695A09A6">
      <w:numFmt w:val="decimal"/>
      <w:lvlText w:val=""/>
      <w:lvlJc w:val="left"/>
    </w:lvl>
    <w:lvl w:ilvl="7" w:tplc="9042BE4A">
      <w:numFmt w:val="decimal"/>
      <w:lvlText w:val=""/>
      <w:lvlJc w:val="left"/>
    </w:lvl>
    <w:lvl w:ilvl="8" w:tplc="B1BCFA68">
      <w:numFmt w:val="decimal"/>
      <w:lvlText w:val=""/>
      <w:lvlJc w:val="left"/>
    </w:lvl>
  </w:abstractNum>
  <w:abstractNum w:abstractNumId="68">
    <w:nsid w:val="46B7D447"/>
    <w:multiLevelType w:val="hybridMultilevel"/>
    <w:tmpl w:val="AF8C0302"/>
    <w:lvl w:ilvl="0" w:tplc="D8A01E98">
      <w:start w:val="34"/>
      <w:numFmt w:val="decimal"/>
      <w:lvlText w:val="%1"/>
      <w:lvlJc w:val="left"/>
    </w:lvl>
    <w:lvl w:ilvl="1" w:tplc="152A6412">
      <w:numFmt w:val="decimal"/>
      <w:lvlText w:val=""/>
      <w:lvlJc w:val="left"/>
    </w:lvl>
    <w:lvl w:ilvl="2" w:tplc="8C0053C4">
      <w:numFmt w:val="decimal"/>
      <w:lvlText w:val=""/>
      <w:lvlJc w:val="left"/>
    </w:lvl>
    <w:lvl w:ilvl="3" w:tplc="072091A4">
      <w:numFmt w:val="decimal"/>
      <w:lvlText w:val=""/>
      <w:lvlJc w:val="left"/>
    </w:lvl>
    <w:lvl w:ilvl="4" w:tplc="BB58B830">
      <w:numFmt w:val="decimal"/>
      <w:lvlText w:val=""/>
      <w:lvlJc w:val="left"/>
    </w:lvl>
    <w:lvl w:ilvl="5" w:tplc="BB1211AA">
      <w:numFmt w:val="decimal"/>
      <w:lvlText w:val=""/>
      <w:lvlJc w:val="left"/>
    </w:lvl>
    <w:lvl w:ilvl="6" w:tplc="0C64D768">
      <w:numFmt w:val="decimal"/>
      <w:lvlText w:val=""/>
      <w:lvlJc w:val="left"/>
    </w:lvl>
    <w:lvl w:ilvl="7" w:tplc="5B2871A8">
      <w:numFmt w:val="decimal"/>
      <w:lvlText w:val=""/>
      <w:lvlJc w:val="left"/>
    </w:lvl>
    <w:lvl w:ilvl="8" w:tplc="B088DA06">
      <w:numFmt w:val="decimal"/>
      <w:lvlText w:val=""/>
      <w:lvlJc w:val="left"/>
    </w:lvl>
  </w:abstractNum>
  <w:abstractNum w:abstractNumId="69">
    <w:nsid w:val="4962813B"/>
    <w:multiLevelType w:val="hybridMultilevel"/>
    <w:tmpl w:val="153E6E50"/>
    <w:lvl w:ilvl="0" w:tplc="644E5A12">
      <w:start w:val="1"/>
      <w:numFmt w:val="bullet"/>
      <w:lvlText w:val="•"/>
      <w:lvlJc w:val="left"/>
    </w:lvl>
    <w:lvl w:ilvl="1" w:tplc="F9E42F4E">
      <w:numFmt w:val="decimal"/>
      <w:lvlText w:val=""/>
      <w:lvlJc w:val="left"/>
    </w:lvl>
    <w:lvl w:ilvl="2" w:tplc="5112B5F0">
      <w:numFmt w:val="decimal"/>
      <w:lvlText w:val=""/>
      <w:lvlJc w:val="left"/>
    </w:lvl>
    <w:lvl w:ilvl="3" w:tplc="5E123D0E">
      <w:numFmt w:val="decimal"/>
      <w:lvlText w:val=""/>
      <w:lvlJc w:val="left"/>
    </w:lvl>
    <w:lvl w:ilvl="4" w:tplc="8D7E93A4">
      <w:numFmt w:val="decimal"/>
      <w:lvlText w:val=""/>
      <w:lvlJc w:val="left"/>
    </w:lvl>
    <w:lvl w:ilvl="5" w:tplc="961294BE">
      <w:numFmt w:val="decimal"/>
      <w:lvlText w:val=""/>
      <w:lvlJc w:val="left"/>
    </w:lvl>
    <w:lvl w:ilvl="6" w:tplc="DB561EE2">
      <w:numFmt w:val="decimal"/>
      <w:lvlText w:val=""/>
      <w:lvlJc w:val="left"/>
    </w:lvl>
    <w:lvl w:ilvl="7" w:tplc="187CABD4">
      <w:numFmt w:val="decimal"/>
      <w:lvlText w:val=""/>
      <w:lvlJc w:val="left"/>
    </w:lvl>
    <w:lvl w:ilvl="8" w:tplc="52E0C770">
      <w:numFmt w:val="decimal"/>
      <w:lvlText w:val=""/>
      <w:lvlJc w:val="left"/>
    </w:lvl>
  </w:abstractNum>
  <w:abstractNum w:abstractNumId="70">
    <w:nsid w:val="49D0FEAC"/>
    <w:multiLevelType w:val="hybridMultilevel"/>
    <w:tmpl w:val="D876D388"/>
    <w:lvl w:ilvl="0" w:tplc="A8100FF6">
      <w:start w:val="96"/>
      <w:numFmt w:val="decimal"/>
      <w:lvlText w:val="%1"/>
      <w:lvlJc w:val="left"/>
    </w:lvl>
    <w:lvl w:ilvl="1" w:tplc="9A60ECC4">
      <w:numFmt w:val="decimal"/>
      <w:lvlText w:val=""/>
      <w:lvlJc w:val="left"/>
    </w:lvl>
    <w:lvl w:ilvl="2" w:tplc="B718B656">
      <w:numFmt w:val="decimal"/>
      <w:lvlText w:val=""/>
      <w:lvlJc w:val="left"/>
    </w:lvl>
    <w:lvl w:ilvl="3" w:tplc="B824F106">
      <w:numFmt w:val="decimal"/>
      <w:lvlText w:val=""/>
      <w:lvlJc w:val="left"/>
    </w:lvl>
    <w:lvl w:ilvl="4" w:tplc="27B80238">
      <w:numFmt w:val="decimal"/>
      <w:lvlText w:val=""/>
      <w:lvlJc w:val="left"/>
    </w:lvl>
    <w:lvl w:ilvl="5" w:tplc="609C98F6">
      <w:numFmt w:val="decimal"/>
      <w:lvlText w:val=""/>
      <w:lvlJc w:val="left"/>
    </w:lvl>
    <w:lvl w:ilvl="6" w:tplc="C5C0E904">
      <w:numFmt w:val="decimal"/>
      <w:lvlText w:val=""/>
      <w:lvlJc w:val="left"/>
    </w:lvl>
    <w:lvl w:ilvl="7" w:tplc="E3A6E74E">
      <w:numFmt w:val="decimal"/>
      <w:lvlText w:val=""/>
      <w:lvlJc w:val="left"/>
    </w:lvl>
    <w:lvl w:ilvl="8" w:tplc="52E22504">
      <w:numFmt w:val="decimal"/>
      <w:lvlText w:val=""/>
      <w:lvlJc w:val="left"/>
    </w:lvl>
  </w:abstractNum>
  <w:abstractNum w:abstractNumId="71">
    <w:nsid w:val="49DA307D"/>
    <w:multiLevelType w:val="hybridMultilevel"/>
    <w:tmpl w:val="81063726"/>
    <w:lvl w:ilvl="0" w:tplc="051E9DE2">
      <w:start w:val="1"/>
      <w:numFmt w:val="bullet"/>
      <w:lvlText w:val="•"/>
      <w:lvlJc w:val="left"/>
    </w:lvl>
    <w:lvl w:ilvl="1" w:tplc="524C8460">
      <w:start w:val="1"/>
      <w:numFmt w:val="bullet"/>
      <w:lvlText w:val="○"/>
      <w:lvlJc w:val="left"/>
    </w:lvl>
    <w:lvl w:ilvl="2" w:tplc="BB4A83AE">
      <w:numFmt w:val="decimal"/>
      <w:lvlText w:val=""/>
      <w:lvlJc w:val="left"/>
    </w:lvl>
    <w:lvl w:ilvl="3" w:tplc="14149EE6">
      <w:numFmt w:val="decimal"/>
      <w:lvlText w:val=""/>
      <w:lvlJc w:val="left"/>
    </w:lvl>
    <w:lvl w:ilvl="4" w:tplc="82C89D0A">
      <w:numFmt w:val="decimal"/>
      <w:lvlText w:val=""/>
      <w:lvlJc w:val="left"/>
    </w:lvl>
    <w:lvl w:ilvl="5" w:tplc="F898AAF4">
      <w:numFmt w:val="decimal"/>
      <w:lvlText w:val=""/>
      <w:lvlJc w:val="left"/>
    </w:lvl>
    <w:lvl w:ilvl="6" w:tplc="E0FE10FA">
      <w:numFmt w:val="decimal"/>
      <w:lvlText w:val=""/>
      <w:lvlJc w:val="left"/>
    </w:lvl>
    <w:lvl w:ilvl="7" w:tplc="AC9C6F84">
      <w:numFmt w:val="decimal"/>
      <w:lvlText w:val=""/>
      <w:lvlJc w:val="left"/>
    </w:lvl>
    <w:lvl w:ilvl="8" w:tplc="A1B069FE">
      <w:numFmt w:val="decimal"/>
      <w:lvlText w:val=""/>
      <w:lvlJc w:val="left"/>
    </w:lvl>
  </w:abstractNum>
  <w:abstractNum w:abstractNumId="72">
    <w:nsid w:val="4A2AC315"/>
    <w:multiLevelType w:val="hybridMultilevel"/>
    <w:tmpl w:val="D4B23D30"/>
    <w:lvl w:ilvl="0" w:tplc="E0B083EE">
      <w:start w:val="36"/>
      <w:numFmt w:val="decimal"/>
      <w:lvlText w:val="%1"/>
      <w:lvlJc w:val="left"/>
    </w:lvl>
    <w:lvl w:ilvl="1" w:tplc="C8E0BCBA">
      <w:numFmt w:val="decimal"/>
      <w:lvlText w:val=""/>
      <w:lvlJc w:val="left"/>
    </w:lvl>
    <w:lvl w:ilvl="2" w:tplc="ABC2C210">
      <w:numFmt w:val="decimal"/>
      <w:lvlText w:val=""/>
      <w:lvlJc w:val="left"/>
    </w:lvl>
    <w:lvl w:ilvl="3" w:tplc="5FD86BB8">
      <w:numFmt w:val="decimal"/>
      <w:lvlText w:val=""/>
      <w:lvlJc w:val="left"/>
    </w:lvl>
    <w:lvl w:ilvl="4" w:tplc="1184716E">
      <w:numFmt w:val="decimal"/>
      <w:lvlText w:val=""/>
      <w:lvlJc w:val="left"/>
    </w:lvl>
    <w:lvl w:ilvl="5" w:tplc="17AA55F4">
      <w:numFmt w:val="decimal"/>
      <w:lvlText w:val=""/>
      <w:lvlJc w:val="left"/>
    </w:lvl>
    <w:lvl w:ilvl="6" w:tplc="DA6CEA3E">
      <w:numFmt w:val="decimal"/>
      <w:lvlText w:val=""/>
      <w:lvlJc w:val="left"/>
    </w:lvl>
    <w:lvl w:ilvl="7" w:tplc="DFECDA22">
      <w:numFmt w:val="decimal"/>
      <w:lvlText w:val=""/>
      <w:lvlJc w:val="left"/>
    </w:lvl>
    <w:lvl w:ilvl="8" w:tplc="07B6482E">
      <w:numFmt w:val="decimal"/>
      <w:lvlText w:val=""/>
      <w:lvlJc w:val="left"/>
    </w:lvl>
  </w:abstractNum>
  <w:abstractNum w:abstractNumId="73">
    <w:nsid w:val="4BD8591A"/>
    <w:multiLevelType w:val="hybridMultilevel"/>
    <w:tmpl w:val="96AA6190"/>
    <w:lvl w:ilvl="0" w:tplc="37D69070">
      <w:start w:val="68"/>
      <w:numFmt w:val="decimal"/>
      <w:lvlText w:val="%1"/>
      <w:lvlJc w:val="left"/>
    </w:lvl>
    <w:lvl w:ilvl="1" w:tplc="BA0E5370">
      <w:numFmt w:val="decimal"/>
      <w:lvlText w:val=""/>
      <w:lvlJc w:val="left"/>
    </w:lvl>
    <w:lvl w:ilvl="2" w:tplc="7C3EF33A">
      <w:numFmt w:val="decimal"/>
      <w:lvlText w:val=""/>
      <w:lvlJc w:val="left"/>
    </w:lvl>
    <w:lvl w:ilvl="3" w:tplc="898097D4">
      <w:numFmt w:val="decimal"/>
      <w:lvlText w:val=""/>
      <w:lvlJc w:val="left"/>
    </w:lvl>
    <w:lvl w:ilvl="4" w:tplc="0F86D13A">
      <w:numFmt w:val="decimal"/>
      <w:lvlText w:val=""/>
      <w:lvlJc w:val="left"/>
    </w:lvl>
    <w:lvl w:ilvl="5" w:tplc="2F38C566">
      <w:numFmt w:val="decimal"/>
      <w:lvlText w:val=""/>
      <w:lvlJc w:val="left"/>
    </w:lvl>
    <w:lvl w:ilvl="6" w:tplc="92880394">
      <w:numFmt w:val="decimal"/>
      <w:lvlText w:val=""/>
      <w:lvlJc w:val="left"/>
    </w:lvl>
    <w:lvl w:ilvl="7" w:tplc="8436A056">
      <w:numFmt w:val="decimal"/>
      <w:lvlText w:val=""/>
      <w:lvlJc w:val="left"/>
    </w:lvl>
    <w:lvl w:ilvl="8" w:tplc="8B584B02">
      <w:numFmt w:val="decimal"/>
      <w:lvlText w:val=""/>
      <w:lvlJc w:val="left"/>
    </w:lvl>
  </w:abstractNum>
  <w:abstractNum w:abstractNumId="74">
    <w:nsid w:val="4BEE5A5B"/>
    <w:multiLevelType w:val="hybridMultilevel"/>
    <w:tmpl w:val="7A60427A"/>
    <w:lvl w:ilvl="0" w:tplc="99443388">
      <w:start w:val="98"/>
      <w:numFmt w:val="decimal"/>
      <w:lvlText w:val="%1"/>
      <w:lvlJc w:val="left"/>
    </w:lvl>
    <w:lvl w:ilvl="1" w:tplc="638A3DD6">
      <w:numFmt w:val="decimal"/>
      <w:lvlText w:val=""/>
      <w:lvlJc w:val="left"/>
    </w:lvl>
    <w:lvl w:ilvl="2" w:tplc="B3FAF27E">
      <w:numFmt w:val="decimal"/>
      <w:lvlText w:val=""/>
      <w:lvlJc w:val="left"/>
    </w:lvl>
    <w:lvl w:ilvl="3" w:tplc="8FFC465E">
      <w:numFmt w:val="decimal"/>
      <w:lvlText w:val=""/>
      <w:lvlJc w:val="left"/>
    </w:lvl>
    <w:lvl w:ilvl="4" w:tplc="E968CE9C">
      <w:numFmt w:val="decimal"/>
      <w:lvlText w:val=""/>
      <w:lvlJc w:val="left"/>
    </w:lvl>
    <w:lvl w:ilvl="5" w:tplc="BB2616E8">
      <w:numFmt w:val="decimal"/>
      <w:lvlText w:val=""/>
      <w:lvlJc w:val="left"/>
    </w:lvl>
    <w:lvl w:ilvl="6" w:tplc="0AA6EFE4">
      <w:numFmt w:val="decimal"/>
      <w:lvlText w:val=""/>
      <w:lvlJc w:val="left"/>
    </w:lvl>
    <w:lvl w:ilvl="7" w:tplc="7FB22D40">
      <w:numFmt w:val="decimal"/>
      <w:lvlText w:val=""/>
      <w:lvlJc w:val="left"/>
    </w:lvl>
    <w:lvl w:ilvl="8" w:tplc="6198A1DE">
      <w:numFmt w:val="decimal"/>
      <w:lvlText w:val=""/>
      <w:lvlJc w:val="left"/>
    </w:lvl>
  </w:abstractNum>
  <w:abstractNum w:abstractNumId="75">
    <w:nsid w:val="4C04A8AF"/>
    <w:multiLevelType w:val="hybridMultilevel"/>
    <w:tmpl w:val="CAD4E4C8"/>
    <w:lvl w:ilvl="0" w:tplc="82D0F79A">
      <w:start w:val="28"/>
      <w:numFmt w:val="decimal"/>
      <w:lvlText w:val="%1"/>
      <w:lvlJc w:val="left"/>
    </w:lvl>
    <w:lvl w:ilvl="1" w:tplc="6560918C">
      <w:numFmt w:val="decimal"/>
      <w:lvlText w:val=""/>
      <w:lvlJc w:val="left"/>
    </w:lvl>
    <w:lvl w:ilvl="2" w:tplc="32D2F410">
      <w:numFmt w:val="decimal"/>
      <w:lvlText w:val=""/>
      <w:lvlJc w:val="left"/>
    </w:lvl>
    <w:lvl w:ilvl="3" w:tplc="A7CCC3CC">
      <w:numFmt w:val="decimal"/>
      <w:lvlText w:val=""/>
      <w:lvlJc w:val="left"/>
    </w:lvl>
    <w:lvl w:ilvl="4" w:tplc="F4C48996">
      <w:numFmt w:val="decimal"/>
      <w:lvlText w:val=""/>
      <w:lvlJc w:val="left"/>
    </w:lvl>
    <w:lvl w:ilvl="5" w:tplc="C6B0E0F0">
      <w:numFmt w:val="decimal"/>
      <w:lvlText w:val=""/>
      <w:lvlJc w:val="left"/>
    </w:lvl>
    <w:lvl w:ilvl="6" w:tplc="D586FC86">
      <w:numFmt w:val="decimal"/>
      <w:lvlText w:val=""/>
      <w:lvlJc w:val="left"/>
    </w:lvl>
    <w:lvl w:ilvl="7" w:tplc="36387626">
      <w:numFmt w:val="decimal"/>
      <w:lvlText w:val=""/>
      <w:lvlJc w:val="left"/>
    </w:lvl>
    <w:lvl w:ilvl="8" w:tplc="F348C836">
      <w:numFmt w:val="decimal"/>
      <w:lvlText w:val=""/>
      <w:lvlJc w:val="left"/>
    </w:lvl>
  </w:abstractNum>
  <w:abstractNum w:abstractNumId="76">
    <w:nsid w:val="4C9B0904"/>
    <w:multiLevelType w:val="hybridMultilevel"/>
    <w:tmpl w:val="11B00C66"/>
    <w:lvl w:ilvl="0" w:tplc="E240590E">
      <w:start w:val="74"/>
      <w:numFmt w:val="decimal"/>
      <w:lvlText w:val="%1"/>
      <w:lvlJc w:val="left"/>
    </w:lvl>
    <w:lvl w:ilvl="1" w:tplc="F8AA3738">
      <w:numFmt w:val="decimal"/>
      <w:lvlText w:val=""/>
      <w:lvlJc w:val="left"/>
    </w:lvl>
    <w:lvl w:ilvl="2" w:tplc="DC0C532E">
      <w:numFmt w:val="decimal"/>
      <w:lvlText w:val=""/>
      <w:lvlJc w:val="left"/>
    </w:lvl>
    <w:lvl w:ilvl="3" w:tplc="90A0EE38">
      <w:numFmt w:val="decimal"/>
      <w:lvlText w:val=""/>
      <w:lvlJc w:val="left"/>
    </w:lvl>
    <w:lvl w:ilvl="4" w:tplc="74009096">
      <w:numFmt w:val="decimal"/>
      <w:lvlText w:val=""/>
      <w:lvlJc w:val="left"/>
    </w:lvl>
    <w:lvl w:ilvl="5" w:tplc="3C5E38FE">
      <w:numFmt w:val="decimal"/>
      <w:lvlText w:val=""/>
      <w:lvlJc w:val="left"/>
    </w:lvl>
    <w:lvl w:ilvl="6" w:tplc="F7705060">
      <w:numFmt w:val="decimal"/>
      <w:lvlText w:val=""/>
      <w:lvlJc w:val="left"/>
    </w:lvl>
    <w:lvl w:ilvl="7" w:tplc="CF9E5E2A">
      <w:numFmt w:val="decimal"/>
      <w:lvlText w:val=""/>
      <w:lvlJc w:val="left"/>
    </w:lvl>
    <w:lvl w:ilvl="8" w:tplc="CC044092">
      <w:numFmt w:val="decimal"/>
      <w:lvlText w:val=""/>
      <w:lvlJc w:val="left"/>
    </w:lvl>
  </w:abstractNum>
  <w:abstractNum w:abstractNumId="77">
    <w:nsid w:val="4DF72E4E"/>
    <w:multiLevelType w:val="hybridMultilevel"/>
    <w:tmpl w:val="4448EF76"/>
    <w:lvl w:ilvl="0" w:tplc="331ACD3E">
      <w:start w:val="1"/>
      <w:numFmt w:val="bullet"/>
      <w:lvlText w:val="•"/>
      <w:lvlJc w:val="left"/>
    </w:lvl>
    <w:lvl w:ilvl="1" w:tplc="4F2CD74E">
      <w:numFmt w:val="decimal"/>
      <w:lvlText w:val=""/>
      <w:lvlJc w:val="left"/>
    </w:lvl>
    <w:lvl w:ilvl="2" w:tplc="7FFA3DC6">
      <w:numFmt w:val="decimal"/>
      <w:lvlText w:val=""/>
      <w:lvlJc w:val="left"/>
    </w:lvl>
    <w:lvl w:ilvl="3" w:tplc="36CCABE0">
      <w:numFmt w:val="decimal"/>
      <w:lvlText w:val=""/>
      <w:lvlJc w:val="left"/>
    </w:lvl>
    <w:lvl w:ilvl="4" w:tplc="3E4EC77C">
      <w:numFmt w:val="decimal"/>
      <w:lvlText w:val=""/>
      <w:lvlJc w:val="left"/>
    </w:lvl>
    <w:lvl w:ilvl="5" w:tplc="538C7CF4">
      <w:numFmt w:val="decimal"/>
      <w:lvlText w:val=""/>
      <w:lvlJc w:val="left"/>
    </w:lvl>
    <w:lvl w:ilvl="6" w:tplc="10C48270">
      <w:numFmt w:val="decimal"/>
      <w:lvlText w:val=""/>
      <w:lvlJc w:val="left"/>
    </w:lvl>
    <w:lvl w:ilvl="7" w:tplc="6B169A3A">
      <w:numFmt w:val="decimal"/>
      <w:lvlText w:val=""/>
      <w:lvlJc w:val="left"/>
    </w:lvl>
    <w:lvl w:ilvl="8" w:tplc="4BD6D9AA">
      <w:numFmt w:val="decimal"/>
      <w:lvlText w:val=""/>
      <w:lvlJc w:val="left"/>
    </w:lvl>
  </w:abstractNum>
  <w:abstractNum w:abstractNumId="78">
    <w:nsid w:val="4F97E3E4"/>
    <w:multiLevelType w:val="hybridMultilevel"/>
    <w:tmpl w:val="3E6AE08C"/>
    <w:lvl w:ilvl="0" w:tplc="1EE6D844">
      <w:start w:val="2"/>
      <w:numFmt w:val="lowerRoman"/>
      <w:lvlText w:val="(%1)"/>
      <w:lvlJc w:val="left"/>
    </w:lvl>
    <w:lvl w:ilvl="1" w:tplc="39DAB2F8">
      <w:numFmt w:val="decimal"/>
      <w:lvlText w:val=""/>
      <w:lvlJc w:val="left"/>
    </w:lvl>
    <w:lvl w:ilvl="2" w:tplc="714CEB08">
      <w:numFmt w:val="decimal"/>
      <w:lvlText w:val=""/>
      <w:lvlJc w:val="left"/>
    </w:lvl>
    <w:lvl w:ilvl="3" w:tplc="4D8C529A">
      <w:numFmt w:val="decimal"/>
      <w:lvlText w:val=""/>
      <w:lvlJc w:val="left"/>
    </w:lvl>
    <w:lvl w:ilvl="4" w:tplc="44D03372">
      <w:numFmt w:val="decimal"/>
      <w:lvlText w:val=""/>
      <w:lvlJc w:val="left"/>
    </w:lvl>
    <w:lvl w:ilvl="5" w:tplc="F196BDAE">
      <w:numFmt w:val="decimal"/>
      <w:lvlText w:val=""/>
      <w:lvlJc w:val="left"/>
    </w:lvl>
    <w:lvl w:ilvl="6" w:tplc="57D02D80">
      <w:numFmt w:val="decimal"/>
      <w:lvlText w:val=""/>
      <w:lvlJc w:val="left"/>
    </w:lvl>
    <w:lvl w:ilvl="7" w:tplc="015A111A">
      <w:numFmt w:val="decimal"/>
      <w:lvlText w:val=""/>
      <w:lvlJc w:val="left"/>
    </w:lvl>
    <w:lvl w:ilvl="8" w:tplc="956AAE04">
      <w:numFmt w:val="decimal"/>
      <w:lvlText w:val=""/>
      <w:lvlJc w:val="left"/>
    </w:lvl>
  </w:abstractNum>
  <w:abstractNum w:abstractNumId="79">
    <w:nsid w:val="5046B5A9"/>
    <w:multiLevelType w:val="hybridMultilevel"/>
    <w:tmpl w:val="E042DC4C"/>
    <w:lvl w:ilvl="0" w:tplc="0134675A">
      <w:start w:val="86"/>
      <w:numFmt w:val="decimal"/>
      <w:lvlText w:val="%1"/>
      <w:lvlJc w:val="left"/>
    </w:lvl>
    <w:lvl w:ilvl="1" w:tplc="4B6A7204">
      <w:numFmt w:val="decimal"/>
      <w:lvlText w:val=""/>
      <w:lvlJc w:val="left"/>
    </w:lvl>
    <w:lvl w:ilvl="2" w:tplc="8E18D0F0">
      <w:numFmt w:val="decimal"/>
      <w:lvlText w:val=""/>
      <w:lvlJc w:val="left"/>
    </w:lvl>
    <w:lvl w:ilvl="3" w:tplc="136A4C6A">
      <w:numFmt w:val="decimal"/>
      <w:lvlText w:val=""/>
      <w:lvlJc w:val="left"/>
    </w:lvl>
    <w:lvl w:ilvl="4" w:tplc="024C8BBA">
      <w:numFmt w:val="decimal"/>
      <w:lvlText w:val=""/>
      <w:lvlJc w:val="left"/>
    </w:lvl>
    <w:lvl w:ilvl="5" w:tplc="F8CC6E0E">
      <w:numFmt w:val="decimal"/>
      <w:lvlText w:val=""/>
      <w:lvlJc w:val="left"/>
    </w:lvl>
    <w:lvl w:ilvl="6" w:tplc="9A66BFCE">
      <w:numFmt w:val="decimal"/>
      <w:lvlText w:val=""/>
      <w:lvlJc w:val="left"/>
    </w:lvl>
    <w:lvl w:ilvl="7" w:tplc="E44E16E4">
      <w:numFmt w:val="decimal"/>
      <w:lvlText w:val=""/>
      <w:lvlJc w:val="left"/>
    </w:lvl>
    <w:lvl w:ilvl="8" w:tplc="ABCC26E4">
      <w:numFmt w:val="decimal"/>
      <w:lvlText w:val=""/>
      <w:lvlJc w:val="left"/>
    </w:lvl>
  </w:abstractNum>
  <w:abstractNum w:abstractNumId="80">
    <w:nsid w:val="50801EE1"/>
    <w:multiLevelType w:val="hybridMultilevel"/>
    <w:tmpl w:val="5DB8D358"/>
    <w:lvl w:ilvl="0" w:tplc="8F344A92">
      <w:start w:val="46"/>
      <w:numFmt w:val="decimal"/>
      <w:lvlText w:val="%1"/>
      <w:lvlJc w:val="left"/>
    </w:lvl>
    <w:lvl w:ilvl="1" w:tplc="504E29FC">
      <w:numFmt w:val="decimal"/>
      <w:lvlText w:val=""/>
      <w:lvlJc w:val="left"/>
    </w:lvl>
    <w:lvl w:ilvl="2" w:tplc="10667F38">
      <w:numFmt w:val="decimal"/>
      <w:lvlText w:val=""/>
      <w:lvlJc w:val="left"/>
    </w:lvl>
    <w:lvl w:ilvl="3" w:tplc="1EC0364A">
      <w:numFmt w:val="decimal"/>
      <w:lvlText w:val=""/>
      <w:lvlJc w:val="left"/>
    </w:lvl>
    <w:lvl w:ilvl="4" w:tplc="3CD077AA">
      <w:numFmt w:val="decimal"/>
      <w:lvlText w:val=""/>
      <w:lvlJc w:val="left"/>
    </w:lvl>
    <w:lvl w:ilvl="5" w:tplc="4A9EDEE4">
      <w:numFmt w:val="decimal"/>
      <w:lvlText w:val=""/>
      <w:lvlJc w:val="left"/>
    </w:lvl>
    <w:lvl w:ilvl="6" w:tplc="84E6CB68">
      <w:numFmt w:val="decimal"/>
      <w:lvlText w:val=""/>
      <w:lvlJc w:val="left"/>
    </w:lvl>
    <w:lvl w:ilvl="7" w:tplc="05A4A4D4">
      <w:numFmt w:val="decimal"/>
      <w:lvlText w:val=""/>
      <w:lvlJc w:val="left"/>
    </w:lvl>
    <w:lvl w:ilvl="8" w:tplc="FDF8D35E">
      <w:numFmt w:val="decimal"/>
      <w:lvlText w:val=""/>
      <w:lvlJc w:val="left"/>
    </w:lvl>
  </w:abstractNum>
  <w:abstractNum w:abstractNumId="81">
    <w:nsid w:val="5092CA79"/>
    <w:multiLevelType w:val="hybridMultilevel"/>
    <w:tmpl w:val="F0F6BD2C"/>
    <w:lvl w:ilvl="0" w:tplc="E57C61C4">
      <w:start w:val="1"/>
      <w:numFmt w:val="decimal"/>
      <w:lvlText w:val="(%1)"/>
      <w:lvlJc w:val="left"/>
    </w:lvl>
    <w:lvl w:ilvl="1" w:tplc="FB8009BE">
      <w:numFmt w:val="decimal"/>
      <w:lvlText w:val=""/>
      <w:lvlJc w:val="left"/>
    </w:lvl>
    <w:lvl w:ilvl="2" w:tplc="301CF606">
      <w:numFmt w:val="decimal"/>
      <w:lvlText w:val=""/>
      <w:lvlJc w:val="left"/>
    </w:lvl>
    <w:lvl w:ilvl="3" w:tplc="DA4ACAC4">
      <w:numFmt w:val="decimal"/>
      <w:lvlText w:val=""/>
      <w:lvlJc w:val="left"/>
    </w:lvl>
    <w:lvl w:ilvl="4" w:tplc="62DAB7D6">
      <w:numFmt w:val="decimal"/>
      <w:lvlText w:val=""/>
      <w:lvlJc w:val="left"/>
    </w:lvl>
    <w:lvl w:ilvl="5" w:tplc="320AF2D0">
      <w:numFmt w:val="decimal"/>
      <w:lvlText w:val=""/>
      <w:lvlJc w:val="left"/>
    </w:lvl>
    <w:lvl w:ilvl="6" w:tplc="9F74CC30">
      <w:numFmt w:val="decimal"/>
      <w:lvlText w:val=""/>
      <w:lvlJc w:val="left"/>
    </w:lvl>
    <w:lvl w:ilvl="7" w:tplc="F856A608">
      <w:numFmt w:val="decimal"/>
      <w:lvlText w:val=""/>
      <w:lvlJc w:val="left"/>
    </w:lvl>
    <w:lvl w:ilvl="8" w:tplc="15969FCC">
      <w:numFmt w:val="decimal"/>
      <w:lvlText w:val=""/>
      <w:lvlJc w:val="left"/>
    </w:lvl>
  </w:abstractNum>
  <w:abstractNum w:abstractNumId="82">
    <w:nsid w:val="51088277"/>
    <w:multiLevelType w:val="hybridMultilevel"/>
    <w:tmpl w:val="3926B7C0"/>
    <w:lvl w:ilvl="0" w:tplc="C024A39C">
      <w:start w:val="1"/>
      <w:numFmt w:val="decimal"/>
      <w:lvlText w:val="(%1)"/>
      <w:lvlJc w:val="left"/>
    </w:lvl>
    <w:lvl w:ilvl="1" w:tplc="4468A596">
      <w:start w:val="1"/>
      <w:numFmt w:val="lowerRoman"/>
      <w:lvlText w:val="(%2)"/>
      <w:lvlJc w:val="left"/>
    </w:lvl>
    <w:lvl w:ilvl="2" w:tplc="0D0E31C6">
      <w:numFmt w:val="decimal"/>
      <w:lvlText w:val=""/>
      <w:lvlJc w:val="left"/>
    </w:lvl>
    <w:lvl w:ilvl="3" w:tplc="C130F62C">
      <w:numFmt w:val="decimal"/>
      <w:lvlText w:val=""/>
      <w:lvlJc w:val="left"/>
    </w:lvl>
    <w:lvl w:ilvl="4" w:tplc="898EAEB8">
      <w:numFmt w:val="decimal"/>
      <w:lvlText w:val=""/>
      <w:lvlJc w:val="left"/>
    </w:lvl>
    <w:lvl w:ilvl="5" w:tplc="72081CB4">
      <w:numFmt w:val="decimal"/>
      <w:lvlText w:val=""/>
      <w:lvlJc w:val="left"/>
    </w:lvl>
    <w:lvl w:ilvl="6" w:tplc="A3D49F2E">
      <w:numFmt w:val="decimal"/>
      <w:lvlText w:val=""/>
      <w:lvlJc w:val="left"/>
    </w:lvl>
    <w:lvl w:ilvl="7" w:tplc="543E2F22">
      <w:numFmt w:val="decimal"/>
      <w:lvlText w:val=""/>
      <w:lvlJc w:val="left"/>
    </w:lvl>
    <w:lvl w:ilvl="8" w:tplc="8190F41E">
      <w:numFmt w:val="decimal"/>
      <w:lvlText w:val=""/>
      <w:lvlJc w:val="left"/>
    </w:lvl>
  </w:abstractNum>
  <w:abstractNum w:abstractNumId="83">
    <w:nsid w:val="519E3149"/>
    <w:multiLevelType w:val="hybridMultilevel"/>
    <w:tmpl w:val="EDDEDE7E"/>
    <w:lvl w:ilvl="0" w:tplc="0B9E26F6">
      <w:start w:val="1"/>
      <w:numFmt w:val="bullet"/>
      <w:lvlText w:val="•"/>
      <w:lvlJc w:val="left"/>
    </w:lvl>
    <w:lvl w:ilvl="1" w:tplc="F05219E4">
      <w:numFmt w:val="decimal"/>
      <w:lvlText w:val=""/>
      <w:lvlJc w:val="left"/>
    </w:lvl>
    <w:lvl w:ilvl="2" w:tplc="AE683E5A">
      <w:numFmt w:val="decimal"/>
      <w:lvlText w:val=""/>
      <w:lvlJc w:val="left"/>
    </w:lvl>
    <w:lvl w:ilvl="3" w:tplc="4E767816">
      <w:numFmt w:val="decimal"/>
      <w:lvlText w:val=""/>
      <w:lvlJc w:val="left"/>
    </w:lvl>
    <w:lvl w:ilvl="4" w:tplc="6ADE465A">
      <w:numFmt w:val="decimal"/>
      <w:lvlText w:val=""/>
      <w:lvlJc w:val="left"/>
    </w:lvl>
    <w:lvl w:ilvl="5" w:tplc="5202AEF0">
      <w:numFmt w:val="decimal"/>
      <w:lvlText w:val=""/>
      <w:lvlJc w:val="left"/>
    </w:lvl>
    <w:lvl w:ilvl="6" w:tplc="A55C4CC2">
      <w:numFmt w:val="decimal"/>
      <w:lvlText w:val=""/>
      <w:lvlJc w:val="left"/>
    </w:lvl>
    <w:lvl w:ilvl="7" w:tplc="34CA8C30">
      <w:numFmt w:val="decimal"/>
      <w:lvlText w:val=""/>
      <w:lvlJc w:val="left"/>
    </w:lvl>
    <w:lvl w:ilvl="8" w:tplc="81EEF26C">
      <w:numFmt w:val="decimal"/>
      <w:lvlText w:val=""/>
      <w:lvlJc w:val="left"/>
    </w:lvl>
  </w:abstractNum>
  <w:abstractNum w:abstractNumId="84">
    <w:nsid w:val="51D9C564"/>
    <w:multiLevelType w:val="hybridMultilevel"/>
    <w:tmpl w:val="874AB91E"/>
    <w:lvl w:ilvl="0" w:tplc="4B22C736">
      <w:start w:val="1"/>
      <w:numFmt w:val="bullet"/>
      <w:lvlText w:val="•"/>
      <w:lvlJc w:val="left"/>
    </w:lvl>
    <w:lvl w:ilvl="1" w:tplc="2006EEF6">
      <w:numFmt w:val="decimal"/>
      <w:lvlText w:val=""/>
      <w:lvlJc w:val="left"/>
    </w:lvl>
    <w:lvl w:ilvl="2" w:tplc="F9748EA8">
      <w:numFmt w:val="decimal"/>
      <w:lvlText w:val=""/>
      <w:lvlJc w:val="left"/>
    </w:lvl>
    <w:lvl w:ilvl="3" w:tplc="6EE48516">
      <w:numFmt w:val="decimal"/>
      <w:lvlText w:val=""/>
      <w:lvlJc w:val="left"/>
    </w:lvl>
    <w:lvl w:ilvl="4" w:tplc="17EADC5C">
      <w:numFmt w:val="decimal"/>
      <w:lvlText w:val=""/>
      <w:lvlJc w:val="left"/>
    </w:lvl>
    <w:lvl w:ilvl="5" w:tplc="38FC7606">
      <w:numFmt w:val="decimal"/>
      <w:lvlText w:val=""/>
      <w:lvlJc w:val="left"/>
    </w:lvl>
    <w:lvl w:ilvl="6" w:tplc="5E1CABA6">
      <w:numFmt w:val="decimal"/>
      <w:lvlText w:val=""/>
      <w:lvlJc w:val="left"/>
    </w:lvl>
    <w:lvl w:ilvl="7" w:tplc="86A27AFA">
      <w:numFmt w:val="decimal"/>
      <w:lvlText w:val=""/>
      <w:lvlJc w:val="left"/>
    </w:lvl>
    <w:lvl w:ilvl="8" w:tplc="5FEA0852">
      <w:numFmt w:val="decimal"/>
      <w:lvlText w:val=""/>
      <w:lvlJc w:val="left"/>
    </w:lvl>
  </w:abstractNum>
  <w:abstractNum w:abstractNumId="85">
    <w:nsid w:val="53299938"/>
    <w:multiLevelType w:val="hybridMultilevel"/>
    <w:tmpl w:val="6EEE056E"/>
    <w:lvl w:ilvl="0" w:tplc="B7EC5F9A">
      <w:start w:val="56"/>
      <w:numFmt w:val="decimal"/>
      <w:lvlText w:val="%1"/>
      <w:lvlJc w:val="left"/>
    </w:lvl>
    <w:lvl w:ilvl="1" w:tplc="03A41AFC">
      <w:numFmt w:val="decimal"/>
      <w:lvlText w:val=""/>
      <w:lvlJc w:val="left"/>
    </w:lvl>
    <w:lvl w:ilvl="2" w:tplc="8BF00EC0">
      <w:numFmt w:val="decimal"/>
      <w:lvlText w:val=""/>
      <w:lvlJc w:val="left"/>
    </w:lvl>
    <w:lvl w:ilvl="3" w:tplc="178A7066">
      <w:numFmt w:val="decimal"/>
      <w:lvlText w:val=""/>
      <w:lvlJc w:val="left"/>
    </w:lvl>
    <w:lvl w:ilvl="4" w:tplc="7A8244DC">
      <w:numFmt w:val="decimal"/>
      <w:lvlText w:val=""/>
      <w:lvlJc w:val="left"/>
    </w:lvl>
    <w:lvl w:ilvl="5" w:tplc="14F41994">
      <w:numFmt w:val="decimal"/>
      <w:lvlText w:val=""/>
      <w:lvlJc w:val="left"/>
    </w:lvl>
    <w:lvl w:ilvl="6" w:tplc="C6C6354E">
      <w:numFmt w:val="decimal"/>
      <w:lvlText w:val=""/>
      <w:lvlJc w:val="left"/>
    </w:lvl>
    <w:lvl w:ilvl="7" w:tplc="7108AFEC">
      <w:numFmt w:val="decimal"/>
      <w:lvlText w:val=""/>
      <w:lvlJc w:val="left"/>
    </w:lvl>
    <w:lvl w:ilvl="8" w:tplc="94DAEEEA">
      <w:numFmt w:val="decimal"/>
      <w:lvlText w:val=""/>
      <w:lvlJc w:val="left"/>
    </w:lvl>
  </w:abstractNum>
  <w:abstractNum w:abstractNumId="86">
    <w:nsid w:val="53584BCB"/>
    <w:multiLevelType w:val="hybridMultilevel"/>
    <w:tmpl w:val="2CFC26DC"/>
    <w:lvl w:ilvl="0" w:tplc="12E2BF1E">
      <w:start w:val="62"/>
      <w:numFmt w:val="decimal"/>
      <w:lvlText w:val="%1"/>
      <w:lvlJc w:val="left"/>
    </w:lvl>
    <w:lvl w:ilvl="1" w:tplc="6D2829FE">
      <w:numFmt w:val="decimal"/>
      <w:lvlText w:val=""/>
      <w:lvlJc w:val="left"/>
    </w:lvl>
    <w:lvl w:ilvl="2" w:tplc="4CD631FA">
      <w:numFmt w:val="decimal"/>
      <w:lvlText w:val=""/>
      <w:lvlJc w:val="left"/>
    </w:lvl>
    <w:lvl w:ilvl="3" w:tplc="99EEB5E4">
      <w:numFmt w:val="decimal"/>
      <w:lvlText w:val=""/>
      <w:lvlJc w:val="left"/>
    </w:lvl>
    <w:lvl w:ilvl="4" w:tplc="95FC9026">
      <w:numFmt w:val="decimal"/>
      <w:lvlText w:val=""/>
      <w:lvlJc w:val="left"/>
    </w:lvl>
    <w:lvl w:ilvl="5" w:tplc="75FA972A">
      <w:numFmt w:val="decimal"/>
      <w:lvlText w:val=""/>
      <w:lvlJc w:val="left"/>
    </w:lvl>
    <w:lvl w:ilvl="6" w:tplc="CC8EEC9C">
      <w:numFmt w:val="decimal"/>
      <w:lvlText w:val=""/>
      <w:lvlJc w:val="left"/>
    </w:lvl>
    <w:lvl w:ilvl="7" w:tplc="D76276E0">
      <w:numFmt w:val="decimal"/>
      <w:lvlText w:val=""/>
      <w:lvlJc w:val="left"/>
    </w:lvl>
    <w:lvl w:ilvl="8" w:tplc="D820DEE0">
      <w:numFmt w:val="decimal"/>
      <w:lvlText w:val=""/>
      <w:lvlJc w:val="left"/>
    </w:lvl>
  </w:abstractNum>
  <w:abstractNum w:abstractNumId="87">
    <w:nsid w:val="5399C654"/>
    <w:multiLevelType w:val="hybridMultilevel"/>
    <w:tmpl w:val="DBD635E0"/>
    <w:lvl w:ilvl="0" w:tplc="4C782048">
      <w:start w:val="6"/>
      <w:numFmt w:val="lowerLetter"/>
      <w:lvlText w:val="(%1)"/>
      <w:lvlJc w:val="left"/>
    </w:lvl>
    <w:lvl w:ilvl="1" w:tplc="E6A8704C">
      <w:numFmt w:val="decimal"/>
      <w:lvlText w:val=""/>
      <w:lvlJc w:val="left"/>
    </w:lvl>
    <w:lvl w:ilvl="2" w:tplc="9AE81D24">
      <w:numFmt w:val="decimal"/>
      <w:lvlText w:val=""/>
      <w:lvlJc w:val="left"/>
    </w:lvl>
    <w:lvl w:ilvl="3" w:tplc="371A59B4">
      <w:numFmt w:val="decimal"/>
      <w:lvlText w:val=""/>
      <w:lvlJc w:val="left"/>
    </w:lvl>
    <w:lvl w:ilvl="4" w:tplc="AA309B64">
      <w:numFmt w:val="decimal"/>
      <w:lvlText w:val=""/>
      <w:lvlJc w:val="left"/>
    </w:lvl>
    <w:lvl w:ilvl="5" w:tplc="B15204F4">
      <w:numFmt w:val="decimal"/>
      <w:lvlText w:val=""/>
      <w:lvlJc w:val="left"/>
    </w:lvl>
    <w:lvl w:ilvl="6" w:tplc="4DF4D7C6">
      <w:numFmt w:val="decimal"/>
      <w:lvlText w:val=""/>
      <w:lvlJc w:val="left"/>
    </w:lvl>
    <w:lvl w:ilvl="7" w:tplc="3E38561E">
      <w:numFmt w:val="decimal"/>
      <w:lvlText w:val=""/>
      <w:lvlJc w:val="left"/>
    </w:lvl>
    <w:lvl w:ilvl="8" w:tplc="4582F5A4">
      <w:numFmt w:val="decimal"/>
      <w:lvlText w:val=""/>
      <w:lvlJc w:val="left"/>
    </w:lvl>
  </w:abstractNum>
  <w:abstractNum w:abstractNumId="88">
    <w:nsid w:val="540A471C"/>
    <w:multiLevelType w:val="hybridMultilevel"/>
    <w:tmpl w:val="0C28C6F4"/>
    <w:lvl w:ilvl="0" w:tplc="337EE526">
      <w:start w:val="1"/>
      <w:numFmt w:val="bullet"/>
      <w:lvlText w:val="•"/>
      <w:lvlJc w:val="left"/>
    </w:lvl>
    <w:lvl w:ilvl="1" w:tplc="6DFA9BF0">
      <w:numFmt w:val="decimal"/>
      <w:lvlText w:val=""/>
      <w:lvlJc w:val="left"/>
    </w:lvl>
    <w:lvl w:ilvl="2" w:tplc="B136D17A">
      <w:numFmt w:val="decimal"/>
      <w:lvlText w:val=""/>
      <w:lvlJc w:val="left"/>
    </w:lvl>
    <w:lvl w:ilvl="3" w:tplc="E736B1B0">
      <w:numFmt w:val="decimal"/>
      <w:lvlText w:val=""/>
      <w:lvlJc w:val="left"/>
    </w:lvl>
    <w:lvl w:ilvl="4" w:tplc="4C329814">
      <w:numFmt w:val="decimal"/>
      <w:lvlText w:val=""/>
      <w:lvlJc w:val="left"/>
    </w:lvl>
    <w:lvl w:ilvl="5" w:tplc="9B6C1C1E">
      <w:numFmt w:val="decimal"/>
      <w:lvlText w:val=""/>
      <w:lvlJc w:val="left"/>
    </w:lvl>
    <w:lvl w:ilvl="6" w:tplc="1D48D6BC">
      <w:numFmt w:val="decimal"/>
      <w:lvlText w:val=""/>
      <w:lvlJc w:val="left"/>
    </w:lvl>
    <w:lvl w:ilvl="7" w:tplc="740672FE">
      <w:numFmt w:val="decimal"/>
      <w:lvlText w:val=""/>
      <w:lvlJc w:val="left"/>
    </w:lvl>
    <w:lvl w:ilvl="8" w:tplc="0A049110">
      <w:numFmt w:val="decimal"/>
      <w:lvlText w:val=""/>
      <w:lvlJc w:val="left"/>
    </w:lvl>
  </w:abstractNum>
  <w:abstractNum w:abstractNumId="89">
    <w:nsid w:val="5551B9F3"/>
    <w:multiLevelType w:val="hybridMultilevel"/>
    <w:tmpl w:val="3F8E92FA"/>
    <w:lvl w:ilvl="0" w:tplc="28BC162E">
      <w:start w:val="100"/>
      <w:numFmt w:val="decimal"/>
      <w:lvlText w:val="%1"/>
      <w:lvlJc w:val="left"/>
    </w:lvl>
    <w:lvl w:ilvl="1" w:tplc="4EC2BEEA">
      <w:numFmt w:val="decimal"/>
      <w:lvlText w:val=""/>
      <w:lvlJc w:val="left"/>
    </w:lvl>
    <w:lvl w:ilvl="2" w:tplc="9ACC17D8">
      <w:numFmt w:val="decimal"/>
      <w:lvlText w:val=""/>
      <w:lvlJc w:val="left"/>
    </w:lvl>
    <w:lvl w:ilvl="3" w:tplc="42BC9130">
      <w:numFmt w:val="decimal"/>
      <w:lvlText w:val=""/>
      <w:lvlJc w:val="left"/>
    </w:lvl>
    <w:lvl w:ilvl="4" w:tplc="543A884E">
      <w:numFmt w:val="decimal"/>
      <w:lvlText w:val=""/>
      <w:lvlJc w:val="left"/>
    </w:lvl>
    <w:lvl w:ilvl="5" w:tplc="9C9465AC">
      <w:numFmt w:val="decimal"/>
      <w:lvlText w:val=""/>
      <w:lvlJc w:val="left"/>
    </w:lvl>
    <w:lvl w:ilvl="6" w:tplc="CC742C10">
      <w:numFmt w:val="decimal"/>
      <w:lvlText w:val=""/>
      <w:lvlJc w:val="left"/>
    </w:lvl>
    <w:lvl w:ilvl="7" w:tplc="B5702802">
      <w:numFmt w:val="decimal"/>
      <w:lvlText w:val=""/>
      <w:lvlJc w:val="left"/>
    </w:lvl>
    <w:lvl w:ilvl="8" w:tplc="2638B2CA">
      <w:numFmt w:val="decimal"/>
      <w:lvlText w:val=""/>
      <w:lvlJc w:val="left"/>
    </w:lvl>
  </w:abstractNum>
  <w:abstractNum w:abstractNumId="90">
    <w:nsid w:val="555C55B5"/>
    <w:multiLevelType w:val="hybridMultilevel"/>
    <w:tmpl w:val="03121B44"/>
    <w:lvl w:ilvl="0" w:tplc="522E2668">
      <w:start w:val="1"/>
      <w:numFmt w:val="bullet"/>
      <w:lvlText w:val="•"/>
      <w:lvlJc w:val="left"/>
    </w:lvl>
    <w:lvl w:ilvl="1" w:tplc="E5FEEAF0">
      <w:numFmt w:val="decimal"/>
      <w:lvlText w:val=""/>
      <w:lvlJc w:val="left"/>
    </w:lvl>
    <w:lvl w:ilvl="2" w:tplc="B9B4A8B6">
      <w:numFmt w:val="decimal"/>
      <w:lvlText w:val=""/>
      <w:lvlJc w:val="left"/>
    </w:lvl>
    <w:lvl w:ilvl="3" w:tplc="0074DF5A">
      <w:numFmt w:val="decimal"/>
      <w:lvlText w:val=""/>
      <w:lvlJc w:val="left"/>
    </w:lvl>
    <w:lvl w:ilvl="4" w:tplc="1E2E2794">
      <w:numFmt w:val="decimal"/>
      <w:lvlText w:val=""/>
      <w:lvlJc w:val="left"/>
    </w:lvl>
    <w:lvl w:ilvl="5" w:tplc="C09EF842">
      <w:numFmt w:val="decimal"/>
      <w:lvlText w:val=""/>
      <w:lvlJc w:val="left"/>
    </w:lvl>
    <w:lvl w:ilvl="6" w:tplc="8D988192">
      <w:numFmt w:val="decimal"/>
      <w:lvlText w:val=""/>
      <w:lvlJc w:val="left"/>
    </w:lvl>
    <w:lvl w:ilvl="7" w:tplc="3FC6F4F0">
      <w:numFmt w:val="decimal"/>
      <w:lvlText w:val=""/>
      <w:lvlJc w:val="left"/>
    </w:lvl>
    <w:lvl w:ilvl="8" w:tplc="34FACF98">
      <w:numFmt w:val="decimal"/>
      <w:lvlText w:val=""/>
      <w:lvlJc w:val="left"/>
    </w:lvl>
  </w:abstractNum>
  <w:abstractNum w:abstractNumId="91">
    <w:nsid w:val="56438D15"/>
    <w:multiLevelType w:val="hybridMultilevel"/>
    <w:tmpl w:val="22E880F0"/>
    <w:lvl w:ilvl="0" w:tplc="098E0A7E">
      <w:start w:val="1"/>
      <w:numFmt w:val="decimal"/>
      <w:lvlText w:val="(%1)"/>
      <w:lvlJc w:val="left"/>
    </w:lvl>
    <w:lvl w:ilvl="1" w:tplc="D618CE6A">
      <w:numFmt w:val="decimal"/>
      <w:lvlText w:val=""/>
      <w:lvlJc w:val="left"/>
    </w:lvl>
    <w:lvl w:ilvl="2" w:tplc="38CEA580">
      <w:numFmt w:val="decimal"/>
      <w:lvlText w:val=""/>
      <w:lvlJc w:val="left"/>
    </w:lvl>
    <w:lvl w:ilvl="3" w:tplc="BA50397A">
      <w:numFmt w:val="decimal"/>
      <w:lvlText w:val=""/>
      <w:lvlJc w:val="left"/>
    </w:lvl>
    <w:lvl w:ilvl="4" w:tplc="6868DB0A">
      <w:numFmt w:val="decimal"/>
      <w:lvlText w:val=""/>
      <w:lvlJc w:val="left"/>
    </w:lvl>
    <w:lvl w:ilvl="5" w:tplc="BC8CEA72">
      <w:numFmt w:val="decimal"/>
      <w:lvlText w:val=""/>
      <w:lvlJc w:val="left"/>
    </w:lvl>
    <w:lvl w:ilvl="6" w:tplc="B02CFB14">
      <w:numFmt w:val="decimal"/>
      <w:lvlText w:val=""/>
      <w:lvlJc w:val="left"/>
    </w:lvl>
    <w:lvl w:ilvl="7" w:tplc="D73EF664">
      <w:numFmt w:val="decimal"/>
      <w:lvlText w:val=""/>
      <w:lvlJc w:val="left"/>
    </w:lvl>
    <w:lvl w:ilvl="8" w:tplc="E986627E">
      <w:numFmt w:val="decimal"/>
      <w:lvlText w:val=""/>
      <w:lvlJc w:val="left"/>
    </w:lvl>
  </w:abstractNum>
  <w:abstractNum w:abstractNumId="92">
    <w:nsid w:val="5675FF36"/>
    <w:multiLevelType w:val="hybridMultilevel"/>
    <w:tmpl w:val="CABE94F4"/>
    <w:lvl w:ilvl="0" w:tplc="E1B2FCB8">
      <w:start w:val="76"/>
      <w:numFmt w:val="decimal"/>
      <w:lvlText w:val="%1"/>
      <w:lvlJc w:val="left"/>
    </w:lvl>
    <w:lvl w:ilvl="1" w:tplc="E07A449C">
      <w:numFmt w:val="decimal"/>
      <w:lvlText w:val=""/>
      <w:lvlJc w:val="left"/>
    </w:lvl>
    <w:lvl w:ilvl="2" w:tplc="60DE9BC0">
      <w:numFmt w:val="decimal"/>
      <w:lvlText w:val=""/>
      <w:lvlJc w:val="left"/>
    </w:lvl>
    <w:lvl w:ilvl="3" w:tplc="AD7E3CA8">
      <w:numFmt w:val="decimal"/>
      <w:lvlText w:val=""/>
      <w:lvlJc w:val="left"/>
    </w:lvl>
    <w:lvl w:ilvl="4" w:tplc="54D04474">
      <w:numFmt w:val="decimal"/>
      <w:lvlText w:val=""/>
      <w:lvlJc w:val="left"/>
    </w:lvl>
    <w:lvl w:ilvl="5" w:tplc="862A8A2A">
      <w:numFmt w:val="decimal"/>
      <w:lvlText w:val=""/>
      <w:lvlJc w:val="left"/>
    </w:lvl>
    <w:lvl w:ilvl="6" w:tplc="CCD82852">
      <w:numFmt w:val="decimal"/>
      <w:lvlText w:val=""/>
      <w:lvlJc w:val="left"/>
    </w:lvl>
    <w:lvl w:ilvl="7" w:tplc="5EE011E8">
      <w:numFmt w:val="decimal"/>
      <w:lvlText w:val=""/>
      <w:lvlJc w:val="left"/>
    </w:lvl>
    <w:lvl w:ilvl="8" w:tplc="5274AB54">
      <w:numFmt w:val="decimal"/>
      <w:lvlText w:val=""/>
      <w:lvlJc w:val="left"/>
    </w:lvl>
  </w:abstractNum>
  <w:abstractNum w:abstractNumId="93">
    <w:nsid w:val="57A61A29"/>
    <w:multiLevelType w:val="hybridMultilevel"/>
    <w:tmpl w:val="46B4D2AE"/>
    <w:lvl w:ilvl="0" w:tplc="02CCA130">
      <w:start w:val="90"/>
      <w:numFmt w:val="decimal"/>
      <w:lvlText w:val="%1"/>
      <w:lvlJc w:val="left"/>
    </w:lvl>
    <w:lvl w:ilvl="1" w:tplc="2E66823E">
      <w:numFmt w:val="decimal"/>
      <w:lvlText w:val=""/>
      <w:lvlJc w:val="left"/>
    </w:lvl>
    <w:lvl w:ilvl="2" w:tplc="1012E270">
      <w:numFmt w:val="decimal"/>
      <w:lvlText w:val=""/>
      <w:lvlJc w:val="left"/>
    </w:lvl>
    <w:lvl w:ilvl="3" w:tplc="7F569AC8">
      <w:numFmt w:val="decimal"/>
      <w:lvlText w:val=""/>
      <w:lvlJc w:val="left"/>
    </w:lvl>
    <w:lvl w:ilvl="4" w:tplc="566AA908">
      <w:numFmt w:val="decimal"/>
      <w:lvlText w:val=""/>
      <w:lvlJc w:val="left"/>
    </w:lvl>
    <w:lvl w:ilvl="5" w:tplc="0762895E">
      <w:numFmt w:val="decimal"/>
      <w:lvlText w:val=""/>
      <w:lvlJc w:val="left"/>
    </w:lvl>
    <w:lvl w:ilvl="6" w:tplc="6F1A978A">
      <w:numFmt w:val="decimal"/>
      <w:lvlText w:val=""/>
      <w:lvlJc w:val="left"/>
    </w:lvl>
    <w:lvl w:ilvl="7" w:tplc="06E26500">
      <w:numFmt w:val="decimal"/>
      <w:lvlText w:val=""/>
      <w:lvlJc w:val="left"/>
    </w:lvl>
    <w:lvl w:ilvl="8" w:tplc="3BA468DA">
      <w:numFmt w:val="decimal"/>
      <w:lvlText w:val=""/>
      <w:lvlJc w:val="left"/>
    </w:lvl>
  </w:abstractNum>
  <w:abstractNum w:abstractNumId="94">
    <w:nsid w:val="57D2F10E"/>
    <w:multiLevelType w:val="hybridMultilevel"/>
    <w:tmpl w:val="CBD66D06"/>
    <w:lvl w:ilvl="0" w:tplc="DEF28082">
      <w:start w:val="1"/>
      <w:numFmt w:val="decimal"/>
      <w:lvlText w:val="(%1)"/>
      <w:lvlJc w:val="left"/>
    </w:lvl>
    <w:lvl w:ilvl="1" w:tplc="67BAE04A">
      <w:numFmt w:val="decimal"/>
      <w:lvlText w:val=""/>
      <w:lvlJc w:val="left"/>
    </w:lvl>
    <w:lvl w:ilvl="2" w:tplc="3B6640D0">
      <w:numFmt w:val="decimal"/>
      <w:lvlText w:val=""/>
      <w:lvlJc w:val="left"/>
    </w:lvl>
    <w:lvl w:ilvl="3" w:tplc="E1BA170C">
      <w:numFmt w:val="decimal"/>
      <w:lvlText w:val=""/>
      <w:lvlJc w:val="left"/>
    </w:lvl>
    <w:lvl w:ilvl="4" w:tplc="7390C77C">
      <w:numFmt w:val="decimal"/>
      <w:lvlText w:val=""/>
      <w:lvlJc w:val="left"/>
    </w:lvl>
    <w:lvl w:ilvl="5" w:tplc="8D7E98F2">
      <w:numFmt w:val="decimal"/>
      <w:lvlText w:val=""/>
      <w:lvlJc w:val="left"/>
    </w:lvl>
    <w:lvl w:ilvl="6" w:tplc="20441638">
      <w:numFmt w:val="decimal"/>
      <w:lvlText w:val=""/>
      <w:lvlJc w:val="left"/>
    </w:lvl>
    <w:lvl w:ilvl="7" w:tplc="C058956C">
      <w:numFmt w:val="decimal"/>
      <w:lvlText w:val=""/>
      <w:lvlJc w:val="left"/>
    </w:lvl>
    <w:lvl w:ilvl="8" w:tplc="BC049B96">
      <w:numFmt w:val="decimal"/>
      <w:lvlText w:val=""/>
      <w:lvlJc w:val="left"/>
    </w:lvl>
  </w:abstractNum>
  <w:abstractNum w:abstractNumId="95">
    <w:nsid w:val="57FC4FBB"/>
    <w:multiLevelType w:val="hybridMultilevel"/>
    <w:tmpl w:val="B6429AFC"/>
    <w:lvl w:ilvl="0" w:tplc="65A27C0C">
      <w:start w:val="1"/>
      <w:numFmt w:val="bullet"/>
      <w:lvlText w:val="*"/>
      <w:lvlJc w:val="left"/>
    </w:lvl>
    <w:lvl w:ilvl="1" w:tplc="5E427B0A">
      <w:numFmt w:val="decimal"/>
      <w:lvlText w:val=""/>
      <w:lvlJc w:val="left"/>
    </w:lvl>
    <w:lvl w:ilvl="2" w:tplc="9266E8F6">
      <w:numFmt w:val="decimal"/>
      <w:lvlText w:val=""/>
      <w:lvlJc w:val="left"/>
    </w:lvl>
    <w:lvl w:ilvl="3" w:tplc="C61A497C">
      <w:numFmt w:val="decimal"/>
      <w:lvlText w:val=""/>
      <w:lvlJc w:val="left"/>
    </w:lvl>
    <w:lvl w:ilvl="4" w:tplc="AB706B8A">
      <w:numFmt w:val="decimal"/>
      <w:lvlText w:val=""/>
      <w:lvlJc w:val="left"/>
    </w:lvl>
    <w:lvl w:ilvl="5" w:tplc="21DC819E">
      <w:numFmt w:val="decimal"/>
      <w:lvlText w:val=""/>
      <w:lvlJc w:val="left"/>
    </w:lvl>
    <w:lvl w:ilvl="6" w:tplc="FCAE6176">
      <w:numFmt w:val="decimal"/>
      <w:lvlText w:val=""/>
      <w:lvlJc w:val="left"/>
    </w:lvl>
    <w:lvl w:ilvl="7" w:tplc="815649CA">
      <w:numFmt w:val="decimal"/>
      <w:lvlText w:val=""/>
      <w:lvlJc w:val="left"/>
    </w:lvl>
    <w:lvl w:ilvl="8" w:tplc="6136ADB2">
      <w:numFmt w:val="decimal"/>
      <w:lvlText w:val=""/>
      <w:lvlJc w:val="left"/>
    </w:lvl>
  </w:abstractNum>
  <w:abstractNum w:abstractNumId="96">
    <w:nsid w:val="5915FF32"/>
    <w:multiLevelType w:val="hybridMultilevel"/>
    <w:tmpl w:val="F46ED2E4"/>
    <w:lvl w:ilvl="0" w:tplc="08C25AB6">
      <w:start w:val="1"/>
      <w:numFmt w:val="decimal"/>
      <w:lvlText w:val="(%1)"/>
      <w:lvlJc w:val="left"/>
    </w:lvl>
    <w:lvl w:ilvl="1" w:tplc="77F68AC8">
      <w:numFmt w:val="decimal"/>
      <w:lvlText w:val=""/>
      <w:lvlJc w:val="left"/>
    </w:lvl>
    <w:lvl w:ilvl="2" w:tplc="90E8B2C8">
      <w:numFmt w:val="decimal"/>
      <w:lvlText w:val=""/>
      <w:lvlJc w:val="left"/>
    </w:lvl>
    <w:lvl w:ilvl="3" w:tplc="2E6EA822">
      <w:numFmt w:val="decimal"/>
      <w:lvlText w:val=""/>
      <w:lvlJc w:val="left"/>
    </w:lvl>
    <w:lvl w:ilvl="4" w:tplc="88D846BA">
      <w:numFmt w:val="decimal"/>
      <w:lvlText w:val=""/>
      <w:lvlJc w:val="left"/>
    </w:lvl>
    <w:lvl w:ilvl="5" w:tplc="BF1C2B6A">
      <w:numFmt w:val="decimal"/>
      <w:lvlText w:val=""/>
      <w:lvlJc w:val="left"/>
    </w:lvl>
    <w:lvl w:ilvl="6" w:tplc="D0C0CB0E">
      <w:numFmt w:val="decimal"/>
      <w:lvlText w:val=""/>
      <w:lvlJc w:val="left"/>
    </w:lvl>
    <w:lvl w:ilvl="7" w:tplc="56268AEE">
      <w:numFmt w:val="decimal"/>
      <w:lvlText w:val=""/>
      <w:lvlJc w:val="left"/>
    </w:lvl>
    <w:lvl w:ilvl="8" w:tplc="4B3EE68C">
      <w:numFmt w:val="decimal"/>
      <w:lvlText w:val=""/>
      <w:lvlJc w:val="left"/>
    </w:lvl>
  </w:abstractNum>
  <w:abstractNum w:abstractNumId="97">
    <w:nsid w:val="59ADEA3D"/>
    <w:multiLevelType w:val="hybridMultilevel"/>
    <w:tmpl w:val="BAAE458C"/>
    <w:lvl w:ilvl="0" w:tplc="5B7E5CE4">
      <w:start w:val="5"/>
      <w:numFmt w:val="decimal"/>
      <w:lvlText w:val="(%1)"/>
      <w:lvlJc w:val="left"/>
    </w:lvl>
    <w:lvl w:ilvl="1" w:tplc="2A86B146">
      <w:numFmt w:val="decimal"/>
      <w:lvlText w:val=""/>
      <w:lvlJc w:val="left"/>
    </w:lvl>
    <w:lvl w:ilvl="2" w:tplc="7310BC12">
      <w:numFmt w:val="decimal"/>
      <w:lvlText w:val=""/>
      <w:lvlJc w:val="left"/>
    </w:lvl>
    <w:lvl w:ilvl="3" w:tplc="9F5634E2">
      <w:numFmt w:val="decimal"/>
      <w:lvlText w:val=""/>
      <w:lvlJc w:val="left"/>
    </w:lvl>
    <w:lvl w:ilvl="4" w:tplc="1160CD00">
      <w:numFmt w:val="decimal"/>
      <w:lvlText w:val=""/>
      <w:lvlJc w:val="left"/>
    </w:lvl>
    <w:lvl w:ilvl="5" w:tplc="2F703C72">
      <w:numFmt w:val="decimal"/>
      <w:lvlText w:val=""/>
      <w:lvlJc w:val="left"/>
    </w:lvl>
    <w:lvl w:ilvl="6" w:tplc="58F87B2C">
      <w:numFmt w:val="decimal"/>
      <w:lvlText w:val=""/>
      <w:lvlJc w:val="left"/>
    </w:lvl>
    <w:lvl w:ilvl="7" w:tplc="E1C00ABA">
      <w:numFmt w:val="decimal"/>
      <w:lvlText w:val=""/>
      <w:lvlJc w:val="left"/>
    </w:lvl>
    <w:lvl w:ilvl="8" w:tplc="0046CA76">
      <w:numFmt w:val="decimal"/>
      <w:lvlText w:val=""/>
      <w:lvlJc w:val="left"/>
    </w:lvl>
  </w:abstractNum>
  <w:abstractNum w:abstractNumId="98">
    <w:nsid w:val="5B25ACE2"/>
    <w:multiLevelType w:val="hybridMultilevel"/>
    <w:tmpl w:val="1FD20C04"/>
    <w:lvl w:ilvl="0" w:tplc="6C767DD8">
      <w:start w:val="1"/>
      <w:numFmt w:val="decimal"/>
      <w:lvlText w:val="(%1)"/>
      <w:lvlJc w:val="left"/>
    </w:lvl>
    <w:lvl w:ilvl="1" w:tplc="3D34541C">
      <w:start w:val="1"/>
      <w:numFmt w:val="lowerRoman"/>
      <w:lvlText w:val="(%2)"/>
      <w:lvlJc w:val="left"/>
    </w:lvl>
    <w:lvl w:ilvl="2" w:tplc="3D7ADCC2">
      <w:numFmt w:val="decimal"/>
      <w:lvlText w:val=""/>
      <w:lvlJc w:val="left"/>
    </w:lvl>
    <w:lvl w:ilvl="3" w:tplc="BE185358">
      <w:numFmt w:val="decimal"/>
      <w:lvlText w:val=""/>
      <w:lvlJc w:val="left"/>
    </w:lvl>
    <w:lvl w:ilvl="4" w:tplc="D3D8B0AE">
      <w:numFmt w:val="decimal"/>
      <w:lvlText w:val=""/>
      <w:lvlJc w:val="left"/>
    </w:lvl>
    <w:lvl w:ilvl="5" w:tplc="77964EB8">
      <w:numFmt w:val="decimal"/>
      <w:lvlText w:val=""/>
      <w:lvlJc w:val="left"/>
    </w:lvl>
    <w:lvl w:ilvl="6" w:tplc="60180C50">
      <w:numFmt w:val="decimal"/>
      <w:lvlText w:val=""/>
      <w:lvlJc w:val="left"/>
    </w:lvl>
    <w:lvl w:ilvl="7" w:tplc="BA1AF36C">
      <w:numFmt w:val="decimal"/>
      <w:lvlText w:val=""/>
      <w:lvlJc w:val="left"/>
    </w:lvl>
    <w:lvl w:ilvl="8" w:tplc="39EC9F30">
      <w:numFmt w:val="decimal"/>
      <w:lvlText w:val=""/>
      <w:lvlJc w:val="left"/>
    </w:lvl>
  </w:abstractNum>
  <w:abstractNum w:abstractNumId="99">
    <w:nsid w:val="5C10FE21"/>
    <w:multiLevelType w:val="hybridMultilevel"/>
    <w:tmpl w:val="1EB67050"/>
    <w:lvl w:ilvl="0" w:tplc="307EBBDC">
      <w:start w:val="1"/>
      <w:numFmt w:val="bullet"/>
      <w:lvlText w:val="•"/>
      <w:lvlJc w:val="left"/>
    </w:lvl>
    <w:lvl w:ilvl="1" w:tplc="9CE21D50">
      <w:numFmt w:val="decimal"/>
      <w:lvlText w:val=""/>
      <w:lvlJc w:val="left"/>
    </w:lvl>
    <w:lvl w:ilvl="2" w:tplc="F5FED91C">
      <w:numFmt w:val="decimal"/>
      <w:lvlText w:val=""/>
      <w:lvlJc w:val="left"/>
    </w:lvl>
    <w:lvl w:ilvl="3" w:tplc="94E458C0">
      <w:numFmt w:val="decimal"/>
      <w:lvlText w:val=""/>
      <w:lvlJc w:val="left"/>
    </w:lvl>
    <w:lvl w:ilvl="4" w:tplc="267A81E4">
      <w:numFmt w:val="decimal"/>
      <w:lvlText w:val=""/>
      <w:lvlJc w:val="left"/>
    </w:lvl>
    <w:lvl w:ilvl="5" w:tplc="A45E345E">
      <w:numFmt w:val="decimal"/>
      <w:lvlText w:val=""/>
      <w:lvlJc w:val="left"/>
    </w:lvl>
    <w:lvl w:ilvl="6" w:tplc="5DE47A0E">
      <w:numFmt w:val="decimal"/>
      <w:lvlText w:val=""/>
      <w:lvlJc w:val="left"/>
    </w:lvl>
    <w:lvl w:ilvl="7" w:tplc="0E2E4BE4">
      <w:numFmt w:val="decimal"/>
      <w:lvlText w:val=""/>
      <w:lvlJc w:val="left"/>
    </w:lvl>
    <w:lvl w:ilvl="8" w:tplc="0134A11A">
      <w:numFmt w:val="decimal"/>
      <w:lvlText w:val=""/>
      <w:lvlJc w:val="left"/>
    </w:lvl>
  </w:abstractNum>
  <w:abstractNum w:abstractNumId="100">
    <w:nsid w:val="5D888A08"/>
    <w:multiLevelType w:val="hybridMultilevel"/>
    <w:tmpl w:val="5DE81740"/>
    <w:lvl w:ilvl="0" w:tplc="53CC3826">
      <w:start w:val="1"/>
      <w:numFmt w:val="bullet"/>
      <w:lvlText w:val="•"/>
      <w:lvlJc w:val="left"/>
    </w:lvl>
    <w:lvl w:ilvl="1" w:tplc="7688CB2C">
      <w:numFmt w:val="decimal"/>
      <w:lvlText w:val=""/>
      <w:lvlJc w:val="left"/>
    </w:lvl>
    <w:lvl w:ilvl="2" w:tplc="EF02B570">
      <w:numFmt w:val="decimal"/>
      <w:lvlText w:val=""/>
      <w:lvlJc w:val="left"/>
    </w:lvl>
    <w:lvl w:ilvl="3" w:tplc="26561D1C">
      <w:numFmt w:val="decimal"/>
      <w:lvlText w:val=""/>
      <w:lvlJc w:val="left"/>
    </w:lvl>
    <w:lvl w:ilvl="4" w:tplc="3D208938">
      <w:numFmt w:val="decimal"/>
      <w:lvlText w:val=""/>
      <w:lvlJc w:val="left"/>
    </w:lvl>
    <w:lvl w:ilvl="5" w:tplc="8988B304">
      <w:numFmt w:val="decimal"/>
      <w:lvlText w:val=""/>
      <w:lvlJc w:val="left"/>
    </w:lvl>
    <w:lvl w:ilvl="6" w:tplc="34EA5E6E">
      <w:numFmt w:val="decimal"/>
      <w:lvlText w:val=""/>
      <w:lvlJc w:val="left"/>
    </w:lvl>
    <w:lvl w:ilvl="7" w:tplc="2F4836BE">
      <w:numFmt w:val="decimal"/>
      <w:lvlText w:val=""/>
      <w:lvlJc w:val="left"/>
    </w:lvl>
    <w:lvl w:ilvl="8" w:tplc="8AB60836">
      <w:numFmt w:val="decimal"/>
      <w:lvlText w:val=""/>
      <w:lvlJc w:val="left"/>
    </w:lvl>
  </w:abstractNum>
  <w:abstractNum w:abstractNumId="101">
    <w:nsid w:val="5DC79EA8"/>
    <w:multiLevelType w:val="hybridMultilevel"/>
    <w:tmpl w:val="77126444"/>
    <w:lvl w:ilvl="0" w:tplc="08283E5A">
      <w:start w:val="1"/>
      <w:numFmt w:val="bullet"/>
      <w:lvlText w:val="6"/>
      <w:lvlJc w:val="left"/>
    </w:lvl>
    <w:lvl w:ilvl="1" w:tplc="5774953C">
      <w:numFmt w:val="decimal"/>
      <w:lvlText w:val=""/>
      <w:lvlJc w:val="left"/>
    </w:lvl>
    <w:lvl w:ilvl="2" w:tplc="9FE81E86">
      <w:numFmt w:val="decimal"/>
      <w:lvlText w:val=""/>
      <w:lvlJc w:val="left"/>
    </w:lvl>
    <w:lvl w:ilvl="3" w:tplc="459E10C2">
      <w:numFmt w:val="decimal"/>
      <w:lvlText w:val=""/>
      <w:lvlJc w:val="left"/>
    </w:lvl>
    <w:lvl w:ilvl="4" w:tplc="4858BD1C">
      <w:numFmt w:val="decimal"/>
      <w:lvlText w:val=""/>
      <w:lvlJc w:val="left"/>
    </w:lvl>
    <w:lvl w:ilvl="5" w:tplc="80129AB4">
      <w:numFmt w:val="decimal"/>
      <w:lvlText w:val=""/>
      <w:lvlJc w:val="left"/>
    </w:lvl>
    <w:lvl w:ilvl="6" w:tplc="5E901B74">
      <w:numFmt w:val="decimal"/>
      <w:lvlText w:val=""/>
      <w:lvlJc w:val="left"/>
    </w:lvl>
    <w:lvl w:ilvl="7" w:tplc="9A3202F8">
      <w:numFmt w:val="decimal"/>
      <w:lvlText w:val=""/>
      <w:lvlJc w:val="left"/>
    </w:lvl>
    <w:lvl w:ilvl="8" w:tplc="3D8EFF70">
      <w:numFmt w:val="decimal"/>
      <w:lvlText w:val=""/>
      <w:lvlJc w:val="left"/>
    </w:lvl>
  </w:abstractNum>
  <w:abstractNum w:abstractNumId="102">
    <w:nsid w:val="5EC6AFD4"/>
    <w:multiLevelType w:val="hybridMultilevel"/>
    <w:tmpl w:val="9B44F69E"/>
    <w:lvl w:ilvl="0" w:tplc="AEEE5D10">
      <w:start w:val="88"/>
      <w:numFmt w:val="decimal"/>
      <w:lvlText w:val="%1"/>
      <w:lvlJc w:val="left"/>
    </w:lvl>
    <w:lvl w:ilvl="1" w:tplc="9F46D026">
      <w:numFmt w:val="decimal"/>
      <w:lvlText w:val=""/>
      <w:lvlJc w:val="left"/>
    </w:lvl>
    <w:lvl w:ilvl="2" w:tplc="DA9E8892">
      <w:numFmt w:val="decimal"/>
      <w:lvlText w:val=""/>
      <w:lvlJc w:val="left"/>
    </w:lvl>
    <w:lvl w:ilvl="3" w:tplc="B4B87792">
      <w:numFmt w:val="decimal"/>
      <w:lvlText w:val=""/>
      <w:lvlJc w:val="left"/>
    </w:lvl>
    <w:lvl w:ilvl="4" w:tplc="B67EAAB6">
      <w:numFmt w:val="decimal"/>
      <w:lvlText w:val=""/>
      <w:lvlJc w:val="left"/>
    </w:lvl>
    <w:lvl w:ilvl="5" w:tplc="B704AB40">
      <w:numFmt w:val="decimal"/>
      <w:lvlText w:val=""/>
      <w:lvlJc w:val="left"/>
    </w:lvl>
    <w:lvl w:ilvl="6" w:tplc="2D68686A">
      <w:numFmt w:val="decimal"/>
      <w:lvlText w:val=""/>
      <w:lvlJc w:val="left"/>
    </w:lvl>
    <w:lvl w:ilvl="7" w:tplc="3F0407C0">
      <w:numFmt w:val="decimal"/>
      <w:lvlText w:val=""/>
      <w:lvlJc w:val="left"/>
    </w:lvl>
    <w:lvl w:ilvl="8" w:tplc="D5026A22">
      <w:numFmt w:val="decimal"/>
      <w:lvlText w:val=""/>
      <w:lvlJc w:val="left"/>
    </w:lvl>
  </w:abstractNum>
  <w:abstractNum w:abstractNumId="103">
    <w:nsid w:val="5F3534A4"/>
    <w:multiLevelType w:val="hybridMultilevel"/>
    <w:tmpl w:val="65C22FBA"/>
    <w:lvl w:ilvl="0" w:tplc="6C1E3B92">
      <w:start w:val="1"/>
      <w:numFmt w:val="bullet"/>
      <w:lvlText w:val="•"/>
      <w:lvlJc w:val="left"/>
    </w:lvl>
    <w:lvl w:ilvl="1" w:tplc="C2F496A0">
      <w:numFmt w:val="decimal"/>
      <w:lvlText w:val=""/>
      <w:lvlJc w:val="left"/>
    </w:lvl>
    <w:lvl w:ilvl="2" w:tplc="E0B8B7AA">
      <w:numFmt w:val="decimal"/>
      <w:lvlText w:val=""/>
      <w:lvlJc w:val="left"/>
    </w:lvl>
    <w:lvl w:ilvl="3" w:tplc="8494AD34">
      <w:numFmt w:val="decimal"/>
      <w:lvlText w:val=""/>
      <w:lvlJc w:val="left"/>
    </w:lvl>
    <w:lvl w:ilvl="4" w:tplc="1C32EFBC">
      <w:numFmt w:val="decimal"/>
      <w:lvlText w:val=""/>
      <w:lvlJc w:val="left"/>
    </w:lvl>
    <w:lvl w:ilvl="5" w:tplc="A322FC3E">
      <w:numFmt w:val="decimal"/>
      <w:lvlText w:val=""/>
      <w:lvlJc w:val="left"/>
    </w:lvl>
    <w:lvl w:ilvl="6" w:tplc="8830FB9A">
      <w:numFmt w:val="decimal"/>
      <w:lvlText w:val=""/>
      <w:lvlJc w:val="left"/>
    </w:lvl>
    <w:lvl w:ilvl="7" w:tplc="E4D8E156">
      <w:numFmt w:val="decimal"/>
      <w:lvlText w:val=""/>
      <w:lvlJc w:val="left"/>
    </w:lvl>
    <w:lvl w:ilvl="8" w:tplc="3558D086">
      <w:numFmt w:val="decimal"/>
      <w:lvlText w:val=""/>
      <w:lvlJc w:val="left"/>
    </w:lvl>
  </w:abstractNum>
  <w:abstractNum w:abstractNumId="104">
    <w:nsid w:val="5F5E7FD0"/>
    <w:multiLevelType w:val="hybridMultilevel"/>
    <w:tmpl w:val="81983EBA"/>
    <w:lvl w:ilvl="0" w:tplc="F1E0AF22">
      <w:start w:val="1"/>
      <w:numFmt w:val="bullet"/>
      <w:lvlText w:val="☒"/>
      <w:lvlJc w:val="left"/>
    </w:lvl>
    <w:lvl w:ilvl="1" w:tplc="5998AF34">
      <w:numFmt w:val="decimal"/>
      <w:lvlText w:val=""/>
      <w:lvlJc w:val="left"/>
    </w:lvl>
    <w:lvl w:ilvl="2" w:tplc="00BA4A1A">
      <w:numFmt w:val="decimal"/>
      <w:lvlText w:val=""/>
      <w:lvlJc w:val="left"/>
    </w:lvl>
    <w:lvl w:ilvl="3" w:tplc="4C9C4A26">
      <w:numFmt w:val="decimal"/>
      <w:lvlText w:val=""/>
      <w:lvlJc w:val="left"/>
    </w:lvl>
    <w:lvl w:ilvl="4" w:tplc="08DC343A">
      <w:numFmt w:val="decimal"/>
      <w:lvlText w:val=""/>
      <w:lvlJc w:val="left"/>
    </w:lvl>
    <w:lvl w:ilvl="5" w:tplc="E70673B4">
      <w:numFmt w:val="decimal"/>
      <w:lvlText w:val=""/>
      <w:lvlJc w:val="left"/>
    </w:lvl>
    <w:lvl w:ilvl="6" w:tplc="566CED80">
      <w:numFmt w:val="decimal"/>
      <w:lvlText w:val=""/>
      <w:lvlJc w:val="left"/>
    </w:lvl>
    <w:lvl w:ilvl="7" w:tplc="ECAC47B6">
      <w:numFmt w:val="decimal"/>
      <w:lvlText w:val=""/>
      <w:lvlJc w:val="left"/>
    </w:lvl>
    <w:lvl w:ilvl="8" w:tplc="7A76A836">
      <w:numFmt w:val="decimal"/>
      <w:lvlText w:val=""/>
      <w:lvlJc w:val="left"/>
    </w:lvl>
  </w:abstractNum>
  <w:abstractNum w:abstractNumId="105">
    <w:nsid w:val="5FB8011C"/>
    <w:multiLevelType w:val="hybridMultilevel"/>
    <w:tmpl w:val="3D566B74"/>
    <w:lvl w:ilvl="0" w:tplc="C3541D82">
      <w:start w:val="1"/>
      <w:numFmt w:val="bullet"/>
      <w:lvlText w:val="•"/>
      <w:lvlJc w:val="left"/>
    </w:lvl>
    <w:lvl w:ilvl="1" w:tplc="59348148">
      <w:numFmt w:val="decimal"/>
      <w:lvlText w:val=""/>
      <w:lvlJc w:val="left"/>
    </w:lvl>
    <w:lvl w:ilvl="2" w:tplc="3D929314">
      <w:numFmt w:val="decimal"/>
      <w:lvlText w:val=""/>
      <w:lvlJc w:val="left"/>
    </w:lvl>
    <w:lvl w:ilvl="3" w:tplc="F6A49DE0">
      <w:numFmt w:val="decimal"/>
      <w:lvlText w:val=""/>
      <w:lvlJc w:val="left"/>
    </w:lvl>
    <w:lvl w:ilvl="4" w:tplc="365CCC88">
      <w:numFmt w:val="decimal"/>
      <w:lvlText w:val=""/>
      <w:lvlJc w:val="left"/>
    </w:lvl>
    <w:lvl w:ilvl="5" w:tplc="F4BEC2DC">
      <w:numFmt w:val="decimal"/>
      <w:lvlText w:val=""/>
      <w:lvlJc w:val="left"/>
    </w:lvl>
    <w:lvl w:ilvl="6" w:tplc="E480A740">
      <w:numFmt w:val="decimal"/>
      <w:lvlText w:val=""/>
      <w:lvlJc w:val="left"/>
    </w:lvl>
    <w:lvl w:ilvl="7" w:tplc="AD96EAF4">
      <w:numFmt w:val="decimal"/>
      <w:lvlText w:val=""/>
      <w:lvlJc w:val="left"/>
    </w:lvl>
    <w:lvl w:ilvl="8" w:tplc="3B1855BE">
      <w:numFmt w:val="decimal"/>
      <w:lvlText w:val=""/>
      <w:lvlJc w:val="left"/>
    </w:lvl>
  </w:abstractNum>
  <w:abstractNum w:abstractNumId="106">
    <w:nsid w:val="5FB8370B"/>
    <w:multiLevelType w:val="hybridMultilevel"/>
    <w:tmpl w:val="A96E529A"/>
    <w:lvl w:ilvl="0" w:tplc="381E3C44">
      <w:start w:val="1"/>
      <w:numFmt w:val="bullet"/>
      <w:lvlText w:val="•"/>
      <w:lvlJc w:val="left"/>
    </w:lvl>
    <w:lvl w:ilvl="1" w:tplc="4FE46564">
      <w:numFmt w:val="decimal"/>
      <w:lvlText w:val=""/>
      <w:lvlJc w:val="left"/>
    </w:lvl>
    <w:lvl w:ilvl="2" w:tplc="021ADCCE">
      <w:numFmt w:val="decimal"/>
      <w:lvlText w:val=""/>
      <w:lvlJc w:val="left"/>
    </w:lvl>
    <w:lvl w:ilvl="3" w:tplc="6F8EFADC">
      <w:numFmt w:val="decimal"/>
      <w:lvlText w:val=""/>
      <w:lvlJc w:val="left"/>
    </w:lvl>
    <w:lvl w:ilvl="4" w:tplc="66F65160">
      <w:numFmt w:val="decimal"/>
      <w:lvlText w:val=""/>
      <w:lvlJc w:val="left"/>
    </w:lvl>
    <w:lvl w:ilvl="5" w:tplc="3B5C9D36">
      <w:numFmt w:val="decimal"/>
      <w:lvlText w:val=""/>
      <w:lvlJc w:val="left"/>
    </w:lvl>
    <w:lvl w:ilvl="6" w:tplc="C6D69902">
      <w:numFmt w:val="decimal"/>
      <w:lvlText w:val=""/>
      <w:lvlJc w:val="left"/>
    </w:lvl>
    <w:lvl w:ilvl="7" w:tplc="64688608">
      <w:numFmt w:val="decimal"/>
      <w:lvlText w:val=""/>
      <w:lvlJc w:val="left"/>
    </w:lvl>
    <w:lvl w:ilvl="8" w:tplc="75A84B4E">
      <w:numFmt w:val="decimal"/>
      <w:lvlText w:val=""/>
      <w:lvlJc w:val="left"/>
    </w:lvl>
  </w:abstractNum>
  <w:abstractNum w:abstractNumId="107">
    <w:nsid w:val="60B6DF70"/>
    <w:multiLevelType w:val="hybridMultilevel"/>
    <w:tmpl w:val="869EEB3C"/>
    <w:lvl w:ilvl="0" w:tplc="0590B846">
      <w:start w:val="14"/>
      <w:numFmt w:val="decimal"/>
      <w:lvlText w:val="%1"/>
      <w:lvlJc w:val="left"/>
    </w:lvl>
    <w:lvl w:ilvl="1" w:tplc="C76ABED2">
      <w:numFmt w:val="decimal"/>
      <w:lvlText w:val=""/>
      <w:lvlJc w:val="left"/>
    </w:lvl>
    <w:lvl w:ilvl="2" w:tplc="15F491C4">
      <w:numFmt w:val="decimal"/>
      <w:lvlText w:val=""/>
      <w:lvlJc w:val="left"/>
    </w:lvl>
    <w:lvl w:ilvl="3" w:tplc="7714CA42">
      <w:numFmt w:val="decimal"/>
      <w:lvlText w:val=""/>
      <w:lvlJc w:val="left"/>
    </w:lvl>
    <w:lvl w:ilvl="4" w:tplc="EE8E5C0E">
      <w:numFmt w:val="decimal"/>
      <w:lvlText w:val=""/>
      <w:lvlJc w:val="left"/>
    </w:lvl>
    <w:lvl w:ilvl="5" w:tplc="08563594">
      <w:numFmt w:val="decimal"/>
      <w:lvlText w:val=""/>
      <w:lvlJc w:val="left"/>
    </w:lvl>
    <w:lvl w:ilvl="6" w:tplc="DD2C8796">
      <w:numFmt w:val="decimal"/>
      <w:lvlText w:val=""/>
      <w:lvlJc w:val="left"/>
    </w:lvl>
    <w:lvl w:ilvl="7" w:tplc="0EBEDAF8">
      <w:numFmt w:val="decimal"/>
      <w:lvlText w:val=""/>
      <w:lvlJc w:val="left"/>
    </w:lvl>
    <w:lvl w:ilvl="8" w:tplc="FA02A30A">
      <w:numFmt w:val="decimal"/>
      <w:lvlText w:val=""/>
      <w:lvlJc w:val="left"/>
    </w:lvl>
  </w:abstractNum>
  <w:abstractNum w:abstractNumId="108">
    <w:nsid w:val="60EF0119"/>
    <w:multiLevelType w:val="hybridMultilevel"/>
    <w:tmpl w:val="CB308D9E"/>
    <w:lvl w:ilvl="0" w:tplc="572A7380">
      <w:start w:val="42"/>
      <w:numFmt w:val="decimal"/>
      <w:lvlText w:val="%1"/>
      <w:lvlJc w:val="left"/>
    </w:lvl>
    <w:lvl w:ilvl="1" w:tplc="70EEC474">
      <w:numFmt w:val="decimal"/>
      <w:lvlText w:val=""/>
      <w:lvlJc w:val="left"/>
    </w:lvl>
    <w:lvl w:ilvl="2" w:tplc="3C7AA2CE">
      <w:numFmt w:val="decimal"/>
      <w:lvlText w:val=""/>
      <w:lvlJc w:val="left"/>
    </w:lvl>
    <w:lvl w:ilvl="3" w:tplc="4CFAA402">
      <w:numFmt w:val="decimal"/>
      <w:lvlText w:val=""/>
      <w:lvlJc w:val="left"/>
    </w:lvl>
    <w:lvl w:ilvl="4" w:tplc="50FE8090">
      <w:numFmt w:val="decimal"/>
      <w:lvlText w:val=""/>
      <w:lvlJc w:val="left"/>
    </w:lvl>
    <w:lvl w:ilvl="5" w:tplc="B42C90C0">
      <w:numFmt w:val="decimal"/>
      <w:lvlText w:val=""/>
      <w:lvlJc w:val="left"/>
    </w:lvl>
    <w:lvl w:ilvl="6" w:tplc="A6BCEE64">
      <w:numFmt w:val="decimal"/>
      <w:lvlText w:val=""/>
      <w:lvlJc w:val="left"/>
    </w:lvl>
    <w:lvl w:ilvl="7" w:tplc="F270395A">
      <w:numFmt w:val="decimal"/>
      <w:lvlText w:val=""/>
      <w:lvlJc w:val="left"/>
    </w:lvl>
    <w:lvl w:ilvl="8" w:tplc="8A1A80E0">
      <w:numFmt w:val="decimal"/>
      <w:lvlText w:val=""/>
      <w:lvlJc w:val="left"/>
    </w:lvl>
  </w:abstractNum>
  <w:abstractNum w:abstractNumId="109">
    <w:nsid w:val="613EFDC5"/>
    <w:multiLevelType w:val="hybridMultilevel"/>
    <w:tmpl w:val="833C3612"/>
    <w:lvl w:ilvl="0" w:tplc="A0FA1EC0">
      <w:start w:val="1"/>
      <w:numFmt w:val="bullet"/>
      <w:lvlText w:val="•"/>
      <w:lvlJc w:val="left"/>
    </w:lvl>
    <w:lvl w:ilvl="1" w:tplc="FA2852AA">
      <w:numFmt w:val="decimal"/>
      <w:lvlText w:val=""/>
      <w:lvlJc w:val="left"/>
    </w:lvl>
    <w:lvl w:ilvl="2" w:tplc="C332F10E">
      <w:numFmt w:val="decimal"/>
      <w:lvlText w:val=""/>
      <w:lvlJc w:val="left"/>
    </w:lvl>
    <w:lvl w:ilvl="3" w:tplc="5B2627EA">
      <w:numFmt w:val="decimal"/>
      <w:lvlText w:val=""/>
      <w:lvlJc w:val="left"/>
    </w:lvl>
    <w:lvl w:ilvl="4" w:tplc="8DC8CD26">
      <w:numFmt w:val="decimal"/>
      <w:lvlText w:val=""/>
      <w:lvlJc w:val="left"/>
    </w:lvl>
    <w:lvl w:ilvl="5" w:tplc="AC34D92E">
      <w:numFmt w:val="decimal"/>
      <w:lvlText w:val=""/>
      <w:lvlJc w:val="left"/>
    </w:lvl>
    <w:lvl w:ilvl="6" w:tplc="51546D5A">
      <w:numFmt w:val="decimal"/>
      <w:lvlText w:val=""/>
      <w:lvlJc w:val="left"/>
    </w:lvl>
    <w:lvl w:ilvl="7" w:tplc="A7EEFE92">
      <w:numFmt w:val="decimal"/>
      <w:lvlText w:val=""/>
      <w:lvlJc w:val="left"/>
    </w:lvl>
    <w:lvl w:ilvl="8" w:tplc="CF4879B0">
      <w:numFmt w:val="decimal"/>
      <w:lvlText w:val=""/>
      <w:lvlJc w:val="left"/>
    </w:lvl>
  </w:abstractNum>
  <w:abstractNum w:abstractNumId="110">
    <w:nsid w:val="661E3F1E"/>
    <w:multiLevelType w:val="hybridMultilevel"/>
    <w:tmpl w:val="31CA6A58"/>
    <w:lvl w:ilvl="0" w:tplc="43988B30">
      <w:start w:val="1"/>
      <w:numFmt w:val="bullet"/>
      <w:lvlText w:val="4"/>
      <w:lvlJc w:val="left"/>
    </w:lvl>
    <w:lvl w:ilvl="1" w:tplc="3A6C98C2">
      <w:numFmt w:val="decimal"/>
      <w:lvlText w:val=""/>
      <w:lvlJc w:val="left"/>
    </w:lvl>
    <w:lvl w:ilvl="2" w:tplc="E814F83A">
      <w:numFmt w:val="decimal"/>
      <w:lvlText w:val=""/>
      <w:lvlJc w:val="left"/>
    </w:lvl>
    <w:lvl w:ilvl="3" w:tplc="549079BA">
      <w:numFmt w:val="decimal"/>
      <w:lvlText w:val=""/>
      <w:lvlJc w:val="left"/>
    </w:lvl>
    <w:lvl w:ilvl="4" w:tplc="31CCAD58">
      <w:numFmt w:val="decimal"/>
      <w:lvlText w:val=""/>
      <w:lvlJc w:val="left"/>
    </w:lvl>
    <w:lvl w:ilvl="5" w:tplc="AB44C56C">
      <w:numFmt w:val="decimal"/>
      <w:lvlText w:val=""/>
      <w:lvlJc w:val="left"/>
    </w:lvl>
    <w:lvl w:ilvl="6" w:tplc="7C66C9D6">
      <w:numFmt w:val="decimal"/>
      <w:lvlText w:val=""/>
      <w:lvlJc w:val="left"/>
    </w:lvl>
    <w:lvl w:ilvl="7" w:tplc="D2F24556">
      <w:numFmt w:val="decimal"/>
      <w:lvlText w:val=""/>
      <w:lvlJc w:val="left"/>
    </w:lvl>
    <w:lvl w:ilvl="8" w:tplc="46A823A2">
      <w:numFmt w:val="decimal"/>
      <w:lvlText w:val=""/>
      <w:lvlJc w:val="left"/>
    </w:lvl>
  </w:abstractNum>
  <w:abstractNum w:abstractNumId="111">
    <w:nsid w:val="68EB2F63"/>
    <w:multiLevelType w:val="hybridMultilevel"/>
    <w:tmpl w:val="C0B2F1EA"/>
    <w:lvl w:ilvl="0" w:tplc="536CDE0E">
      <w:start w:val="1"/>
      <w:numFmt w:val="bullet"/>
      <w:lvlText w:val="•"/>
      <w:lvlJc w:val="left"/>
    </w:lvl>
    <w:lvl w:ilvl="1" w:tplc="64D01104">
      <w:numFmt w:val="decimal"/>
      <w:lvlText w:val=""/>
      <w:lvlJc w:val="left"/>
    </w:lvl>
    <w:lvl w:ilvl="2" w:tplc="090202DC">
      <w:numFmt w:val="decimal"/>
      <w:lvlText w:val=""/>
      <w:lvlJc w:val="left"/>
    </w:lvl>
    <w:lvl w:ilvl="3" w:tplc="F550C93C">
      <w:numFmt w:val="decimal"/>
      <w:lvlText w:val=""/>
      <w:lvlJc w:val="left"/>
    </w:lvl>
    <w:lvl w:ilvl="4" w:tplc="96360C5A">
      <w:numFmt w:val="decimal"/>
      <w:lvlText w:val=""/>
      <w:lvlJc w:val="left"/>
    </w:lvl>
    <w:lvl w:ilvl="5" w:tplc="1812A9D6">
      <w:numFmt w:val="decimal"/>
      <w:lvlText w:val=""/>
      <w:lvlJc w:val="left"/>
    </w:lvl>
    <w:lvl w:ilvl="6" w:tplc="2B62C958">
      <w:numFmt w:val="decimal"/>
      <w:lvlText w:val=""/>
      <w:lvlJc w:val="left"/>
    </w:lvl>
    <w:lvl w:ilvl="7" w:tplc="AE02FCE2">
      <w:numFmt w:val="decimal"/>
      <w:lvlText w:val=""/>
      <w:lvlJc w:val="left"/>
    </w:lvl>
    <w:lvl w:ilvl="8" w:tplc="0068ECC0">
      <w:numFmt w:val="decimal"/>
      <w:lvlText w:val=""/>
      <w:lvlJc w:val="left"/>
    </w:lvl>
  </w:abstractNum>
  <w:abstractNum w:abstractNumId="112">
    <w:nsid w:val="68EBC550"/>
    <w:multiLevelType w:val="hybridMultilevel"/>
    <w:tmpl w:val="53A8AEF0"/>
    <w:lvl w:ilvl="0" w:tplc="A590FB50">
      <w:start w:val="32"/>
      <w:numFmt w:val="decimal"/>
      <w:lvlText w:val="%1"/>
      <w:lvlJc w:val="left"/>
    </w:lvl>
    <w:lvl w:ilvl="1" w:tplc="D99CE934">
      <w:numFmt w:val="decimal"/>
      <w:lvlText w:val=""/>
      <w:lvlJc w:val="left"/>
    </w:lvl>
    <w:lvl w:ilvl="2" w:tplc="30023826">
      <w:numFmt w:val="decimal"/>
      <w:lvlText w:val=""/>
      <w:lvlJc w:val="left"/>
    </w:lvl>
    <w:lvl w:ilvl="3" w:tplc="5C545C72">
      <w:numFmt w:val="decimal"/>
      <w:lvlText w:val=""/>
      <w:lvlJc w:val="left"/>
    </w:lvl>
    <w:lvl w:ilvl="4" w:tplc="DEB43A82">
      <w:numFmt w:val="decimal"/>
      <w:lvlText w:val=""/>
      <w:lvlJc w:val="left"/>
    </w:lvl>
    <w:lvl w:ilvl="5" w:tplc="DFEE5E52">
      <w:numFmt w:val="decimal"/>
      <w:lvlText w:val=""/>
      <w:lvlJc w:val="left"/>
    </w:lvl>
    <w:lvl w:ilvl="6" w:tplc="0470AFE4">
      <w:numFmt w:val="decimal"/>
      <w:lvlText w:val=""/>
      <w:lvlJc w:val="left"/>
    </w:lvl>
    <w:lvl w:ilvl="7" w:tplc="53487A60">
      <w:numFmt w:val="decimal"/>
      <w:lvlText w:val=""/>
      <w:lvlJc w:val="left"/>
    </w:lvl>
    <w:lvl w:ilvl="8" w:tplc="292001A0">
      <w:numFmt w:val="decimal"/>
      <w:lvlText w:val=""/>
      <w:lvlJc w:val="left"/>
    </w:lvl>
  </w:abstractNum>
  <w:abstractNum w:abstractNumId="113">
    <w:nsid w:val="6A3DD3E8"/>
    <w:multiLevelType w:val="hybridMultilevel"/>
    <w:tmpl w:val="C0C4BA44"/>
    <w:lvl w:ilvl="0" w:tplc="4B161F06">
      <w:start w:val="54"/>
      <w:numFmt w:val="decimal"/>
      <w:lvlText w:val="%1"/>
      <w:lvlJc w:val="left"/>
    </w:lvl>
    <w:lvl w:ilvl="1" w:tplc="81320122">
      <w:numFmt w:val="decimal"/>
      <w:lvlText w:val=""/>
      <w:lvlJc w:val="left"/>
    </w:lvl>
    <w:lvl w:ilvl="2" w:tplc="CC1A9F38">
      <w:numFmt w:val="decimal"/>
      <w:lvlText w:val=""/>
      <w:lvlJc w:val="left"/>
    </w:lvl>
    <w:lvl w:ilvl="3" w:tplc="A7F4AD18">
      <w:numFmt w:val="decimal"/>
      <w:lvlText w:val=""/>
      <w:lvlJc w:val="left"/>
    </w:lvl>
    <w:lvl w:ilvl="4" w:tplc="DE501C56">
      <w:numFmt w:val="decimal"/>
      <w:lvlText w:val=""/>
      <w:lvlJc w:val="left"/>
    </w:lvl>
    <w:lvl w:ilvl="5" w:tplc="5B2AC170">
      <w:numFmt w:val="decimal"/>
      <w:lvlText w:val=""/>
      <w:lvlJc w:val="left"/>
    </w:lvl>
    <w:lvl w:ilvl="6" w:tplc="7FD0C0E4">
      <w:numFmt w:val="decimal"/>
      <w:lvlText w:val=""/>
      <w:lvlJc w:val="left"/>
    </w:lvl>
    <w:lvl w:ilvl="7" w:tplc="9AE6EFE8">
      <w:numFmt w:val="decimal"/>
      <w:lvlText w:val=""/>
      <w:lvlJc w:val="left"/>
    </w:lvl>
    <w:lvl w:ilvl="8" w:tplc="45B82EDC">
      <w:numFmt w:val="decimal"/>
      <w:lvlText w:val=""/>
      <w:lvlJc w:val="left"/>
    </w:lvl>
  </w:abstractNum>
  <w:abstractNum w:abstractNumId="114">
    <w:nsid w:val="6A5F7029"/>
    <w:multiLevelType w:val="hybridMultilevel"/>
    <w:tmpl w:val="0E786B06"/>
    <w:lvl w:ilvl="0" w:tplc="6500233C">
      <w:start w:val="48"/>
      <w:numFmt w:val="decimal"/>
      <w:lvlText w:val="%1"/>
      <w:lvlJc w:val="left"/>
    </w:lvl>
    <w:lvl w:ilvl="1" w:tplc="FB8006F0">
      <w:numFmt w:val="decimal"/>
      <w:lvlText w:val=""/>
      <w:lvlJc w:val="left"/>
    </w:lvl>
    <w:lvl w:ilvl="2" w:tplc="670C9244">
      <w:numFmt w:val="decimal"/>
      <w:lvlText w:val=""/>
      <w:lvlJc w:val="left"/>
    </w:lvl>
    <w:lvl w:ilvl="3" w:tplc="A39408B4">
      <w:numFmt w:val="decimal"/>
      <w:lvlText w:val=""/>
      <w:lvlJc w:val="left"/>
    </w:lvl>
    <w:lvl w:ilvl="4" w:tplc="22E291C0">
      <w:numFmt w:val="decimal"/>
      <w:lvlText w:val=""/>
      <w:lvlJc w:val="left"/>
    </w:lvl>
    <w:lvl w:ilvl="5" w:tplc="0D8052EA">
      <w:numFmt w:val="decimal"/>
      <w:lvlText w:val=""/>
      <w:lvlJc w:val="left"/>
    </w:lvl>
    <w:lvl w:ilvl="6" w:tplc="6A8CEF16">
      <w:numFmt w:val="decimal"/>
      <w:lvlText w:val=""/>
      <w:lvlJc w:val="left"/>
    </w:lvl>
    <w:lvl w:ilvl="7" w:tplc="CD364EF2">
      <w:numFmt w:val="decimal"/>
      <w:lvlText w:val=""/>
      <w:lvlJc w:val="left"/>
    </w:lvl>
    <w:lvl w:ilvl="8" w:tplc="FFA0287E">
      <w:numFmt w:val="decimal"/>
      <w:lvlText w:val=""/>
      <w:lvlJc w:val="left"/>
    </w:lvl>
  </w:abstractNum>
  <w:abstractNum w:abstractNumId="115">
    <w:nsid w:val="6AA78F7F"/>
    <w:multiLevelType w:val="hybridMultilevel"/>
    <w:tmpl w:val="B13A8A20"/>
    <w:lvl w:ilvl="0" w:tplc="97BA1EEC">
      <w:start w:val="1"/>
      <w:numFmt w:val="bullet"/>
      <w:lvlText w:val="•"/>
      <w:lvlJc w:val="left"/>
    </w:lvl>
    <w:lvl w:ilvl="1" w:tplc="A95003C2">
      <w:numFmt w:val="decimal"/>
      <w:lvlText w:val=""/>
      <w:lvlJc w:val="left"/>
    </w:lvl>
    <w:lvl w:ilvl="2" w:tplc="94CE4C9E">
      <w:numFmt w:val="decimal"/>
      <w:lvlText w:val=""/>
      <w:lvlJc w:val="left"/>
    </w:lvl>
    <w:lvl w:ilvl="3" w:tplc="C6CC2C0E">
      <w:numFmt w:val="decimal"/>
      <w:lvlText w:val=""/>
      <w:lvlJc w:val="left"/>
    </w:lvl>
    <w:lvl w:ilvl="4" w:tplc="9A181154">
      <w:numFmt w:val="decimal"/>
      <w:lvlText w:val=""/>
      <w:lvlJc w:val="left"/>
    </w:lvl>
    <w:lvl w:ilvl="5" w:tplc="1FE85028">
      <w:numFmt w:val="decimal"/>
      <w:lvlText w:val=""/>
      <w:lvlJc w:val="left"/>
    </w:lvl>
    <w:lvl w:ilvl="6" w:tplc="980EC422">
      <w:numFmt w:val="decimal"/>
      <w:lvlText w:val=""/>
      <w:lvlJc w:val="left"/>
    </w:lvl>
    <w:lvl w:ilvl="7" w:tplc="C0E22820">
      <w:numFmt w:val="decimal"/>
      <w:lvlText w:val=""/>
      <w:lvlJc w:val="left"/>
    </w:lvl>
    <w:lvl w:ilvl="8" w:tplc="C6D0D3C2">
      <w:numFmt w:val="decimal"/>
      <w:lvlText w:val=""/>
      <w:lvlJc w:val="left"/>
    </w:lvl>
  </w:abstractNum>
  <w:abstractNum w:abstractNumId="116">
    <w:nsid w:val="6AA7B75C"/>
    <w:multiLevelType w:val="hybridMultilevel"/>
    <w:tmpl w:val="707A98CE"/>
    <w:lvl w:ilvl="0" w:tplc="C5224B4A">
      <w:start w:val="2"/>
      <w:numFmt w:val="decimal"/>
      <w:lvlText w:val="(%1)"/>
      <w:lvlJc w:val="left"/>
    </w:lvl>
    <w:lvl w:ilvl="1" w:tplc="EBCCA740">
      <w:numFmt w:val="decimal"/>
      <w:lvlText w:val=""/>
      <w:lvlJc w:val="left"/>
    </w:lvl>
    <w:lvl w:ilvl="2" w:tplc="E1E6F2EA">
      <w:numFmt w:val="decimal"/>
      <w:lvlText w:val=""/>
      <w:lvlJc w:val="left"/>
    </w:lvl>
    <w:lvl w:ilvl="3" w:tplc="98BE2640">
      <w:numFmt w:val="decimal"/>
      <w:lvlText w:val=""/>
      <w:lvlJc w:val="left"/>
    </w:lvl>
    <w:lvl w:ilvl="4" w:tplc="B75E0F66">
      <w:numFmt w:val="decimal"/>
      <w:lvlText w:val=""/>
      <w:lvlJc w:val="left"/>
    </w:lvl>
    <w:lvl w:ilvl="5" w:tplc="012A0188">
      <w:numFmt w:val="decimal"/>
      <w:lvlText w:val=""/>
      <w:lvlJc w:val="left"/>
    </w:lvl>
    <w:lvl w:ilvl="6" w:tplc="1F7078BA">
      <w:numFmt w:val="decimal"/>
      <w:lvlText w:val=""/>
      <w:lvlJc w:val="left"/>
    </w:lvl>
    <w:lvl w:ilvl="7" w:tplc="09EE63C6">
      <w:numFmt w:val="decimal"/>
      <w:lvlText w:val=""/>
      <w:lvlJc w:val="left"/>
    </w:lvl>
    <w:lvl w:ilvl="8" w:tplc="38B8461E">
      <w:numFmt w:val="decimal"/>
      <w:lvlText w:val=""/>
      <w:lvlJc w:val="left"/>
    </w:lvl>
  </w:abstractNum>
  <w:abstractNum w:abstractNumId="117">
    <w:nsid w:val="6C80EC70"/>
    <w:multiLevelType w:val="hybridMultilevel"/>
    <w:tmpl w:val="FDE4D960"/>
    <w:lvl w:ilvl="0" w:tplc="BC22F8C8">
      <w:start w:val="70"/>
      <w:numFmt w:val="decimal"/>
      <w:lvlText w:val="%1"/>
      <w:lvlJc w:val="left"/>
    </w:lvl>
    <w:lvl w:ilvl="1" w:tplc="9DC050AE">
      <w:numFmt w:val="decimal"/>
      <w:lvlText w:val=""/>
      <w:lvlJc w:val="left"/>
    </w:lvl>
    <w:lvl w:ilvl="2" w:tplc="85684BB4">
      <w:numFmt w:val="decimal"/>
      <w:lvlText w:val=""/>
      <w:lvlJc w:val="left"/>
    </w:lvl>
    <w:lvl w:ilvl="3" w:tplc="C804C11E">
      <w:numFmt w:val="decimal"/>
      <w:lvlText w:val=""/>
      <w:lvlJc w:val="left"/>
    </w:lvl>
    <w:lvl w:ilvl="4" w:tplc="50C87B46">
      <w:numFmt w:val="decimal"/>
      <w:lvlText w:val=""/>
      <w:lvlJc w:val="left"/>
    </w:lvl>
    <w:lvl w:ilvl="5" w:tplc="CFCEAF1C">
      <w:numFmt w:val="decimal"/>
      <w:lvlText w:val=""/>
      <w:lvlJc w:val="left"/>
    </w:lvl>
    <w:lvl w:ilvl="6" w:tplc="5510AADA">
      <w:numFmt w:val="decimal"/>
      <w:lvlText w:val=""/>
      <w:lvlJc w:val="left"/>
    </w:lvl>
    <w:lvl w:ilvl="7" w:tplc="E3C0EA8E">
      <w:numFmt w:val="decimal"/>
      <w:lvlText w:val=""/>
      <w:lvlJc w:val="left"/>
    </w:lvl>
    <w:lvl w:ilvl="8" w:tplc="E5FEF2FE">
      <w:numFmt w:val="decimal"/>
      <w:lvlText w:val=""/>
      <w:lvlJc w:val="left"/>
    </w:lvl>
  </w:abstractNum>
  <w:abstractNum w:abstractNumId="118">
    <w:nsid w:val="6F6DD9AC"/>
    <w:multiLevelType w:val="hybridMultilevel"/>
    <w:tmpl w:val="95185C76"/>
    <w:lvl w:ilvl="0" w:tplc="B090258C">
      <w:start w:val="22"/>
      <w:numFmt w:val="decimal"/>
      <w:lvlText w:val="%1"/>
      <w:lvlJc w:val="left"/>
    </w:lvl>
    <w:lvl w:ilvl="1" w:tplc="D5ACBD88">
      <w:numFmt w:val="decimal"/>
      <w:lvlText w:val=""/>
      <w:lvlJc w:val="left"/>
    </w:lvl>
    <w:lvl w:ilvl="2" w:tplc="BA98DF5E">
      <w:numFmt w:val="decimal"/>
      <w:lvlText w:val=""/>
      <w:lvlJc w:val="left"/>
    </w:lvl>
    <w:lvl w:ilvl="3" w:tplc="D060B1EA">
      <w:numFmt w:val="decimal"/>
      <w:lvlText w:val=""/>
      <w:lvlJc w:val="left"/>
    </w:lvl>
    <w:lvl w:ilvl="4" w:tplc="E346B762">
      <w:numFmt w:val="decimal"/>
      <w:lvlText w:val=""/>
      <w:lvlJc w:val="left"/>
    </w:lvl>
    <w:lvl w:ilvl="5" w:tplc="9EBE74DC">
      <w:numFmt w:val="decimal"/>
      <w:lvlText w:val=""/>
      <w:lvlJc w:val="left"/>
    </w:lvl>
    <w:lvl w:ilvl="6" w:tplc="91BA0C2E">
      <w:numFmt w:val="decimal"/>
      <w:lvlText w:val=""/>
      <w:lvlJc w:val="left"/>
    </w:lvl>
    <w:lvl w:ilvl="7" w:tplc="98D472FE">
      <w:numFmt w:val="decimal"/>
      <w:lvlText w:val=""/>
      <w:lvlJc w:val="left"/>
    </w:lvl>
    <w:lvl w:ilvl="8" w:tplc="0BD8B582">
      <w:numFmt w:val="decimal"/>
      <w:lvlText w:val=""/>
      <w:lvlJc w:val="left"/>
    </w:lvl>
  </w:abstractNum>
  <w:abstractNum w:abstractNumId="119">
    <w:nsid w:val="6FC75AF8"/>
    <w:multiLevelType w:val="hybridMultilevel"/>
    <w:tmpl w:val="43FEC7BE"/>
    <w:lvl w:ilvl="0" w:tplc="79C4B406">
      <w:start w:val="1"/>
      <w:numFmt w:val="bullet"/>
      <w:lvlText w:val="•"/>
      <w:lvlJc w:val="left"/>
    </w:lvl>
    <w:lvl w:ilvl="1" w:tplc="E8D49546">
      <w:numFmt w:val="decimal"/>
      <w:lvlText w:val=""/>
      <w:lvlJc w:val="left"/>
    </w:lvl>
    <w:lvl w:ilvl="2" w:tplc="3412E17E">
      <w:numFmt w:val="decimal"/>
      <w:lvlText w:val=""/>
      <w:lvlJc w:val="left"/>
    </w:lvl>
    <w:lvl w:ilvl="3" w:tplc="43E29618">
      <w:numFmt w:val="decimal"/>
      <w:lvlText w:val=""/>
      <w:lvlJc w:val="left"/>
    </w:lvl>
    <w:lvl w:ilvl="4" w:tplc="AB3CC7DA">
      <w:numFmt w:val="decimal"/>
      <w:lvlText w:val=""/>
      <w:lvlJc w:val="left"/>
    </w:lvl>
    <w:lvl w:ilvl="5" w:tplc="AEFA316C">
      <w:numFmt w:val="decimal"/>
      <w:lvlText w:val=""/>
      <w:lvlJc w:val="left"/>
    </w:lvl>
    <w:lvl w:ilvl="6" w:tplc="4562274C">
      <w:numFmt w:val="decimal"/>
      <w:lvlText w:val=""/>
      <w:lvlJc w:val="left"/>
    </w:lvl>
    <w:lvl w:ilvl="7" w:tplc="E4C85EDA">
      <w:numFmt w:val="decimal"/>
      <w:lvlText w:val=""/>
      <w:lvlJc w:val="left"/>
    </w:lvl>
    <w:lvl w:ilvl="8" w:tplc="5096F4E2">
      <w:numFmt w:val="decimal"/>
      <w:lvlText w:val=""/>
      <w:lvlJc w:val="left"/>
    </w:lvl>
  </w:abstractNum>
  <w:abstractNum w:abstractNumId="120">
    <w:nsid w:val="704E1DD5"/>
    <w:multiLevelType w:val="hybridMultilevel"/>
    <w:tmpl w:val="8BD050C8"/>
    <w:lvl w:ilvl="0" w:tplc="5DD05CF2">
      <w:start w:val="1"/>
      <w:numFmt w:val="bullet"/>
      <w:lvlText w:val="●"/>
      <w:lvlJc w:val="left"/>
    </w:lvl>
    <w:lvl w:ilvl="1" w:tplc="217E630C">
      <w:numFmt w:val="decimal"/>
      <w:lvlText w:val=""/>
      <w:lvlJc w:val="left"/>
    </w:lvl>
    <w:lvl w:ilvl="2" w:tplc="313A04AA">
      <w:numFmt w:val="decimal"/>
      <w:lvlText w:val=""/>
      <w:lvlJc w:val="left"/>
    </w:lvl>
    <w:lvl w:ilvl="3" w:tplc="38C4372A">
      <w:numFmt w:val="decimal"/>
      <w:lvlText w:val=""/>
      <w:lvlJc w:val="left"/>
    </w:lvl>
    <w:lvl w:ilvl="4" w:tplc="A78AC2C0">
      <w:numFmt w:val="decimal"/>
      <w:lvlText w:val=""/>
      <w:lvlJc w:val="left"/>
    </w:lvl>
    <w:lvl w:ilvl="5" w:tplc="F2BA49BE">
      <w:numFmt w:val="decimal"/>
      <w:lvlText w:val=""/>
      <w:lvlJc w:val="left"/>
    </w:lvl>
    <w:lvl w:ilvl="6" w:tplc="8B6293CC">
      <w:numFmt w:val="decimal"/>
      <w:lvlText w:val=""/>
      <w:lvlJc w:val="left"/>
    </w:lvl>
    <w:lvl w:ilvl="7" w:tplc="7526D19A">
      <w:numFmt w:val="decimal"/>
      <w:lvlText w:val=""/>
      <w:lvlJc w:val="left"/>
    </w:lvl>
    <w:lvl w:ilvl="8" w:tplc="7BE6C630">
      <w:numFmt w:val="decimal"/>
      <w:lvlText w:val=""/>
      <w:lvlJc w:val="left"/>
    </w:lvl>
  </w:abstractNum>
  <w:abstractNum w:abstractNumId="121">
    <w:nsid w:val="7055A5F5"/>
    <w:multiLevelType w:val="hybridMultilevel"/>
    <w:tmpl w:val="D778AAEC"/>
    <w:lvl w:ilvl="0" w:tplc="ABE64552">
      <w:start w:val="1"/>
      <w:numFmt w:val="bullet"/>
      <w:lvlText w:val="*"/>
      <w:lvlJc w:val="left"/>
    </w:lvl>
    <w:lvl w:ilvl="1" w:tplc="AA82F2F8">
      <w:start w:val="1"/>
      <w:numFmt w:val="bullet"/>
      <w:lvlText w:val="•"/>
      <w:lvlJc w:val="left"/>
    </w:lvl>
    <w:lvl w:ilvl="2" w:tplc="934A0328">
      <w:numFmt w:val="decimal"/>
      <w:lvlText w:val=""/>
      <w:lvlJc w:val="left"/>
    </w:lvl>
    <w:lvl w:ilvl="3" w:tplc="92344780">
      <w:numFmt w:val="decimal"/>
      <w:lvlText w:val=""/>
      <w:lvlJc w:val="left"/>
    </w:lvl>
    <w:lvl w:ilvl="4" w:tplc="7952BB20">
      <w:numFmt w:val="decimal"/>
      <w:lvlText w:val=""/>
      <w:lvlJc w:val="left"/>
    </w:lvl>
    <w:lvl w:ilvl="5" w:tplc="2D6A9230">
      <w:numFmt w:val="decimal"/>
      <w:lvlText w:val=""/>
      <w:lvlJc w:val="left"/>
    </w:lvl>
    <w:lvl w:ilvl="6" w:tplc="D8F84C16">
      <w:numFmt w:val="decimal"/>
      <w:lvlText w:val=""/>
      <w:lvlJc w:val="left"/>
    </w:lvl>
    <w:lvl w:ilvl="7" w:tplc="356610A2">
      <w:numFmt w:val="decimal"/>
      <w:lvlText w:val=""/>
      <w:lvlJc w:val="left"/>
    </w:lvl>
    <w:lvl w:ilvl="8" w:tplc="7F765E2E">
      <w:numFmt w:val="decimal"/>
      <w:lvlText w:val=""/>
      <w:lvlJc w:val="left"/>
    </w:lvl>
  </w:abstractNum>
  <w:abstractNum w:abstractNumId="122">
    <w:nsid w:val="71C91298"/>
    <w:multiLevelType w:val="hybridMultilevel"/>
    <w:tmpl w:val="2CAE62DE"/>
    <w:lvl w:ilvl="0" w:tplc="66903E9C">
      <w:start w:val="3"/>
      <w:numFmt w:val="lowerRoman"/>
      <w:lvlText w:val="(%1)"/>
      <w:lvlJc w:val="left"/>
    </w:lvl>
    <w:lvl w:ilvl="1" w:tplc="35021624">
      <w:numFmt w:val="decimal"/>
      <w:lvlText w:val=""/>
      <w:lvlJc w:val="left"/>
    </w:lvl>
    <w:lvl w:ilvl="2" w:tplc="A0C05D82">
      <w:numFmt w:val="decimal"/>
      <w:lvlText w:val=""/>
      <w:lvlJc w:val="left"/>
    </w:lvl>
    <w:lvl w:ilvl="3" w:tplc="B58086CE">
      <w:numFmt w:val="decimal"/>
      <w:lvlText w:val=""/>
      <w:lvlJc w:val="left"/>
    </w:lvl>
    <w:lvl w:ilvl="4" w:tplc="F1EEF1A8">
      <w:numFmt w:val="decimal"/>
      <w:lvlText w:val=""/>
      <w:lvlJc w:val="left"/>
    </w:lvl>
    <w:lvl w:ilvl="5" w:tplc="5BE014AA">
      <w:numFmt w:val="decimal"/>
      <w:lvlText w:val=""/>
      <w:lvlJc w:val="left"/>
    </w:lvl>
    <w:lvl w:ilvl="6" w:tplc="08040340">
      <w:numFmt w:val="decimal"/>
      <w:lvlText w:val=""/>
      <w:lvlJc w:val="left"/>
    </w:lvl>
    <w:lvl w:ilvl="7" w:tplc="F500AF84">
      <w:numFmt w:val="decimal"/>
      <w:lvlText w:val=""/>
      <w:lvlJc w:val="left"/>
    </w:lvl>
    <w:lvl w:ilvl="8" w:tplc="D8A01DC8">
      <w:numFmt w:val="decimal"/>
      <w:lvlText w:val=""/>
      <w:lvlJc w:val="left"/>
    </w:lvl>
  </w:abstractNum>
  <w:abstractNum w:abstractNumId="123">
    <w:nsid w:val="71EA1109"/>
    <w:multiLevelType w:val="hybridMultilevel"/>
    <w:tmpl w:val="C254B664"/>
    <w:lvl w:ilvl="0" w:tplc="B5FCFECA">
      <w:start w:val="1"/>
      <w:numFmt w:val="bullet"/>
      <w:lvlText w:val="•"/>
      <w:lvlJc w:val="left"/>
    </w:lvl>
    <w:lvl w:ilvl="1" w:tplc="2A58BB14">
      <w:numFmt w:val="decimal"/>
      <w:lvlText w:val=""/>
      <w:lvlJc w:val="left"/>
    </w:lvl>
    <w:lvl w:ilvl="2" w:tplc="7AC6864E">
      <w:numFmt w:val="decimal"/>
      <w:lvlText w:val=""/>
      <w:lvlJc w:val="left"/>
    </w:lvl>
    <w:lvl w:ilvl="3" w:tplc="C4ACA91C">
      <w:numFmt w:val="decimal"/>
      <w:lvlText w:val=""/>
      <w:lvlJc w:val="left"/>
    </w:lvl>
    <w:lvl w:ilvl="4" w:tplc="056436E2">
      <w:numFmt w:val="decimal"/>
      <w:lvlText w:val=""/>
      <w:lvlJc w:val="left"/>
    </w:lvl>
    <w:lvl w:ilvl="5" w:tplc="D9040AF0">
      <w:numFmt w:val="decimal"/>
      <w:lvlText w:val=""/>
      <w:lvlJc w:val="left"/>
    </w:lvl>
    <w:lvl w:ilvl="6" w:tplc="E4C03660">
      <w:numFmt w:val="decimal"/>
      <w:lvlText w:val=""/>
      <w:lvlJc w:val="left"/>
    </w:lvl>
    <w:lvl w:ilvl="7" w:tplc="5D2248D2">
      <w:numFmt w:val="decimal"/>
      <w:lvlText w:val=""/>
      <w:lvlJc w:val="left"/>
    </w:lvl>
    <w:lvl w:ilvl="8" w:tplc="0F405E9A">
      <w:numFmt w:val="decimal"/>
      <w:lvlText w:val=""/>
      <w:lvlJc w:val="left"/>
    </w:lvl>
  </w:abstractNum>
  <w:abstractNum w:abstractNumId="124">
    <w:nsid w:val="73A1821B"/>
    <w:multiLevelType w:val="hybridMultilevel"/>
    <w:tmpl w:val="53CC4FD2"/>
    <w:lvl w:ilvl="0" w:tplc="A636CE16">
      <w:start w:val="1"/>
      <w:numFmt w:val="bullet"/>
      <w:lvlText w:val="•"/>
      <w:lvlJc w:val="left"/>
    </w:lvl>
    <w:lvl w:ilvl="1" w:tplc="A990923E">
      <w:numFmt w:val="decimal"/>
      <w:lvlText w:val=""/>
      <w:lvlJc w:val="left"/>
    </w:lvl>
    <w:lvl w:ilvl="2" w:tplc="F112D30A">
      <w:numFmt w:val="decimal"/>
      <w:lvlText w:val=""/>
      <w:lvlJc w:val="left"/>
    </w:lvl>
    <w:lvl w:ilvl="3" w:tplc="A28EB8FE">
      <w:numFmt w:val="decimal"/>
      <w:lvlText w:val=""/>
      <w:lvlJc w:val="left"/>
    </w:lvl>
    <w:lvl w:ilvl="4" w:tplc="7AB85F22">
      <w:numFmt w:val="decimal"/>
      <w:lvlText w:val=""/>
      <w:lvlJc w:val="left"/>
    </w:lvl>
    <w:lvl w:ilvl="5" w:tplc="FCBC638C">
      <w:numFmt w:val="decimal"/>
      <w:lvlText w:val=""/>
      <w:lvlJc w:val="left"/>
    </w:lvl>
    <w:lvl w:ilvl="6" w:tplc="4B846E10">
      <w:numFmt w:val="decimal"/>
      <w:lvlText w:val=""/>
      <w:lvlJc w:val="left"/>
    </w:lvl>
    <w:lvl w:ilvl="7" w:tplc="B8B4634A">
      <w:numFmt w:val="decimal"/>
      <w:lvlText w:val=""/>
      <w:lvlJc w:val="left"/>
    </w:lvl>
    <w:lvl w:ilvl="8" w:tplc="7C100A36">
      <w:numFmt w:val="decimal"/>
      <w:lvlText w:val=""/>
      <w:lvlJc w:val="left"/>
    </w:lvl>
  </w:abstractNum>
  <w:abstractNum w:abstractNumId="125">
    <w:nsid w:val="74DE0EE3"/>
    <w:multiLevelType w:val="hybridMultilevel"/>
    <w:tmpl w:val="495231EC"/>
    <w:lvl w:ilvl="0" w:tplc="9E801E1E">
      <w:start w:val="1"/>
      <w:numFmt w:val="decimal"/>
      <w:lvlText w:val="(%1)"/>
      <w:lvlJc w:val="left"/>
    </w:lvl>
    <w:lvl w:ilvl="1" w:tplc="C758FBE4">
      <w:numFmt w:val="decimal"/>
      <w:lvlText w:val=""/>
      <w:lvlJc w:val="left"/>
    </w:lvl>
    <w:lvl w:ilvl="2" w:tplc="E0E2BBE6">
      <w:numFmt w:val="decimal"/>
      <w:lvlText w:val=""/>
      <w:lvlJc w:val="left"/>
    </w:lvl>
    <w:lvl w:ilvl="3" w:tplc="DECA7AF6">
      <w:numFmt w:val="decimal"/>
      <w:lvlText w:val=""/>
      <w:lvlJc w:val="left"/>
    </w:lvl>
    <w:lvl w:ilvl="4" w:tplc="B5FC359C">
      <w:numFmt w:val="decimal"/>
      <w:lvlText w:val=""/>
      <w:lvlJc w:val="left"/>
    </w:lvl>
    <w:lvl w:ilvl="5" w:tplc="EA1AAE2A">
      <w:numFmt w:val="decimal"/>
      <w:lvlText w:val=""/>
      <w:lvlJc w:val="left"/>
    </w:lvl>
    <w:lvl w:ilvl="6" w:tplc="24A43462">
      <w:numFmt w:val="decimal"/>
      <w:lvlText w:val=""/>
      <w:lvlJc w:val="left"/>
    </w:lvl>
    <w:lvl w:ilvl="7" w:tplc="EB721498">
      <w:numFmt w:val="decimal"/>
      <w:lvlText w:val=""/>
      <w:lvlJc w:val="left"/>
    </w:lvl>
    <w:lvl w:ilvl="8" w:tplc="6038B250">
      <w:numFmt w:val="decimal"/>
      <w:lvlText w:val=""/>
      <w:lvlJc w:val="left"/>
    </w:lvl>
  </w:abstractNum>
  <w:abstractNum w:abstractNumId="126">
    <w:nsid w:val="75E0858A"/>
    <w:multiLevelType w:val="hybridMultilevel"/>
    <w:tmpl w:val="0C2068DE"/>
    <w:lvl w:ilvl="0" w:tplc="A7284F9E">
      <w:start w:val="1"/>
      <w:numFmt w:val="lowerLetter"/>
      <w:lvlText w:val="(%1)"/>
      <w:lvlJc w:val="left"/>
    </w:lvl>
    <w:lvl w:ilvl="1" w:tplc="EB06E82C">
      <w:numFmt w:val="decimal"/>
      <w:lvlText w:val=""/>
      <w:lvlJc w:val="left"/>
    </w:lvl>
    <w:lvl w:ilvl="2" w:tplc="A588EF2A">
      <w:numFmt w:val="decimal"/>
      <w:lvlText w:val=""/>
      <w:lvlJc w:val="left"/>
    </w:lvl>
    <w:lvl w:ilvl="3" w:tplc="B860D382">
      <w:numFmt w:val="decimal"/>
      <w:lvlText w:val=""/>
      <w:lvlJc w:val="left"/>
    </w:lvl>
    <w:lvl w:ilvl="4" w:tplc="BE58BDC4">
      <w:numFmt w:val="decimal"/>
      <w:lvlText w:val=""/>
      <w:lvlJc w:val="left"/>
    </w:lvl>
    <w:lvl w:ilvl="5" w:tplc="A61C1998">
      <w:numFmt w:val="decimal"/>
      <w:lvlText w:val=""/>
      <w:lvlJc w:val="left"/>
    </w:lvl>
    <w:lvl w:ilvl="6" w:tplc="3522C914">
      <w:numFmt w:val="decimal"/>
      <w:lvlText w:val=""/>
      <w:lvlJc w:val="left"/>
    </w:lvl>
    <w:lvl w:ilvl="7" w:tplc="A6408E00">
      <w:numFmt w:val="decimal"/>
      <w:lvlText w:val=""/>
      <w:lvlJc w:val="left"/>
    </w:lvl>
    <w:lvl w:ilvl="8" w:tplc="FD264624">
      <w:numFmt w:val="decimal"/>
      <w:lvlText w:val=""/>
      <w:lvlJc w:val="left"/>
    </w:lvl>
  </w:abstractNum>
  <w:abstractNum w:abstractNumId="127">
    <w:nsid w:val="76272110"/>
    <w:multiLevelType w:val="hybridMultilevel"/>
    <w:tmpl w:val="4C78052C"/>
    <w:lvl w:ilvl="0" w:tplc="D2F6E5DE">
      <w:start w:val="26"/>
      <w:numFmt w:val="decimal"/>
      <w:lvlText w:val="%1"/>
      <w:lvlJc w:val="left"/>
    </w:lvl>
    <w:lvl w:ilvl="1" w:tplc="2D0EF62E">
      <w:numFmt w:val="decimal"/>
      <w:lvlText w:val=""/>
      <w:lvlJc w:val="left"/>
    </w:lvl>
    <w:lvl w:ilvl="2" w:tplc="C83E85D0">
      <w:numFmt w:val="decimal"/>
      <w:lvlText w:val=""/>
      <w:lvlJc w:val="left"/>
    </w:lvl>
    <w:lvl w:ilvl="3" w:tplc="FB5CB904">
      <w:numFmt w:val="decimal"/>
      <w:lvlText w:val=""/>
      <w:lvlJc w:val="left"/>
    </w:lvl>
    <w:lvl w:ilvl="4" w:tplc="635E90D4">
      <w:numFmt w:val="decimal"/>
      <w:lvlText w:val=""/>
      <w:lvlJc w:val="left"/>
    </w:lvl>
    <w:lvl w:ilvl="5" w:tplc="931C2E00">
      <w:numFmt w:val="decimal"/>
      <w:lvlText w:val=""/>
      <w:lvlJc w:val="left"/>
    </w:lvl>
    <w:lvl w:ilvl="6" w:tplc="33D6EFE6">
      <w:numFmt w:val="decimal"/>
      <w:lvlText w:val=""/>
      <w:lvlJc w:val="left"/>
    </w:lvl>
    <w:lvl w:ilvl="7" w:tplc="CFB01794">
      <w:numFmt w:val="decimal"/>
      <w:lvlText w:val=""/>
      <w:lvlJc w:val="left"/>
    </w:lvl>
    <w:lvl w:ilvl="8" w:tplc="F2DA3F54">
      <w:numFmt w:val="decimal"/>
      <w:lvlText w:val=""/>
      <w:lvlJc w:val="left"/>
    </w:lvl>
  </w:abstractNum>
  <w:abstractNum w:abstractNumId="128">
    <w:nsid w:val="7672BD23"/>
    <w:multiLevelType w:val="hybridMultilevel"/>
    <w:tmpl w:val="55E82C7A"/>
    <w:lvl w:ilvl="0" w:tplc="B044B27E">
      <w:start w:val="1"/>
      <w:numFmt w:val="bullet"/>
      <w:lvlText w:val="•"/>
      <w:lvlJc w:val="left"/>
    </w:lvl>
    <w:lvl w:ilvl="1" w:tplc="FAAE88EE">
      <w:numFmt w:val="decimal"/>
      <w:lvlText w:val=""/>
      <w:lvlJc w:val="left"/>
    </w:lvl>
    <w:lvl w:ilvl="2" w:tplc="904AD180">
      <w:numFmt w:val="decimal"/>
      <w:lvlText w:val=""/>
      <w:lvlJc w:val="left"/>
    </w:lvl>
    <w:lvl w:ilvl="3" w:tplc="A3906194">
      <w:numFmt w:val="decimal"/>
      <w:lvlText w:val=""/>
      <w:lvlJc w:val="left"/>
    </w:lvl>
    <w:lvl w:ilvl="4" w:tplc="DCE84EC8">
      <w:numFmt w:val="decimal"/>
      <w:lvlText w:val=""/>
      <w:lvlJc w:val="left"/>
    </w:lvl>
    <w:lvl w:ilvl="5" w:tplc="AA5E7AF2">
      <w:numFmt w:val="decimal"/>
      <w:lvlText w:val=""/>
      <w:lvlJc w:val="left"/>
    </w:lvl>
    <w:lvl w:ilvl="6" w:tplc="2A16DEDA">
      <w:numFmt w:val="decimal"/>
      <w:lvlText w:val=""/>
      <w:lvlJc w:val="left"/>
    </w:lvl>
    <w:lvl w:ilvl="7" w:tplc="D7F0C614">
      <w:numFmt w:val="decimal"/>
      <w:lvlText w:val=""/>
      <w:lvlJc w:val="left"/>
    </w:lvl>
    <w:lvl w:ilvl="8" w:tplc="9B069EBC">
      <w:numFmt w:val="decimal"/>
      <w:lvlText w:val=""/>
      <w:lvlJc w:val="left"/>
    </w:lvl>
  </w:abstractNum>
  <w:abstractNum w:abstractNumId="129">
    <w:nsid w:val="78DF6A55"/>
    <w:multiLevelType w:val="hybridMultilevel"/>
    <w:tmpl w:val="E9EE0F8E"/>
    <w:lvl w:ilvl="0" w:tplc="3B766B10">
      <w:start w:val="1"/>
      <w:numFmt w:val="bullet"/>
      <w:lvlText w:val="•"/>
      <w:lvlJc w:val="left"/>
    </w:lvl>
    <w:lvl w:ilvl="1" w:tplc="CEB2F6F8">
      <w:numFmt w:val="decimal"/>
      <w:lvlText w:val=""/>
      <w:lvlJc w:val="left"/>
    </w:lvl>
    <w:lvl w:ilvl="2" w:tplc="4F2A75B8">
      <w:numFmt w:val="decimal"/>
      <w:lvlText w:val=""/>
      <w:lvlJc w:val="left"/>
    </w:lvl>
    <w:lvl w:ilvl="3" w:tplc="75F4B6AA">
      <w:numFmt w:val="decimal"/>
      <w:lvlText w:val=""/>
      <w:lvlJc w:val="left"/>
    </w:lvl>
    <w:lvl w:ilvl="4" w:tplc="511C338A">
      <w:numFmt w:val="decimal"/>
      <w:lvlText w:val=""/>
      <w:lvlJc w:val="left"/>
    </w:lvl>
    <w:lvl w:ilvl="5" w:tplc="9CCA5878">
      <w:numFmt w:val="decimal"/>
      <w:lvlText w:val=""/>
      <w:lvlJc w:val="left"/>
    </w:lvl>
    <w:lvl w:ilvl="6" w:tplc="81BA5D72">
      <w:numFmt w:val="decimal"/>
      <w:lvlText w:val=""/>
      <w:lvlJc w:val="left"/>
    </w:lvl>
    <w:lvl w:ilvl="7" w:tplc="66A677D0">
      <w:numFmt w:val="decimal"/>
      <w:lvlText w:val=""/>
      <w:lvlJc w:val="left"/>
    </w:lvl>
    <w:lvl w:ilvl="8" w:tplc="C0EE05E8">
      <w:numFmt w:val="decimal"/>
      <w:lvlText w:val=""/>
      <w:lvlJc w:val="left"/>
    </w:lvl>
  </w:abstractNum>
  <w:abstractNum w:abstractNumId="130">
    <w:nsid w:val="799D0247"/>
    <w:multiLevelType w:val="hybridMultilevel"/>
    <w:tmpl w:val="9B1E36A8"/>
    <w:lvl w:ilvl="0" w:tplc="2E3E7952">
      <w:start w:val="1"/>
      <w:numFmt w:val="bullet"/>
      <w:lvlText w:val="☒"/>
      <w:lvlJc w:val="left"/>
    </w:lvl>
    <w:lvl w:ilvl="1" w:tplc="BEF43FCA">
      <w:numFmt w:val="decimal"/>
      <w:lvlText w:val=""/>
      <w:lvlJc w:val="left"/>
    </w:lvl>
    <w:lvl w:ilvl="2" w:tplc="B20AA108">
      <w:numFmt w:val="decimal"/>
      <w:lvlText w:val=""/>
      <w:lvlJc w:val="left"/>
    </w:lvl>
    <w:lvl w:ilvl="3" w:tplc="290E8964">
      <w:numFmt w:val="decimal"/>
      <w:lvlText w:val=""/>
      <w:lvlJc w:val="left"/>
    </w:lvl>
    <w:lvl w:ilvl="4" w:tplc="53D2F840">
      <w:numFmt w:val="decimal"/>
      <w:lvlText w:val=""/>
      <w:lvlJc w:val="left"/>
    </w:lvl>
    <w:lvl w:ilvl="5" w:tplc="7B8E8A1C">
      <w:numFmt w:val="decimal"/>
      <w:lvlText w:val=""/>
      <w:lvlJc w:val="left"/>
    </w:lvl>
    <w:lvl w:ilvl="6" w:tplc="D8F25CBA">
      <w:numFmt w:val="decimal"/>
      <w:lvlText w:val=""/>
      <w:lvlJc w:val="left"/>
    </w:lvl>
    <w:lvl w:ilvl="7" w:tplc="D354CC4E">
      <w:numFmt w:val="decimal"/>
      <w:lvlText w:val=""/>
      <w:lvlJc w:val="left"/>
    </w:lvl>
    <w:lvl w:ilvl="8" w:tplc="89D06F0E">
      <w:numFmt w:val="decimal"/>
      <w:lvlText w:val=""/>
      <w:lvlJc w:val="left"/>
    </w:lvl>
  </w:abstractNum>
  <w:abstractNum w:abstractNumId="131">
    <w:nsid w:val="7BD3EE7B"/>
    <w:multiLevelType w:val="hybridMultilevel"/>
    <w:tmpl w:val="7F48928A"/>
    <w:lvl w:ilvl="0" w:tplc="63D8BCA8">
      <w:start w:val="1"/>
      <w:numFmt w:val="bullet"/>
      <w:lvlText w:val="•"/>
      <w:lvlJc w:val="left"/>
    </w:lvl>
    <w:lvl w:ilvl="1" w:tplc="E8ACAF34">
      <w:numFmt w:val="decimal"/>
      <w:lvlText w:val=""/>
      <w:lvlJc w:val="left"/>
    </w:lvl>
    <w:lvl w:ilvl="2" w:tplc="FE26B94A">
      <w:numFmt w:val="decimal"/>
      <w:lvlText w:val=""/>
      <w:lvlJc w:val="left"/>
    </w:lvl>
    <w:lvl w:ilvl="3" w:tplc="ED9C02F4">
      <w:numFmt w:val="decimal"/>
      <w:lvlText w:val=""/>
      <w:lvlJc w:val="left"/>
    </w:lvl>
    <w:lvl w:ilvl="4" w:tplc="C818E6E8">
      <w:numFmt w:val="decimal"/>
      <w:lvlText w:val=""/>
      <w:lvlJc w:val="left"/>
    </w:lvl>
    <w:lvl w:ilvl="5" w:tplc="014C2D02">
      <w:numFmt w:val="decimal"/>
      <w:lvlText w:val=""/>
      <w:lvlJc w:val="left"/>
    </w:lvl>
    <w:lvl w:ilvl="6" w:tplc="183C3F40">
      <w:numFmt w:val="decimal"/>
      <w:lvlText w:val=""/>
      <w:lvlJc w:val="left"/>
    </w:lvl>
    <w:lvl w:ilvl="7" w:tplc="D79E7CEC">
      <w:numFmt w:val="decimal"/>
      <w:lvlText w:val=""/>
      <w:lvlJc w:val="left"/>
    </w:lvl>
    <w:lvl w:ilvl="8" w:tplc="E15867CC">
      <w:numFmt w:val="decimal"/>
      <w:lvlText w:val=""/>
      <w:lvlJc w:val="left"/>
    </w:lvl>
  </w:abstractNum>
  <w:abstractNum w:abstractNumId="132">
    <w:nsid w:val="7C58FD05"/>
    <w:multiLevelType w:val="hybridMultilevel"/>
    <w:tmpl w:val="135AC522"/>
    <w:lvl w:ilvl="0" w:tplc="2C04FEE8">
      <w:start w:val="64"/>
      <w:numFmt w:val="decimal"/>
      <w:lvlText w:val="%1"/>
      <w:lvlJc w:val="left"/>
    </w:lvl>
    <w:lvl w:ilvl="1" w:tplc="C310D902">
      <w:numFmt w:val="decimal"/>
      <w:lvlText w:val=""/>
      <w:lvlJc w:val="left"/>
    </w:lvl>
    <w:lvl w:ilvl="2" w:tplc="BED6ACE0">
      <w:numFmt w:val="decimal"/>
      <w:lvlText w:val=""/>
      <w:lvlJc w:val="left"/>
    </w:lvl>
    <w:lvl w:ilvl="3" w:tplc="9800A422">
      <w:numFmt w:val="decimal"/>
      <w:lvlText w:val=""/>
      <w:lvlJc w:val="left"/>
    </w:lvl>
    <w:lvl w:ilvl="4" w:tplc="53EAAD8A">
      <w:numFmt w:val="decimal"/>
      <w:lvlText w:val=""/>
      <w:lvlJc w:val="left"/>
    </w:lvl>
    <w:lvl w:ilvl="5" w:tplc="04A8E2A6">
      <w:numFmt w:val="decimal"/>
      <w:lvlText w:val=""/>
      <w:lvlJc w:val="left"/>
    </w:lvl>
    <w:lvl w:ilvl="6" w:tplc="9E12B0BC">
      <w:numFmt w:val="decimal"/>
      <w:lvlText w:val=""/>
      <w:lvlJc w:val="left"/>
    </w:lvl>
    <w:lvl w:ilvl="7" w:tplc="CB3AE35A">
      <w:numFmt w:val="decimal"/>
      <w:lvlText w:val=""/>
      <w:lvlJc w:val="left"/>
    </w:lvl>
    <w:lvl w:ilvl="8" w:tplc="7F90205E">
      <w:numFmt w:val="decimal"/>
      <w:lvlText w:val=""/>
      <w:lvlJc w:val="left"/>
    </w:lvl>
  </w:abstractNum>
  <w:abstractNum w:abstractNumId="133">
    <w:nsid w:val="7D5E18F8"/>
    <w:multiLevelType w:val="hybridMultilevel"/>
    <w:tmpl w:val="E168DF44"/>
    <w:lvl w:ilvl="0" w:tplc="B81EE4F2">
      <w:start w:val="1"/>
      <w:numFmt w:val="bullet"/>
      <w:lvlText w:val="•"/>
      <w:lvlJc w:val="left"/>
    </w:lvl>
    <w:lvl w:ilvl="1" w:tplc="D4DA35E0">
      <w:numFmt w:val="decimal"/>
      <w:lvlText w:val=""/>
      <w:lvlJc w:val="left"/>
    </w:lvl>
    <w:lvl w:ilvl="2" w:tplc="2CBC7BAA">
      <w:numFmt w:val="decimal"/>
      <w:lvlText w:val=""/>
      <w:lvlJc w:val="left"/>
    </w:lvl>
    <w:lvl w:ilvl="3" w:tplc="974242FE">
      <w:numFmt w:val="decimal"/>
      <w:lvlText w:val=""/>
      <w:lvlJc w:val="left"/>
    </w:lvl>
    <w:lvl w:ilvl="4" w:tplc="7BD2A44A">
      <w:numFmt w:val="decimal"/>
      <w:lvlText w:val=""/>
      <w:lvlJc w:val="left"/>
    </w:lvl>
    <w:lvl w:ilvl="5" w:tplc="57782FA8">
      <w:numFmt w:val="decimal"/>
      <w:lvlText w:val=""/>
      <w:lvlJc w:val="left"/>
    </w:lvl>
    <w:lvl w:ilvl="6" w:tplc="8E6C657C">
      <w:numFmt w:val="decimal"/>
      <w:lvlText w:val=""/>
      <w:lvlJc w:val="left"/>
    </w:lvl>
    <w:lvl w:ilvl="7" w:tplc="DA8A9420">
      <w:numFmt w:val="decimal"/>
      <w:lvlText w:val=""/>
      <w:lvlJc w:val="left"/>
    </w:lvl>
    <w:lvl w:ilvl="8" w:tplc="2048E456">
      <w:numFmt w:val="decimal"/>
      <w:lvlText w:val=""/>
      <w:lvlJc w:val="left"/>
    </w:lvl>
  </w:abstractNum>
  <w:abstractNum w:abstractNumId="134">
    <w:nsid w:val="7DE67713"/>
    <w:multiLevelType w:val="hybridMultilevel"/>
    <w:tmpl w:val="25F82150"/>
    <w:lvl w:ilvl="0" w:tplc="69A0AAA0">
      <w:start w:val="50"/>
      <w:numFmt w:val="decimal"/>
      <w:lvlText w:val="%1"/>
      <w:lvlJc w:val="left"/>
    </w:lvl>
    <w:lvl w:ilvl="1" w:tplc="3EA6CF54">
      <w:numFmt w:val="decimal"/>
      <w:lvlText w:val=""/>
      <w:lvlJc w:val="left"/>
    </w:lvl>
    <w:lvl w:ilvl="2" w:tplc="7512CDFE">
      <w:numFmt w:val="decimal"/>
      <w:lvlText w:val=""/>
      <w:lvlJc w:val="left"/>
    </w:lvl>
    <w:lvl w:ilvl="3" w:tplc="1EA4BDDE">
      <w:numFmt w:val="decimal"/>
      <w:lvlText w:val=""/>
      <w:lvlJc w:val="left"/>
    </w:lvl>
    <w:lvl w:ilvl="4" w:tplc="5DCE1958">
      <w:numFmt w:val="decimal"/>
      <w:lvlText w:val=""/>
      <w:lvlJc w:val="left"/>
    </w:lvl>
    <w:lvl w:ilvl="5" w:tplc="9A2878BA">
      <w:numFmt w:val="decimal"/>
      <w:lvlText w:val=""/>
      <w:lvlJc w:val="left"/>
    </w:lvl>
    <w:lvl w:ilvl="6" w:tplc="E98EB30E">
      <w:numFmt w:val="decimal"/>
      <w:lvlText w:val=""/>
      <w:lvlJc w:val="left"/>
    </w:lvl>
    <w:lvl w:ilvl="7" w:tplc="AB6CDCD4">
      <w:numFmt w:val="decimal"/>
      <w:lvlText w:val=""/>
      <w:lvlJc w:val="left"/>
    </w:lvl>
    <w:lvl w:ilvl="8" w:tplc="34D8D00C">
      <w:numFmt w:val="decimal"/>
      <w:lvlText w:val=""/>
      <w:lvlJc w:val="left"/>
    </w:lvl>
  </w:abstractNum>
  <w:abstractNum w:abstractNumId="135">
    <w:nsid w:val="7F01579B"/>
    <w:multiLevelType w:val="hybridMultilevel"/>
    <w:tmpl w:val="3A9E29A0"/>
    <w:lvl w:ilvl="0" w:tplc="3FAAEE54">
      <w:start w:val="44"/>
      <w:numFmt w:val="decimal"/>
      <w:lvlText w:val="%1"/>
      <w:lvlJc w:val="left"/>
    </w:lvl>
    <w:lvl w:ilvl="1" w:tplc="B1BE5EB0">
      <w:numFmt w:val="decimal"/>
      <w:lvlText w:val=""/>
      <w:lvlJc w:val="left"/>
    </w:lvl>
    <w:lvl w:ilvl="2" w:tplc="0F8CBD12">
      <w:numFmt w:val="decimal"/>
      <w:lvlText w:val=""/>
      <w:lvlJc w:val="left"/>
    </w:lvl>
    <w:lvl w:ilvl="3" w:tplc="F238FE84">
      <w:numFmt w:val="decimal"/>
      <w:lvlText w:val=""/>
      <w:lvlJc w:val="left"/>
    </w:lvl>
    <w:lvl w:ilvl="4" w:tplc="A300BDAE">
      <w:numFmt w:val="decimal"/>
      <w:lvlText w:val=""/>
      <w:lvlJc w:val="left"/>
    </w:lvl>
    <w:lvl w:ilvl="5" w:tplc="67A24C4A">
      <w:numFmt w:val="decimal"/>
      <w:lvlText w:val=""/>
      <w:lvlJc w:val="left"/>
    </w:lvl>
    <w:lvl w:ilvl="6" w:tplc="328EF464">
      <w:numFmt w:val="decimal"/>
      <w:lvlText w:val=""/>
      <w:lvlJc w:val="left"/>
    </w:lvl>
    <w:lvl w:ilvl="7" w:tplc="61A08CA4">
      <w:numFmt w:val="decimal"/>
      <w:lvlText w:val=""/>
      <w:lvlJc w:val="left"/>
    </w:lvl>
    <w:lvl w:ilvl="8" w:tplc="03788436">
      <w:numFmt w:val="decimal"/>
      <w:lvlText w:val=""/>
      <w:lvlJc w:val="left"/>
    </w:lvl>
  </w:abstractNum>
  <w:abstractNum w:abstractNumId="136">
    <w:nsid w:val="7FB7E0AA"/>
    <w:multiLevelType w:val="hybridMultilevel"/>
    <w:tmpl w:val="02A2731A"/>
    <w:lvl w:ilvl="0" w:tplc="07A22BAC">
      <w:start w:val="18"/>
      <w:numFmt w:val="decimal"/>
      <w:lvlText w:val="%1"/>
      <w:lvlJc w:val="left"/>
    </w:lvl>
    <w:lvl w:ilvl="1" w:tplc="D948598A">
      <w:numFmt w:val="decimal"/>
      <w:lvlText w:val=""/>
      <w:lvlJc w:val="left"/>
    </w:lvl>
    <w:lvl w:ilvl="2" w:tplc="78AE383E">
      <w:numFmt w:val="decimal"/>
      <w:lvlText w:val=""/>
      <w:lvlJc w:val="left"/>
    </w:lvl>
    <w:lvl w:ilvl="3" w:tplc="19C8737E">
      <w:numFmt w:val="decimal"/>
      <w:lvlText w:val=""/>
      <w:lvlJc w:val="left"/>
    </w:lvl>
    <w:lvl w:ilvl="4" w:tplc="04520BFC">
      <w:numFmt w:val="decimal"/>
      <w:lvlText w:val=""/>
      <w:lvlJc w:val="left"/>
    </w:lvl>
    <w:lvl w:ilvl="5" w:tplc="3BCC4AFC">
      <w:numFmt w:val="decimal"/>
      <w:lvlText w:val=""/>
      <w:lvlJc w:val="left"/>
    </w:lvl>
    <w:lvl w:ilvl="6" w:tplc="0800322C">
      <w:numFmt w:val="decimal"/>
      <w:lvlText w:val=""/>
      <w:lvlJc w:val="left"/>
    </w:lvl>
    <w:lvl w:ilvl="7" w:tplc="31806586">
      <w:numFmt w:val="decimal"/>
      <w:lvlText w:val=""/>
      <w:lvlJc w:val="left"/>
    </w:lvl>
    <w:lvl w:ilvl="8" w:tplc="1BD4F942">
      <w:numFmt w:val="decimal"/>
      <w:lvlText w:val=""/>
      <w:lvlJc w:val="left"/>
    </w:lvl>
  </w:abstractNum>
  <w:abstractNum w:abstractNumId="137">
    <w:nsid w:val="7FFFCA11"/>
    <w:multiLevelType w:val="hybridMultilevel"/>
    <w:tmpl w:val="AAF64250"/>
    <w:lvl w:ilvl="0" w:tplc="74B834C8">
      <w:start w:val="1"/>
      <w:numFmt w:val="bullet"/>
      <w:lvlText w:val="•"/>
      <w:lvlJc w:val="left"/>
    </w:lvl>
    <w:lvl w:ilvl="1" w:tplc="4AD09620">
      <w:numFmt w:val="decimal"/>
      <w:lvlText w:val=""/>
      <w:lvlJc w:val="left"/>
    </w:lvl>
    <w:lvl w:ilvl="2" w:tplc="AF0295D6">
      <w:numFmt w:val="decimal"/>
      <w:lvlText w:val=""/>
      <w:lvlJc w:val="left"/>
    </w:lvl>
    <w:lvl w:ilvl="3" w:tplc="99861FCC">
      <w:numFmt w:val="decimal"/>
      <w:lvlText w:val=""/>
      <w:lvlJc w:val="left"/>
    </w:lvl>
    <w:lvl w:ilvl="4" w:tplc="4E06AFF8">
      <w:numFmt w:val="decimal"/>
      <w:lvlText w:val=""/>
      <w:lvlJc w:val="left"/>
    </w:lvl>
    <w:lvl w:ilvl="5" w:tplc="70DE56FE">
      <w:numFmt w:val="decimal"/>
      <w:lvlText w:val=""/>
      <w:lvlJc w:val="left"/>
    </w:lvl>
    <w:lvl w:ilvl="6" w:tplc="DB34F768">
      <w:numFmt w:val="decimal"/>
      <w:lvlText w:val=""/>
      <w:lvlJc w:val="left"/>
    </w:lvl>
    <w:lvl w:ilvl="7" w:tplc="E2E62ADC">
      <w:numFmt w:val="decimal"/>
      <w:lvlText w:val=""/>
      <w:lvlJc w:val="left"/>
    </w:lvl>
    <w:lvl w:ilvl="8" w:tplc="B1E40970">
      <w:numFmt w:val="decimal"/>
      <w:lvlText w:val=""/>
      <w:lvlJc w:val="left"/>
    </w:lvl>
  </w:abstractNum>
  <w:num w:numId="1">
    <w:abstractNumId w:val="24"/>
  </w:num>
  <w:num w:numId="2">
    <w:abstractNumId w:val="104"/>
  </w:num>
  <w:num w:numId="3">
    <w:abstractNumId w:val="10"/>
  </w:num>
  <w:num w:numId="4">
    <w:abstractNumId w:val="130"/>
  </w:num>
  <w:num w:numId="5">
    <w:abstractNumId w:val="5"/>
  </w:num>
  <w:num w:numId="6">
    <w:abstractNumId w:val="64"/>
  </w:num>
  <w:num w:numId="7">
    <w:abstractNumId w:val="25"/>
  </w:num>
  <w:num w:numId="8">
    <w:abstractNumId w:val="36"/>
  </w:num>
  <w:num w:numId="9">
    <w:abstractNumId w:val="110"/>
  </w:num>
  <w:num w:numId="10">
    <w:abstractNumId w:val="101"/>
  </w:num>
  <w:num w:numId="11">
    <w:abstractNumId w:val="88"/>
  </w:num>
  <w:num w:numId="12">
    <w:abstractNumId w:val="131"/>
  </w:num>
  <w:num w:numId="13">
    <w:abstractNumId w:val="84"/>
  </w:num>
  <w:num w:numId="14">
    <w:abstractNumId w:val="109"/>
  </w:num>
  <w:num w:numId="15">
    <w:abstractNumId w:val="14"/>
  </w:num>
  <w:num w:numId="16">
    <w:abstractNumId w:val="20"/>
  </w:num>
  <w:num w:numId="17">
    <w:abstractNumId w:val="63"/>
  </w:num>
  <w:num w:numId="18">
    <w:abstractNumId w:val="12"/>
  </w:num>
  <w:num w:numId="19">
    <w:abstractNumId w:val="7"/>
  </w:num>
  <w:num w:numId="20">
    <w:abstractNumId w:val="31"/>
  </w:num>
  <w:num w:numId="21">
    <w:abstractNumId w:val="57"/>
  </w:num>
  <w:num w:numId="22">
    <w:abstractNumId w:val="111"/>
  </w:num>
  <w:num w:numId="23">
    <w:abstractNumId w:val="69"/>
  </w:num>
  <w:num w:numId="24">
    <w:abstractNumId w:val="107"/>
  </w:num>
  <w:num w:numId="25">
    <w:abstractNumId w:val="4"/>
  </w:num>
  <w:num w:numId="26">
    <w:abstractNumId w:val="21"/>
  </w:num>
  <w:num w:numId="27">
    <w:abstractNumId w:val="137"/>
  </w:num>
  <w:num w:numId="28">
    <w:abstractNumId w:val="30"/>
  </w:num>
  <w:num w:numId="29">
    <w:abstractNumId w:val="123"/>
  </w:num>
  <w:num w:numId="30">
    <w:abstractNumId w:val="19"/>
  </w:num>
  <w:num w:numId="31">
    <w:abstractNumId w:val="136"/>
  </w:num>
  <w:num w:numId="32">
    <w:abstractNumId w:val="6"/>
  </w:num>
  <w:num w:numId="33">
    <w:abstractNumId w:val="118"/>
  </w:num>
  <w:num w:numId="34">
    <w:abstractNumId w:val="8"/>
  </w:num>
  <w:num w:numId="35">
    <w:abstractNumId w:val="1"/>
  </w:num>
  <w:num w:numId="36">
    <w:abstractNumId w:val="127"/>
  </w:num>
  <w:num w:numId="37">
    <w:abstractNumId w:val="75"/>
  </w:num>
  <w:num w:numId="38">
    <w:abstractNumId w:val="26"/>
  </w:num>
  <w:num w:numId="39">
    <w:abstractNumId w:val="22"/>
  </w:num>
  <w:num w:numId="40">
    <w:abstractNumId w:val="52"/>
  </w:num>
  <w:num w:numId="41">
    <w:abstractNumId w:val="125"/>
  </w:num>
  <w:num w:numId="42">
    <w:abstractNumId w:val="112"/>
  </w:num>
  <w:num w:numId="43">
    <w:abstractNumId w:val="50"/>
  </w:num>
  <w:num w:numId="44">
    <w:abstractNumId w:val="68"/>
  </w:num>
  <w:num w:numId="45">
    <w:abstractNumId w:val="72"/>
  </w:num>
  <w:num w:numId="46">
    <w:abstractNumId w:val="56"/>
  </w:num>
  <w:num w:numId="47">
    <w:abstractNumId w:val="95"/>
  </w:num>
  <w:num w:numId="48">
    <w:abstractNumId w:val="16"/>
  </w:num>
  <w:num w:numId="49">
    <w:abstractNumId w:val="65"/>
  </w:num>
  <w:num w:numId="50">
    <w:abstractNumId w:val="108"/>
  </w:num>
  <w:num w:numId="51">
    <w:abstractNumId w:val="42"/>
  </w:num>
  <w:num w:numId="52">
    <w:abstractNumId w:val="135"/>
  </w:num>
  <w:num w:numId="53">
    <w:abstractNumId w:val="71"/>
  </w:num>
  <w:num w:numId="54">
    <w:abstractNumId w:val="121"/>
  </w:num>
  <w:num w:numId="55">
    <w:abstractNumId w:val="106"/>
  </w:num>
  <w:num w:numId="56">
    <w:abstractNumId w:val="80"/>
  </w:num>
  <w:num w:numId="57">
    <w:abstractNumId w:val="2"/>
  </w:num>
  <w:num w:numId="58">
    <w:abstractNumId w:val="105"/>
  </w:num>
  <w:num w:numId="59">
    <w:abstractNumId w:val="115"/>
  </w:num>
  <w:num w:numId="60">
    <w:abstractNumId w:val="128"/>
  </w:num>
  <w:num w:numId="61">
    <w:abstractNumId w:val="119"/>
  </w:num>
  <w:num w:numId="62">
    <w:abstractNumId w:val="114"/>
  </w:num>
  <w:num w:numId="63">
    <w:abstractNumId w:val="133"/>
  </w:num>
  <w:num w:numId="64">
    <w:abstractNumId w:val="103"/>
  </w:num>
  <w:num w:numId="65">
    <w:abstractNumId w:val="124"/>
  </w:num>
  <w:num w:numId="66">
    <w:abstractNumId w:val="134"/>
  </w:num>
  <w:num w:numId="67">
    <w:abstractNumId w:val="90"/>
  </w:num>
  <w:num w:numId="68">
    <w:abstractNumId w:val="61"/>
  </w:num>
  <w:num w:numId="69">
    <w:abstractNumId w:val="23"/>
  </w:num>
  <w:num w:numId="70">
    <w:abstractNumId w:val="113"/>
  </w:num>
  <w:num w:numId="71">
    <w:abstractNumId w:val="122"/>
  </w:num>
  <w:num w:numId="72">
    <w:abstractNumId w:val="11"/>
  </w:num>
  <w:num w:numId="73">
    <w:abstractNumId w:val="85"/>
  </w:num>
  <w:num w:numId="74">
    <w:abstractNumId w:val="37"/>
  </w:num>
  <w:num w:numId="75">
    <w:abstractNumId w:val="81"/>
  </w:num>
  <w:num w:numId="76">
    <w:abstractNumId w:val="33"/>
  </w:num>
  <w:num w:numId="77">
    <w:abstractNumId w:val="97"/>
  </w:num>
  <w:num w:numId="78">
    <w:abstractNumId w:val="44"/>
  </w:num>
  <w:num w:numId="79">
    <w:abstractNumId w:val="46"/>
  </w:num>
  <w:num w:numId="80">
    <w:abstractNumId w:val="34"/>
  </w:num>
  <w:num w:numId="81">
    <w:abstractNumId w:val="9"/>
  </w:num>
  <w:num w:numId="82">
    <w:abstractNumId w:val="82"/>
  </w:num>
  <w:num w:numId="83">
    <w:abstractNumId w:val="32"/>
  </w:num>
  <w:num w:numId="84">
    <w:abstractNumId w:val="86"/>
  </w:num>
  <w:num w:numId="85">
    <w:abstractNumId w:val="62"/>
  </w:num>
  <w:num w:numId="86">
    <w:abstractNumId w:val="132"/>
  </w:num>
  <w:num w:numId="87">
    <w:abstractNumId w:val="40"/>
  </w:num>
  <w:num w:numId="88">
    <w:abstractNumId w:val="67"/>
  </w:num>
  <w:num w:numId="89">
    <w:abstractNumId w:val="99"/>
  </w:num>
  <w:num w:numId="90">
    <w:abstractNumId w:val="18"/>
  </w:num>
  <w:num w:numId="91">
    <w:abstractNumId w:val="58"/>
  </w:num>
  <w:num w:numId="92">
    <w:abstractNumId w:val="73"/>
  </w:num>
  <w:num w:numId="93">
    <w:abstractNumId w:val="129"/>
  </w:num>
  <w:num w:numId="94">
    <w:abstractNumId w:val="55"/>
  </w:num>
  <w:num w:numId="95">
    <w:abstractNumId w:val="47"/>
  </w:num>
  <w:num w:numId="96">
    <w:abstractNumId w:val="117"/>
  </w:num>
  <w:num w:numId="97">
    <w:abstractNumId w:val="54"/>
  </w:num>
  <w:num w:numId="98">
    <w:abstractNumId w:val="0"/>
  </w:num>
  <w:num w:numId="99">
    <w:abstractNumId w:val="48"/>
  </w:num>
  <w:num w:numId="100">
    <w:abstractNumId w:val="76"/>
  </w:num>
  <w:num w:numId="101">
    <w:abstractNumId w:val="116"/>
  </w:num>
  <w:num w:numId="102">
    <w:abstractNumId w:val="35"/>
  </w:num>
  <w:num w:numId="103">
    <w:abstractNumId w:val="92"/>
  </w:num>
  <w:num w:numId="104">
    <w:abstractNumId w:val="60"/>
  </w:num>
  <w:num w:numId="105">
    <w:abstractNumId w:val="59"/>
  </w:num>
  <w:num w:numId="106">
    <w:abstractNumId w:val="43"/>
  </w:num>
  <w:num w:numId="107">
    <w:abstractNumId w:val="98"/>
  </w:num>
  <w:num w:numId="108">
    <w:abstractNumId w:val="27"/>
  </w:num>
  <w:num w:numId="109">
    <w:abstractNumId w:val="78"/>
  </w:num>
  <w:num w:numId="110">
    <w:abstractNumId w:val="3"/>
  </w:num>
  <w:num w:numId="111">
    <w:abstractNumId w:val="53"/>
  </w:num>
  <w:num w:numId="112">
    <w:abstractNumId w:val="96"/>
  </w:num>
  <w:num w:numId="113">
    <w:abstractNumId w:val="91"/>
  </w:num>
  <w:num w:numId="114">
    <w:abstractNumId w:val="83"/>
  </w:num>
  <w:num w:numId="115">
    <w:abstractNumId w:val="49"/>
  </w:num>
  <w:num w:numId="116">
    <w:abstractNumId w:val="28"/>
  </w:num>
  <w:num w:numId="117">
    <w:abstractNumId w:val="77"/>
  </w:num>
  <w:num w:numId="118">
    <w:abstractNumId w:val="79"/>
  </w:num>
  <w:num w:numId="119">
    <w:abstractNumId w:val="100"/>
  </w:num>
  <w:num w:numId="120">
    <w:abstractNumId w:val="45"/>
  </w:num>
  <w:num w:numId="121">
    <w:abstractNumId w:val="102"/>
  </w:num>
  <w:num w:numId="122">
    <w:abstractNumId w:val="29"/>
  </w:num>
  <w:num w:numId="123">
    <w:abstractNumId w:val="126"/>
  </w:num>
  <w:num w:numId="124">
    <w:abstractNumId w:val="93"/>
  </w:num>
  <w:num w:numId="125">
    <w:abstractNumId w:val="87"/>
  </w:num>
  <w:num w:numId="126">
    <w:abstractNumId w:val="38"/>
  </w:num>
  <w:num w:numId="127">
    <w:abstractNumId w:val="66"/>
  </w:num>
  <w:num w:numId="128">
    <w:abstractNumId w:val="13"/>
  </w:num>
  <w:num w:numId="129">
    <w:abstractNumId w:val="39"/>
  </w:num>
  <w:num w:numId="130">
    <w:abstractNumId w:val="120"/>
  </w:num>
  <w:num w:numId="131">
    <w:abstractNumId w:val="94"/>
  </w:num>
  <w:num w:numId="132">
    <w:abstractNumId w:val="15"/>
  </w:num>
  <w:num w:numId="133">
    <w:abstractNumId w:val="17"/>
  </w:num>
  <w:num w:numId="134">
    <w:abstractNumId w:val="51"/>
  </w:num>
  <w:num w:numId="135">
    <w:abstractNumId w:val="70"/>
  </w:num>
  <w:num w:numId="136">
    <w:abstractNumId w:val="74"/>
  </w:num>
  <w:num w:numId="137">
    <w:abstractNumId w:val="89"/>
  </w:num>
  <w:num w:numId="138">
    <w:abstractNumId w:val="41"/>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1E3"/>
    <w:rsid w:val="00A621E3"/>
    <w:rsid w:val="00EC63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png"/><Relationship Id="rId55" Type="http://schemas.openxmlformats.org/officeDocument/2006/relationships/image" Target="media/image50.jpeg"/><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46689</Words>
  <Characters>266129</Characters>
  <Application>Microsoft Office Word</Application>
  <DocSecurity>0</DocSecurity>
  <Lines>2217</Lines>
  <Paragraphs>624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Wu, Julia</cp:lastModifiedBy>
  <cp:revision>3</cp:revision>
  <dcterms:created xsi:type="dcterms:W3CDTF">2023-04-12T06:56:00Z</dcterms:created>
  <dcterms:modified xsi:type="dcterms:W3CDTF">2024-12-19T09:18:00Z</dcterms:modified>
</cp:coreProperties>
</file>