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Hu Fred</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Yum China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YUMC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8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00" w:type="dxa"/>
            <w:vAlign w:val="bottom"/>
          </w:tcPr>
          <w:p>
            <w:pPr>
              <w:spacing w:after="0"/>
              <w:rPr>
                <w:sz w:val="15"/>
                <w:szCs w:val="15"/>
                <w:color w:val="auto"/>
              </w:rPr>
            </w:pPr>
          </w:p>
        </w:tc>
        <w:tc>
          <w:tcPr>
            <w:tcW w:w="1580" w:type="dxa"/>
            <w:vAlign w:val="bottom"/>
            <w:gridSpan w:val="2"/>
          </w:tcPr>
          <w:p>
            <w:pPr>
              <w:ind w:left="50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15 QUEEN'S ROAD CENTRAL</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11/03/2022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41ST FLOOR</w:t>
            </w: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gridSpan w:val="10"/>
            <w:vMerge w:val="continue"/>
          </w:tcPr>
          <w:p>
            <w:pPr>
              <w:spacing w:after="0"/>
              <w:rPr>
                <w:sz w:val="7"/>
                <w:szCs w:val="7"/>
                <w:color w:val="auto"/>
              </w:rPr>
            </w:pPr>
          </w:p>
        </w:tc>
        <w:tc>
          <w:tcPr>
            <w:tcW w:w="33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HONG KONG  K3</w:t>
            </w:r>
          </w:p>
        </w:tc>
        <w:tc>
          <w:tcPr>
            <w:tcW w:w="840" w:type="dxa"/>
            <w:vAlign w:val="bottom"/>
          </w:tcPr>
          <w:p>
            <w:pPr>
              <w:spacing w:after="0"/>
              <w:rPr>
                <w:sz w:val="19"/>
                <w:szCs w:val="19"/>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none</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ind w:left="320"/>
              <w:spacing w:after="0" w:line="146" w:lineRule="exact"/>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00" w:type="dxa"/>
            <w:vAlign w:val="bottom"/>
          </w:tcPr>
          <w:p>
            <w:pPr>
              <w:spacing w:after="0"/>
              <w:rPr>
                <w:sz w:val="24"/>
                <w:szCs w:val="24"/>
                <w:color w:val="auto"/>
              </w:rPr>
            </w:pPr>
          </w:p>
        </w:tc>
        <w:tc>
          <w:tcPr>
            <w:tcW w:w="1580" w:type="dxa"/>
            <w:vAlign w:val="bottom"/>
            <w:gridSpan w:val="2"/>
          </w:tcPr>
          <w:p>
            <w:pPr>
              <w:ind w:left="50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040" w:type="dxa"/>
            <w:vAlign w:val="bottom"/>
            <w:tcBorders>
              <w:bottom w:val="single" w:sz="8" w:color="2C2C2C"/>
            </w:tcBorders>
            <w:gridSpan w:val="3"/>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43,737</w:t>
            </w:r>
          </w:p>
        </w:tc>
        <w:tc>
          <w:tcPr>
            <w:tcW w:w="34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11/03/2022</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520" w:type="dxa"/>
            <w:vAlign w:val="bottom"/>
          </w:tcPr>
          <w:p>
            <w:pPr>
              <w:spacing w:after="0"/>
              <w:rPr>
                <w:sz w:val="21"/>
                <w:szCs w:val="2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3,193,127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45.125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13,171,651</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6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is held directly by Pollos Investment L.P. ("Pollos Investment"). The limited partnership interests of Pollos Investment are ultimately owned by a private fund ("Fund") for which an affiliate of the Reporting Person is special limited partner ("Special Limited Partner") and has a contingent right to receive a performance fee. The Reporting Person is a shareholder of the parent company of the general partner of the Special Limited Partner (the "Parent Company") and may be deemed to have pecuniary interest through his indirect entitlement to receive a share of any Fund performance fee. At the request of an ultimate withdrawing limited partner who is not affiliated with the Reporting Person, Pollos Investment sold 3,193,127 shares of common stock of YUM China Holdings, Inc. (the "Transaction") and the proceeds of such sale, after costs and repayment of certain liabilities of Pollos investment, were distributed to such withdrawing limited partner.</w:t>
      </w:r>
    </w:p>
    <w:p>
      <w:pPr>
        <w:spacing w:after="0" w:line="26" w:lineRule="exact"/>
        <w:rPr>
          <w:rFonts w:ascii="Times New Roman" w:cs="Times New Roman" w:eastAsia="Times New Roman" w:hAnsi="Times New Roman"/>
          <w:sz w:val="13"/>
          <w:szCs w:val="13"/>
          <w:color w:val="008000"/>
        </w:rPr>
      </w:pPr>
    </w:p>
    <w:p>
      <w:pPr>
        <w:ind w:left="40" w:right="24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and derivative instruments held directly by Pollos Investment, including in the shares sold in the Transaction, except to the extent of his pecuniary interest, if any, in such securities or instruments as a result of his interest in the Parent Company, and inclusion in this form shall not otherwise be deemed an admission of beneficial ownership for purposes of Section 16 of the Securities Exchange Act of 1934 or for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Jonathan Gaines, Attorney- </w:t>
      </w:r>
      <w:r>
        <w:rPr>
          <w:rFonts w:ascii="Times New Roman" w:cs="Times New Roman" w:eastAsia="Times New Roman" w:hAnsi="Times New Roman"/>
          <w:sz w:val="33"/>
          <w:szCs w:val="33"/>
          <w:color w:val="0000FF"/>
          <w:vertAlign w:val="subscript"/>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6100"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2022-11-07T11:06:30Z</dcterms:created>
  <dcterms:modified xsi:type="dcterms:W3CDTF">2022-11-07T11:06:30Z</dcterms:modified>
</cp:coreProperties>
</file>