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July 16, 2020</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Yum China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11" w:lineRule="exact"/>
        <w:rPr>
          <w:sz w:val="24"/>
          <w:szCs w:val="24"/>
          <w:color w:val="auto"/>
        </w:rPr>
      </w:pPr>
    </w:p>
    <w:tbl>
      <w:tblPr>
        <w:tblLayout w:type="fixed"/>
        <w:tblInd w:w="800" w:type="dxa"/>
        <w:tblCellMar>
          <w:top w:w="0" w:type="dxa"/>
          <w:left w:w="0" w:type="dxa"/>
          <w:bottom w:w="0" w:type="dxa"/>
          <w:right w:w="0" w:type="dxa"/>
        </w:tblCellMar>
      </w:tblPr>
      <w:tr>
        <w:trPr>
          <w:trHeight w:val="247"/>
        </w:trPr>
        <w:tc>
          <w:tcPr>
            <w:tcW w:w="3620" w:type="dxa"/>
            <w:vAlign w:val="bottom"/>
          </w:tcPr>
          <w:p>
            <w:pPr>
              <w:jc w:val="center"/>
              <w:ind w:right="1533"/>
              <w:spacing w:after="0"/>
              <w:rPr>
                <w:sz w:val="20"/>
                <w:szCs w:val="20"/>
                <w:color w:val="auto"/>
              </w:rPr>
            </w:pPr>
            <w:r>
              <w:rPr>
                <w:rFonts w:ascii="Arial" w:cs="Arial" w:eastAsia="Arial" w:hAnsi="Arial"/>
                <w:sz w:val="18"/>
                <w:szCs w:val="18"/>
                <w:b w:val="1"/>
                <w:bCs w:val="1"/>
                <w:color w:val="auto"/>
                <w:w w:val="91"/>
              </w:rPr>
              <w:t>Delaware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0"/>
              </w:rPr>
              <w:t>001-37762</w:t>
            </w:r>
          </w:p>
        </w:tc>
        <w:tc>
          <w:tcPr>
            <w:tcW w:w="3280" w:type="dxa"/>
            <w:vAlign w:val="bottom"/>
          </w:tcPr>
          <w:p>
            <w:pPr>
              <w:jc w:val="right"/>
              <w:ind w:right="133"/>
              <w:spacing w:after="0"/>
              <w:rPr>
                <w:sz w:val="20"/>
                <w:szCs w:val="20"/>
                <w:color w:val="auto"/>
              </w:rPr>
            </w:pPr>
            <w:r>
              <w:rPr>
                <w:rFonts w:ascii="Arial" w:cs="Arial" w:eastAsia="Arial" w:hAnsi="Arial"/>
                <w:sz w:val="18"/>
                <w:szCs w:val="18"/>
                <w:b w:val="1"/>
                <w:bCs w:val="1"/>
                <w:color w:val="auto"/>
              </w:rPr>
              <w:t>81-2421743</w:t>
            </w:r>
          </w:p>
        </w:tc>
      </w:tr>
      <w:tr>
        <w:trPr>
          <w:trHeight w:val="203"/>
        </w:trPr>
        <w:tc>
          <w:tcPr>
            <w:tcW w:w="3620" w:type="dxa"/>
            <w:vAlign w:val="bottom"/>
          </w:tcPr>
          <w:p>
            <w:pPr>
              <w:jc w:val="center"/>
              <w:ind w:right="1513"/>
              <w:spacing w:after="0"/>
              <w:rPr>
                <w:sz w:val="20"/>
                <w:szCs w:val="20"/>
                <w:color w:val="auto"/>
              </w:rPr>
            </w:pPr>
            <w:r>
              <w:rPr>
                <w:rFonts w:ascii="Arial" w:cs="Arial" w:eastAsia="Arial" w:hAnsi="Arial"/>
                <w:sz w:val="16"/>
                <w:szCs w:val="16"/>
                <w:b w:val="1"/>
                <w:bCs w:val="1"/>
                <w:color w:val="auto"/>
                <w:w w:val="91"/>
              </w:rPr>
              <w:t>(State or other jurisdiction of</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88"/>
              </w:rPr>
              <w:t>(Commission</w:t>
            </w:r>
          </w:p>
        </w:tc>
        <w:tc>
          <w:tcPr>
            <w:tcW w:w="3280" w:type="dxa"/>
            <w:vAlign w:val="bottom"/>
          </w:tcPr>
          <w:p>
            <w:pPr>
              <w:jc w:val="center"/>
              <w:ind w:left="1973"/>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3620" w:type="dxa"/>
            <w:vAlign w:val="bottom"/>
          </w:tcPr>
          <w:p>
            <w:pPr>
              <w:jc w:val="center"/>
              <w:ind w:right="1573"/>
              <w:spacing w:after="0"/>
              <w:rPr>
                <w:sz w:val="20"/>
                <w:szCs w:val="20"/>
                <w:color w:val="auto"/>
              </w:rPr>
            </w:pPr>
            <w:r>
              <w:rPr>
                <w:rFonts w:ascii="Arial" w:cs="Arial" w:eastAsia="Arial" w:hAnsi="Arial"/>
                <w:sz w:val="16"/>
                <w:szCs w:val="16"/>
                <w:b w:val="1"/>
                <w:bCs w:val="1"/>
                <w:color w:val="auto"/>
                <w:w w:val="92"/>
              </w:rPr>
              <w:t>incorporation)</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6"/>
              </w:rPr>
              <w:t>File Number)</w:t>
            </w:r>
          </w:p>
        </w:tc>
        <w:tc>
          <w:tcPr>
            <w:tcW w:w="3280" w:type="dxa"/>
            <w:vAlign w:val="bottom"/>
          </w:tcPr>
          <w:p>
            <w:pPr>
              <w:jc w:val="center"/>
              <w:ind w:left="1933"/>
              <w:spacing w:after="0"/>
              <w:rPr>
                <w:sz w:val="20"/>
                <w:szCs w:val="20"/>
                <w:color w:val="auto"/>
              </w:rPr>
            </w:pPr>
            <w:r>
              <w:rPr>
                <w:rFonts w:ascii="Arial" w:cs="Arial" w:eastAsia="Arial" w:hAnsi="Arial"/>
                <w:sz w:val="16"/>
                <w:szCs w:val="16"/>
                <w:b w:val="1"/>
                <w:bCs w:val="1"/>
                <w:color w:val="auto"/>
                <w:w w:val="93"/>
              </w:rPr>
              <w:t>Identification No.)</w:t>
            </w:r>
          </w:p>
        </w:tc>
      </w:tr>
      <w:tr>
        <w:trPr>
          <w:trHeight w:val="343"/>
        </w:trPr>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280" w:type="dxa"/>
            <w:vAlign w:val="bottom"/>
          </w:tcPr>
          <w:p>
            <w:pPr>
              <w:jc w:val="center"/>
              <w:ind w:left="93"/>
              <w:spacing w:after="0"/>
              <w:rPr>
                <w:sz w:val="20"/>
                <w:szCs w:val="20"/>
                <w:color w:val="auto"/>
              </w:rPr>
            </w:pPr>
            <w:r>
              <w:rPr>
                <w:rFonts w:ascii="Arial" w:cs="Arial" w:eastAsia="Arial" w:hAnsi="Arial"/>
                <w:sz w:val="18"/>
                <w:szCs w:val="18"/>
                <w:b w:val="1"/>
                <w:bCs w:val="1"/>
                <w:color w:val="auto"/>
                <w:w w:val="92"/>
              </w:rPr>
              <w:t>Yum China Building</w:t>
            </w:r>
          </w:p>
        </w:tc>
      </w:tr>
      <w:tr>
        <w:trPr>
          <w:trHeight w:val="243"/>
        </w:trPr>
        <w:tc>
          <w:tcPr>
            <w:tcW w:w="3620" w:type="dxa"/>
            <w:vAlign w:val="bottom"/>
          </w:tcPr>
          <w:p>
            <w:pPr>
              <w:jc w:val="center"/>
              <w:ind w:left="213"/>
              <w:spacing w:after="0"/>
              <w:rPr>
                <w:sz w:val="20"/>
                <w:szCs w:val="20"/>
                <w:color w:val="auto"/>
              </w:rPr>
            </w:pPr>
            <w:r>
              <w:rPr>
                <w:rFonts w:ascii="Arial" w:cs="Arial" w:eastAsia="Arial" w:hAnsi="Arial"/>
                <w:sz w:val="18"/>
                <w:szCs w:val="18"/>
                <w:b w:val="1"/>
                <w:bCs w:val="1"/>
                <w:color w:val="auto"/>
                <w:w w:val="92"/>
              </w:rPr>
              <w:t>7100 Corporate Drive</w:t>
            </w:r>
          </w:p>
        </w:tc>
        <w:tc>
          <w:tcPr>
            <w:tcW w:w="2340" w:type="dxa"/>
            <w:vAlign w:val="bottom"/>
          </w:tcPr>
          <w:p>
            <w:pPr>
              <w:spacing w:after="0"/>
              <w:rPr>
                <w:sz w:val="21"/>
                <w:szCs w:val="21"/>
                <w:color w:val="auto"/>
              </w:rPr>
            </w:pPr>
          </w:p>
        </w:tc>
        <w:tc>
          <w:tcPr>
            <w:tcW w:w="3280" w:type="dxa"/>
            <w:vAlign w:val="bottom"/>
          </w:tcPr>
          <w:p>
            <w:pPr>
              <w:jc w:val="center"/>
              <w:ind w:left="93"/>
              <w:spacing w:after="0"/>
              <w:rPr>
                <w:sz w:val="20"/>
                <w:szCs w:val="20"/>
                <w:color w:val="auto"/>
              </w:rPr>
            </w:pPr>
            <w:r>
              <w:rPr>
                <w:rFonts w:ascii="Arial" w:cs="Arial" w:eastAsia="Arial" w:hAnsi="Arial"/>
                <w:sz w:val="18"/>
                <w:szCs w:val="18"/>
                <w:b w:val="1"/>
                <w:bCs w:val="1"/>
                <w:color w:val="auto"/>
                <w:w w:val="91"/>
              </w:rPr>
              <w:t>20 Tian Yao Qiao Road</w:t>
            </w:r>
          </w:p>
        </w:tc>
      </w:tr>
      <w:tr>
        <w:trPr>
          <w:trHeight w:val="243"/>
        </w:trPr>
        <w:tc>
          <w:tcPr>
            <w:tcW w:w="3620" w:type="dxa"/>
            <w:vAlign w:val="bottom"/>
          </w:tcPr>
          <w:p>
            <w:pPr>
              <w:jc w:val="center"/>
              <w:ind w:left="233"/>
              <w:spacing w:after="0"/>
              <w:rPr>
                <w:sz w:val="20"/>
                <w:szCs w:val="20"/>
                <w:color w:val="auto"/>
              </w:rPr>
            </w:pPr>
            <w:r>
              <w:rPr>
                <w:rFonts w:ascii="Arial" w:cs="Arial" w:eastAsia="Arial" w:hAnsi="Arial"/>
                <w:sz w:val="18"/>
                <w:szCs w:val="18"/>
                <w:b w:val="1"/>
                <w:bCs w:val="1"/>
                <w:color w:val="auto"/>
                <w:w w:val="88"/>
              </w:rPr>
              <w:t>Plano, Texas 75024</w:t>
            </w:r>
          </w:p>
        </w:tc>
        <w:tc>
          <w:tcPr>
            <w:tcW w:w="2340" w:type="dxa"/>
            <w:vAlign w:val="bottom"/>
          </w:tcPr>
          <w:p>
            <w:pPr>
              <w:spacing w:after="0"/>
              <w:rPr>
                <w:sz w:val="21"/>
                <w:szCs w:val="21"/>
                <w:color w:val="auto"/>
              </w:rPr>
            </w:pPr>
          </w:p>
        </w:tc>
        <w:tc>
          <w:tcPr>
            <w:tcW w:w="3280" w:type="dxa"/>
            <w:vAlign w:val="bottom"/>
          </w:tcPr>
          <w:p>
            <w:pPr>
              <w:jc w:val="center"/>
              <w:ind w:left="93"/>
              <w:spacing w:after="0"/>
              <w:rPr>
                <w:sz w:val="20"/>
                <w:szCs w:val="20"/>
                <w:color w:val="auto"/>
              </w:rPr>
            </w:pPr>
            <w:r>
              <w:rPr>
                <w:rFonts w:ascii="Arial" w:cs="Arial" w:eastAsia="Arial" w:hAnsi="Arial"/>
                <w:sz w:val="18"/>
                <w:szCs w:val="18"/>
                <w:b w:val="1"/>
                <w:bCs w:val="1"/>
                <w:color w:val="auto"/>
                <w:w w:val="88"/>
              </w:rPr>
              <w:t>Shanghai 200030</w:t>
            </w:r>
          </w:p>
        </w:tc>
      </w:tr>
      <w:tr>
        <w:trPr>
          <w:trHeight w:val="243"/>
        </w:trPr>
        <w:tc>
          <w:tcPr>
            <w:tcW w:w="3620" w:type="dxa"/>
            <w:vAlign w:val="bottom"/>
          </w:tcPr>
          <w:p>
            <w:pPr>
              <w:jc w:val="center"/>
              <w:ind w:left="213"/>
              <w:spacing w:after="0"/>
              <w:rPr>
                <w:sz w:val="20"/>
                <w:szCs w:val="20"/>
                <w:color w:val="auto"/>
              </w:rPr>
            </w:pPr>
            <w:r>
              <w:rPr>
                <w:rFonts w:ascii="Arial" w:cs="Arial" w:eastAsia="Arial" w:hAnsi="Arial"/>
                <w:sz w:val="18"/>
                <w:szCs w:val="18"/>
                <w:b w:val="1"/>
                <w:bCs w:val="1"/>
                <w:color w:val="auto"/>
                <w:w w:val="90"/>
              </w:rPr>
              <w:t>United States of America</w:t>
            </w:r>
          </w:p>
        </w:tc>
        <w:tc>
          <w:tcPr>
            <w:tcW w:w="2340" w:type="dxa"/>
            <w:vAlign w:val="bottom"/>
          </w:tcPr>
          <w:p>
            <w:pPr>
              <w:spacing w:after="0"/>
              <w:rPr>
                <w:sz w:val="21"/>
                <w:szCs w:val="21"/>
                <w:color w:val="auto"/>
              </w:rPr>
            </w:pPr>
          </w:p>
        </w:tc>
        <w:tc>
          <w:tcPr>
            <w:tcW w:w="3280" w:type="dxa"/>
            <w:vAlign w:val="bottom"/>
          </w:tcPr>
          <w:p>
            <w:pPr>
              <w:jc w:val="center"/>
              <w:ind w:left="113"/>
              <w:spacing w:after="0"/>
              <w:rPr>
                <w:sz w:val="20"/>
                <w:szCs w:val="20"/>
                <w:color w:val="auto"/>
              </w:rPr>
            </w:pPr>
            <w:r>
              <w:rPr>
                <w:rFonts w:ascii="Arial" w:cs="Arial" w:eastAsia="Arial" w:hAnsi="Arial"/>
                <w:sz w:val="18"/>
                <w:szCs w:val="18"/>
                <w:b w:val="1"/>
                <w:bCs w:val="1"/>
                <w:color w:val="auto"/>
                <w:w w:val="89"/>
              </w:rPr>
              <w:t>People’s Republic of China</w:t>
            </w: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including zip code, of principal executive offices)</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(469) 980-2898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12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20" w:hanging="204"/>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20" w:hanging="204"/>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5080" w:type="dxa"/>
            <w:vAlign w:val="bottom"/>
            <w:tcBorders>
              <w:top w:val="single" w:sz="8" w:color="auto"/>
              <w:left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5020" w:type="dxa"/>
            <w:vAlign w:val="bottom"/>
            <w:tcBorders>
              <w:top w:val="single" w:sz="8" w:color="auto"/>
              <w:right w:val="single" w:sz="8" w:color="auto"/>
            </w:tcBorders>
          </w:tcPr>
          <w:p>
            <w:pPr>
              <w:spacing w:after="0"/>
              <w:rPr>
                <w:sz w:val="18"/>
                <w:szCs w:val="18"/>
                <w:color w:val="auto"/>
              </w:rPr>
            </w:pPr>
          </w:p>
        </w:tc>
      </w:tr>
      <w:tr>
        <w:trPr>
          <w:trHeight w:val="234"/>
        </w:trPr>
        <w:tc>
          <w:tcPr>
            <w:tcW w:w="5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5020" w:type="dxa"/>
            <w:vAlign w:val="bottom"/>
            <w:tcBorders>
              <w:bottom w:val="single" w:sz="8" w:color="auto"/>
              <w:right w:val="single" w:sz="8" w:color="auto"/>
            </w:tcBorders>
          </w:tcPr>
          <w:p>
            <w:pPr>
              <w:ind w:left="8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10"/>
        </w:trPr>
        <w:tc>
          <w:tcPr>
            <w:tcW w:w="5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YUMC</w:t>
            </w:r>
          </w:p>
        </w:tc>
        <w:tc>
          <w:tcPr>
            <w:tcW w:w="5020" w:type="dxa"/>
            <w:vAlign w:val="bottom"/>
            <w:tcBorders>
              <w:bottom w:val="single" w:sz="8" w:color="auto"/>
              <w:right w:val="single" w:sz="8" w:color="auto"/>
            </w:tcBorders>
          </w:tcPr>
          <w:p>
            <w:pPr>
              <w:ind w:left="1560"/>
              <w:spacing w:after="0"/>
              <w:rPr>
                <w:sz w:val="20"/>
                <w:szCs w:val="20"/>
                <w:color w:val="auto"/>
              </w:rPr>
            </w:pPr>
            <w:r>
              <w:rPr>
                <w:rFonts w:ascii="Arial" w:cs="Arial" w:eastAsia="Arial" w:hAnsi="Arial"/>
                <w:sz w:val="18"/>
                <w:szCs w:val="18"/>
                <w:color w:val="auto"/>
              </w:rPr>
              <w:t>New York Stock Exchange</w:t>
            </w:r>
          </w:p>
        </w:tc>
      </w:tr>
      <w:tr>
        <w:trPr>
          <w:trHeight w:val="115"/>
        </w:trPr>
        <w:tc>
          <w:tcPr>
            <w:tcW w:w="50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5020" w:type="dxa"/>
            <w:vAlign w:val="bottom"/>
            <w:tcBorders>
              <w:bottom w:val="single" w:sz="8" w:color="auto"/>
            </w:tcBorders>
          </w:tcPr>
          <w:p>
            <w:pPr>
              <w:spacing w:after="0"/>
              <w:rPr>
                <w:sz w:val="10"/>
                <w:szCs w:val="10"/>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r>
      <w:tr>
        <w:trPr>
          <w:trHeight w:val="527"/>
        </w:trPr>
        <w:tc>
          <w:tcPr>
            <w:tcW w:w="50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 w:name="page2"/>
    <w:bookmarkEnd w:id="1"/>
    <w:p>
      <w:pPr>
        <w:ind w:left="1220" w:right="20" w:hanging="1214"/>
        <w:spacing w:after="0" w:line="282" w:lineRule="auto"/>
        <w:tabs>
          <w:tab w:leader="none" w:pos="12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described in further detail in the Compensation Discussion and Analysis in the proxy statement for the 2020 annual meeting of stockholders of Yum China Holdings, Inc. (the “Company”), the Company’s executive compensation program is designed to (i) attract and retain the right talent to achieve superior stockholder returns, (ii) reward performance, (iii) emphasize long-term value creation and (iv) drive an ownership mentality. Consistent with these objectives, the Compensation Committee (the “Committee”) of the Company’s Board of Directors considered the impact of the COVID-19 pandemic on the Company’s operations and the restaurant industry in general and determined that the motivational aspects of the Company’s annual incentive plan that were established at the beginning of the year were significantly diminished. The Committee evaluated whether any adjustments were necessary to the 2020 annual incentive plan design in order to continue to incentivize actions aligned with the Company’s strategic operating plan and long-term value creation and, on July 16, 2020, determined that it was in the best interests of the Company and its stockholders to supplement the annual performance metrics with additional key performance indicators (“KPIs”) as well as a relative total shareholder return measure. These KPIs were designed to motivate performance in this particularly challenging environment due to the COVID-19 pandemic and to position the Company as a strong market leader.</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each named executive officer, the 2020 annual incentive awards will continue to be tied to the corporate performance goals established at the beginning of the year with respect to adjusted operating profit growth, same store sales growth, system gross new builds and system customer satisfaction, but with the combined weighting reduced from 100% of the team factor component of the annual incentive plan to 35% of the team factor component. The Committee did not adjust the performance goals associated with the original metrics and, accordingly, this component of the team factor will be earned based on performance against the goals established at the beginning of 2020.</w:t>
      </w:r>
    </w:p>
    <w:p>
      <w:pPr>
        <w:spacing w:after="0" w:line="18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remaining 65% of the team factor component will be based on performance with respect to six KPIs, with an aggregate weight of 35%, and the Company’s relative total shareholder return, weighted 30%. The six KPIs relate to market penetration, sales contribution from loyalty members, business-to-business ecosystem measures, delivery sales growth of KFC, non dine-in sales contribution of Pizza Hut, and cost management. These KPIs are viewed as supportive of the Company’s long-term strategy and the creation of shareholder value and the Committee believes performance against these measures will reflect the extent of the Company’s success in the execution of its operating plan after the outbreak of COVID-19. The Committee determined that it was also appropriate to incorporate a relative total shareholder return measure as it is viewed as a core measure of the Company’s performance and shareholder value creation. In order to provide a strong linkage with stockholder interests, if the Company’s 2020 total shareholder return, as calculated in accordance with the annual incentive plan, is negative, then the payout associated with this metric will be capped at target. Recognizing the unprecedented nature of the COVID-19 pandemic and the resulting volatility in the restaurant industry and the market in general, the Committee elected to retain discretion under the annual incentive plan design to adjust payouts based on other factors deemed relevant by the Committee, including such other factors that support sustainable, long-term growth and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878840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80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YUM CHINA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Joseph Chan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Joseph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Legal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 July 20, 2020</w:t>
      </w:r>
    </w:p>
    <w:sectPr>
      <w:pgSz w:w="11900" w:h="16838" w:orient="portrait"/>
      <w:cols w:equalWidth="0" w:num="1">
        <w:col w:w="11080"/>
      </w:cols>
      <w:pgMar w:left="320"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2020-07-20T07:43:33Z</dcterms:created>
  <dcterms:modified xsi:type="dcterms:W3CDTF">2020-07-20T07:43:33Z</dcterms:modified>
</cp:coreProperties>
</file>